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4DBCE6" w14:textId="77777777" w:rsidR="00F7699F" w:rsidRDefault="00F7699F" w:rsidP="00416A6B">
      <w:pPr>
        <w:spacing w:after="180" w:line="276" w:lineRule="auto"/>
        <w:jc w:val="center"/>
        <w:rPr>
          <w:rFonts w:ascii="Cambria" w:eastAsia="Cambria" w:hAnsi="Cambria" w:cs="Cambria"/>
          <w:b/>
          <w:bCs/>
          <w:color w:val="365F91"/>
          <w:sz w:val="28"/>
          <w:lang w:eastAsia="en-IE"/>
        </w:rPr>
      </w:pPr>
      <w:r>
        <w:rPr>
          <w:noProof/>
          <w:lang w:eastAsia="en-IE"/>
        </w:rPr>
        <w:drawing>
          <wp:inline distT="0" distB="0" distL="0" distR="0" wp14:anchorId="41FF8A69" wp14:editId="036DA5DB">
            <wp:extent cx="3430296" cy="107342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IB logo 3.gif"/>
                    <pic:cNvPicPr/>
                  </pic:nvPicPr>
                  <pic:blipFill>
                    <a:blip r:embed="rId13">
                      <a:extLst>
                        <a:ext uri="{28A0092B-C50C-407E-A947-70E740481C1C}">
                          <a14:useLocalDpi xmlns:a14="http://schemas.microsoft.com/office/drawing/2010/main" val="0"/>
                        </a:ext>
                      </a:extLst>
                    </a:blip>
                    <a:stretch>
                      <a:fillRect/>
                    </a:stretch>
                  </pic:blipFill>
                  <pic:spPr>
                    <a:xfrm>
                      <a:off x="0" y="0"/>
                      <a:ext cx="3450335" cy="1079697"/>
                    </a:xfrm>
                    <a:prstGeom prst="rect">
                      <a:avLst/>
                    </a:prstGeom>
                  </pic:spPr>
                </pic:pic>
              </a:graphicData>
            </a:graphic>
          </wp:inline>
        </w:drawing>
      </w:r>
    </w:p>
    <w:p w14:paraId="2396E2AA" w14:textId="10C74FD1" w:rsidR="009721DE" w:rsidRPr="009721DE" w:rsidRDefault="009721DE" w:rsidP="00416A6B">
      <w:pPr>
        <w:spacing w:after="180" w:line="276" w:lineRule="auto"/>
        <w:jc w:val="center"/>
        <w:rPr>
          <w:rFonts w:ascii="Cambria" w:eastAsia="Cambria" w:hAnsi="Cambria" w:cs="Cambria"/>
          <w:b/>
          <w:bCs/>
          <w:color w:val="365F91"/>
          <w:sz w:val="28"/>
          <w:lang w:eastAsia="en-IE"/>
        </w:rPr>
      </w:pPr>
      <w:r>
        <w:rPr>
          <w:rFonts w:ascii="Cambria" w:eastAsia="Cambria" w:hAnsi="Cambria" w:cs="Cambria"/>
          <w:b/>
          <w:bCs/>
          <w:color w:val="365F91"/>
          <w:sz w:val="28"/>
          <w:lang w:eastAsia="en-IE"/>
        </w:rPr>
        <w:t xml:space="preserve">Public </w:t>
      </w:r>
      <w:r w:rsidRPr="009721DE">
        <w:rPr>
          <w:rFonts w:ascii="Cambria" w:eastAsia="Cambria" w:hAnsi="Cambria" w:cs="Cambria"/>
          <w:b/>
          <w:bCs/>
          <w:color w:val="365F91"/>
          <w:sz w:val="28"/>
          <w:lang w:eastAsia="en-IE"/>
        </w:rPr>
        <w:t>Consultation on the proposed Social Welfare (Appeals) Regulations 2023.</w:t>
      </w:r>
    </w:p>
    <w:p w14:paraId="1B7CE639" w14:textId="77777777" w:rsidR="009721DE" w:rsidRPr="009721DE" w:rsidRDefault="009721DE" w:rsidP="00416A6B">
      <w:pPr>
        <w:spacing w:after="180" w:line="276" w:lineRule="auto"/>
        <w:jc w:val="center"/>
        <w:rPr>
          <w:rFonts w:eastAsia="Calibri"/>
          <w:lang w:eastAsia="en-IE"/>
        </w:rPr>
      </w:pPr>
      <w:r w:rsidRPr="009721DE">
        <w:rPr>
          <w:rFonts w:ascii="Cambria" w:eastAsia="Cambria" w:hAnsi="Cambria" w:cs="Cambria"/>
          <w:b/>
          <w:i/>
          <w:color w:val="365F91"/>
          <w:sz w:val="28"/>
          <w:lang w:eastAsia="en-IE"/>
        </w:rPr>
        <w:t>Submission by the Citizens Information Board (</w:t>
      </w:r>
      <w:r>
        <w:rPr>
          <w:rFonts w:ascii="Cambria" w:eastAsia="Cambria" w:hAnsi="Cambria" w:cs="Cambria"/>
          <w:b/>
          <w:i/>
          <w:color w:val="365F91"/>
          <w:sz w:val="28"/>
          <w:lang w:eastAsia="en-IE"/>
        </w:rPr>
        <w:t>May</w:t>
      </w:r>
      <w:r w:rsidRPr="009721DE">
        <w:rPr>
          <w:rFonts w:ascii="Cambria" w:eastAsia="Cambria" w:hAnsi="Cambria" w:cs="Cambria"/>
          <w:b/>
          <w:i/>
          <w:color w:val="365F91"/>
          <w:sz w:val="28"/>
          <w:lang w:eastAsia="en-IE"/>
        </w:rPr>
        <w:t xml:space="preserve"> 2023)</w:t>
      </w:r>
    </w:p>
    <w:p w14:paraId="2198E2F7" w14:textId="77777777" w:rsidR="009721DE" w:rsidRPr="009721DE" w:rsidRDefault="009721DE" w:rsidP="00A56EA0">
      <w:pPr>
        <w:keepNext/>
        <w:keepLines/>
        <w:spacing w:after="1" w:line="276" w:lineRule="auto"/>
        <w:ind w:left="10" w:hanging="10"/>
        <w:jc w:val="both"/>
        <w:outlineLvl w:val="0"/>
        <w:rPr>
          <w:rFonts w:ascii="Cambria" w:eastAsia="Cambria" w:hAnsi="Cambria" w:cs="Cambria"/>
          <w:b/>
          <w:bCs/>
          <w:color w:val="243F60"/>
          <w:lang w:eastAsia="en-IE"/>
        </w:rPr>
      </w:pPr>
      <w:r w:rsidRPr="009721DE">
        <w:rPr>
          <w:rFonts w:ascii="Cambria" w:eastAsia="Cambria" w:hAnsi="Cambria" w:cs="Cambria"/>
          <w:b/>
          <w:bCs/>
          <w:color w:val="243F60"/>
          <w:lang w:eastAsia="en-IE"/>
        </w:rPr>
        <w:t xml:space="preserve">Introduction </w:t>
      </w:r>
    </w:p>
    <w:p w14:paraId="0147D16F" w14:textId="7C03A8E5" w:rsidR="009721DE" w:rsidRPr="009721DE" w:rsidRDefault="009721DE" w:rsidP="00A56EA0">
      <w:pPr>
        <w:spacing w:line="276" w:lineRule="auto"/>
        <w:ind w:left="10" w:hanging="10"/>
        <w:jc w:val="both"/>
        <w:rPr>
          <w:rFonts w:eastAsia="Calibri"/>
          <w:lang w:eastAsia="en-IE"/>
        </w:rPr>
      </w:pPr>
      <w:r w:rsidRPr="009721DE">
        <w:rPr>
          <w:rFonts w:eastAsia="Calibri"/>
          <w:lang w:eastAsia="en-IE"/>
        </w:rPr>
        <w:t xml:space="preserve">The Citizens Information Board (CIB) welcomes the opportunity to make a submission to the Department of Social Protection (DSP) </w:t>
      </w:r>
      <w:r>
        <w:rPr>
          <w:rFonts w:eastAsia="Calibri"/>
          <w:lang w:eastAsia="en-IE"/>
        </w:rPr>
        <w:t>with regard to the proposed Social Welf</w:t>
      </w:r>
      <w:r w:rsidR="00D95375">
        <w:rPr>
          <w:rFonts w:eastAsia="Calibri"/>
          <w:lang w:eastAsia="en-IE"/>
        </w:rPr>
        <w:t>are (Appeals) Regulations 2023.</w:t>
      </w:r>
    </w:p>
    <w:p w14:paraId="3B3A4F8A" w14:textId="77777777" w:rsidR="009721DE" w:rsidRPr="009721DE" w:rsidRDefault="009721DE" w:rsidP="00A56EA0">
      <w:pPr>
        <w:spacing w:line="276" w:lineRule="auto"/>
        <w:ind w:left="10" w:hanging="10"/>
        <w:jc w:val="both"/>
        <w:rPr>
          <w:rFonts w:eastAsia="Calibri"/>
          <w:lang w:eastAsia="en-IE"/>
        </w:rPr>
      </w:pPr>
      <w:r w:rsidRPr="009721DE">
        <w:rPr>
          <w:rFonts w:eastAsia="Calibri"/>
          <w:lang w:eastAsia="en-IE"/>
        </w:rPr>
        <w:t xml:space="preserve">CIB, funded by the Department, is the national agency responsible for supporting the provision of information, advice and advocacy on social and public services through </w:t>
      </w:r>
      <w:hyperlink r:id="rId14" w:history="1">
        <w:r w:rsidRPr="009721DE">
          <w:rPr>
            <w:rFonts w:eastAsia="Calibri"/>
            <w:color w:val="0563C1" w:themeColor="hyperlink"/>
            <w:u w:val="single"/>
            <w:lang w:eastAsia="en-IE"/>
          </w:rPr>
          <w:t>citizensinformation.ie</w:t>
        </w:r>
      </w:hyperlink>
      <w:r w:rsidRPr="009721DE">
        <w:rPr>
          <w:rFonts w:eastAsia="Calibri"/>
          <w:lang w:eastAsia="en-IE"/>
        </w:rPr>
        <w:t xml:space="preserve"> and through CIB-funded services – Citizens Information Services (CISs), the Citizens Information Phone Service (CIPS), Money Advice and Budgeting Services (MABS), the National Advocacy Service (NAS) for people with disabilities and the Sign Language Interpreting Service (SLIS). CIB also collaborates and engages with a range of specialist organisations that support and represent the interests of disadvantaged sections of the population.</w:t>
      </w:r>
    </w:p>
    <w:p w14:paraId="470A2E29" w14:textId="1D65035C" w:rsidR="009721DE" w:rsidRPr="009721DE" w:rsidRDefault="009721DE" w:rsidP="00A56EA0">
      <w:pPr>
        <w:spacing w:line="276" w:lineRule="auto"/>
        <w:ind w:left="10" w:hanging="10"/>
        <w:jc w:val="both"/>
        <w:rPr>
          <w:rFonts w:eastAsia="Calibri"/>
          <w:lang w:eastAsia="en-IE"/>
        </w:rPr>
      </w:pPr>
      <w:r w:rsidRPr="009721DE">
        <w:rPr>
          <w:rFonts w:eastAsia="Calibri"/>
          <w:lang w:eastAsia="en-IE"/>
        </w:rPr>
        <w:lastRenderedPageBreak/>
        <w:t xml:space="preserve">CIB is committed to ensuring that people can access quality information, advice, and advocacy services, and to informing and influencing social policy development by drawing on the experiences of users of the range of CIB-funded services. </w:t>
      </w:r>
      <w:r w:rsidR="008140FC">
        <w:rPr>
          <w:rFonts w:eastAsia="Calibri"/>
          <w:lang w:eastAsia="en-IE"/>
        </w:rPr>
        <w:t>This submission is</w:t>
      </w:r>
      <w:r w:rsidR="008140FC" w:rsidRPr="008140FC">
        <w:rPr>
          <w:rFonts w:eastAsia="Calibri"/>
          <w:lang w:eastAsia="en-IE"/>
        </w:rPr>
        <w:t xml:space="preserve"> based on </w:t>
      </w:r>
      <w:r w:rsidR="008140FC">
        <w:rPr>
          <w:rFonts w:eastAsia="Calibri"/>
          <w:lang w:eastAsia="en-IE"/>
        </w:rPr>
        <w:t>feedback</w:t>
      </w:r>
      <w:r w:rsidR="008140FC" w:rsidRPr="008140FC">
        <w:rPr>
          <w:rFonts w:eastAsia="Calibri"/>
          <w:lang w:eastAsia="en-IE"/>
        </w:rPr>
        <w:t xml:space="preserve"> by individual CISs</w:t>
      </w:r>
      <w:r w:rsidR="008140FC">
        <w:rPr>
          <w:rFonts w:eastAsia="Calibri"/>
          <w:lang w:eastAsia="en-IE"/>
        </w:rPr>
        <w:t>, and in particular Advocacy Support Workers</w:t>
      </w:r>
      <w:r w:rsidR="008140FC" w:rsidRPr="008140FC">
        <w:rPr>
          <w:rFonts w:eastAsia="Calibri"/>
          <w:lang w:eastAsia="en-IE"/>
        </w:rPr>
        <w:t xml:space="preserve"> on </w:t>
      </w:r>
      <w:r w:rsidR="008140FC">
        <w:rPr>
          <w:rFonts w:eastAsia="Calibri"/>
          <w:lang w:eastAsia="en-IE"/>
        </w:rPr>
        <w:t>their experience</w:t>
      </w:r>
      <w:r w:rsidR="008140FC" w:rsidRPr="008140FC">
        <w:rPr>
          <w:rFonts w:eastAsia="Calibri"/>
          <w:lang w:eastAsia="en-IE"/>
        </w:rPr>
        <w:t xml:space="preserve"> of assisting </w:t>
      </w:r>
      <w:r w:rsidR="008140FC">
        <w:rPr>
          <w:rFonts w:eastAsia="Calibri"/>
          <w:lang w:eastAsia="en-IE"/>
        </w:rPr>
        <w:t xml:space="preserve">and advocating for </w:t>
      </w:r>
      <w:r w:rsidR="008140FC" w:rsidRPr="008140FC">
        <w:rPr>
          <w:rFonts w:eastAsia="Calibri"/>
          <w:lang w:eastAsia="en-IE"/>
        </w:rPr>
        <w:t>clients with appeals</w:t>
      </w:r>
      <w:r w:rsidR="00647DEA">
        <w:rPr>
          <w:rFonts w:eastAsia="Calibri"/>
          <w:lang w:eastAsia="en-IE"/>
        </w:rPr>
        <w:t>,</w:t>
      </w:r>
      <w:r w:rsidR="008140FC" w:rsidRPr="008140FC">
        <w:rPr>
          <w:rFonts w:eastAsia="Calibri"/>
          <w:lang w:eastAsia="en-IE"/>
        </w:rPr>
        <w:t xml:space="preserve"> as reported to the Citizens Information Board (CIB) </w:t>
      </w:r>
      <w:r w:rsidR="008140FC">
        <w:rPr>
          <w:rFonts w:eastAsia="Calibri"/>
          <w:lang w:eastAsia="en-IE"/>
        </w:rPr>
        <w:t xml:space="preserve">in recent years, as well as a review of the database evidence </w:t>
      </w:r>
      <w:r w:rsidR="00647DEA">
        <w:rPr>
          <w:rFonts w:eastAsia="Calibri"/>
          <w:lang w:eastAsia="en-IE"/>
        </w:rPr>
        <w:t xml:space="preserve">recorded </w:t>
      </w:r>
      <w:r w:rsidR="008140FC">
        <w:rPr>
          <w:rFonts w:eastAsia="Calibri"/>
          <w:lang w:eastAsia="en-IE"/>
        </w:rPr>
        <w:t xml:space="preserve">on </w:t>
      </w:r>
      <w:r w:rsidR="00647DEA">
        <w:rPr>
          <w:rFonts w:eastAsia="Calibri"/>
          <w:lang w:eastAsia="en-IE"/>
        </w:rPr>
        <w:t>s</w:t>
      </w:r>
      <w:r w:rsidR="008140FC">
        <w:rPr>
          <w:rFonts w:eastAsia="Calibri"/>
          <w:lang w:eastAsia="en-IE"/>
        </w:rPr>
        <w:t xml:space="preserve">ocial </w:t>
      </w:r>
      <w:r w:rsidR="00647DEA">
        <w:rPr>
          <w:rFonts w:eastAsia="Calibri"/>
          <w:lang w:eastAsia="en-IE"/>
        </w:rPr>
        <w:t>w</w:t>
      </w:r>
      <w:r w:rsidR="008140FC">
        <w:rPr>
          <w:rFonts w:eastAsia="Calibri"/>
          <w:lang w:eastAsia="en-IE"/>
        </w:rPr>
        <w:t xml:space="preserve">elfare </w:t>
      </w:r>
      <w:r w:rsidR="00647DEA">
        <w:rPr>
          <w:rFonts w:eastAsia="Calibri"/>
          <w:lang w:eastAsia="en-IE"/>
        </w:rPr>
        <w:t>a</w:t>
      </w:r>
      <w:r w:rsidR="0029284C">
        <w:rPr>
          <w:rFonts w:eastAsia="Calibri"/>
          <w:lang w:eastAsia="en-IE"/>
        </w:rPr>
        <w:t>ppeals.</w:t>
      </w:r>
    </w:p>
    <w:p w14:paraId="7332C297" w14:textId="4315F9F9" w:rsidR="001505E6" w:rsidRDefault="009721DE" w:rsidP="00A56EA0">
      <w:pPr>
        <w:spacing w:line="276" w:lineRule="auto"/>
        <w:ind w:left="10" w:hanging="10"/>
        <w:jc w:val="both"/>
        <w:rPr>
          <w:rFonts w:eastAsia="Calibri"/>
          <w:lang w:eastAsia="en-IE"/>
        </w:rPr>
      </w:pPr>
      <w:r w:rsidRPr="009721DE">
        <w:rPr>
          <w:rFonts w:eastAsia="Calibri"/>
          <w:lang w:eastAsia="en-IE"/>
        </w:rPr>
        <w:t xml:space="preserve">CIB is cognisant of the fact that we have an important role to play in supporting and supplementing the work of the Department </w:t>
      </w:r>
      <w:r w:rsidR="00DA7BF0">
        <w:rPr>
          <w:rFonts w:eastAsia="Calibri"/>
          <w:lang w:eastAsia="en-IE"/>
        </w:rPr>
        <w:t xml:space="preserve">and the Social Welfare Appeals Office </w:t>
      </w:r>
      <w:r w:rsidRPr="009721DE">
        <w:rPr>
          <w:rFonts w:eastAsia="Calibri"/>
          <w:lang w:eastAsia="en-IE"/>
        </w:rPr>
        <w:t xml:space="preserve">by informing, enabling and </w:t>
      </w:r>
      <w:r w:rsidR="0083189F">
        <w:rPr>
          <w:rFonts w:eastAsia="Calibri"/>
          <w:lang w:eastAsia="en-IE"/>
        </w:rPr>
        <w:t>assisting</w:t>
      </w:r>
      <w:r w:rsidRPr="009721DE">
        <w:rPr>
          <w:rFonts w:eastAsia="Calibri"/>
          <w:lang w:eastAsia="en-IE"/>
        </w:rPr>
        <w:t xml:space="preserve"> people </w:t>
      </w:r>
      <w:r w:rsidR="00DA7BF0">
        <w:rPr>
          <w:rFonts w:eastAsia="Calibri"/>
          <w:lang w:eastAsia="en-IE"/>
        </w:rPr>
        <w:t xml:space="preserve">to negotiate the </w:t>
      </w:r>
      <w:r w:rsidR="008140FC">
        <w:rPr>
          <w:rFonts w:eastAsia="Calibri"/>
          <w:lang w:eastAsia="en-IE"/>
        </w:rPr>
        <w:t xml:space="preserve">social welfare </w:t>
      </w:r>
      <w:r w:rsidR="00DA7BF0">
        <w:rPr>
          <w:rFonts w:eastAsia="Calibri"/>
          <w:lang w:eastAsia="en-IE"/>
        </w:rPr>
        <w:t>appeals process.</w:t>
      </w:r>
    </w:p>
    <w:p w14:paraId="7FE5082B" w14:textId="510C427E" w:rsidR="001505E6" w:rsidRDefault="001505E6" w:rsidP="00A56EA0">
      <w:pPr>
        <w:spacing w:line="276" w:lineRule="auto"/>
        <w:ind w:left="-5" w:hanging="10"/>
        <w:jc w:val="both"/>
        <w:rPr>
          <w:rFonts w:eastAsia="Calibri"/>
          <w:lang w:eastAsia="en-IE"/>
        </w:rPr>
      </w:pPr>
      <w:r>
        <w:rPr>
          <w:rFonts w:eastAsia="Calibri"/>
          <w:lang w:eastAsia="en-IE"/>
        </w:rPr>
        <w:t>In 2022, there were 5,052 queries related to social welfare appeals recorded</w:t>
      </w:r>
      <w:r w:rsidR="00A47F09">
        <w:rPr>
          <w:rFonts w:eastAsia="Calibri"/>
          <w:lang w:eastAsia="en-IE"/>
        </w:rPr>
        <w:t xml:space="preserve"> by CISs</w:t>
      </w:r>
      <w:r>
        <w:rPr>
          <w:rFonts w:eastAsia="Calibri"/>
          <w:lang w:eastAsia="en-IE"/>
        </w:rPr>
        <w:t xml:space="preserve"> compared to 5,183 in 2019</w:t>
      </w:r>
      <w:r w:rsidR="0083657D">
        <w:rPr>
          <w:rFonts w:eastAsia="Calibri"/>
          <w:lang w:eastAsia="en-IE"/>
        </w:rPr>
        <w:t>.</w:t>
      </w:r>
      <w:r w:rsidR="00A621CE">
        <w:rPr>
          <w:rFonts w:eastAsia="Calibri"/>
          <w:lang w:eastAsia="en-IE"/>
        </w:rPr>
        <w:t xml:space="preserve"> </w:t>
      </w:r>
      <w:r>
        <w:rPr>
          <w:rFonts w:eastAsia="Calibri"/>
          <w:lang w:eastAsia="en-IE"/>
        </w:rPr>
        <w:t>In 2022, two-thirds of these queries related to three payments, Disability Allowance (</w:t>
      </w:r>
      <w:r w:rsidR="00DF4774">
        <w:rPr>
          <w:rFonts w:eastAsia="Calibri"/>
          <w:lang w:eastAsia="en-IE"/>
        </w:rPr>
        <w:t xml:space="preserve">33% or </w:t>
      </w:r>
      <w:r>
        <w:rPr>
          <w:rFonts w:eastAsia="Calibri"/>
          <w:lang w:eastAsia="en-IE"/>
        </w:rPr>
        <w:t>1,670), Carer’s Allowance</w:t>
      </w:r>
      <w:r w:rsidR="00DF4774">
        <w:rPr>
          <w:rFonts w:eastAsia="Calibri"/>
          <w:lang w:eastAsia="en-IE"/>
        </w:rPr>
        <w:t xml:space="preserve"> (</w:t>
      </w:r>
      <w:r>
        <w:rPr>
          <w:rFonts w:eastAsia="Calibri"/>
          <w:lang w:eastAsia="en-IE"/>
        </w:rPr>
        <w:t xml:space="preserve">18% </w:t>
      </w:r>
      <w:r w:rsidR="00DF4774">
        <w:rPr>
          <w:rFonts w:eastAsia="Calibri"/>
          <w:lang w:eastAsia="en-IE"/>
        </w:rPr>
        <w:t xml:space="preserve">or </w:t>
      </w:r>
      <w:r>
        <w:rPr>
          <w:rFonts w:eastAsia="Calibri"/>
          <w:lang w:eastAsia="en-IE"/>
        </w:rPr>
        <w:t>934)</w:t>
      </w:r>
      <w:r w:rsidR="00DF4774">
        <w:rPr>
          <w:rFonts w:eastAsia="Calibri"/>
          <w:lang w:eastAsia="en-IE"/>
        </w:rPr>
        <w:t>,</w:t>
      </w:r>
      <w:r>
        <w:rPr>
          <w:rFonts w:eastAsia="Calibri"/>
          <w:lang w:eastAsia="en-IE"/>
        </w:rPr>
        <w:t xml:space="preserve"> and Invalidity Pension </w:t>
      </w:r>
      <w:r w:rsidR="00DF4774">
        <w:rPr>
          <w:rFonts w:eastAsia="Calibri"/>
          <w:lang w:eastAsia="en-IE"/>
        </w:rPr>
        <w:t>(</w:t>
      </w:r>
      <w:r>
        <w:rPr>
          <w:rFonts w:eastAsia="Calibri"/>
          <w:lang w:eastAsia="en-IE"/>
        </w:rPr>
        <w:t xml:space="preserve">14% </w:t>
      </w:r>
      <w:r w:rsidR="00DF4774">
        <w:rPr>
          <w:rFonts w:eastAsia="Calibri"/>
          <w:lang w:eastAsia="en-IE"/>
        </w:rPr>
        <w:t xml:space="preserve">or </w:t>
      </w:r>
      <w:r>
        <w:rPr>
          <w:rFonts w:eastAsia="Calibri"/>
          <w:lang w:eastAsia="en-IE"/>
        </w:rPr>
        <w:t>717)</w:t>
      </w:r>
      <w:r w:rsidR="001E7279">
        <w:rPr>
          <w:rFonts w:eastAsia="Calibri"/>
          <w:lang w:eastAsia="en-IE"/>
        </w:rPr>
        <w:t>. I</w:t>
      </w:r>
      <w:r>
        <w:rPr>
          <w:rFonts w:eastAsia="Calibri"/>
          <w:lang w:eastAsia="en-IE"/>
        </w:rPr>
        <w:t xml:space="preserve">n 2019 half of social welfare appeals queries </w:t>
      </w:r>
      <w:r w:rsidR="0016713F">
        <w:rPr>
          <w:rFonts w:eastAsia="Calibri"/>
          <w:lang w:eastAsia="en-IE"/>
        </w:rPr>
        <w:t>(56%) concerned these payments.</w:t>
      </w:r>
    </w:p>
    <w:p w14:paraId="6C99B5B5" w14:textId="117CE682" w:rsidR="00C202C4" w:rsidRPr="00C202C4" w:rsidRDefault="001505E6" w:rsidP="00A56EA0">
      <w:pPr>
        <w:spacing w:line="276" w:lineRule="auto"/>
        <w:jc w:val="both"/>
        <w:rPr>
          <w:rFonts w:eastAsia="Calibri"/>
          <w:lang w:eastAsia="en-IE"/>
        </w:rPr>
      </w:pPr>
      <w:r>
        <w:rPr>
          <w:rFonts w:eastAsia="Calibri"/>
          <w:lang w:eastAsia="en-IE"/>
        </w:rPr>
        <w:lastRenderedPageBreak/>
        <w:t>CIS</w:t>
      </w:r>
      <w:r w:rsidR="000B2C5F">
        <w:rPr>
          <w:rFonts w:eastAsia="Calibri"/>
          <w:lang w:eastAsia="en-IE"/>
        </w:rPr>
        <w:t xml:space="preserve">s provide advocacy supports to </w:t>
      </w:r>
      <w:r>
        <w:rPr>
          <w:rFonts w:eastAsia="Calibri"/>
          <w:lang w:eastAsia="en-IE"/>
        </w:rPr>
        <w:t>clients with their</w:t>
      </w:r>
      <w:r w:rsidR="00C202C4" w:rsidRPr="00C202C4">
        <w:rPr>
          <w:rFonts w:eastAsia="Calibri"/>
          <w:lang w:eastAsia="en-IE"/>
        </w:rPr>
        <w:t xml:space="preserve"> appeals</w:t>
      </w:r>
      <w:r>
        <w:rPr>
          <w:rFonts w:eastAsia="Calibri"/>
          <w:lang w:eastAsia="en-IE"/>
        </w:rPr>
        <w:t>, which</w:t>
      </w:r>
      <w:r w:rsidR="00C202C4" w:rsidRPr="00C202C4">
        <w:rPr>
          <w:rFonts w:eastAsia="Calibri"/>
          <w:lang w:eastAsia="en-IE"/>
        </w:rPr>
        <w:t xml:space="preserve"> typically involves:</w:t>
      </w:r>
    </w:p>
    <w:p w14:paraId="5FDCC049" w14:textId="113E44D9" w:rsidR="00647DEA" w:rsidRPr="00C1544E" w:rsidRDefault="00647DEA" w:rsidP="00A56EA0">
      <w:pPr>
        <w:pStyle w:val="ListParagraph"/>
        <w:numPr>
          <w:ilvl w:val="0"/>
          <w:numId w:val="1"/>
        </w:numPr>
        <w:spacing w:line="276" w:lineRule="auto"/>
        <w:jc w:val="both"/>
        <w:rPr>
          <w:lang w:eastAsia="en-IE"/>
        </w:rPr>
      </w:pPr>
      <w:r w:rsidRPr="00C1544E">
        <w:rPr>
          <w:lang w:eastAsia="en-IE"/>
        </w:rPr>
        <w:t>Supporting clients to gather further necessary documentation that they did not furnish with their initial application</w:t>
      </w:r>
      <w:r w:rsidR="007B4798">
        <w:rPr>
          <w:lang w:eastAsia="en-IE"/>
        </w:rPr>
        <w:t>.</w:t>
      </w:r>
    </w:p>
    <w:p w14:paraId="32C9A123" w14:textId="609B2963" w:rsidR="00647DEA" w:rsidRPr="00C1544E" w:rsidRDefault="00647DEA" w:rsidP="00A56EA0">
      <w:pPr>
        <w:pStyle w:val="ListParagraph"/>
        <w:numPr>
          <w:ilvl w:val="0"/>
          <w:numId w:val="1"/>
        </w:numPr>
        <w:spacing w:line="276" w:lineRule="auto"/>
        <w:jc w:val="both"/>
        <w:rPr>
          <w:lang w:eastAsia="en-IE"/>
        </w:rPr>
      </w:pPr>
      <w:r w:rsidRPr="00C1544E">
        <w:rPr>
          <w:lang w:eastAsia="en-IE"/>
        </w:rPr>
        <w:t>Assisting clients to request copies of their file under FOI if relevant (especially where claims are reviewed and benefits suspended)</w:t>
      </w:r>
      <w:r w:rsidR="007B4798">
        <w:rPr>
          <w:lang w:eastAsia="en-IE"/>
        </w:rPr>
        <w:t>.</w:t>
      </w:r>
    </w:p>
    <w:p w14:paraId="7C3795C6" w14:textId="28F9E7F2" w:rsidR="00647DEA" w:rsidRPr="00C1544E" w:rsidRDefault="00647DEA" w:rsidP="00A56EA0">
      <w:pPr>
        <w:pStyle w:val="ListParagraph"/>
        <w:numPr>
          <w:ilvl w:val="0"/>
          <w:numId w:val="1"/>
        </w:numPr>
        <w:spacing w:line="276" w:lineRule="auto"/>
        <w:jc w:val="both"/>
        <w:rPr>
          <w:lang w:eastAsia="en-IE"/>
        </w:rPr>
      </w:pPr>
      <w:r w:rsidRPr="00C1544E">
        <w:rPr>
          <w:lang w:eastAsia="en-IE"/>
        </w:rPr>
        <w:t>Drafting submissions on behalf of the client or with the client</w:t>
      </w:r>
      <w:r w:rsidR="007B4798">
        <w:rPr>
          <w:lang w:eastAsia="en-IE"/>
        </w:rPr>
        <w:t>.</w:t>
      </w:r>
    </w:p>
    <w:p w14:paraId="7B79D9DE" w14:textId="229969F4" w:rsidR="00647DEA" w:rsidRPr="00C1544E" w:rsidRDefault="00647DEA" w:rsidP="00A56EA0">
      <w:pPr>
        <w:pStyle w:val="ListParagraph"/>
        <w:numPr>
          <w:ilvl w:val="0"/>
          <w:numId w:val="1"/>
        </w:numPr>
        <w:spacing w:line="276" w:lineRule="auto"/>
        <w:jc w:val="both"/>
        <w:rPr>
          <w:lang w:eastAsia="en-IE"/>
        </w:rPr>
      </w:pPr>
      <w:r w:rsidRPr="00C1544E">
        <w:rPr>
          <w:lang w:eastAsia="en-IE"/>
        </w:rPr>
        <w:t>Preparing clients for oral hearings</w:t>
      </w:r>
      <w:r w:rsidR="007B4798">
        <w:rPr>
          <w:lang w:eastAsia="en-IE"/>
        </w:rPr>
        <w:t>.</w:t>
      </w:r>
    </w:p>
    <w:p w14:paraId="5B2D4111" w14:textId="4C5D6D6E" w:rsidR="000B2C5F" w:rsidRPr="000B2C5F" w:rsidRDefault="00647DEA" w:rsidP="00A56EA0">
      <w:pPr>
        <w:pStyle w:val="ListParagraph"/>
        <w:numPr>
          <w:ilvl w:val="0"/>
          <w:numId w:val="1"/>
        </w:numPr>
        <w:spacing w:line="276" w:lineRule="auto"/>
        <w:jc w:val="both"/>
        <w:rPr>
          <w:rFonts w:eastAsia="Calibri"/>
          <w:lang w:eastAsia="en-IE"/>
        </w:rPr>
      </w:pPr>
      <w:r w:rsidRPr="00C1544E">
        <w:rPr>
          <w:lang w:eastAsia="en-IE"/>
        </w:rPr>
        <w:t>Attending oral hearings in a supportive capacity as required and a</w:t>
      </w:r>
      <w:r w:rsidR="001E7279">
        <w:rPr>
          <w:lang w:eastAsia="en-IE"/>
        </w:rPr>
        <w:t>s resources allow</w:t>
      </w:r>
      <w:r w:rsidR="007B4798">
        <w:rPr>
          <w:lang w:eastAsia="en-IE"/>
        </w:rPr>
        <w:t>.</w:t>
      </w:r>
    </w:p>
    <w:p w14:paraId="15B08CE7" w14:textId="4E4D6D1A" w:rsidR="001505E6" w:rsidRPr="001E7279" w:rsidRDefault="001E7279" w:rsidP="001E7279">
      <w:pPr>
        <w:spacing w:line="276" w:lineRule="auto"/>
        <w:jc w:val="both"/>
        <w:rPr>
          <w:rFonts w:eastAsia="Calibri"/>
          <w:lang w:eastAsia="en-IE"/>
        </w:rPr>
      </w:pPr>
      <w:r>
        <w:rPr>
          <w:rFonts w:eastAsia="Calibri"/>
          <w:lang w:eastAsia="en-IE"/>
        </w:rPr>
        <w:t xml:space="preserve">Note: </w:t>
      </w:r>
      <w:r w:rsidR="001505E6" w:rsidRPr="001E7279">
        <w:rPr>
          <w:rFonts w:eastAsia="Calibri"/>
          <w:lang w:eastAsia="en-IE"/>
        </w:rPr>
        <w:t>Of the 1,982 social welfare advocacy cases closed by CISs between 01/01/2021 and 31/03/2023, 58% (1,14</w:t>
      </w:r>
      <w:r w:rsidRPr="001E7279">
        <w:rPr>
          <w:rFonts w:eastAsia="Calibri"/>
          <w:lang w:eastAsia="en-IE"/>
        </w:rPr>
        <w:t>9) had an 'appeal' intervention</w:t>
      </w:r>
      <w:r>
        <w:rPr>
          <w:rFonts w:eastAsia="Calibri"/>
          <w:lang w:eastAsia="en-IE"/>
        </w:rPr>
        <w:t>.</w:t>
      </w:r>
    </w:p>
    <w:p w14:paraId="2DEF3448" w14:textId="6E73018F" w:rsidR="00DA7BF0" w:rsidRPr="00DA7BF0" w:rsidRDefault="00DA7BF0" w:rsidP="00A56EA0">
      <w:pPr>
        <w:spacing w:line="276" w:lineRule="auto"/>
        <w:jc w:val="both"/>
        <w:rPr>
          <w:rFonts w:eastAsia="Calibri"/>
          <w:lang w:eastAsia="en-IE"/>
        </w:rPr>
      </w:pPr>
      <w:r w:rsidRPr="00DA7BF0">
        <w:rPr>
          <w:rFonts w:eastAsia="Calibri"/>
          <w:lang w:eastAsia="en-IE"/>
        </w:rPr>
        <w:t>The waiting times for social welfare appeals</w:t>
      </w:r>
      <w:r w:rsidR="00192F0B">
        <w:rPr>
          <w:rStyle w:val="FootnoteReference"/>
          <w:rFonts w:eastAsia="Calibri"/>
          <w:lang w:eastAsia="en-IE"/>
        </w:rPr>
        <w:footnoteReference w:id="1"/>
      </w:r>
      <w:r w:rsidR="00192F0B">
        <w:rPr>
          <w:rFonts w:eastAsia="Calibri"/>
          <w:lang w:eastAsia="en-IE"/>
        </w:rPr>
        <w:t xml:space="preserve"> </w:t>
      </w:r>
      <w:r w:rsidRPr="00DA7BF0">
        <w:rPr>
          <w:rFonts w:eastAsia="Calibri"/>
          <w:lang w:eastAsia="en-IE"/>
        </w:rPr>
        <w:t xml:space="preserve">to be processed, </w:t>
      </w:r>
      <w:r w:rsidR="000B2C5F">
        <w:rPr>
          <w:rFonts w:eastAsia="Calibri"/>
          <w:lang w:eastAsia="en-IE"/>
        </w:rPr>
        <w:t>notwithsta</w:t>
      </w:r>
      <w:r w:rsidR="00786307">
        <w:rPr>
          <w:rFonts w:eastAsia="Calibri"/>
          <w:lang w:eastAsia="en-IE"/>
        </w:rPr>
        <w:t xml:space="preserve">nding </w:t>
      </w:r>
      <w:r w:rsidRPr="00DA7BF0">
        <w:rPr>
          <w:rFonts w:eastAsia="Calibri"/>
          <w:lang w:eastAsia="en-IE"/>
        </w:rPr>
        <w:t xml:space="preserve">ongoing positive developments in this area (12.9 weeks in 2021 </w:t>
      </w:r>
      <w:r w:rsidR="00C1544E">
        <w:rPr>
          <w:rFonts w:eastAsia="Calibri"/>
          <w:lang w:eastAsia="en-IE"/>
        </w:rPr>
        <w:t>compared to 16.9 weeks in 2020)</w:t>
      </w:r>
      <w:r w:rsidRPr="00DA7BF0">
        <w:rPr>
          <w:rFonts w:eastAsia="Calibri"/>
          <w:lang w:eastAsia="en-IE"/>
        </w:rPr>
        <w:t xml:space="preserve"> continue</w:t>
      </w:r>
      <w:r w:rsidR="00D00C76">
        <w:rPr>
          <w:rFonts w:eastAsia="Calibri"/>
          <w:lang w:eastAsia="en-IE"/>
        </w:rPr>
        <w:t>s</w:t>
      </w:r>
      <w:r w:rsidRPr="00DA7BF0">
        <w:rPr>
          <w:rFonts w:eastAsia="Calibri"/>
          <w:lang w:eastAsia="en-IE"/>
        </w:rPr>
        <w:t xml:space="preserve"> to present difficulties for CIS </w:t>
      </w:r>
      <w:r w:rsidRPr="00DA7BF0">
        <w:rPr>
          <w:rFonts w:eastAsia="Calibri"/>
          <w:lang w:eastAsia="en-IE"/>
        </w:rPr>
        <w:lastRenderedPageBreak/>
        <w:t>and CIPS users</w:t>
      </w:r>
      <w:r w:rsidR="004802FA">
        <w:rPr>
          <w:rFonts w:eastAsia="Calibri"/>
          <w:lang w:eastAsia="en-IE"/>
        </w:rPr>
        <w:t>.</w:t>
      </w:r>
      <w:r w:rsidRPr="00DA7BF0">
        <w:rPr>
          <w:rFonts w:eastAsia="Calibri"/>
          <w:lang w:eastAsia="en-IE"/>
        </w:rPr>
        <w:t xml:space="preserve"> This can be a particular problem for people with </w:t>
      </w:r>
      <w:r w:rsidR="001505E6">
        <w:rPr>
          <w:rFonts w:eastAsia="Calibri"/>
          <w:lang w:eastAsia="en-IE"/>
        </w:rPr>
        <w:t xml:space="preserve">illnesses and </w:t>
      </w:r>
      <w:r w:rsidRPr="00DA7BF0">
        <w:rPr>
          <w:rFonts w:eastAsia="Calibri"/>
          <w:lang w:eastAsia="en-IE"/>
        </w:rPr>
        <w:t>disabilities seeking to access payme</w:t>
      </w:r>
      <w:r w:rsidR="00792769">
        <w:rPr>
          <w:rFonts w:eastAsia="Calibri"/>
          <w:lang w:eastAsia="en-IE"/>
        </w:rPr>
        <w:t>nts appropriate to their needs.</w:t>
      </w:r>
    </w:p>
    <w:p w14:paraId="7E374F20" w14:textId="272783F0" w:rsidR="00F957D9" w:rsidRPr="00FA188B" w:rsidRDefault="00DA7BF0" w:rsidP="00A56EA0">
      <w:pPr>
        <w:spacing w:line="276" w:lineRule="auto"/>
        <w:ind w:left="-5" w:hanging="10"/>
        <w:jc w:val="both"/>
        <w:rPr>
          <w:rFonts w:cs="Arial"/>
        </w:rPr>
      </w:pPr>
      <w:r w:rsidRPr="00DA7BF0">
        <w:rPr>
          <w:rFonts w:eastAsia="Calibri"/>
          <w:lang w:eastAsia="en-IE"/>
        </w:rPr>
        <w:t>The number of appeals, and, in particular, the extent to which appeals are upheld (more than half in 2021), suggests the ongoing existence of problems at the level of first-instance decision-mak</w:t>
      </w:r>
      <w:r w:rsidR="008848EF">
        <w:rPr>
          <w:rFonts w:eastAsia="Calibri"/>
          <w:lang w:eastAsia="en-IE"/>
        </w:rPr>
        <w:t>ing.</w:t>
      </w:r>
      <w:r w:rsidR="00C1544E">
        <w:rPr>
          <w:rFonts w:eastAsia="Calibri"/>
          <w:lang w:eastAsia="en-IE"/>
        </w:rPr>
        <w:t xml:space="preserve"> </w:t>
      </w:r>
      <w:r w:rsidR="00F957D9" w:rsidRPr="00FA188B">
        <w:rPr>
          <w:rFonts w:cs="Arial"/>
        </w:rPr>
        <w:t>The high success rates of appeals, particularly, in relation to people claiming illness, disability and caring payments</w:t>
      </w:r>
      <w:r w:rsidR="0044637E">
        <w:rPr>
          <w:rFonts w:cs="Arial"/>
        </w:rPr>
        <w:t xml:space="preserve">, </w:t>
      </w:r>
      <w:r w:rsidR="00F957D9" w:rsidRPr="00FA188B">
        <w:rPr>
          <w:rFonts w:cs="Arial"/>
        </w:rPr>
        <w:t>who may have mental health conditions including fluctuating conditions</w:t>
      </w:r>
      <w:r w:rsidR="0044637E">
        <w:rPr>
          <w:rFonts w:cs="Arial"/>
        </w:rPr>
        <w:t xml:space="preserve"> </w:t>
      </w:r>
      <w:r w:rsidR="00F957D9" w:rsidRPr="00FA188B">
        <w:rPr>
          <w:rFonts w:cs="Arial"/>
        </w:rPr>
        <w:t xml:space="preserve">indicates that the current system is not working well for them. </w:t>
      </w:r>
      <w:r w:rsidR="00E47CE2">
        <w:rPr>
          <w:rFonts w:cs="Arial"/>
        </w:rPr>
        <w:t>The s</w:t>
      </w:r>
      <w:r w:rsidR="00F957D9" w:rsidRPr="00FA188B">
        <w:rPr>
          <w:rFonts w:cs="Arial"/>
        </w:rPr>
        <w:t xml:space="preserve">tatistics from the </w:t>
      </w:r>
      <w:r w:rsidR="000C1122">
        <w:rPr>
          <w:rFonts w:cs="Arial"/>
        </w:rPr>
        <w:t>Social Welfare Appeals Office (SWAO)</w:t>
      </w:r>
      <w:r w:rsidR="00F957D9" w:rsidRPr="00FA188B">
        <w:rPr>
          <w:rFonts w:cs="Arial"/>
        </w:rPr>
        <w:t xml:space="preserve"> </w:t>
      </w:r>
      <w:r w:rsidR="007E1F0A">
        <w:rPr>
          <w:rFonts w:cs="Arial"/>
        </w:rPr>
        <w:t>show</w:t>
      </w:r>
      <w:r w:rsidR="00E47CE2">
        <w:rPr>
          <w:rFonts w:cs="Arial"/>
        </w:rPr>
        <w:t xml:space="preserve"> appeal</w:t>
      </w:r>
      <w:r w:rsidR="007E1F0A">
        <w:rPr>
          <w:rFonts w:cs="Arial"/>
        </w:rPr>
        <w:t xml:space="preserve"> outcomes</w:t>
      </w:r>
      <w:r w:rsidR="00F957D9" w:rsidRPr="00FA188B">
        <w:rPr>
          <w:rFonts w:cs="Arial"/>
        </w:rPr>
        <w:t xml:space="preserve"> in relation to disability and illness payments. In 2021, 58% of Disability Allowance decisions were subsequently allowed either through the appeals process or through a revised Deciding Officer decision, 65% of Invalidity Pension decisions were subsequently allowed, 43% of Carer’s Allowance decisions, and 73% of Domiciliary Care Allowance decisions. The Working Family Payment had 64% of decisions subsequently allowed following a</w:t>
      </w:r>
      <w:r w:rsidR="00B44F18">
        <w:rPr>
          <w:rFonts w:cs="Arial"/>
        </w:rPr>
        <w:t>ppeal and revised DO decisions.</w:t>
      </w:r>
    </w:p>
    <w:p w14:paraId="1D755C8F" w14:textId="77777777" w:rsidR="007E1F0A" w:rsidRPr="00CB242B" w:rsidRDefault="007E1F0A" w:rsidP="00A56EA0">
      <w:pPr>
        <w:spacing w:line="276" w:lineRule="auto"/>
        <w:jc w:val="both"/>
        <w:rPr>
          <w:rFonts w:cs="Arial"/>
        </w:rPr>
      </w:pPr>
      <w:r w:rsidRPr="00CB242B">
        <w:rPr>
          <w:rFonts w:cs="Arial"/>
        </w:rPr>
        <w:t>Outcome of Appeals by Scheme, 2021</w:t>
      </w:r>
    </w:p>
    <w:tbl>
      <w:tblPr>
        <w:tblStyle w:val="TableGrid"/>
        <w:tblW w:w="0" w:type="auto"/>
        <w:tblLook w:val="04A0" w:firstRow="1" w:lastRow="0" w:firstColumn="1" w:lastColumn="0" w:noHBand="0" w:noVBand="1"/>
      </w:tblPr>
      <w:tblGrid>
        <w:gridCol w:w="1996"/>
        <w:gridCol w:w="969"/>
        <w:gridCol w:w="999"/>
        <w:gridCol w:w="1276"/>
        <w:gridCol w:w="1276"/>
        <w:gridCol w:w="1276"/>
        <w:gridCol w:w="1224"/>
      </w:tblGrid>
      <w:tr w:rsidR="007E1F0A" w14:paraId="176E21B8" w14:textId="77777777" w:rsidTr="005B7819">
        <w:tc>
          <w:tcPr>
            <w:tcW w:w="0" w:type="auto"/>
          </w:tcPr>
          <w:p w14:paraId="3A6C8988" w14:textId="77777777" w:rsidR="007E1F0A" w:rsidRPr="00C202C4" w:rsidRDefault="007E1F0A" w:rsidP="00A56EA0">
            <w:pPr>
              <w:spacing w:line="276" w:lineRule="auto"/>
              <w:jc w:val="both"/>
              <w:rPr>
                <w:rFonts w:cs="Arial"/>
                <w:b/>
              </w:rPr>
            </w:pPr>
            <w:r w:rsidRPr="00C202C4">
              <w:rPr>
                <w:rFonts w:cs="Arial"/>
                <w:b/>
              </w:rPr>
              <w:t>Scheme</w:t>
            </w:r>
          </w:p>
        </w:tc>
        <w:tc>
          <w:tcPr>
            <w:tcW w:w="0" w:type="auto"/>
          </w:tcPr>
          <w:p w14:paraId="70E4E6FE" w14:textId="77777777" w:rsidR="007E1F0A" w:rsidRPr="00C202C4" w:rsidRDefault="007E1F0A" w:rsidP="00A56EA0">
            <w:pPr>
              <w:spacing w:line="276" w:lineRule="auto"/>
              <w:jc w:val="both"/>
              <w:rPr>
                <w:rFonts w:cs="Arial"/>
                <w:b/>
              </w:rPr>
            </w:pPr>
            <w:r w:rsidRPr="00C202C4">
              <w:rPr>
                <w:rFonts w:cs="Arial"/>
                <w:b/>
              </w:rPr>
              <w:t xml:space="preserve">Allowed </w:t>
            </w:r>
          </w:p>
        </w:tc>
        <w:tc>
          <w:tcPr>
            <w:tcW w:w="999" w:type="dxa"/>
          </w:tcPr>
          <w:p w14:paraId="187E8E25" w14:textId="77777777" w:rsidR="007E1F0A" w:rsidRPr="00C202C4" w:rsidRDefault="007E1F0A" w:rsidP="00A56EA0">
            <w:pPr>
              <w:spacing w:line="276" w:lineRule="auto"/>
              <w:jc w:val="both"/>
              <w:rPr>
                <w:rFonts w:cs="Arial"/>
                <w:b/>
              </w:rPr>
            </w:pPr>
            <w:r w:rsidRPr="00C202C4">
              <w:rPr>
                <w:rFonts w:cs="Arial"/>
                <w:b/>
              </w:rPr>
              <w:t>Partially allowed</w:t>
            </w:r>
          </w:p>
        </w:tc>
        <w:tc>
          <w:tcPr>
            <w:tcW w:w="1276" w:type="dxa"/>
          </w:tcPr>
          <w:p w14:paraId="4A1FDC43" w14:textId="77777777" w:rsidR="007E1F0A" w:rsidRPr="00C202C4" w:rsidRDefault="007E1F0A" w:rsidP="00A56EA0">
            <w:pPr>
              <w:spacing w:line="276" w:lineRule="auto"/>
              <w:jc w:val="both"/>
              <w:rPr>
                <w:rFonts w:cs="Arial"/>
                <w:b/>
              </w:rPr>
            </w:pPr>
            <w:r w:rsidRPr="00C202C4">
              <w:rPr>
                <w:rFonts w:cs="Arial"/>
                <w:b/>
              </w:rPr>
              <w:t>Revised DO decision</w:t>
            </w:r>
          </w:p>
        </w:tc>
        <w:tc>
          <w:tcPr>
            <w:tcW w:w="1276" w:type="dxa"/>
          </w:tcPr>
          <w:p w14:paraId="4351C05E" w14:textId="77777777" w:rsidR="007E1F0A" w:rsidRPr="00C202C4" w:rsidRDefault="007E1F0A" w:rsidP="00A56EA0">
            <w:pPr>
              <w:spacing w:line="276" w:lineRule="auto"/>
              <w:jc w:val="both"/>
              <w:rPr>
                <w:rFonts w:cs="Arial"/>
                <w:b/>
              </w:rPr>
            </w:pPr>
            <w:r w:rsidRPr="00C202C4">
              <w:rPr>
                <w:rFonts w:cs="Arial"/>
                <w:b/>
              </w:rPr>
              <w:t>Disallowed</w:t>
            </w:r>
          </w:p>
        </w:tc>
        <w:tc>
          <w:tcPr>
            <w:tcW w:w="1276" w:type="dxa"/>
          </w:tcPr>
          <w:p w14:paraId="324DC1AC" w14:textId="77777777" w:rsidR="007E1F0A" w:rsidRPr="00C202C4" w:rsidRDefault="007E1F0A" w:rsidP="00A56EA0">
            <w:pPr>
              <w:spacing w:line="276" w:lineRule="auto"/>
              <w:jc w:val="both"/>
              <w:rPr>
                <w:rFonts w:cs="Arial"/>
                <w:b/>
              </w:rPr>
            </w:pPr>
            <w:r w:rsidRPr="00C202C4">
              <w:rPr>
                <w:rFonts w:cs="Arial"/>
                <w:b/>
              </w:rPr>
              <w:t xml:space="preserve">Withdrawn </w:t>
            </w:r>
          </w:p>
        </w:tc>
        <w:tc>
          <w:tcPr>
            <w:tcW w:w="1224" w:type="dxa"/>
          </w:tcPr>
          <w:p w14:paraId="6C0BB00F" w14:textId="77777777" w:rsidR="007E1F0A" w:rsidRPr="00C202C4" w:rsidRDefault="007E1F0A" w:rsidP="00A56EA0">
            <w:pPr>
              <w:spacing w:line="276" w:lineRule="auto"/>
              <w:jc w:val="both"/>
              <w:rPr>
                <w:rFonts w:cs="Arial"/>
                <w:b/>
              </w:rPr>
            </w:pPr>
            <w:r w:rsidRPr="00C202C4">
              <w:rPr>
                <w:rFonts w:cs="Arial"/>
                <w:b/>
              </w:rPr>
              <w:t>Total</w:t>
            </w:r>
          </w:p>
        </w:tc>
      </w:tr>
      <w:tr w:rsidR="007E1F0A" w14:paraId="042B5AFC" w14:textId="77777777" w:rsidTr="005B7819">
        <w:tc>
          <w:tcPr>
            <w:tcW w:w="0" w:type="auto"/>
          </w:tcPr>
          <w:p w14:paraId="77104377" w14:textId="77777777" w:rsidR="007E1F0A" w:rsidRPr="00EB64A3" w:rsidRDefault="007E1F0A" w:rsidP="000B037C">
            <w:pPr>
              <w:spacing w:line="276" w:lineRule="auto"/>
              <w:rPr>
                <w:rFonts w:cs="Arial"/>
                <w:sz w:val="20"/>
                <w:szCs w:val="20"/>
              </w:rPr>
            </w:pPr>
            <w:r w:rsidRPr="00EB64A3">
              <w:rPr>
                <w:rFonts w:cs="Arial"/>
                <w:sz w:val="20"/>
                <w:szCs w:val="20"/>
              </w:rPr>
              <w:t>Disability Allowance</w:t>
            </w:r>
          </w:p>
        </w:tc>
        <w:tc>
          <w:tcPr>
            <w:tcW w:w="0" w:type="auto"/>
          </w:tcPr>
          <w:p w14:paraId="45F93234" w14:textId="77777777" w:rsidR="007E1F0A" w:rsidRPr="00EB64A3" w:rsidRDefault="007E1F0A" w:rsidP="00A56EA0">
            <w:pPr>
              <w:spacing w:line="276" w:lineRule="auto"/>
              <w:jc w:val="both"/>
              <w:rPr>
                <w:rFonts w:cs="Arial"/>
                <w:sz w:val="20"/>
                <w:szCs w:val="20"/>
              </w:rPr>
            </w:pPr>
            <w:r w:rsidRPr="00EB64A3">
              <w:rPr>
                <w:rFonts w:cs="Arial"/>
                <w:sz w:val="20"/>
                <w:szCs w:val="20"/>
              </w:rPr>
              <w:t>2611</w:t>
            </w:r>
          </w:p>
        </w:tc>
        <w:tc>
          <w:tcPr>
            <w:tcW w:w="999" w:type="dxa"/>
          </w:tcPr>
          <w:p w14:paraId="0407C60B" w14:textId="77777777" w:rsidR="007E1F0A" w:rsidRPr="00EB64A3" w:rsidRDefault="007E1F0A" w:rsidP="00A56EA0">
            <w:pPr>
              <w:spacing w:line="276" w:lineRule="auto"/>
              <w:jc w:val="both"/>
              <w:rPr>
                <w:rFonts w:cs="Arial"/>
                <w:sz w:val="20"/>
                <w:szCs w:val="20"/>
              </w:rPr>
            </w:pPr>
            <w:r w:rsidRPr="00EB64A3">
              <w:rPr>
                <w:rFonts w:cs="Arial"/>
                <w:sz w:val="20"/>
                <w:szCs w:val="20"/>
              </w:rPr>
              <w:t>101</w:t>
            </w:r>
          </w:p>
        </w:tc>
        <w:tc>
          <w:tcPr>
            <w:tcW w:w="1276" w:type="dxa"/>
          </w:tcPr>
          <w:p w14:paraId="39453C9C" w14:textId="77777777" w:rsidR="007E1F0A" w:rsidRPr="00EB64A3" w:rsidRDefault="007E1F0A" w:rsidP="00A56EA0">
            <w:pPr>
              <w:spacing w:line="276" w:lineRule="auto"/>
              <w:jc w:val="both"/>
              <w:rPr>
                <w:rFonts w:cs="Arial"/>
                <w:sz w:val="20"/>
                <w:szCs w:val="20"/>
              </w:rPr>
            </w:pPr>
            <w:r w:rsidRPr="00EB64A3">
              <w:rPr>
                <w:rFonts w:cs="Arial"/>
                <w:sz w:val="20"/>
                <w:szCs w:val="20"/>
              </w:rPr>
              <w:t>643</w:t>
            </w:r>
          </w:p>
        </w:tc>
        <w:tc>
          <w:tcPr>
            <w:tcW w:w="1276" w:type="dxa"/>
          </w:tcPr>
          <w:p w14:paraId="3032F162" w14:textId="77777777" w:rsidR="007E1F0A" w:rsidRPr="00EB64A3" w:rsidRDefault="007E1F0A" w:rsidP="00A56EA0">
            <w:pPr>
              <w:spacing w:line="276" w:lineRule="auto"/>
              <w:jc w:val="both"/>
              <w:rPr>
                <w:rFonts w:cs="Arial"/>
                <w:sz w:val="20"/>
                <w:szCs w:val="20"/>
              </w:rPr>
            </w:pPr>
            <w:r w:rsidRPr="00EB64A3">
              <w:rPr>
                <w:rFonts w:cs="Arial"/>
                <w:sz w:val="20"/>
                <w:szCs w:val="20"/>
              </w:rPr>
              <w:t>2178</w:t>
            </w:r>
          </w:p>
        </w:tc>
        <w:tc>
          <w:tcPr>
            <w:tcW w:w="1276" w:type="dxa"/>
          </w:tcPr>
          <w:p w14:paraId="2D6305BC" w14:textId="77777777" w:rsidR="007E1F0A" w:rsidRPr="00EB64A3" w:rsidRDefault="007E1F0A" w:rsidP="00A56EA0">
            <w:pPr>
              <w:spacing w:line="276" w:lineRule="auto"/>
              <w:jc w:val="both"/>
              <w:rPr>
                <w:rFonts w:cs="Arial"/>
                <w:sz w:val="20"/>
                <w:szCs w:val="20"/>
              </w:rPr>
            </w:pPr>
            <w:r w:rsidRPr="00EB64A3">
              <w:rPr>
                <w:rFonts w:cs="Arial"/>
                <w:sz w:val="20"/>
                <w:szCs w:val="20"/>
              </w:rPr>
              <w:t>42</w:t>
            </w:r>
          </w:p>
        </w:tc>
        <w:tc>
          <w:tcPr>
            <w:tcW w:w="1224" w:type="dxa"/>
          </w:tcPr>
          <w:p w14:paraId="4ADFBB90" w14:textId="77777777" w:rsidR="007E1F0A" w:rsidRPr="00EB64A3" w:rsidRDefault="007E1F0A" w:rsidP="00A56EA0">
            <w:pPr>
              <w:spacing w:line="276" w:lineRule="auto"/>
              <w:jc w:val="both"/>
              <w:rPr>
                <w:rFonts w:cs="Arial"/>
                <w:sz w:val="20"/>
                <w:szCs w:val="20"/>
              </w:rPr>
            </w:pPr>
            <w:r w:rsidRPr="00EB64A3">
              <w:rPr>
                <w:rFonts w:cs="Arial"/>
                <w:sz w:val="20"/>
                <w:szCs w:val="20"/>
              </w:rPr>
              <w:t>5,575</w:t>
            </w:r>
          </w:p>
        </w:tc>
      </w:tr>
      <w:tr w:rsidR="007E1F0A" w14:paraId="7CF239D0" w14:textId="77777777" w:rsidTr="005B7819">
        <w:tc>
          <w:tcPr>
            <w:tcW w:w="0" w:type="auto"/>
          </w:tcPr>
          <w:p w14:paraId="0E4E1698" w14:textId="77777777" w:rsidR="007E1F0A" w:rsidRPr="00EB64A3" w:rsidRDefault="007E1F0A" w:rsidP="000B037C">
            <w:pPr>
              <w:spacing w:line="276" w:lineRule="auto"/>
              <w:rPr>
                <w:rFonts w:cs="Arial"/>
                <w:sz w:val="20"/>
                <w:szCs w:val="20"/>
              </w:rPr>
            </w:pPr>
            <w:r w:rsidRPr="00EB64A3">
              <w:rPr>
                <w:rFonts w:cs="Arial"/>
                <w:sz w:val="20"/>
                <w:szCs w:val="20"/>
              </w:rPr>
              <w:t>Carer’s Allowance</w:t>
            </w:r>
          </w:p>
        </w:tc>
        <w:tc>
          <w:tcPr>
            <w:tcW w:w="0" w:type="auto"/>
          </w:tcPr>
          <w:p w14:paraId="64C57CAA" w14:textId="77777777" w:rsidR="007E1F0A" w:rsidRPr="00EB64A3" w:rsidRDefault="007E1F0A" w:rsidP="00A56EA0">
            <w:pPr>
              <w:spacing w:line="276" w:lineRule="auto"/>
              <w:jc w:val="both"/>
              <w:rPr>
                <w:rFonts w:cs="Arial"/>
                <w:sz w:val="20"/>
                <w:szCs w:val="20"/>
              </w:rPr>
            </w:pPr>
            <w:r w:rsidRPr="00EB64A3">
              <w:rPr>
                <w:rFonts w:cs="Arial"/>
                <w:sz w:val="20"/>
                <w:szCs w:val="20"/>
              </w:rPr>
              <w:t>886</w:t>
            </w:r>
          </w:p>
        </w:tc>
        <w:tc>
          <w:tcPr>
            <w:tcW w:w="999" w:type="dxa"/>
          </w:tcPr>
          <w:p w14:paraId="074C6F7C" w14:textId="77777777" w:rsidR="007E1F0A" w:rsidRPr="00EB64A3" w:rsidRDefault="007E1F0A" w:rsidP="00A56EA0">
            <w:pPr>
              <w:spacing w:line="276" w:lineRule="auto"/>
              <w:jc w:val="both"/>
              <w:rPr>
                <w:rFonts w:cs="Arial"/>
                <w:sz w:val="20"/>
                <w:szCs w:val="20"/>
              </w:rPr>
            </w:pPr>
            <w:r w:rsidRPr="00EB64A3">
              <w:rPr>
                <w:rFonts w:cs="Arial"/>
                <w:sz w:val="20"/>
                <w:szCs w:val="20"/>
              </w:rPr>
              <w:t>95</w:t>
            </w:r>
          </w:p>
        </w:tc>
        <w:tc>
          <w:tcPr>
            <w:tcW w:w="1276" w:type="dxa"/>
          </w:tcPr>
          <w:p w14:paraId="1A5DA6D7" w14:textId="77777777" w:rsidR="007E1F0A" w:rsidRPr="00EB64A3" w:rsidRDefault="007E1F0A" w:rsidP="00A56EA0">
            <w:pPr>
              <w:spacing w:line="276" w:lineRule="auto"/>
              <w:jc w:val="both"/>
              <w:rPr>
                <w:rFonts w:cs="Arial"/>
                <w:sz w:val="20"/>
                <w:szCs w:val="20"/>
              </w:rPr>
            </w:pPr>
            <w:r w:rsidRPr="00EB64A3">
              <w:rPr>
                <w:rFonts w:cs="Arial"/>
                <w:sz w:val="20"/>
                <w:szCs w:val="20"/>
              </w:rPr>
              <w:t>519</w:t>
            </w:r>
          </w:p>
        </w:tc>
        <w:tc>
          <w:tcPr>
            <w:tcW w:w="1276" w:type="dxa"/>
          </w:tcPr>
          <w:p w14:paraId="15D641D4" w14:textId="77777777" w:rsidR="007E1F0A" w:rsidRPr="00EB64A3" w:rsidRDefault="007E1F0A" w:rsidP="00A56EA0">
            <w:pPr>
              <w:spacing w:line="276" w:lineRule="auto"/>
              <w:jc w:val="both"/>
              <w:rPr>
                <w:rFonts w:cs="Arial"/>
                <w:sz w:val="20"/>
                <w:szCs w:val="20"/>
              </w:rPr>
            </w:pPr>
            <w:r w:rsidRPr="00EB64A3">
              <w:rPr>
                <w:rFonts w:cs="Arial"/>
                <w:sz w:val="20"/>
                <w:szCs w:val="20"/>
              </w:rPr>
              <w:t>1743</w:t>
            </w:r>
          </w:p>
        </w:tc>
        <w:tc>
          <w:tcPr>
            <w:tcW w:w="1276" w:type="dxa"/>
          </w:tcPr>
          <w:p w14:paraId="57A80C93" w14:textId="77777777" w:rsidR="007E1F0A" w:rsidRPr="00EB64A3" w:rsidRDefault="007E1F0A" w:rsidP="00A56EA0">
            <w:pPr>
              <w:spacing w:line="276" w:lineRule="auto"/>
              <w:jc w:val="both"/>
              <w:rPr>
                <w:rFonts w:cs="Arial"/>
                <w:sz w:val="20"/>
                <w:szCs w:val="20"/>
              </w:rPr>
            </w:pPr>
            <w:r w:rsidRPr="00EB64A3">
              <w:rPr>
                <w:rFonts w:cs="Arial"/>
                <w:sz w:val="20"/>
                <w:szCs w:val="20"/>
              </w:rPr>
              <w:t>24</w:t>
            </w:r>
          </w:p>
        </w:tc>
        <w:tc>
          <w:tcPr>
            <w:tcW w:w="1224" w:type="dxa"/>
          </w:tcPr>
          <w:p w14:paraId="64F743D5" w14:textId="77777777" w:rsidR="007E1F0A" w:rsidRPr="00EB64A3" w:rsidRDefault="007E1F0A" w:rsidP="00A56EA0">
            <w:pPr>
              <w:spacing w:line="276" w:lineRule="auto"/>
              <w:jc w:val="both"/>
              <w:rPr>
                <w:rFonts w:cs="Arial"/>
                <w:sz w:val="20"/>
                <w:szCs w:val="20"/>
              </w:rPr>
            </w:pPr>
            <w:r w:rsidRPr="00EB64A3">
              <w:rPr>
                <w:rFonts w:cs="Arial"/>
                <w:sz w:val="20"/>
                <w:szCs w:val="20"/>
              </w:rPr>
              <w:t>3,267</w:t>
            </w:r>
          </w:p>
        </w:tc>
      </w:tr>
      <w:tr w:rsidR="007E1F0A" w14:paraId="43083037" w14:textId="77777777" w:rsidTr="005B7819">
        <w:tc>
          <w:tcPr>
            <w:tcW w:w="0" w:type="auto"/>
          </w:tcPr>
          <w:p w14:paraId="73A0CEEE" w14:textId="77777777" w:rsidR="007E1F0A" w:rsidRPr="00EB64A3" w:rsidRDefault="007E1F0A" w:rsidP="000B037C">
            <w:pPr>
              <w:spacing w:line="276" w:lineRule="auto"/>
              <w:rPr>
                <w:rFonts w:cs="Arial"/>
                <w:sz w:val="20"/>
                <w:szCs w:val="20"/>
              </w:rPr>
            </w:pPr>
            <w:r w:rsidRPr="00EB64A3">
              <w:rPr>
                <w:rFonts w:cs="Arial"/>
                <w:sz w:val="20"/>
                <w:szCs w:val="20"/>
              </w:rPr>
              <w:t>Invalidity Pension</w:t>
            </w:r>
          </w:p>
        </w:tc>
        <w:tc>
          <w:tcPr>
            <w:tcW w:w="0" w:type="auto"/>
          </w:tcPr>
          <w:p w14:paraId="7B2F6FBA" w14:textId="77777777" w:rsidR="007E1F0A" w:rsidRPr="00EB64A3" w:rsidRDefault="007E1F0A" w:rsidP="00A56EA0">
            <w:pPr>
              <w:spacing w:line="276" w:lineRule="auto"/>
              <w:jc w:val="both"/>
              <w:rPr>
                <w:rFonts w:cs="Arial"/>
                <w:sz w:val="20"/>
                <w:szCs w:val="20"/>
              </w:rPr>
            </w:pPr>
            <w:r w:rsidRPr="00EB64A3">
              <w:rPr>
                <w:rFonts w:cs="Arial"/>
                <w:sz w:val="20"/>
                <w:szCs w:val="20"/>
              </w:rPr>
              <w:t>869</w:t>
            </w:r>
          </w:p>
        </w:tc>
        <w:tc>
          <w:tcPr>
            <w:tcW w:w="999" w:type="dxa"/>
          </w:tcPr>
          <w:p w14:paraId="65DE28BB" w14:textId="77777777" w:rsidR="007E1F0A" w:rsidRPr="00EB64A3" w:rsidRDefault="007E1F0A" w:rsidP="00A56EA0">
            <w:pPr>
              <w:spacing w:line="276" w:lineRule="auto"/>
              <w:jc w:val="both"/>
              <w:rPr>
                <w:rFonts w:cs="Arial"/>
                <w:sz w:val="20"/>
                <w:szCs w:val="20"/>
              </w:rPr>
            </w:pPr>
            <w:r w:rsidRPr="00EB64A3">
              <w:rPr>
                <w:rFonts w:cs="Arial"/>
                <w:sz w:val="20"/>
                <w:szCs w:val="20"/>
              </w:rPr>
              <w:t>5</w:t>
            </w:r>
          </w:p>
        </w:tc>
        <w:tc>
          <w:tcPr>
            <w:tcW w:w="1276" w:type="dxa"/>
          </w:tcPr>
          <w:p w14:paraId="16CD7902" w14:textId="77777777" w:rsidR="007E1F0A" w:rsidRPr="00EB64A3" w:rsidRDefault="007E1F0A" w:rsidP="00A56EA0">
            <w:pPr>
              <w:spacing w:line="276" w:lineRule="auto"/>
              <w:jc w:val="both"/>
              <w:rPr>
                <w:rFonts w:cs="Arial"/>
                <w:sz w:val="20"/>
                <w:szCs w:val="20"/>
              </w:rPr>
            </w:pPr>
            <w:r w:rsidRPr="00EB64A3">
              <w:rPr>
                <w:rFonts w:cs="Arial"/>
                <w:sz w:val="20"/>
                <w:szCs w:val="20"/>
              </w:rPr>
              <w:t>439</w:t>
            </w:r>
          </w:p>
        </w:tc>
        <w:tc>
          <w:tcPr>
            <w:tcW w:w="1276" w:type="dxa"/>
          </w:tcPr>
          <w:p w14:paraId="63A80ADB" w14:textId="77777777" w:rsidR="007E1F0A" w:rsidRPr="00EB64A3" w:rsidRDefault="007E1F0A" w:rsidP="00A56EA0">
            <w:pPr>
              <w:spacing w:line="276" w:lineRule="auto"/>
              <w:jc w:val="both"/>
              <w:rPr>
                <w:rFonts w:cs="Arial"/>
                <w:sz w:val="20"/>
                <w:szCs w:val="20"/>
              </w:rPr>
            </w:pPr>
            <w:r w:rsidRPr="00EB64A3">
              <w:rPr>
                <w:rFonts w:cs="Arial"/>
                <w:sz w:val="20"/>
                <w:szCs w:val="20"/>
              </w:rPr>
              <w:t>675</w:t>
            </w:r>
          </w:p>
        </w:tc>
        <w:tc>
          <w:tcPr>
            <w:tcW w:w="1276" w:type="dxa"/>
          </w:tcPr>
          <w:p w14:paraId="40B55830" w14:textId="77777777" w:rsidR="007E1F0A" w:rsidRPr="00EB64A3" w:rsidRDefault="007E1F0A" w:rsidP="00A56EA0">
            <w:pPr>
              <w:spacing w:line="276" w:lineRule="auto"/>
              <w:jc w:val="both"/>
              <w:rPr>
                <w:rFonts w:cs="Arial"/>
                <w:sz w:val="20"/>
                <w:szCs w:val="20"/>
              </w:rPr>
            </w:pPr>
            <w:r w:rsidRPr="00EB64A3">
              <w:rPr>
                <w:rFonts w:cs="Arial"/>
                <w:sz w:val="20"/>
                <w:szCs w:val="20"/>
              </w:rPr>
              <w:t>19</w:t>
            </w:r>
          </w:p>
        </w:tc>
        <w:tc>
          <w:tcPr>
            <w:tcW w:w="1224" w:type="dxa"/>
          </w:tcPr>
          <w:p w14:paraId="0805011B" w14:textId="77777777" w:rsidR="007E1F0A" w:rsidRPr="00EB64A3" w:rsidRDefault="007E1F0A" w:rsidP="00A56EA0">
            <w:pPr>
              <w:spacing w:line="276" w:lineRule="auto"/>
              <w:jc w:val="both"/>
              <w:rPr>
                <w:rFonts w:cs="Arial"/>
                <w:sz w:val="20"/>
                <w:szCs w:val="20"/>
              </w:rPr>
            </w:pPr>
            <w:r w:rsidRPr="00EB64A3">
              <w:rPr>
                <w:rFonts w:cs="Arial"/>
                <w:sz w:val="20"/>
                <w:szCs w:val="20"/>
              </w:rPr>
              <w:t>2,007</w:t>
            </w:r>
          </w:p>
        </w:tc>
      </w:tr>
      <w:tr w:rsidR="007E1F0A" w14:paraId="6AE9EC8E" w14:textId="77777777" w:rsidTr="005B7819">
        <w:tc>
          <w:tcPr>
            <w:tcW w:w="0" w:type="auto"/>
          </w:tcPr>
          <w:p w14:paraId="2C2E8BCB" w14:textId="77777777" w:rsidR="007E1F0A" w:rsidRPr="00EB64A3" w:rsidRDefault="007E1F0A" w:rsidP="000B037C">
            <w:pPr>
              <w:spacing w:line="276" w:lineRule="auto"/>
              <w:rPr>
                <w:rFonts w:cs="Arial"/>
                <w:sz w:val="20"/>
                <w:szCs w:val="20"/>
              </w:rPr>
            </w:pPr>
            <w:r w:rsidRPr="00EB64A3">
              <w:rPr>
                <w:rFonts w:cs="Arial"/>
                <w:sz w:val="20"/>
                <w:szCs w:val="20"/>
              </w:rPr>
              <w:lastRenderedPageBreak/>
              <w:t>Domiciliary Care Allowance</w:t>
            </w:r>
          </w:p>
        </w:tc>
        <w:tc>
          <w:tcPr>
            <w:tcW w:w="0" w:type="auto"/>
          </w:tcPr>
          <w:p w14:paraId="10B5AE1C" w14:textId="77777777" w:rsidR="007E1F0A" w:rsidRPr="00EB64A3" w:rsidRDefault="007E1F0A" w:rsidP="00A56EA0">
            <w:pPr>
              <w:spacing w:line="276" w:lineRule="auto"/>
              <w:jc w:val="both"/>
              <w:rPr>
                <w:rFonts w:cs="Arial"/>
                <w:sz w:val="20"/>
                <w:szCs w:val="20"/>
              </w:rPr>
            </w:pPr>
            <w:r w:rsidRPr="00EB64A3">
              <w:rPr>
                <w:rFonts w:cs="Arial"/>
                <w:sz w:val="20"/>
                <w:szCs w:val="20"/>
              </w:rPr>
              <w:t>533</w:t>
            </w:r>
          </w:p>
        </w:tc>
        <w:tc>
          <w:tcPr>
            <w:tcW w:w="999" w:type="dxa"/>
          </w:tcPr>
          <w:p w14:paraId="24E526F7" w14:textId="77777777" w:rsidR="007E1F0A" w:rsidRPr="00EB64A3" w:rsidRDefault="007E1F0A" w:rsidP="00A56EA0">
            <w:pPr>
              <w:spacing w:line="276" w:lineRule="auto"/>
              <w:jc w:val="both"/>
              <w:rPr>
                <w:rFonts w:cs="Arial"/>
                <w:sz w:val="20"/>
                <w:szCs w:val="20"/>
              </w:rPr>
            </w:pPr>
            <w:r w:rsidRPr="00EB64A3">
              <w:rPr>
                <w:rFonts w:cs="Arial"/>
                <w:sz w:val="20"/>
                <w:szCs w:val="20"/>
              </w:rPr>
              <w:t>25</w:t>
            </w:r>
          </w:p>
        </w:tc>
        <w:tc>
          <w:tcPr>
            <w:tcW w:w="1276" w:type="dxa"/>
          </w:tcPr>
          <w:p w14:paraId="06148D74" w14:textId="77777777" w:rsidR="007E1F0A" w:rsidRPr="00EB64A3" w:rsidRDefault="007E1F0A" w:rsidP="00A56EA0">
            <w:pPr>
              <w:spacing w:line="276" w:lineRule="auto"/>
              <w:jc w:val="both"/>
              <w:rPr>
                <w:rFonts w:cs="Arial"/>
                <w:sz w:val="20"/>
                <w:szCs w:val="20"/>
              </w:rPr>
            </w:pPr>
            <w:r w:rsidRPr="00EB64A3">
              <w:rPr>
                <w:rFonts w:cs="Arial"/>
                <w:sz w:val="20"/>
                <w:szCs w:val="20"/>
              </w:rPr>
              <w:t>484</w:t>
            </w:r>
          </w:p>
        </w:tc>
        <w:tc>
          <w:tcPr>
            <w:tcW w:w="1276" w:type="dxa"/>
          </w:tcPr>
          <w:p w14:paraId="5D8345B3" w14:textId="77777777" w:rsidR="007E1F0A" w:rsidRPr="00EB64A3" w:rsidRDefault="007E1F0A" w:rsidP="00A56EA0">
            <w:pPr>
              <w:spacing w:line="276" w:lineRule="auto"/>
              <w:jc w:val="both"/>
              <w:rPr>
                <w:rFonts w:cs="Arial"/>
                <w:sz w:val="20"/>
                <w:szCs w:val="20"/>
              </w:rPr>
            </w:pPr>
            <w:r w:rsidRPr="00EB64A3">
              <w:rPr>
                <w:rFonts w:cs="Arial"/>
                <w:sz w:val="20"/>
                <w:szCs w:val="20"/>
              </w:rPr>
              <w:t>338</w:t>
            </w:r>
          </w:p>
        </w:tc>
        <w:tc>
          <w:tcPr>
            <w:tcW w:w="1276" w:type="dxa"/>
          </w:tcPr>
          <w:p w14:paraId="1015C477" w14:textId="77777777" w:rsidR="007E1F0A" w:rsidRPr="00EB64A3" w:rsidRDefault="007E1F0A" w:rsidP="00A56EA0">
            <w:pPr>
              <w:spacing w:line="276" w:lineRule="auto"/>
              <w:jc w:val="both"/>
              <w:rPr>
                <w:rFonts w:cs="Arial"/>
                <w:sz w:val="20"/>
                <w:szCs w:val="20"/>
              </w:rPr>
            </w:pPr>
            <w:r w:rsidRPr="00EB64A3">
              <w:rPr>
                <w:rFonts w:cs="Arial"/>
                <w:sz w:val="20"/>
                <w:szCs w:val="20"/>
              </w:rPr>
              <w:t>5</w:t>
            </w:r>
          </w:p>
        </w:tc>
        <w:tc>
          <w:tcPr>
            <w:tcW w:w="1224" w:type="dxa"/>
          </w:tcPr>
          <w:p w14:paraId="2E1EB3F1" w14:textId="77777777" w:rsidR="007E1F0A" w:rsidRPr="00EB64A3" w:rsidRDefault="007E1F0A" w:rsidP="00A56EA0">
            <w:pPr>
              <w:spacing w:line="276" w:lineRule="auto"/>
              <w:jc w:val="both"/>
              <w:rPr>
                <w:rFonts w:cs="Arial"/>
                <w:sz w:val="20"/>
                <w:szCs w:val="20"/>
              </w:rPr>
            </w:pPr>
            <w:r w:rsidRPr="00EB64A3">
              <w:rPr>
                <w:rFonts w:cs="Arial"/>
                <w:sz w:val="20"/>
                <w:szCs w:val="20"/>
              </w:rPr>
              <w:t>1,385</w:t>
            </w:r>
          </w:p>
        </w:tc>
      </w:tr>
    </w:tbl>
    <w:p w14:paraId="2B24F2C8" w14:textId="77777777" w:rsidR="007E1F0A" w:rsidRPr="0092682D" w:rsidRDefault="007E1F0A" w:rsidP="00A56EA0">
      <w:pPr>
        <w:spacing w:line="276" w:lineRule="auto"/>
        <w:jc w:val="both"/>
        <w:rPr>
          <w:rFonts w:cs="Arial"/>
          <w:sz w:val="20"/>
          <w:szCs w:val="20"/>
        </w:rPr>
      </w:pPr>
      <w:r w:rsidRPr="0092682D">
        <w:rPr>
          <w:rFonts w:cs="Arial"/>
          <w:sz w:val="20"/>
          <w:szCs w:val="20"/>
        </w:rPr>
        <w:t xml:space="preserve">Source: SWAO, Annual Report 2021. </w:t>
      </w:r>
    </w:p>
    <w:p w14:paraId="2AE36C66" w14:textId="2C6B36D5" w:rsidR="00F957D9" w:rsidRDefault="00F957D9" w:rsidP="00A56EA0">
      <w:pPr>
        <w:spacing w:line="276" w:lineRule="auto"/>
        <w:jc w:val="both"/>
        <w:rPr>
          <w:rFonts w:cs="Arial"/>
        </w:rPr>
      </w:pPr>
      <w:r>
        <w:rPr>
          <w:rFonts w:cs="Arial"/>
        </w:rPr>
        <w:t>It is acknowledged that revised decisions, and appeals allowed could be due to insufficient information</w:t>
      </w:r>
      <w:r w:rsidR="00780CCE">
        <w:rPr>
          <w:rFonts w:cs="Arial"/>
        </w:rPr>
        <w:t xml:space="preserve"> being provided</w:t>
      </w:r>
      <w:r>
        <w:rPr>
          <w:rFonts w:cs="Arial"/>
        </w:rPr>
        <w:t xml:space="preserve"> at initial decision-making stage. The</w:t>
      </w:r>
      <w:r w:rsidRPr="00F957D9">
        <w:rPr>
          <w:rFonts w:cs="Arial"/>
        </w:rPr>
        <w:t xml:space="preserve"> responsibility </w:t>
      </w:r>
      <w:r>
        <w:rPr>
          <w:rFonts w:cs="Arial"/>
        </w:rPr>
        <w:t xml:space="preserve">to </w:t>
      </w:r>
      <w:r w:rsidRPr="00F957D9">
        <w:rPr>
          <w:rFonts w:cs="Arial"/>
        </w:rPr>
        <w:t>provide complete and adequate information at the outset</w:t>
      </w:r>
      <w:r>
        <w:rPr>
          <w:rFonts w:cs="Arial"/>
        </w:rPr>
        <w:t xml:space="preserve"> should not rest solely with the appellant, and deciding officers</w:t>
      </w:r>
      <w:r w:rsidRPr="00F957D9">
        <w:rPr>
          <w:rFonts w:cs="Arial"/>
        </w:rPr>
        <w:t xml:space="preserve"> </w:t>
      </w:r>
      <w:r>
        <w:rPr>
          <w:rFonts w:cs="Arial"/>
        </w:rPr>
        <w:t>need to</w:t>
      </w:r>
      <w:r w:rsidRPr="00F957D9">
        <w:rPr>
          <w:rFonts w:cs="Arial"/>
        </w:rPr>
        <w:t xml:space="preserve"> ensure that all relevant issues and questions are addressed when considering the initial application</w:t>
      </w:r>
      <w:r>
        <w:rPr>
          <w:rFonts w:cs="Arial"/>
        </w:rPr>
        <w:t>.</w:t>
      </w:r>
    </w:p>
    <w:p w14:paraId="29F6B0ED" w14:textId="4E2378E2" w:rsidR="004651BD" w:rsidRPr="00CB242B" w:rsidRDefault="004651BD" w:rsidP="00A56EA0">
      <w:pPr>
        <w:spacing w:line="276" w:lineRule="auto"/>
        <w:jc w:val="both"/>
        <w:rPr>
          <w:rFonts w:cs="Arial"/>
        </w:rPr>
      </w:pPr>
      <w:r>
        <w:rPr>
          <w:rFonts w:cs="Arial"/>
        </w:rPr>
        <w:t xml:space="preserve">CIB notes in this regard the recommendation of the </w:t>
      </w:r>
      <w:r w:rsidR="00780CCE">
        <w:rPr>
          <w:rFonts w:cs="Arial"/>
        </w:rPr>
        <w:t>Comptroller and Auditor General’s report (2021) to</w:t>
      </w:r>
      <w:r w:rsidR="00CB242B">
        <w:rPr>
          <w:rFonts w:cs="Arial"/>
        </w:rPr>
        <w:t xml:space="preserve"> the Department</w:t>
      </w:r>
      <w:r w:rsidR="00780CCE">
        <w:rPr>
          <w:rFonts w:cs="Arial"/>
        </w:rPr>
        <w:t>:</w:t>
      </w:r>
      <w:r w:rsidR="00CB242B">
        <w:rPr>
          <w:rFonts w:cs="Arial"/>
        </w:rPr>
        <w:t xml:space="preserve"> </w:t>
      </w:r>
      <w:r w:rsidRPr="004651BD">
        <w:t>‘Examine the application process and related guidance for those schemes which are medically or social and care needs assessed in order to ensure claimants are able to supply all necessary information to assess eligibility when they are making a claim</w:t>
      </w:r>
      <w:r w:rsidR="00CB242B">
        <w:t>.</w:t>
      </w:r>
      <w:r w:rsidRPr="004651BD">
        <w:t>’</w:t>
      </w:r>
    </w:p>
    <w:p w14:paraId="66DC6519" w14:textId="16AFD4C4" w:rsidR="00C40795" w:rsidRDefault="00C40795" w:rsidP="00A56EA0">
      <w:pPr>
        <w:spacing w:line="276" w:lineRule="auto"/>
        <w:jc w:val="both"/>
        <w:rPr>
          <w:rFonts w:eastAsia="Calibri"/>
          <w:lang w:eastAsia="en-IE"/>
        </w:rPr>
      </w:pPr>
      <w:r>
        <w:rPr>
          <w:rFonts w:eastAsia="Calibri"/>
          <w:lang w:eastAsia="en-IE"/>
        </w:rPr>
        <w:t xml:space="preserve">CIB concurs with the view expressed in a </w:t>
      </w:r>
      <w:r w:rsidRPr="00C40795">
        <w:rPr>
          <w:rFonts w:eastAsia="Calibri"/>
          <w:lang w:eastAsia="en-IE"/>
        </w:rPr>
        <w:t xml:space="preserve">UK </w:t>
      </w:r>
      <w:r>
        <w:rPr>
          <w:rFonts w:eastAsia="Calibri"/>
          <w:lang w:eastAsia="en-IE"/>
        </w:rPr>
        <w:t xml:space="preserve">report noting the benefit of getting decision-making right the first time, </w:t>
      </w:r>
      <w:r w:rsidR="00377E34">
        <w:rPr>
          <w:rFonts w:eastAsia="Calibri"/>
          <w:lang w:eastAsia="en-IE"/>
        </w:rPr>
        <w:t>in that</w:t>
      </w:r>
      <w:r>
        <w:rPr>
          <w:rFonts w:eastAsia="Calibri"/>
          <w:lang w:eastAsia="en-IE"/>
        </w:rPr>
        <w:t xml:space="preserve"> fewer resources </w:t>
      </w:r>
      <w:r w:rsidR="00377E34">
        <w:rPr>
          <w:rFonts w:eastAsia="Calibri"/>
          <w:lang w:eastAsia="en-IE"/>
        </w:rPr>
        <w:t xml:space="preserve">are </w:t>
      </w:r>
      <w:r w:rsidR="00510C26">
        <w:rPr>
          <w:rFonts w:eastAsia="Calibri"/>
          <w:lang w:eastAsia="en-IE"/>
        </w:rPr>
        <w:t xml:space="preserve">spent on the process of </w:t>
      </w:r>
      <w:r w:rsidR="00377E34">
        <w:rPr>
          <w:rFonts w:eastAsia="Calibri"/>
          <w:lang w:eastAsia="en-IE"/>
        </w:rPr>
        <w:t>challenging</w:t>
      </w:r>
      <w:r w:rsidR="00510C26">
        <w:rPr>
          <w:rFonts w:eastAsia="Calibri"/>
          <w:lang w:eastAsia="en-IE"/>
        </w:rPr>
        <w:t xml:space="preserve"> decisions, </w:t>
      </w:r>
      <w:r w:rsidR="00C1544E">
        <w:rPr>
          <w:rFonts w:eastAsia="Calibri"/>
          <w:lang w:eastAsia="en-IE"/>
        </w:rPr>
        <w:t>and there are</w:t>
      </w:r>
      <w:r w:rsidR="00510C26">
        <w:rPr>
          <w:rFonts w:eastAsia="Calibri"/>
          <w:lang w:eastAsia="en-IE"/>
        </w:rPr>
        <w:t xml:space="preserve"> broader public </w:t>
      </w:r>
      <w:r w:rsidR="00510C26">
        <w:rPr>
          <w:rFonts w:eastAsia="Calibri"/>
          <w:lang w:eastAsia="en-IE"/>
        </w:rPr>
        <w:lastRenderedPageBreak/>
        <w:t>sector savings</w:t>
      </w:r>
      <w:r w:rsidR="00377E34">
        <w:rPr>
          <w:rFonts w:eastAsia="Calibri"/>
          <w:lang w:eastAsia="en-IE"/>
        </w:rPr>
        <w:t xml:space="preserve"> that </w:t>
      </w:r>
      <w:r w:rsidR="007F4259">
        <w:rPr>
          <w:rFonts w:eastAsia="Calibri"/>
          <w:lang w:eastAsia="en-IE"/>
        </w:rPr>
        <w:t>may ensue</w:t>
      </w:r>
      <w:r w:rsidR="00510C26">
        <w:rPr>
          <w:rFonts w:eastAsia="Calibri"/>
          <w:lang w:eastAsia="en-IE"/>
        </w:rPr>
        <w:t xml:space="preserve"> including improved health outcomes for claimants, and th</w:t>
      </w:r>
      <w:r w:rsidR="007F4259">
        <w:rPr>
          <w:rFonts w:eastAsia="Calibri"/>
          <w:lang w:eastAsia="en-IE"/>
        </w:rPr>
        <w:t>erefore</w:t>
      </w:r>
      <w:r w:rsidR="00510C26">
        <w:rPr>
          <w:rFonts w:eastAsia="Calibri"/>
          <w:lang w:eastAsia="en-IE"/>
        </w:rPr>
        <w:t xml:space="preserve"> </w:t>
      </w:r>
      <w:r w:rsidR="005D3AD4">
        <w:rPr>
          <w:rFonts w:eastAsia="Calibri"/>
          <w:lang w:eastAsia="en-IE"/>
        </w:rPr>
        <w:t xml:space="preserve">savings </w:t>
      </w:r>
      <w:r w:rsidR="00510C26">
        <w:rPr>
          <w:rFonts w:eastAsia="Calibri"/>
          <w:lang w:eastAsia="en-IE"/>
        </w:rPr>
        <w:t>in health and social care</w:t>
      </w:r>
      <w:r w:rsidR="001F0455">
        <w:rPr>
          <w:rFonts w:eastAsia="Calibri"/>
          <w:lang w:eastAsia="en-IE"/>
        </w:rPr>
        <w:t>.</w:t>
      </w:r>
      <w:r w:rsidR="00510C26">
        <w:rPr>
          <w:rStyle w:val="FootnoteReference"/>
          <w:rFonts w:eastAsia="Calibri"/>
          <w:lang w:eastAsia="en-IE"/>
        </w:rPr>
        <w:footnoteReference w:id="2"/>
      </w:r>
    </w:p>
    <w:p w14:paraId="62B2CBA3" w14:textId="273DA0C1" w:rsidR="00835135" w:rsidRPr="00835135" w:rsidRDefault="00D00C76" w:rsidP="00A56EA0">
      <w:pPr>
        <w:spacing w:line="276" w:lineRule="auto"/>
        <w:ind w:left="-5" w:hanging="10"/>
        <w:jc w:val="both"/>
        <w:rPr>
          <w:rFonts w:eastAsia="Calibri"/>
          <w:lang w:eastAsia="en-IE"/>
        </w:rPr>
      </w:pPr>
      <w:r>
        <w:rPr>
          <w:rFonts w:eastAsia="Calibri"/>
          <w:lang w:eastAsia="en-IE"/>
        </w:rPr>
        <w:t xml:space="preserve">CIB welcomes the proposed regulations and particularly their intention to </w:t>
      </w:r>
      <w:r w:rsidR="005222E2">
        <w:rPr>
          <w:rFonts w:eastAsia="Calibri"/>
          <w:lang w:eastAsia="en-IE"/>
        </w:rPr>
        <w:t xml:space="preserve">improve the efficiency and operation of the </w:t>
      </w:r>
      <w:r w:rsidR="005B10A2">
        <w:rPr>
          <w:rFonts w:eastAsia="Calibri"/>
          <w:lang w:eastAsia="en-IE"/>
        </w:rPr>
        <w:t>appeals process</w:t>
      </w:r>
      <w:r w:rsidR="005222E2">
        <w:rPr>
          <w:rFonts w:eastAsia="Calibri"/>
          <w:lang w:eastAsia="en-IE"/>
        </w:rPr>
        <w:t>, e.g. through Article 5</w:t>
      </w:r>
      <w:r w:rsidR="0019080D">
        <w:rPr>
          <w:rFonts w:eastAsia="Calibri"/>
          <w:lang w:eastAsia="en-IE"/>
        </w:rPr>
        <w:t>, and Article 8.</w:t>
      </w:r>
      <w:r w:rsidR="005222E2">
        <w:rPr>
          <w:rFonts w:eastAsia="Calibri"/>
          <w:lang w:eastAsia="en-IE"/>
        </w:rPr>
        <w:t xml:space="preserve"> </w:t>
      </w:r>
      <w:r w:rsidR="00C17D69">
        <w:rPr>
          <w:rFonts w:eastAsia="Calibri"/>
          <w:lang w:eastAsia="en-IE"/>
        </w:rPr>
        <w:t xml:space="preserve">CIB </w:t>
      </w:r>
      <w:r w:rsidR="00742712">
        <w:rPr>
          <w:rFonts w:eastAsia="Calibri"/>
          <w:lang w:eastAsia="en-IE"/>
        </w:rPr>
        <w:t xml:space="preserve">at the same time </w:t>
      </w:r>
      <w:r w:rsidR="00C17D69">
        <w:rPr>
          <w:rFonts w:eastAsia="Calibri"/>
          <w:lang w:eastAsia="en-IE"/>
        </w:rPr>
        <w:t xml:space="preserve">recognises the challenge in getting the balance </w:t>
      </w:r>
      <w:r w:rsidR="00742712">
        <w:rPr>
          <w:rFonts w:eastAsia="Calibri"/>
          <w:lang w:eastAsia="en-IE"/>
        </w:rPr>
        <w:t xml:space="preserve">right </w:t>
      </w:r>
      <w:r w:rsidR="00C17D69">
        <w:rPr>
          <w:rFonts w:eastAsia="Calibri"/>
          <w:lang w:eastAsia="en-IE"/>
        </w:rPr>
        <w:t>between</w:t>
      </w:r>
      <w:r w:rsidR="000C1122">
        <w:rPr>
          <w:rFonts w:eastAsia="Calibri"/>
          <w:lang w:eastAsia="en-IE"/>
        </w:rPr>
        <w:t xml:space="preserve"> </w:t>
      </w:r>
      <w:r w:rsidR="00835135">
        <w:rPr>
          <w:rFonts w:eastAsia="Calibri"/>
          <w:lang w:eastAsia="en-IE"/>
        </w:rPr>
        <w:t>extending</w:t>
      </w:r>
      <w:r w:rsidR="00C17D69">
        <w:rPr>
          <w:rFonts w:eastAsia="Calibri"/>
          <w:lang w:eastAsia="en-IE"/>
        </w:rPr>
        <w:t xml:space="preserve"> time limits and ensuring the appeals system is not characterised by extensive delays. </w:t>
      </w:r>
      <w:r w:rsidR="00835135">
        <w:rPr>
          <w:rFonts w:eastAsia="Calibri"/>
          <w:lang w:eastAsia="en-IE"/>
        </w:rPr>
        <w:t>The need for the</w:t>
      </w:r>
      <w:r w:rsidR="00835135" w:rsidRPr="00835135">
        <w:rPr>
          <w:rFonts w:eastAsia="Calibri"/>
          <w:lang w:eastAsia="en-IE"/>
        </w:rPr>
        <w:t xml:space="preserve"> Appeals Office to be provided with sufficient resources to administer appeals</w:t>
      </w:r>
      <w:r w:rsidR="00835135">
        <w:rPr>
          <w:rFonts w:eastAsia="Calibri"/>
          <w:lang w:eastAsia="en-IE"/>
        </w:rPr>
        <w:t xml:space="preserve"> is noted as well</w:t>
      </w:r>
      <w:r w:rsidR="006565C8">
        <w:rPr>
          <w:rFonts w:eastAsia="Calibri"/>
          <w:lang w:eastAsia="en-IE"/>
        </w:rPr>
        <w:t>.</w:t>
      </w:r>
    </w:p>
    <w:p w14:paraId="39BC09D2" w14:textId="4E4D5E9E" w:rsidR="005222E2" w:rsidRPr="00ED6D53" w:rsidRDefault="005222E2" w:rsidP="00A56EA0">
      <w:pPr>
        <w:spacing w:line="276" w:lineRule="auto"/>
        <w:jc w:val="both"/>
        <w:rPr>
          <w:rFonts w:cs="Arial"/>
        </w:rPr>
      </w:pPr>
      <w:r w:rsidRPr="00ED6D53">
        <w:rPr>
          <w:rFonts w:cs="Arial"/>
        </w:rPr>
        <w:t xml:space="preserve">This submission firstly sets out the responses to questions asked of CISs on the proposed regulations, and combines this with </w:t>
      </w:r>
      <w:r>
        <w:rPr>
          <w:rFonts w:cs="Arial"/>
        </w:rPr>
        <w:t xml:space="preserve">the </w:t>
      </w:r>
      <w:r w:rsidRPr="00ED6D53">
        <w:rPr>
          <w:rFonts w:cs="Arial"/>
        </w:rPr>
        <w:t>feedback recorded</w:t>
      </w:r>
      <w:r>
        <w:rPr>
          <w:rFonts w:cs="Arial"/>
        </w:rPr>
        <w:t xml:space="preserve"> in relation to </w:t>
      </w:r>
      <w:r w:rsidR="000B2C5F">
        <w:rPr>
          <w:rFonts w:cs="Arial"/>
        </w:rPr>
        <w:t>case work and advocacy interventions</w:t>
      </w:r>
      <w:r w:rsidRPr="00ED6D53">
        <w:rPr>
          <w:rFonts w:cs="Arial"/>
        </w:rPr>
        <w:t xml:space="preserve">. </w:t>
      </w:r>
      <w:r w:rsidR="0019080D">
        <w:rPr>
          <w:rFonts w:cs="Arial"/>
        </w:rPr>
        <w:t xml:space="preserve">It then presents </w:t>
      </w:r>
      <w:r w:rsidR="00FE5D39">
        <w:rPr>
          <w:rFonts w:cs="Arial"/>
        </w:rPr>
        <w:t xml:space="preserve">other </w:t>
      </w:r>
      <w:r w:rsidR="0019080D">
        <w:rPr>
          <w:rFonts w:cs="Arial"/>
        </w:rPr>
        <w:t xml:space="preserve">issues arising and </w:t>
      </w:r>
      <w:r w:rsidR="00895333">
        <w:rPr>
          <w:rFonts w:cs="Arial"/>
        </w:rPr>
        <w:t>questions for consideration.</w:t>
      </w:r>
    </w:p>
    <w:p w14:paraId="7DD18119" w14:textId="77777777" w:rsidR="005222E2" w:rsidRDefault="005222E2" w:rsidP="00A56EA0">
      <w:pPr>
        <w:spacing w:line="276" w:lineRule="auto"/>
        <w:ind w:left="-5" w:hanging="10"/>
        <w:jc w:val="both"/>
        <w:rPr>
          <w:rFonts w:eastAsia="Calibri"/>
          <w:lang w:eastAsia="en-IE"/>
        </w:rPr>
      </w:pPr>
    </w:p>
    <w:p w14:paraId="5BE5DBA1" w14:textId="77777777" w:rsidR="00AA0737" w:rsidRPr="00FA188B" w:rsidRDefault="00DA2F4A" w:rsidP="00A56EA0">
      <w:pPr>
        <w:spacing w:line="276" w:lineRule="auto"/>
        <w:jc w:val="both"/>
        <w:rPr>
          <w:rFonts w:cs="Arial"/>
          <w:b/>
          <w:sz w:val="24"/>
          <w:szCs w:val="24"/>
        </w:rPr>
      </w:pPr>
      <w:r w:rsidRPr="00FA188B">
        <w:rPr>
          <w:rFonts w:cs="Arial"/>
          <w:b/>
          <w:sz w:val="24"/>
          <w:szCs w:val="24"/>
        </w:rPr>
        <w:t>Feedback</w:t>
      </w:r>
      <w:r w:rsidR="00C40795" w:rsidRPr="00FA188B">
        <w:rPr>
          <w:rFonts w:cs="Arial"/>
          <w:b/>
          <w:sz w:val="24"/>
          <w:szCs w:val="24"/>
        </w:rPr>
        <w:t xml:space="preserve"> by </w:t>
      </w:r>
      <w:r w:rsidRPr="00FA188B">
        <w:rPr>
          <w:rFonts w:cs="Arial"/>
          <w:b/>
          <w:sz w:val="24"/>
          <w:szCs w:val="24"/>
        </w:rPr>
        <w:t>CISs</w:t>
      </w:r>
    </w:p>
    <w:p w14:paraId="07DE37F1" w14:textId="5B39F8B2" w:rsidR="000C1122" w:rsidRPr="000C1122" w:rsidRDefault="000C1122" w:rsidP="00A56EA0">
      <w:pPr>
        <w:spacing w:line="276" w:lineRule="auto"/>
        <w:ind w:left="-5" w:hanging="10"/>
        <w:jc w:val="both"/>
        <w:rPr>
          <w:rFonts w:eastAsia="Calibri"/>
          <w:b/>
          <w:lang w:eastAsia="en-IE"/>
        </w:rPr>
      </w:pPr>
      <w:r w:rsidRPr="000C1122">
        <w:rPr>
          <w:rFonts w:eastAsia="Calibri"/>
          <w:b/>
          <w:lang w:eastAsia="en-IE"/>
        </w:rPr>
        <w:lastRenderedPageBreak/>
        <w:t>Article 5 – Functions of Chief Appeals Officer</w:t>
      </w:r>
    </w:p>
    <w:p w14:paraId="4447C48A" w14:textId="7A5B2D9E" w:rsidR="000C1122" w:rsidRPr="000C1122" w:rsidRDefault="000C1122" w:rsidP="00A56EA0">
      <w:pPr>
        <w:spacing w:line="276" w:lineRule="auto"/>
        <w:ind w:left="-5" w:hanging="10"/>
        <w:jc w:val="both"/>
        <w:rPr>
          <w:rFonts w:cstheme="minorHAnsi"/>
          <w:color w:val="000000"/>
          <w:shd w:val="clear" w:color="auto" w:fill="FFFFFF"/>
        </w:rPr>
      </w:pPr>
      <w:r>
        <w:rPr>
          <w:rFonts w:eastAsia="Calibri"/>
          <w:lang w:eastAsia="en-IE"/>
        </w:rPr>
        <w:t xml:space="preserve">CISs welcome </w:t>
      </w:r>
      <w:r w:rsidRPr="000C1122">
        <w:rPr>
          <w:rFonts w:eastAsia="Calibri"/>
          <w:lang w:eastAsia="en-IE"/>
        </w:rPr>
        <w:t xml:space="preserve">Article 5 </w:t>
      </w:r>
      <w:r>
        <w:rPr>
          <w:rFonts w:eastAsia="Calibri"/>
          <w:lang w:eastAsia="en-IE"/>
        </w:rPr>
        <w:t xml:space="preserve">which </w:t>
      </w:r>
      <w:r w:rsidRPr="000C1122">
        <w:rPr>
          <w:rFonts w:eastAsia="Calibri"/>
          <w:lang w:eastAsia="en-IE"/>
        </w:rPr>
        <w:t xml:space="preserve">provides for a ‘feedback loop’ between the </w:t>
      </w:r>
      <w:r w:rsidR="0097680D">
        <w:rPr>
          <w:rFonts w:eastAsia="Calibri"/>
          <w:lang w:eastAsia="en-IE"/>
        </w:rPr>
        <w:t>Social Welfare Appeals Office</w:t>
      </w:r>
      <w:r w:rsidRPr="000C1122">
        <w:rPr>
          <w:rFonts w:eastAsia="Calibri"/>
          <w:lang w:eastAsia="en-IE"/>
        </w:rPr>
        <w:t xml:space="preserve"> and the Department of Social Protection, namely a role for the Chief Appeals Officer to provide feedback and guidance to the Minister and to Department staff on the correct interpretation of statutory provisions relating to decisions. This feedback to the Department should help to improve consistency in applying the rules of the various payments/schemes, and thus the quality and consistency of first instance decision-making. CIB notes as well the recommendation of the Comptroller and Auditor General’s report, which recommended that the Department</w:t>
      </w:r>
      <w:r w:rsidRPr="000C1122">
        <w:rPr>
          <w:rFonts w:eastAsia="Calibri" w:cstheme="minorHAnsi"/>
          <w:lang w:eastAsia="en-IE"/>
        </w:rPr>
        <w:t xml:space="preserve"> ‘</w:t>
      </w:r>
      <w:r w:rsidRPr="000C1122">
        <w:rPr>
          <w:rFonts w:cstheme="minorHAnsi"/>
          <w:color w:val="000000"/>
          <w:shd w:val="clear" w:color="auto" w:fill="FFFFFF"/>
        </w:rPr>
        <w:t xml:space="preserve">carry out periodic reviews of successfully appealed cases where no new or additional material information was provided” on the basis that “these reviews could assist the Department in learning from the cases determined by appeals officers and in improving the quality of decisions made by its deciding officers in determining claims’. Article 5 should assist in this process. </w:t>
      </w:r>
    </w:p>
    <w:p w14:paraId="104BC065" w14:textId="0E89E794" w:rsidR="000C1122" w:rsidRPr="000C1122" w:rsidRDefault="000C1122" w:rsidP="00A56EA0">
      <w:pPr>
        <w:autoSpaceDE w:val="0"/>
        <w:autoSpaceDN w:val="0"/>
        <w:adjustRightInd w:val="0"/>
        <w:spacing w:after="0" w:line="276" w:lineRule="auto"/>
        <w:jc w:val="both"/>
        <w:rPr>
          <w:rFonts w:ascii="Calibri" w:eastAsia="Calibri" w:hAnsi="Calibri" w:cs="Calibri"/>
          <w:color w:val="000000"/>
          <w:lang w:eastAsia="en-IE"/>
        </w:rPr>
      </w:pPr>
      <w:r w:rsidRPr="000C1122">
        <w:rPr>
          <w:rFonts w:ascii="Calibri" w:eastAsia="Calibri" w:hAnsi="Calibri" w:cs="Calibri"/>
          <w:color w:val="000000"/>
          <w:lang w:eastAsia="en-IE"/>
        </w:rPr>
        <w:t xml:space="preserve">Article 5 also provides for the delegation of initial consideration of reviews under Section 318 (provides for the Chief Appeals Officer to review an Appeals Officer’s decision where that decision was based on a mistake in relation to facts or law) </w:t>
      </w:r>
      <w:r w:rsidRPr="000C1122">
        <w:rPr>
          <w:rFonts w:ascii="Calibri" w:eastAsia="Calibri" w:hAnsi="Calibri" w:cs="Calibri"/>
          <w:color w:val="000000"/>
          <w:lang w:val="en-GB" w:eastAsia="en-IE"/>
        </w:rPr>
        <w:t xml:space="preserve">of the Social Welfare (Consolidation) Act 2005 </w:t>
      </w:r>
      <w:r w:rsidRPr="000C1122">
        <w:rPr>
          <w:rFonts w:ascii="Calibri" w:eastAsia="Calibri" w:hAnsi="Calibri" w:cs="Calibri"/>
          <w:color w:val="000000"/>
          <w:lang w:eastAsia="en-IE"/>
        </w:rPr>
        <w:t xml:space="preserve">Act to </w:t>
      </w:r>
      <w:r w:rsidRPr="000C1122">
        <w:rPr>
          <w:rFonts w:ascii="Calibri" w:eastAsia="Calibri" w:hAnsi="Calibri" w:cs="Calibri"/>
          <w:color w:val="000000"/>
          <w:lang w:eastAsia="en-IE"/>
        </w:rPr>
        <w:lastRenderedPageBreak/>
        <w:t>Deputy Chief Appeals Officers, which may perhaps help to improve the delays in obtaining a decision in a Section 318 review</w:t>
      </w:r>
      <w:r w:rsidR="00535E6E">
        <w:rPr>
          <w:rFonts w:ascii="Calibri" w:eastAsia="Calibri" w:hAnsi="Calibri" w:cs="Calibri"/>
          <w:color w:val="000000"/>
          <w:lang w:eastAsia="en-IE"/>
        </w:rPr>
        <w:t>.</w:t>
      </w:r>
      <w:r w:rsidRPr="000C1122">
        <w:rPr>
          <w:rFonts w:ascii="Calibri" w:eastAsia="Calibri" w:hAnsi="Calibri" w:cs="Calibri"/>
          <w:color w:val="000000"/>
          <w:vertAlign w:val="superscript"/>
          <w:lang w:eastAsia="en-IE"/>
        </w:rPr>
        <w:footnoteReference w:id="3"/>
      </w:r>
      <w:r w:rsidRPr="000C1122">
        <w:rPr>
          <w:rFonts w:ascii="Calibri" w:eastAsia="Calibri" w:hAnsi="Calibri" w:cs="Calibri"/>
          <w:color w:val="000000"/>
          <w:lang w:eastAsia="en-IE"/>
        </w:rPr>
        <w:t xml:space="preserve"> </w:t>
      </w:r>
    </w:p>
    <w:p w14:paraId="72591D4B" w14:textId="77777777" w:rsidR="000C1122" w:rsidRDefault="000C1122" w:rsidP="00A56EA0">
      <w:pPr>
        <w:spacing w:line="276" w:lineRule="auto"/>
        <w:jc w:val="both"/>
        <w:rPr>
          <w:rFonts w:cs="Arial"/>
          <w:b/>
        </w:rPr>
      </w:pPr>
    </w:p>
    <w:p w14:paraId="1C27A128" w14:textId="4F650AB8" w:rsidR="00DA2F4A" w:rsidRPr="00FA188B" w:rsidRDefault="00DA2F4A" w:rsidP="00A56EA0">
      <w:pPr>
        <w:spacing w:line="276" w:lineRule="auto"/>
        <w:jc w:val="both"/>
        <w:rPr>
          <w:rFonts w:cs="Arial"/>
          <w:b/>
        </w:rPr>
      </w:pPr>
      <w:r w:rsidRPr="00FA188B">
        <w:rPr>
          <w:rFonts w:cs="Arial"/>
          <w:b/>
        </w:rPr>
        <w:t>Article 7 - Submission of appeal and information to be supplied by appellant</w:t>
      </w:r>
    </w:p>
    <w:p w14:paraId="375E4410" w14:textId="26904970" w:rsidR="00C6757E" w:rsidRPr="00FA188B" w:rsidRDefault="00903C71" w:rsidP="00A56EA0">
      <w:pPr>
        <w:spacing w:line="276" w:lineRule="auto"/>
        <w:jc w:val="both"/>
        <w:rPr>
          <w:rFonts w:cs="Arial"/>
        </w:rPr>
      </w:pPr>
      <w:r w:rsidRPr="00FA188B">
        <w:rPr>
          <w:rFonts w:cs="Arial"/>
        </w:rPr>
        <w:t>Article 7</w:t>
      </w:r>
      <w:r w:rsidR="00C17D69" w:rsidRPr="00FA188B">
        <w:rPr>
          <w:rFonts w:cs="Arial"/>
        </w:rPr>
        <w:t xml:space="preserve"> (2) deals with the timeline </w:t>
      </w:r>
      <w:r w:rsidRPr="00FA188B">
        <w:rPr>
          <w:rFonts w:cs="Arial"/>
        </w:rPr>
        <w:t xml:space="preserve">for submitting an appeal. The proposed change is to extend </w:t>
      </w:r>
      <w:r w:rsidR="00C17D69" w:rsidRPr="00FA188B">
        <w:rPr>
          <w:rFonts w:cs="Arial"/>
        </w:rPr>
        <w:t>the timeline</w:t>
      </w:r>
      <w:r w:rsidRPr="00FA188B">
        <w:rPr>
          <w:rFonts w:cs="Arial"/>
        </w:rPr>
        <w:t xml:space="preserve"> from</w:t>
      </w:r>
      <w:r w:rsidR="00471622">
        <w:rPr>
          <w:rFonts w:cs="Arial"/>
        </w:rPr>
        <w:t xml:space="preserve"> 21 days to 60 days (8-9 weeks). </w:t>
      </w:r>
      <w:r w:rsidR="00C6757E" w:rsidRPr="00FA188B">
        <w:rPr>
          <w:rFonts w:cs="Arial"/>
        </w:rPr>
        <w:t>In general, this extension</w:t>
      </w:r>
      <w:r w:rsidR="00DE3D23">
        <w:rPr>
          <w:rFonts w:cs="Arial"/>
        </w:rPr>
        <w:t xml:space="preserve"> to</w:t>
      </w:r>
      <w:r w:rsidR="00C6757E" w:rsidRPr="00FA188B">
        <w:rPr>
          <w:rFonts w:cs="Arial"/>
        </w:rPr>
        <w:t xml:space="preserve"> the time limit to submit an appeal </w:t>
      </w:r>
      <w:r w:rsidR="00D40673">
        <w:rPr>
          <w:rFonts w:cs="Arial"/>
        </w:rPr>
        <w:t xml:space="preserve">is </w:t>
      </w:r>
      <w:r w:rsidR="00C6757E" w:rsidRPr="00FA188B">
        <w:rPr>
          <w:rFonts w:cs="Arial"/>
        </w:rPr>
        <w:t>welcomed</w:t>
      </w:r>
      <w:r w:rsidR="000163A3" w:rsidRPr="00FA188B">
        <w:rPr>
          <w:rFonts w:cs="Arial"/>
        </w:rPr>
        <w:t xml:space="preserve"> as it would give extra time to obtain additional evidence</w:t>
      </w:r>
      <w:r w:rsidR="00C6757E" w:rsidRPr="00FA188B">
        <w:rPr>
          <w:rFonts w:cs="Arial"/>
        </w:rPr>
        <w:t xml:space="preserve">. Information Providers in CISs often have to rely on the review mechanism in order to access an appeal as the 21 day timeframe </w:t>
      </w:r>
      <w:r w:rsidR="00AC723B">
        <w:rPr>
          <w:rFonts w:cs="Arial"/>
        </w:rPr>
        <w:t>is</w:t>
      </w:r>
      <w:r w:rsidR="00DE3D23">
        <w:rPr>
          <w:rFonts w:cs="Arial"/>
        </w:rPr>
        <w:t xml:space="preserve"> too short.</w:t>
      </w:r>
    </w:p>
    <w:p w14:paraId="3665ED0F" w14:textId="49F63B56" w:rsidR="00903C71" w:rsidRPr="00FA188B" w:rsidRDefault="00C6757E" w:rsidP="00A56EA0">
      <w:pPr>
        <w:spacing w:line="276" w:lineRule="auto"/>
        <w:jc w:val="both"/>
        <w:rPr>
          <w:rFonts w:cs="Arial"/>
        </w:rPr>
      </w:pPr>
      <w:r w:rsidRPr="00FA188B">
        <w:rPr>
          <w:rFonts w:cs="Arial"/>
        </w:rPr>
        <w:t xml:space="preserve">While the proposed </w:t>
      </w:r>
      <w:r w:rsidR="00D40673">
        <w:rPr>
          <w:rFonts w:cs="Arial"/>
        </w:rPr>
        <w:t xml:space="preserve">extension to the </w:t>
      </w:r>
      <w:r w:rsidRPr="00FA188B">
        <w:rPr>
          <w:rFonts w:cs="Arial"/>
        </w:rPr>
        <w:t xml:space="preserve">time limit </w:t>
      </w:r>
      <w:r w:rsidR="00D40673">
        <w:rPr>
          <w:rFonts w:cs="Arial"/>
        </w:rPr>
        <w:t xml:space="preserve">is </w:t>
      </w:r>
      <w:r w:rsidRPr="00FA188B">
        <w:rPr>
          <w:rFonts w:cs="Arial"/>
        </w:rPr>
        <w:t xml:space="preserve">welcomed, </w:t>
      </w:r>
      <w:r w:rsidR="00920079">
        <w:rPr>
          <w:rFonts w:cs="Arial"/>
        </w:rPr>
        <w:t xml:space="preserve">most CISs felt that it should be extended further with some considering that </w:t>
      </w:r>
      <w:r w:rsidR="00ED5621">
        <w:rPr>
          <w:rFonts w:cs="Arial"/>
        </w:rPr>
        <w:t>three</w:t>
      </w:r>
      <w:r w:rsidRPr="00FA188B">
        <w:rPr>
          <w:rFonts w:cs="Arial"/>
        </w:rPr>
        <w:t xml:space="preserve"> months</w:t>
      </w:r>
      <w:r w:rsidR="00920079">
        <w:rPr>
          <w:rFonts w:cs="Arial"/>
        </w:rPr>
        <w:t xml:space="preserve"> would be sufficient, </w:t>
      </w:r>
      <w:r w:rsidR="0052021E">
        <w:rPr>
          <w:rFonts w:cs="Arial"/>
        </w:rPr>
        <w:t xml:space="preserve">others </w:t>
      </w:r>
      <w:r w:rsidR="00ED5621">
        <w:rPr>
          <w:rFonts w:cs="Arial"/>
        </w:rPr>
        <w:t>four</w:t>
      </w:r>
      <w:r w:rsidR="0052021E">
        <w:rPr>
          <w:rFonts w:cs="Arial"/>
        </w:rPr>
        <w:t xml:space="preserve"> months, and</w:t>
      </w:r>
      <w:r w:rsidR="00920079">
        <w:rPr>
          <w:rFonts w:cs="Arial"/>
        </w:rPr>
        <w:t xml:space="preserve"> </w:t>
      </w:r>
      <w:r w:rsidR="0052021E">
        <w:rPr>
          <w:rFonts w:cs="Arial"/>
        </w:rPr>
        <w:t xml:space="preserve">some </w:t>
      </w:r>
      <w:r w:rsidR="00920079">
        <w:rPr>
          <w:rFonts w:cs="Arial"/>
        </w:rPr>
        <w:t xml:space="preserve">proposing </w:t>
      </w:r>
      <w:r w:rsidR="00ED5621">
        <w:rPr>
          <w:rFonts w:cs="Arial"/>
        </w:rPr>
        <w:t>six</w:t>
      </w:r>
      <w:r w:rsidR="00920079">
        <w:rPr>
          <w:rFonts w:cs="Arial"/>
        </w:rPr>
        <w:t xml:space="preserve"> months for a fully supported appeal</w:t>
      </w:r>
      <w:r w:rsidR="0052021E">
        <w:rPr>
          <w:rFonts w:cs="Arial"/>
        </w:rPr>
        <w:t>. It was also suggested th</w:t>
      </w:r>
      <w:r w:rsidR="00ED5621">
        <w:rPr>
          <w:rFonts w:cs="Arial"/>
        </w:rPr>
        <w:t>at extending the time limit to four</w:t>
      </w:r>
      <w:r w:rsidR="0052021E">
        <w:rPr>
          <w:rFonts w:cs="Arial"/>
        </w:rPr>
        <w:t xml:space="preserve"> months for example, could then allow for less time in which to submit a late appeal, e.g. </w:t>
      </w:r>
      <w:r w:rsidR="00ED5621">
        <w:rPr>
          <w:rFonts w:cs="Arial"/>
        </w:rPr>
        <w:t>four</w:t>
      </w:r>
      <w:r w:rsidR="0052021E">
        <w:rPr>
          <w:rFonts w:cs="Arial"/>
        </w:rPr>
        <w:t xml:space="preserve"> months. Extending</w:t>
      </w:r>
      <w:r w:rsidR="00920079">
        <w:rPr>
          <w:rFonts w:cs="Arial"/>
        </w:rPr>
        <w:t xml:space="preserve"> </w:t>
      </w:r>
      <w:r w:rsidR="000B2C5F">
        <w:rPr>
          <w:rFonts w:cs="Arial"/>
        </w:rPr>
        <w:t>the</w:t>
      </w:r>
      <w:r w:rsidR="0052021E">
        <w:rPr>
          <w:rFonts w:cs="Arial"/>
        </w:rPr>
        <w:t xml:space="preserve"> </w:t>
      </w:r>
      <w:r w:rsidR="00920079">
        <w:rPr>
          <w:rFonts w:cs="Arial"/>
        </w:rPr>
        <w:t xml:space="preserve">proposed </w:t>
      </w:r>
      <w:r w:rsidR="00920079">
        <w:rPr>
          <w:rFonts w:cs="Arial"/>
        </w:rPr>
        <w:lastRenderedPageBreak/>
        <w:t xml:space="preserve">time limit </w:t>
      </w:r>
      <w:r w:rsidR="0052021E">
        <w:rPr>
          <w:rFonts w:cs="Arial"/>
        </w:rPr>
        <w:t>of 60 days</w:t>
      </w:r>
      <w:r w:rsidR="000B2C5F">
        <w:rPr>
          <w:rFonts w:cs="Arial"/>
        </w:rPr>
        <w:t xml:space="preserve"> </w:t>
      </w:r>
      <w:r w:rsidR="0052021E">
        <w:rPr>
          <w:rFonts w:cs="Arial"/>
        </w:rPr>
        <w:t xml:space="preserve">is </w:t>
      </w:r>
      <w:r w:rsidR="00920079">
        <w:rPr>
          <w:rFonts w:cs="Arial"/>
        </w:rPr>
        <w:t xml:space="preserve">needed in </w:t>
      </w:r>
      <w:r w:rsidRPr="00FA188B">
        <w:rPr>
          <w:rFonts w:cs="Arial"/>
        </w:rPr>
        <w:t xml:space="preserve">order to provide </w:t>
      </w:r>
      <w:r w:rsidR="00920079">
        <w:rPr>
          <w:rFonts w:cs="Arial"/>
        </w:rPr>
        <w:t>adequate</w:t>
      </w:r>
      <w:r w:rsidRPr="00FA188B">
        <w:rPr>
          <w:rFonts w:cs="Arial"/>
        </w:rPr>
        <w:t xml:space="preserve"> time </w:t>
      </w:r>
      <w:r w:rsidR="00903C71" w:rsidRPr="00FA188B">
        <w:rPr>
          <w:rFonts w:cs="Arial"/>
        </w:rPr>
        <w:t xml:space="preserve">to gather </w:t>
      </w:r>
      <w:r w:rsidRPr="00FA188B">
        <w:rPr>
          <w:rFonts w:cs="Arial"/>
        </w:rPr>
        <w:t xml:space="preserve">the </w:t>
      </w:r>
      <w:r w:rsidR="00903C71" w:rsidRPr="00FA188B">
        <w:rPr>
          <w:rFonts w:cs="Arial"/>
        </w:rPr>
        <w:t>evidence and prepare a submission</w:t>
      </w:r>
      <w:r w:rsidR="00AC723B">
        <w:rPr>
          <w:rFonts w:cs="Arial"/>
        </w:rPr>
        <w:t xml:space="preserve"> involving for example,</w:t>
      </w:r>
      <w:r w:rsidRPr="00FA188B">
        <w:rPr>
          <w:rFonts w:cs="Arial"/>
        </w:rPr>
        <w:t xml:space="preserve"> gain</w:t>
      </w:r>
      <w:r w:rsidR="00AC723B">
        <w:rPr>
          <w:rFonts w:cs="Arial"/>
        </w:rPr>
        <w:t>ing</w:t>
      </w:r>
      <w:r w:rsidRPr="00FA188B">
        <w:rPr>
          <w:rFonts w:cs="Arial"/>
        </w:rPr>
        <w:t xml:space="preserve"> access to the </w:t>
      </w:r>
      <w:r w:rsidR="00903C71" w:rsidRPr="00FA188B">
        <w:rPr>
          <w:rFonts w:cs="Arial"/>
        </w:rPr>
        <w:t>client’s file under the Freedom of Information process, and organis</w:t>
      </w:r>
      <w:r w:rsidR="00AC723B">
        <w:rPr>
          <w:rFonts w:cs="Arial"/>
        </w:rPr>
        <w:t xml:space="preserve">ing </w:t>
      </w:r>
      <w:r w:rsidR="00903C71" w:rsidRPr="00FA188B">
        <w:rPr>
          <w:rFonts w:cs="Arial"/>
        </w:rPr>
        <w:t>medical evidence</w:t>
      </w:r>
      <w:r w:rsidRPr="00FA188B">
        <w:rPr>
          <w:rFonts w:cs="Arial"/>
        </w:rPr>
        <w:t xml:space="preserve">. </w:t>
      </w:r>
      <w:r w:rsidR="004F1E2B" w:rsidRPr="004F1E2B">
        <w:rPr>
          <w:rFonts w:cs="Arial"/>
        </w:rPr>
        <w:t>Clarification was also sought on whether these referred to working</w:t>
      </w:r>
      <w:r w:rsidR="00DE3D23">
        <w:rPr>
          <w:rFonts w:cs="Arial"/>
        </w:rPr>
        <w:t xml:space="preserve"> days or not.</w:t>
      </w:r>
    </w:p>
    <w:p w14:paraId="7F442AB8" w14:textId="456759C8" w:rsidR="00C6757E" w:rsidRDefault="00C6757E" w:rsidP="00A56EA0">
      <w:pPr>
        <w:spacing w:line="276" w:lineRule="auto"/>
        <w:jc w:val="both"/>
        <w:rPr>
          <w:rFonts w:cs="Arial"/>
        </w:rPr>
      </w:pPr>
      <w:r w:rsidRPr="00FA188B">
        <w:rPr>
          <w:rFonts w:cs="Arial"/>
        </w:rPr>
        <w:t>A potential downside to extending th</w:t>
      </w:r>
      <w:r w:rsidR="00AC723B">
        <w:rPr>
          <w:rFonts w:cs="Arial"/>
        </w:rPr>
        <w:t xml:space="preserve">e </w:t>
      </w:r>
      <w:r w:rsidRPr="00FA188B">
        <w:rPr>
          <w:rFonts w:cs="Arial"/>
        </w:rPr>
        <w:t>timeline</w:t>
      </w:r>
      <w:r w:rsidR="00920079">
        <w:rPr>
          <w:rFonts w:cs="Arial"/>
        </w:rPr>
        <w:t xml:space="preserve"> might be </w:t>
      </w:r>
      <w:r w:rsidRPr="00FA188B">
        <w:rPr>
          <w:rFonts w:cs="Arial"/>
        </w:rPr>
        <w:t xml:space="preserve">clients </w:t>
      </w:r>
      <w:r w:rsidR="00BE4F49">
        <w:rPr>
          <w:rFonts w:cs="Arial"/>
        </w:rPr>
        <w:t xml:space="preserve">being </w:t>
      </w:r>
      <w:r w:rsidRPr="00FA188B">
        <w:rPr>
          <w:rFonts w:cs="Arial"/>
        </w:rPr>
        <w:t>without an income</w:t>
      </w:r>
      <w:r w:rsidR="00BE4F49">
        <w:rPr>
          <w:rFonts w:cs="Arial"/>
        </w:rPr>
        <w:t xml:space="preserve"> for longer periods in the context of </w:t>
      </w:r>
      <w:r w:rsidR="00113297" w:rsidRPr="00FA188B">
        <w:rPr>
          <w:rFonts w:cs="Arial"/>
        </w:rPr>
        <w:t xml:space="preserve">difficulties </w:t>
      </w:r>
      <w:r w:rsidR="00BE4F49">
        <w:rPr>
          <w:rFonts w:cs="Arial"/>
        </w:rPr>
        <w:t xml:space="preserve">being </w:t>
      </w:r>
      <w:r w:rsidR="00113297" w:rsidRPr="00FA188B">
        <w:rPr>
          <w:rFonts w:cs="Arial"/>
        </w:rPr>
        <w:t xml:space="preserve">experienced by some in accessing </w:t>
      </w:r>
      <w:r w:rsidRPr="00FA188B">
        <w:rPr>
          <w:rFonts w:cs="Arial"/>
        </w:rPr>
        <w:t>Supplementary Welfare Allowance</w:t>
      </w:r>
      <w:r w:rsidR="00113297" w:rsidRPr="00FA188B">
        <w:rPr>
          <w:rFonts w:cs="Arial"/>
        </w:rPr>
        <w:t xml:space="preserve"> through the Community Welfare Service</w:t>
      </w:r>
      <w:r w:rsidR="00DE3D23">
        <w:rPr>
          <w:rFonts w:cs="Arial"/>
        </w:rPr>
        <w:t>.</w:t>
      </w:r>
    </w:p>
    <w:p w14:paraId="4F792348" w14:textId="62C3473D" w:rsidR="00471622" w:rsidRPr="00471622" w:rsidRDefault="00471622" w:rsidP="00A56EA0">
      <w:pPr>
        <w:spacing w:line="276" w:lineRule="auto"/>
        <w:ind w:left="720"/>
        <w:jc w:val="both"/>
        <w:rPr>
          <w:rFonts w:cs="Arial"/>
          <w:i/>
        </w:rPr>
      </w:pPr>
      <w:r w:rsidRPr="00471622">
        <w:rPr>
          <w:rFonts w:cs="Arial"/>
          <w:i/>
        </w:rPr>
        <w:t xml:space="preserve">Often clients come to CIS very close to </w:t>
      </w:r>
      <w:r>
        <w:rPr>
          <w:rFonts w:cs="Arial"/>
          <w:i/>
        </w:rPr>
        <w:t xml:space="preserve">the </w:t>
      </w:r>
      <w:r w:rsidRPr="00471622">
        <w:rPr>
          <w:rFonts w:cs="Arial"/>
          <w:i/>
        </w:rPr>
        <w:t xml:space="preserve">21 day deadline and there is a risk that if the time line is extended, it may result in further delays in contacting our service. On balance, extending </w:t>
      </w:r>
      <w:r>
        <w:rPr>
          <w:rFonts w:cs="Arial"/>
          <w:i/>
        </w:rPr>
        <w:t xml:space="preserve">the </w:t>
      </w:r>
      <w:r w:rsidRPr="00471622">
        <w:rPr>
          <w:rFonts w:cs="Arial"/>
          <w:i/>
        </w:rPr>
        <w:t xml:space="preserve">time limit is a positive development, however 60 days may not be sufficient to request and review FOI file, collect additional documents (for example medical reports) and submit a complete appeal. Increasing the time limit to </w:t>
      </w:r>
      <w:r w:rsidR="00ED5621">
        <w:rPr>
          <w:rFonts w:cs="Arial"/>
          <w:i/>
        </w:rPr>
        <w:t>three</w:t>
      </w:r>
      <w:r w:rsidRPr="00471622">
        <w:rPr>
          <w:rFonts w:cs="Arial"/>
          <w:i/>
        </w:rPr>
        <w:t xml:space="preserve"> months would allow</w:t>
      </w:r>
      <w:r>
        <w:rPr>
          <w:rFonts w:cs="Arial"/>
          <w:i/>
        </w:rPr>
        <w:t xml:space="preserve"> for</w:t>
      </w:r>
      <w:r w:rsidRPr="00471622">
        <w:rPr>
          <w:rFonts w:cs="Arial"/>
          <w:i/>
        </w:rPr>
        <w:t xml:space="preserve">, in most cases, </w:t>
      </w:r>
      <w:r w:rsidR="00527182">
        <w:rPr>
          <w:rFonts w:cs="Arial"/>
          <w:i/>
        </w:rPr>
        <w:t xml:space="preserve">the </w:t>
      </w:r>
      <w:r w:rsidRPr="00471622">
        <w:rPr>
          <w:rFonts w:cs="Arial"/>
          <w:i/>
        </w:rPr>
        <w:t>gather</w:t>
      </w:r>
      <w:r>
        <w:rPr>
          <w:rFonts w:cs="Arial"/>
          <w:i/>
        </w:rPr>
        <w:t>ing</w:t>
      </w:r>
      <w:r w:rsidRPr="00471622">
        <w:rPr>
          <w:rFonts w:cs="Arial"/>
          <w:i/>
        </w:rPr>
        <w:t xml:space="preserve"> </w:t>
      </w:r>
      <w:r w:rsidR="00527182">
        <w:rPr>
          <w:rFonts w:cs="Arial"/>
          <w:i/>
        </w:rPr>
        <w:t xml:space="preserve">of </w:t>
      </w:r>
      <w:r w:rsidRPr="00471622">
        <w:rPr>
          <w:rFonts w:cs="Arial"/>
          <w:i/>
        </w:rPr>
        <w:t>the necessary evidence and review</w:t>
      </w:r>
      <w:r>
        <w:rPr>
          <w:rFonts w:cs="Arial"/>
          <w:i/>
        </w:rPr>
        <w:t>ing</w:t>
      </w:r>
      <w:r w:rsidRPr="00471622">
        <w:rPr>
          <w:rFonts w:cs="Arial"/>
          <w:i/>
        </w:rPr>
        <w:t xml:space="preserve"> FOI before submitting an appeal’.</w:t>
      </w:r>
      <w:r>
        <w:rPr>
          <w:rFonts w:cs="Arial"/>
          <w:i/>
        </w:rPr>
        <w:t xml:space="preserve"> [CIS Advocacy Support Worker]</w:t>
      </w:r>
    </w:p>
    <w:p w14:paraId="42610BBE" w14:textId="7C3BB39A" w:rsidR="002C6F2E" w:rsidRDefault="00372DFF" w:rsidP="00A56EA0">
      <w:pPr>
        <w:spacing w:line="276" w:lineRule="auto"/>
        <w:jc w:val="both"/>
        <w:rPr>
          <w:rFonts w:cs="Arial"/>
        </w:rPr>
      </w:pPr>
      <w:r>
        <w:rPr>
          <w:rFonts w:cs="Arial"/>
        </w:rPr>
        <w:lastRenderedPageBreak/>
        <w:t xml:space="preserve">Where </w:t>
      </w:r>
      <w:r w:rsidR="002C6F2E">
        <w:rPr>
          <w:rFonts w:cs="Arial"/>
        </w:rPr>
        <w:t xml:space="preserve">an appellant </w:t>
      </w:r>
      <w:r w:rsidR="00C85C3A">
        <w:rPr>
          <w:rFonts w:cs="Arial"/>
        </w:rPr>
        <w:t>does not have access to advocacy support and i</w:t>
      </w:r>
      <w:r w:rsidR="002C6F2E">
        <w:rPr>
          <w:rFonts w:cs="Arial"/>
        </w:rPr>
        <w:t xml:space="preserve">s required to have a fully completed appeal </w:t>
      </w:r>
      <w:r w:rsidR="00C85C3A" w:rsidRPr="00C85C3A">
        <w:rPr>
          <w:rFonts w:cs="Arial"/>
        </w:rPr>
        <w:t xml:space="preserve">lodged </w:t>
      </w:r>
      <w:r>
        <w:rPr>
          <w:rFonts w:cs="Arial"/>
        </w:rPr>
        <w:t>in the 60 day timeframe</w:t>
      </w:r>
      <w:r w:rsidR="00304494">
        <w:rPr>
          <w:rFonts w:cs="Arial"/>
        </w:rPr>
        <w:t xml:space="preserve">, it was observed </w:t>
      </w:r>
      <w:r>
        <w:rPr>
          <w:rFonts w:cs="Arial"/>
        </w:rPr>
        <w:t xml:space="preserve">that comprehensive </w:t>
      </w:r>
      <w:r w:rsidR="002C6F2E">
        <w:rPr>
          <w:rFonts w:cs="Arial"/>
        </w:rPr>
        <w:t>guidance</w:t>
      </w:r>
      <w:r w:rsidR="00C85C3A">
        <w:rPr>
          <w:rFonts w:cs="Arial"/>
        </w:rPr>
        <w:t xml:space="preserve"> would need to be provided</w:t>
      </w:r>
      <w:r w:rsidR="002C6F2E">
        <w:rPr>
          <w:rFonts w:cs="Arial"/>
        </w:rPr>
        <w:t xml:space="preserve">. </w:t>
      </w:r>
      <w:r w:rsidR="00304494" w:rsidRPr="00304494">
        <w:rPr>
          <w:rFonts w:cs="Arial"/>
        </w:rPr>
        <w:t xml:space="preserve">CISs noted that there was little information for appellants on the current Appeals Form, and sought clarity on the status of the new Appeals Form, as it is not mentioned in the proposed regulations. </w:t>
      </w:r>
      <w:r w:rsidR="00304494">
        <w:rPr>
          <w:rFonts w:cs="Arial"/>
        </w:rPr>
        <w:t>An improved form should assist the general public in understanding the requirement to provide detailed submissions/reports, and potentially would assist in re</w:t>
      </w:r>
      <w:r w:rsidR="005E48DE">
        <w:rPr>
          <w:rFonts w:cs="Arial"/>
        </w:rPr>
        <w:t>du</w:t>
      </w:r>
      <w:r w:rsidR="00DE3D23">
        <w:rPr>
          <w:rFonts w:cs="Arial"/>
        </w:rPr>
        <w:t>cing negative appeals outcomes.</w:t>
      </w:r>
    </w:p>
    <w:p w14:paraId="1BDB11F2" w14:textId="2C70EC4D" w:rsidR="008F3763" w:rsidRPr="008F3763" w:rsidRDefault="008F3763" w:rsidP="00A56EA0">
      <w:pPr>
        <w:spacing w:line="276" w:lineRule="auto"/>
        <w:jc w:val="both"/>
        <w:rPr>
          <w:rFonts w:cs="Arial"/>
          <w:lang w:val="en-US"/>
        </w:rPr>
      </w:pPr>
      <w:r>
        <w:rPr>
          <w:rFonts w:cs="Arial"/>
          <w:lang w:val="en-US"/>
        </w:rPr>
        <w:t xml:space="preserve">Notwithstanding Article 10, which concerns responding to a request for further information from the </w:t>
      </w:r>
      <w:r w:rsidR="00372DFF">
        <w:rPr>
          <w:rFonts w:cs="Arial"/>
          <w:lang w:val="en-US"/>
        </w:rPr>
        <w:t>A</w:t>
      </w:r>
      <w:r>
        <w:rPr>
          <w:rFonts w:cs="Arial"/>
          <w:lang w:val="en-US"/>
        </w:rPr>
        <w:t xml:space="preserve">ppeals </w:t>
      </w:r>
      <w:r w:rsidR="00372DFF">
        <w:rPr>
          <w:rFonts w:cs="Arial"/>
          <w:lang w:val="en-US"/>
        </w:rPr>
        <w:t>O</w:t>
      </w:r>
      <w:r>
        <w:rPr>
          <w:rFonts w:cs="Arial"/>
          <w:lang w:val="en-US"/>
        </w:rPr>
        <w:t>ffice, it</w:t>
      </w:r>
      <w:r w:rsidRPr="008F3763">
        <w:rPr>
          <w:rFonts w:cs="Arial"/>
          <w:lang w:val="en-US"/>
        </w:rPr>
        <w:t xml:space="preserve"> is not clear </w:t>
      </w:r>
      <w:r>
        <w:rPr>
          <w:rFonts w:cs="Arial"/>
          <w:lang w:val="en-US"/>
        </w:rPr>
        <w:t>whether further evidence provided by the appellant after this 60 day period</w:t>
      </w:r>
      <w:r w:rsidRPr="008F3763">
        <w:rPr>
          <w:rFonts w:cs="Arial"/>
          <w:lang w:val="en-US"/>
        </w:rPr>
        <w:t xml:space="preserve"> </w:t>
      </w:r>
      <w:r>
        <w:rPr>
          <w:rFonts w:cs="Arial"/>
          <w:lang w:val="en-US"/>
        </w:rPr>
        <w:t>will be accepted, and whether</w:t>
      </w:r>
      <w:r w:rsidR="00D40673">
        <w:rPr>
          <w:rFonts w:cs="Arial"/>
          <w:lang w:val="en-US"/>
        </w:rPr>
        <w:t xml:space="preserve"> there</w:t>
      </w:r>
      <w:r>
        <w:rPr>
          <w:rFonts w:cs="Arial"/>
          <w:lang w:val="en-US"/>
        </w:rPr>
        <w:t xml:space="preserve"> </w:t>
      </w:r>
      <w:r w:rsidRPr="008F3763">
        <w:rPr>
          <w:rFonts w:cs="Arial"/>
          <w:lang w:val="en-US"/>
        </w:rPr>
        <w:t xml:space="preserve">will be a strict cut off </w:t>
      </w:r>
      <w:r>
        <w:rPr>
          <w:rFonts w:cs="Arial"/>
          <w:lang w:val="en-US"/>
        </w:rPr>
        <w:t xml:space="preserve">time limit. </w:t>
      </w:r>
      <w:r w:rsidRPr="008F3763">
        <w:rPr>
          <w:rFonts w:cs="Arial"/>
          <w:lang w:val="en-US"/>
        </w:rPr>
        <w:t xml:space="preserve">It is </w:t>
      </w:r>
      <w:r w:rsidR="00983452">
        <w:rPr>
          <w:rFonts w:cs="Arial"/>
          <w:lang w:val="en-US"/>
        </w:rPr>
        <w:t>noted</w:t>
      </w:r>
      <w:r w:rsidRPr="008F3763">
        <w:rPr>
          <w:rFonts w:cs="Arial"/>
          <w:lang w:val="en-US"/>
        </w:rPr>
        <w:t xml:space="preserve"> that appellants or other interested parties retain the right under section 317 of the Act to seek a review of an Appeals Officer Decision at any time if new facts or evidence are available to be submitted.</w:t>
      </w:r>
    </w:p>
    <w:p w14:paraId="27CD6331" w14:textId="24A82217" w:rsidR="002E2B7F" w:rsidRPr="00DE3D23" w:rsidRDefault="00AA42EA" w:rsidP="00DE3D23">
      <w:pPr>
        <w:spacing w:line="276" w:lineRule="auto"/>
        <w:jc w:val="both"/>
        <w:rPr>
          <w:rFonts w:cs="Arial"/>
        </w:rPr>
      </w:pPr>
      <w:r w:rsidRPr="00DE3D23">
        <w:rPr>
          <w:rFonts w:cs="Arial"/>
        </w:rPr>
        <w:t xml:space="preserve">According to </w:t>
      </w:r>
      <w:r w:rsidR="009576B7" w:rsidRPr="00DE3D23">
        <w:rPr>
          <w:rFonts w:cs="Arial"/>
        </w:rPr>
        <w:t xml:space="preserve">Article 7 (3) </w:t>
      </w:r>
      <w:r w:rsidRPr="00DE3D23">
        <w:rPr>
          <w:rFonts w:cs="Arial"/>
        </w:rPr>
        <w:t>t</w:t>
      </w:r>
      <w:r w:rsidR="009576B7" w:rsidRPr="00DE3D23">
        <w:rPr>
          <w:rFonts w:cs="Arial"/>
        </w:rPr>
        <w:t>he possibility of lodging an appeal at any time</w:t>
      </w:r>
      <w:r w:rsidR="00905D94" w:rsidRPr="00650001">
        <w:rPr>
          <w:rFonts w:cs="Arial"/>
          <w:vertAlign w:val="superscript"/>
        </w:rPr>
        <w:footnoteReference w:id="4"/>
      </w:r>
      <w:r w:rsidR="009576B7" w:rsidRPr="00DE3D23">
        <w:rPr>
          <w:rFonts w:cs="Arial"/>
        </w:rPr>
        <w:t xml:space="preserve"> has been removed in the proposed regulations</w:t>
      </w:r>
      <w:r w:rsidR="00BB633F" w:rsidRPr="00DE3D23">
        <w:rPr>
          <w:rFonts w:cs="Arial"/>
        </w:rPr>
        <w:t xml:space="preserve">. The rationale </w:t>
      </w:r>
      <w:r w:rsidR="00905D94" w:rsidRPr="00DE3D23">
        <w:rPr>
          <w:rFonts w:cs="Arial"/>
        </w:rPr>
        <w:t xml:space="preserve">as set out </w:t>
      </w:r>
      <w:r w:rsidR="00BB633F" w:rsidRPr="00DE3D23">
        <w:rPr>
          <w:rFonts w:cs="Arial"/>
        </w:rPr>
        <w:lastRenderedPageBreak/>
        <w:t xml:space="preserve">for the </w:t>
      </w:r>
      <w:r w:rsidR="00905D94" w:rsidRPr="00DE3D23">
        <w:rPr>
          <w:rFonts w:cs="Arial"/>
        </w:rPr>
        <w:t>establishing</w:t>
      </w:r>
      <w:r w:rsidR="00BB633F" w:rsidRPr="00DE3D23">
        <w:rPr>
          <w:rFonts w:cs="Arial"/>
        </w:rPr>
        <w:t xml:space="preserve"> of an outer time limit (180 days) is that the initial appeal submission time has been extended to 60 days. However,</w:t>
      </w:r>
      <w:r w:rsidR="009576B7" w:rsidRPr="00DE3D23">
        <w:rPr>
          <w:rFonts w:cs="Arial"/>
        </w:rPr>
        <w:t xml:space="preserve"> it was considered</w:t>
      </w:r>
      <w:r w:rsidR="00905D94" w:rsidRPr="00DE3D23">
        <w:rPr>
          <w:rFonts w:cs="Arial"/>
        </w:rPr>
        <w:t xml:space="preserve"> in CIS feedback</w:t>
      </w:r>
      <w:r w:rsidR="009576B7" w:rsidRPr="00DE3D23">
        <w:rPr>
          <w:rFonts w:cs="Arial"/>
        </w:rPr>
        <w:t xml:space="preserve"> that there m</w:t>
      </w:r>
      <w:r w:rsidR="00D631BD" w:rsidRPr="00DE3D23">
        <w:rPr>
          <w:rFonts w:cs="Arial"/>
        </w:rPr>
        <w:t>ay be exceptional circumstances</w:t>
      </w:r>
      <w:r w:rsidR="009576B7" w:rsidRPr="00DE3D23">
        <w:rPr>
          <w:rFonts w:cs="Arial"/>
        </w:rPr>
        <w:t xml:space="preserve"> </w:t>
      </w:r>
      <w:r w:rsidR="00D631BD" w:rsidRPr="00DE3D23">
        <w:rPr>
          <w:rFonts w:cs="Arial"/>
        </w:rPr>
        <w:t>(</w:t>
      </w:r>
      <w:r w:rsidR="00BB633F" w:rsidRPr="00DE3D23">
        <w:rPr>
          <w:rFonts w:cs="Arial"/>
        </w:rPr>
        <w:t xml:space="preserve">such as </w:t>
      </w:r>
      <w:r w:rsidR="00D40673" w:rsidRPr="00DE3D23">
        <w:rPr>
          <w:rFonts w:cs="Arial"/>
        </w:rPr>
        <w:t>errors)</w:t>
      </w:r>
      <w:r w:rsidR="00E17877" w:rsidRPr="00DE3D23">
        <w:rPr>
          <w:rFonts w:cs="Arial"/>
        </w:rPr>
        <w:t xml:space="preserve"> </w:t>
      </w:r>
      <w:r w:rsidR="009576B7" w:rsidRPr="00DE3D23">
        <w:rPr>
          <w:rFonts w:cs="Arial"/>
        </w:rPr>
        <w:t xml:space="preserve">where an appeal </w:t>
      </w:r>
      <w:r w:rsidRPr="00DE3D23">
        <w:rPr>
          <w:rFonts w:cs="Arial"/>
        </w:rPr>
        <w:t>should</w:t>
      </w:r>
      <w:r w:rsidR="009576B7" w:rsidRPr="00DE3D23">
        <w:rPr>
          <w:rFonts w:cs="Arial"/>
        </w:rPr>
        <w:t xml:space="preserve"> be accepted at any time</w:t>
      </w:r>
      <w:r w:rsidR="0052021E" w:rsidRPr="00DE3D23">
        <w:rPr>
          <w:rFonts w:cs="Arial"/>
        </w:rPr>
        <w:t>, and therefore this provision should be maintained in the new regulations.</w:t>
      </w:r>
    </w:p>
    <w:p w14:paraId="668C9993" w14:textId="57A8407A" w:rsidR="00372DFF" w:rsidRDefault="002E2B7F" w:rsidP="00A56EA0">
      <w:pPr>
        <w:spacing w:line="276" w:lineRule="auto"/>
        <w:jc w:val="both"/>
        <w:rPr>
          <w:rFonts w:cs="Arial"/>
        </w:rPr>
      </w:pPr>
      <w:r w:rsidRPr="002E2B7F">
        <w:rPr>
          <w:rFonts w:cs="Arial"/>
        </w:rPr>
        <w:t xml:space="preserve">Article 7 (3) covers late appeals and provides for up to 180 days in which to submit a late appeal, which must be due to ‘exceptional circumstances’ and </w:t>
      </w:r>
      <w:r w:rsidR="009F4BC8">
        <w:rPr>
          <w:rFonts w:cs="Arial"/>
        </w:rPr>
        <w:t xml:space="preserve">where </w:t>
      </w:r>
      <w:r w:rsidRPr="002E2B7F">
        <w:rPr>
          <w:rFonts w:cs="Arial"/>
        </w:rPr>
        <w:t xml:space="preserve">there must also be strong </w:t>
      </w:r>
      <w:r w:rsidRPr="002E2B7F">
        <w:rPr>
          <w:rFonts w:cs="Arial"/>
          <w:i/>
        </w:rPr>
        <w:t>prima facie</w:t>
      </w:r>
      <w:r w:rsidRPr="002E2B7F">
        <w:rPr>
          <w:rFonts w:cs="Arial"/>
        </w:rPr>
        <w:t xml:space="preserve"> grounds for appeal. CIB notes that </w:t>
      </w:r>
      <w:r w:rsidR="00372DFF">
        <w:rPr>
          <w:rFonts w:cs="Arial"/>
        </w:rPr>
        <w:t>there is no</w:t>
      </w:r>
      <w:r w:rsidRPr="002E2B7F">
        <w:rPr>
          <w:rFonts w:cs="Arial"/>
        </w:rPr>
        <w:t xml:space="preserve"> definition of ‘exceptional circumstances’ provided in the draft regulations</w:t>
      </w:r>
      <w:r w:rsidR="00372DFF">
        <w:rPr>
          <w:rFonts w:cs="Arial"/>
        </w:rPr>
        <w:t>.</w:t>
      </w:r>
      <w:r w:rsidRPr="002E2B7F">
        <w:rPr>
          <w:rFonts w:cs="Arial"/>
        </w:rPr>
        <w:t xml:space="preserve"> </w:t>
      </w:r>
      <w:r w:rsidR="00372DFF" w:rsidRPr="00372DFF">
        <w:rPr>
          <w:rFonts w:cs="Arial"/>
        </w:rPr>
        <w:t>Would for example the fact that a client had poor literacy, addiction problems, physical or mental health issues, and/or ability to understand documents, and was unable to understand that they could appeal fall within this standard and meet the requirements for exceptional circumstances?</w:t>
      </w:r>
      <w:r w:rsidR="00372DFF">
        <w:rPr>
          <w:rFonts w:cs="Arial"/>
        </w:rPr>
        <w:t xml:space="preserve"> </w:t>
      </w:r>
    </w:p>
    <w:p w14:paraId="139FCC3F" w14:textId="0C38161E" w:rsidR="00372DFF" w:rsidRDefault="00372DFF" w:rsidP="00A56EA0">
      <w:pPr>
        <w:spacing w:line="276" w:lineRule="auto"/>
        <w:jc w:val="both"/>
        <w:rPr>
          <w:rFonts w:cs="Arial"/>
        </w:rPr>
      </w:pPr>
      <w:r w:rsidRPr="00372DFF">
        <w:rPr>
          <w:rFonts w:cs="Arial"/>
        </w:rPr>
        <w:t>Note the case of</w:t>
      </w:r>
      <w:r>
        <w:rPr>
          <w:rFonts w:cs="Arial"/>
        </w:rPr>
        <w:t xml:space="preserve"> </w:t>
      </w:r>
      <w:r w:rsidRPr="00372DFF">
        <w:rPr>
          <w:rFonts w:cs="Arial"/>
          <w:i/>
        </w:rPr>
        <w:t>JMcE. v. Residential Institutions Redress Board</w:t>
      </w:r>
      <w:r w:rsidRPr="00372DFF">
        <w:rPr>
          <w:rFonts w:cs="Arial"/>
        </w:rPr>
        <w:t>. Court of Appeal 2016 Record No. 2014/1326</w:t>
      </w:r>
      <w:r>
        <w:rPr>
          <w:rFonts w:cs="Arial"/>
        </w:rPr>
        <w:t xml:space="preserve"> in this regard</w:t>
      </w:r>
      <w:r w:rsidRPr="00372DFF">
        <w:rPr>
          <w:rFonts w:cs="Arial"/>
        </w:rPr>
        <w:t xml:space="preserve">, where the meaning of ‘exceptional circumstances’ was examined and </w:t>
      </w:r>
      <w:r>
        <w:rPr>
          <w:rFonts w:cs="Arial"/>
        </w:rPr>
        <w:t xml:space="preserve">where </w:t>
      </w:r>
      <w:r w:rsidRPr="00372DFF">
        <w:rPr>
          <w:rFonts w:cs="Arial"/>
        </w:rPr>
        <w:t>Judge Horan stated that it should be given a ‘broad and liberal interpretation as befits a reme</w:t>
      </w:r>
      <w:r w:rsidRPr="00372DFF">
        <w:rPr>
          <w:rFonts w:cs="Arial"/>
        </w:rPr>
        <w:lastRenderedPageBreak/>
        <w:t>dial statute of this kind’</w:t>
      </w:r>
      <w:r>
        <w:rPr>
          <w:rFonts w:cs="Arial"/>
        </w:rPr>
        <w:t xml:space="preserve">. </w:t>
      </w:r>
      <w:r w:rsidRPr="00372DFF">
        <w:rPr>
          <w:rFonts w:cs="Arial"/>
        </w:rPr>
        <w:t>He found that the standard for exceptional circumstances at issue must be compared to contemporary standa</w:t>
      </w:r>
      <w:r w:rsidR="001F0455">
        <w:rPr>
          <w:rFonts w:cs="Arial"/>
        </w:rPr>
        <w:t>rds within the general public.</w:t>
      </w:r>
    </w:p>
    <w:p w14:paraId="6A5F6ED1" w14:textId="15103AEA" w:rsidR="00F830E6" w:rsidRPr="002E2B7F" w:rsidRDefault="00F830E6" w:rsidP="00A56EA0">
      <w:pPr>
        <w:spacing w:line="276" w:lineRule="auto"/>
        <w:jc w:val="both"/>
        <w:rPr>
          <w:rFonts w:cs="Arial"/>
        </w:rPr>
      </w:pPr>
      <w:r w:rsidRPr="002E2B7F">
        <w:rPr>
          <w:rFonts w:cs="Arial"/>
        </w:rPr>
        <w:t xml:space="preserve">It is suggested that ‘exceptional circumstances’ </w:t>
      </w:r>
      <w:r>
        <w:rPr>
          <w:rFonts w:cs="Arial"/>
        </w:rPr>
        <w:t>should</w:t>
      </w:r>
      <w:r w:rsidRPr="002E2B7F">
        <w:rPr>
          <w:rFonts w:cs="Arial"/>
        </w:rPr>
        <w:t xml:space="preserve"> </w:t>
      </w:r>
      <w:r w:rsidR="00905D94">
        <w:rPr>
          <w:rFonts w:cs="Arial"/>
        </w:rPr>
        <w:t xml:space="preserve">thus </w:t>
      </w:r>
      <w:r w:rsidRPr="002E2B7F">
        <w:rPr>
          <w:rFonts w:cs="Arial"/>
        </w:rPr>
        <w:t xml:space="preserve">be </w:t>
      </w:r>
      <w:r w:rsidR="00905D94">
        <w:rPr>
          <w:rFonts w:cs="Arial"/>
        </w:rPr>
        <w:t xml:space="preserve">broadly </w:t>
      </w:r>
      <w:r w:rsidRPr="002E2B7F">
        <w:rPr>
          <w:rFonts w:cs="Arial"/>
        </w:rPr>
        <w:t xml:space="preserve">defined so that the parameters of what it </w:t>
      </w:r>
      <w:r w:rsidR="009F4BC8">
        <w:rPr>
          <w:rFonts w:cs="Arial"/>
        </w:rPr>
        <w:t>includes</w:t>
      </w:r>
      <w:r w:rsidRPr="002E2B7F">
        <w:rPr>
          <w:rFonts w:cs="Arial"/>
        </w:rPr>
        <w:t xml:space="preserve"> are understood</w:t>
      </w:r>
      <w:r>
        <w:rPr>
          <w:rFonts w:cs="Arial"/>
        </w:rPr>
        <w:t>. A</w:t>
      </w:r>
      <w:r w:rsidRPr="002E2B7F">
        <w:rPr>
          <w:rFonts w:cs="Arial"/>
        </w:rPr>
        <w:t xml:space="preserve">nother </w:t>
      </w:r>
      <w:r w:rsidR="00D3143D">
        <w:rPr>
          <w:rFonts w:cs="Arial"/>
        </w:rPr>
        <w:t>suggestion is</w:t>
      </w:r>
      <w:r>
        <w:rPr>
          <w:rFonts w:cs="Arial"/>
        </w:rPr>
        <w:t xml:space="preserve"> </w:t>
      </w:r>
      <w:r w:rsidRPr="002E2B7F">
        <w:rPr>
          <w:rFonts w:cs="Arial"/>
        </w:rPr>
        <w:t xml:space="preserve">to change the standard to </w:t>
      </w:r>
      <w:r w:rsidR="00ED267B">
        <w:rPr>
          <w:rFonts w:cs="Arial"/>
        </w:rPr>
        <w:t>one of ‘reasonable cause’ here.</w:t>
      </w:r>
    </w:p>
    <w:p w14:paraId="72BEC385" w14:textId="42D57216" w:rsidR="0057632C" w:rsidRPr="009F4BC8" w:rsidRDefault="00372DFF" w:rsidP="00A56EA0">
      <w:pPr>
        <w:spacing w:line="276" w:lineRule="auto"/>
        <w:jc w:val="both"/>
        <w:rPr>
          <w:rFonts w:cs="Arial"/>
        </w:rPr>
      </w:pPr>
      <w:r>
        <w:rPr>
          <w:rFonts w:cs="Arial"/>
        </w:rPr>
        <w:t>N</w:t>
      </w:r>
      <w:r w:rsidR="002E2B7F" w:rsidRPr="002E2B7F">
        <w:rPr>
          <w:rFonts w:cs="Arial"/>
        </w:rPr>
        <w:t xml:space="preserve">either is there an explanation of what </w:t>
      </w:r>
      <w:r w:rsidR="002E2B7F" w:rsidRPr="002E2B7F">
        <w:rPr>
          <w:rFonts w:cs="Arial"/>
          <w:u w:val="single"/>
        </w:rPr>
        <w:t>strong</w:t>
      </w:r>
      <w:r w:rsidR="002E2B7F" w:rsidRPr="002E2B7F">
        <w:rPr>
          <w:rFonts w:cs="Arial"/>
        </w:rPr>
        <w:t xml:space="preserve"> </w:t>
      </w:r>
      <w:r w:rsidR="002E2B7F" w:rsidRPr="002E2B7F">
        <w:rPr>
          <w:rFonts w:cs="Arial"/>
          <w:i/>
        </w:rPr>
        <w:t>prima facie</w:t>
      </w:r>
      <w:r w:rsidR="002E2B7F" w:rsidRPr="002E2B7F">
        <w:rPr>
          <w:rFonts w:cs="Arial"/>
        </w:rPr>
        <w:t xml:space="preserve"> grounds entails. </w:t>
      </w:r>
      <w:r w:rsidR="00185E55">
        <w:rPr>
          <w:rFonts w:eastAsia="Times New Roman" w:cstheme="minorHAnsi"/>
          <w:color w:val="000000"/>
          <w:lang w:eastAsia="en-IE"/>
        </w:rPr>
        <w:t>While</w:t>
      </w:r>
      <w:r w:rsidR="0057632C">
        <w:rPr>
          <w:rFonts w:eastAsia="Times New Roman" w:cstheme="minorHAnsi"/>
          <w:color w:val="000000"/>
          <w:lang w:eastAsia="en-IE"/>
        </w:rPr>
        <w:t xml:space="preserve"> it is reasonable for the </w:t>
      </w:r>
      <w:r w:rsidR="00185E55">
        <w:rPr>
          <w:rFonts w:eastAsia="Times New Roman" w:cstheme="minorHAnsi"/>
          <w:color w:val="000000"/>
          <w:lang w:eastAsia="en-IE"/>
        </w:rPr>
        <w:t>Appeals Office</w:t>
      </w:r>
      <w:r w:rsidR="0057632C">
        <w:rPr>
          <w:rFonts w:eastAsia="Times New Roman" w:cstheme="minorHAnsi"/>
          <w:color w:val="000000"/>
          <w:lang w:eastAsia="en-IE"/>
        </w:rPr>
        <w:t xml:space="preserve"> to wish to have the basic grounds of appeal set out before granting extra time to appeal</w:t>
      </w:r>
      <w:r w:rsidR="00835135">
        <w:rPr>
          <w:rFonts w:eastAsia="Times New Roman" w:cstheme="minorHAnsi"/>
          <w:color w:val="000000"/>
          <w:lang w:eastAsia="en-IE"/>
        </w:rPr>
        <w:t xml:space="preserve">, </w:t>
      </w:r>
      <w:r w:rsidR="0057632C">
        <w:rPr>
          <w:rFonts w:eastAsia="Times New Roman" w:cstheme="minorHAnsi"/>
          <w:color w:val="000000"/>
          <w:lang w:eastAsia="en-IE"/>
        </w:rPr>
        <w:t xml:space="preserve">the use of the </w:t>
      </w:r>
      <w:r w:rsidR="00E75558">
        <w:rPr>
          <w:rFonts w:eastAsia="Times New Roman" w:cstheme="minorHAnsi"/>
          <w:color w:val="000000"/>
          <w:lang w:eastAsia="en-IE"/>
        </w:rPr>
        <w:t xml:space="preserve">word </w:t>
      </w:r>
      <w:r w:rsidR="0057632C">
        <w:rPr>
          <w:rFonts w:eastAsia="Times New Roman" w:cstheme="minorHAnsi"/>
          <w:color w:val="000000"/>
          <w:lang w:eastAsia="en-IE"/>
        </w:rPr>
        <w:t>‘strong</w:t>
      </w:r>
      <w:r w:rsidR="00E75558">
        <w:rPr>
          <w:rFonts w:eastAsia="Times New Roman" w:cstheme="minorHAnsi"/>
          <w:color w:val="000000"/>
          <w:lang w:eastAsia="en-IE"/>
        </w:rPr>
        <w:t>’</w:t>
      </w:r>
      <w:r w:rsidR="0057632C">
        <w:rPr>
          <w:rFonts w:eastAsia="Times New Roman" w:cstheme="minorHAnsi"/>
          <w:color w:val="000000"/>
          <w:lang w:eastAsia="en-IE"/>
        </w:rPr>
        <w:t xml:space="preserve"> is </w:t>
      </w:r>
      <w:r w:rsidR="00E75558">
        <w:rPr>
          <w:rFonts w:eastAsia="Times New Roman" w:cstheme="minorHAnsi"/>
          <w:color w:val="000000"/>
          <w:lang w:eastAsia="en-IE"/>
        </w:rPr>
        <w:t>quite subjective, with little indication of what this might entail, and could lead to litigation if an appeal is refused on this basis.</w:t>
      </w:r>
    </w:p>
    <w:p w14:paraId="4A7A8274" w14:textId="36867ECC" w:rsidR="00782A79" w:rsidRPr="0036110C" w:rsidRDefault="00782A79" w:rsidP="00A56EA0">
      <w:pPr>
        <w:spacing w:line="276" w:lineRule="auto"/>
        <w:jc w:val="both"/>
        <w:rPr>
          <w:b/>
        </w:rPr>
      </w:pPr>
      <w:r w:rsidRPr="0036110C">
        <w:rPr>
          <w:b/>
        </w:rPr>
        <w:t xml:space="preserve">Providing </w:t>
      </w:r>
      <w:r w:rsidR="0036110C">
        <w:rPr>
          <w:b/>
        </w:rPr>
        <w:t>I</w:t>
      </w:r>
      <w:r w:rsidRPr="0036110C">
        <w:rPr>
          <w:b/>
        </w:rPr>
        <w:t xml:space="preserve">nformation </w:t>
      </w:r>
      <w:r w:rsidR="0036110C">
        <w:rPr>
          <w:b/>
        </w:rPr>
        <w:t>in Lodging the Appeal</w:t>
      </w:r>
    </w:p>
    <w:p w14:paraId="12ACA3DC" w14:textId="663163F3" w:rsidR="009576B7" w:rsidRPr="00ED267B" w:rsidRDefault="00E42769" w:rsidP="00ED267B">
      <w:pPr>
        <w:spacing w:line="276" w:lineRule="auto"/>
        <w:jc w:val="both"/>
        <w:rPr>
          <w:rFonts w:cs="Arial"/>
        </w:rPr>
      </w:pPr>
      <w:r w:rsidRPr="009576B7">
        <w:t>Article 7</w:t>
      </w:r>
      <w:r w:rsidR="00ED267B">
        <w:t xml:space="preserve"> </w:t>
      </w:r>
      <w:r w:rsidRPr="009576B7">
        <w:t>(4)</w:t>
      </w:r>
      <w:r w:rsidR="00DA2F4A" w:rsidRPr="009576B7">
        <w:t xml:space="preserve"> </w:t>
      </w:r>
      <w:r w:rsidRPr="009576B7">
        <w:t>and 7</w:t>
      </w:r>
      <w:r w:rsidR="00ED267B">
        <w:t xml:space="preserve"> </w:t>
      </w:r>
      <w:r w:rsidRPr="009576B7">
        <w:t>(5)</w:t>
      </w:r>
      <w:r w:rsidR="00DA2F4A" w:rsidRPr="009576B7">
        <w:t xml:space="preserve"> </w:t>
      </w:r>
      <w:r w:rsidRPr="009576B7">
        <w:t xml:space="preserve">provides </w:t>
      </w:r>
      <w:r w:rsidR="003F5F97" w:rsidRPr="009576B7">
        <w:t>further</w:t>
      </w:r>
      <w:r w:rsidRPr="009576B7">
        <w:t xml:space="preserve"> </w:t>
      </w:r>
      <w:r w:rsidR="00572869">
        <w:t>detail</w:t>
      </w:r>
      <w:r w:rsidRPr="009576B7">
        <w:t xml:space="preserve"> on the information to be submitted in </w:t>
      </w:r>
      <w:r w:rsidR="009576B7">
        <w:t>the notice of</w:t>
      </w:r>
      <w:r w:rsidRPr="009576B7">
        <w:t xml:space="preserve"> appeal</w:t>
      </w:r>
      <w:r w:rsidR="003F5F97" w:rsidRPr="009576B7">
        <w:t xml:space="preserve"> </w:t>
      </w:r>
      <w:r w:rsidR="005B10A2" w:rsidRPr="009576B7">
        <w:t>i.e.</w:t>
      </w:r>
      <w:r w:rsidR="009576B7">
        <w:t xml:space="preserve"> </w:t>
      </w:r>
      <w:r w:rsidRPr="009576B7">
        <w:t>details</w:t>
      </w:r>
      <w:r w:rsidR="00DA2F4A" w:rsidRPr="009576B7">
        <w:t xml:space="preserve"> of the original claim submitted, the grounds of the appeal, and any additional information that the appellant considers relevant</w:t>
      </w:r>
      <w:r w:rsidR="00471622">
        <w:t xml:space="preserve"> to the appeal</w:t>
      </w:r>
      <w:r w:rsidR="00DA2F4A" w:rsidRPr="009576B7">
        <w:t xml:space="preserve">. </w:t>
      </w:r>
      <w:r w:rsidR="00BD2D54" w:rsidRPr="009576B7">
        <w:t>F</w:t>
      </w:r>
      <w:r w:rsidR="00DA2F4A" w:rsidRPr="009576B7">
        <w:t>eedback from CISs indicate</w:t>
      </w:r>
      <w:r w:rsidR="00572869">
        <w:t>d</w:t>
      </w:r>
      <w:r w:rsidR="00DA2F4A" w:rsidRPr="009576B7">
        <w:t xml:space="preserve"> that clients need to be supported in identifying what type and the extent of information that needs to be supplied with the lodgement of an appeal. </w:t>
      </w:r>
      <w:r w:rsidR="00966034">
        <w:rPr>
          <w:rFonts w:eastAsia="Times New Roman" w:cstheme="minorHAnsi"/>
          <w:color w:val="000000"/>
          <w:lang w:eastAsia="en-IE"/>
        </w:rPr>
        <w:t>It</w:t>
      </w:r>
      <w:r w:rsidR="002E2B7F">
        <w:rPr>
          <w:rFonts w:eastAsia="Times New Roman" w:cstheme="minorHAnsi"/>
          <w:color w:val="000000"/>
          <w:lang w:eastAsia="en-IE"/>
        </w:rPr>
        <w:t xml:space="preserve"> </w:t>
      </w:r>
      <w:r w:rsidR="002E2B7F">
        <w:rPr>
          <w:rFonts w:eastAsia="Times New Roman" w:cstheme="minorHAnsi"/>
          <w:color w:val="000000"/>
          <w:lang w:eastAsia="en-IE"/>
        </w:rPr>
        <w:lastRenderedPageBreak/>
        <w:t>is noted</w:t>
      </w:r>
      <w:r w:rsidR="00966034">
        <w:rPr>
          <w:rFonts w:eastAsia="Times New Roman" w:cstheme="minorHAnsi"/>
          <w:color w:val="000000"/>
          <w:lang w:eastAsia="en-IE"/>
        </w:rPr>
        <w:t xml:space="preserve"> in Article 7</w:t>
      </w:r>
      <w:r w:rsidR="00ED267B">
        <w:rPr>
          <w:rFonts w:eastAsia="Times New Roman" w:cstheme="minorHAnsi"/>
          <w:color w:val="000000"/>
          <w:lang w:eastAsia="en-IE"/>
        </w:rPr>
        <w:t xml:space="preserve"> </w:t>
      </w:r>
      <w:r w:rsidR="00966034" w:rsidRPr="00966034">
        <w:rPr>
          <w:rFonts w:eastAsia="Times New Roman" w:cstheme="minorHAnsi"/>
          <w:color w:val="000000"/>
          <w:lang w:eastAsia="en-IE"/>
        </w:rPr>
        <w:t xml:space="preserve">(4) </w:t>
      </w:r>
      <w:r w:rsidR="002E2B7F">
        <w:rPr>
          <w:rFonts w:eastAsia="Times New Roman" w:cstheme="minorHAnsi"/>
          <w:color w:val="000000"/>
          <w:lang w:eastAsia="en-IE"/>
        </w:rPr>
        <w:t>that the</w:t>
      </w:r>
      <w:r w:rsidR="009576B7" w:rsidRPr="009576B7">
        <w:rPr>
          <w:rFonts w:eastAsia="Times New Roman" w:cstheme="minorHAnsi"/>
          <w:color w:val="000000"/>
          <w:lang w:eastAsia="en-IE"/>
        </w:rPr>
        <w:t xml:space="preserve"> requirement in the </w:t>
      </w:r>
      <w:r w:rsidR="002E2B7F">
        <w:rPr>
          <w:rFonts w:eastAsia="Times New Roman" w:cstheme="minorHAnsi"/>
          <w:color w:val="000000"/>
          <w:lang w:eastAsia="en-IE"/>
        </w:rPr>
        <w:t>n</w:t>
      </w:r>
      <w:r w:rsidR="009576B7" w:rsidRPr="009576B7">
        <w:rPr>
          <w:rFonts w:eastAsia="Times New Roman" w:cstheme="minorHAnsi"/>
          <w:color w:val="000000"/>
          <w:lang w:eastAsia="en-IE"/>
        </w:rPr>
        <w:t xml:space="preserve">otice of </w:t>
      </w:r>
      <w:r w:rsidR="002E2B7F">
        <w:rPr>
          <w:rFonts w:eastAsia="Times New Roman" w:cstheme="minorHAnsi"/>
          <w:color w:val="000000"/>
          <w:lang w:eastAsia="en-IE"/>
        </w:rPr>
        <w:t xml:space="preserve">appeal to </w:t>
      </w:r>
      <w:r w:rsidR="009576B7" w:rsidRPr="00ED267B">
        <w:rPr>
          <w:rFonts w:cs="Arial"/>
        </w:rPr>
        <w:t xml:space="preserve">include details of the original claim </w:t>
      </w:r>
      <w:r w:rsidR="002E2B7F" w:rsidRPr="00ED267B">
        <w:rPr>
          <w:rFonts w:cs="Arial"/>
        </w:rPr>
        <w:t>may not always be possible</w:t>
      </w:r>
      <w:r w:rsidR="00905D94" w:rsidRPr="00ED267B">
        <w:rPr>
          <w:rFonts w:cs="Arial"/>
        </w:rPr>
        <w:t xml:space="preserve"> in the timeframe</w:t>
      </w:r>
      <w:r w:rsidR="002E2B7F" w:rsidRPr="00ED267B">
        <w:rPr>
          <w:rFonts w:cs="Arial"/>
        </w:rPr>
        <w:t xml:space="preserve"> due to </w:t>
      </w:r>
      <w:r w:rsidR="006C333B" w:rsidRPr="00ED267B">
        <w:rPr>
          <w:rFonts w:cs="Arial"/>
        </w:rPr>
        <w:t>wait times</w:t>
      </w:r>
      <w:r w:rsidR="00905D94" w:rsidRPr="00ED267B">
        <w:rPr>
          <w:rFonts w:cs="Arial"/>
        </w:rPr>
        <w:t>/delays</w:t>
      </w:r>
      <w:r w:rsidR="006C333B" w:rsidRPr="00ED267B">
        <w:rPr>
          <w:rFonts w:cs="Arial"/>
        </w:rPr>
        <w:t xml:space="preserve"> in</w:t>
      </w:r>
      <w:r w:rsidR="002E2B7F" w:rsidRPr="00ED267B">
        <w:rPr>
          <w:rFonts w:cs="Arial"/>
        </w:rPr>
        <w:t xml:space="preserve"> </w:t>
      </w:r>
      <w:r w:rsidR="006C333B" w:rsidRPr="00ED267B">
        <w:rPr>
          <w:rFonts w:cs="Arial"/>
        </w:rPr>
        <w:t>accessing</w:t>
      </w:r>
      <w:r w:rsidR="002E2B7F" w:rsidRPr="00ED267B">
        <w:rPr>
          <w:rFonts w:cs="Arial"/>
        </w:rPr>
        <w:t xml:space="preserve"> these</w:t>
      </w:r>
      <w:r w:rsidR="006C333B" w:rsidRPr="00ED267B">
        <w:rPr>
          <w:rFonts w:cs="Arial"/>
        </w:rPr>
        <w:t xml:space="preserve"> details</w:t>
      </w:r>
      <w:r w:rsidR="00B101EA">
        <w:rPr>
          <w:rFonts w:cs="Arial"/>
        </w:rPr>
        <w:t xml:space="preserve"> under a FOI.</w:t>
      </w:r>
    </w:p>
    <w:p w14:paraId="6B1D4EDB" w14:textId="6FD0BD1B" w:rsidR="00A57AC0" w:rsidRPr="00ED267B" w:rsidRDefault="00A57AC0" w:rsidP="00A56EA0">
      <w:pPr>
        <w:spacing w:line="276" w:lineRule="auto"/>
        <w:jc w:val="both"/>
        <w:rPr>
          <w:b/>
        </w:rPr>
      </w:pPr>
      <w:r w:rsidRPr="00ED267B">
        <w:rPr>
          <w:b/>
        </w:rPr>
        <w:t>Article 8 – Notification of appeal to Minister and information to be supplied.</w:t>
      </w:r>
    </w:p>
    <w:p w14:paraId="164B5B11" w14:textId="2ED7DAD4" w:rsidR="00222C76" w:rsidRPr="00222C76" w:rsidRDefault="00222C76" w:rsidP="00A56EA0">
      <w:pPr>
        <w:spacing w:line="276" w:lineRule="auto"/>
        <w:jc w:val="both"/>
      </w:pPr>
      <w:r w:rsidRPr="00ED267B">
        <w:rPr>
          <w:rFonts w:cs="Arial"/>
        </w:rPr>
        <w:t>In relation to the processing of appeals, Article 8 introduces a timeline in which the Department must either review its original decision or provide information used in reaching the original decision to the</w:t>
      </w:r>
      <w:r w:rsidRPr="00222C76">
        <w:t xml:space="preserve"> Appeals </w:t>
      </w:r>
      <w:r w:rsidR="00EC7F4F">
        <w:t>Office, and sets a timeline of three</w:t>
      </w:r>
      <w:r w:rsidRPr="00222C76">
        <w:t xml:space="preserve"> weeks within which this must be done. This article also removes the obligation on Deciding Officers to provide a statement in each appeal case, the new article recognises that this is not necessary, or of value, in all cases.</w:t>
      </w:r>
    </w:p>
    <w:p w14:paraId="3DA2EF58" w14:textId="604EB75A" w:rsidR="00CA14A0" w:rsidRDefault="005872A1" w:rsidP="00A56EA0">
      <w:pPr>
        <w:spacing w:line="276" w:lineRule="auto"/>
        <w:jc w:val="both"/>
        <w:rPr>
          <w:iCs/>
          <w:color w:val="212121"/>
          <w:shd w:val="clear" w:color="auto" w:fill="FFFFFF"/>
        </w:rPr>
      </w:pPr>
      <w:r w:rsidRPr="005872A1">
        <w:t>This change will require the Department to respond promptly to provide all documents and information relevant to the claim/appeal. This should shorten the time taken to process appeals.</w:t>
      </w:r>
      <w:r w:rsidR="00CA14A0">
        <w:t xml:space="preserve"> </w:t>
      </w:r>
      <w:r>
        <w:rPr>
          <w:iCs/>
          <w:color w:val="212121"/>
          <w:shd w:val="clear" w:color="auto" w:fill="FFFFFF"/>
        </w:rPr>
        <w:t xml:space="preserve">CIB welcomes this change, </w:t>
      </w:r>
      <w:r w:rsidR="005B7819">
        <w:rPr>
          <w:iCs/>
          <w:color w:val="212121"/>
          <w:shd w:val="clear" w:color="auto" w:fill="FFFFFF"/>
        </w:rPr>
        <w:t>which will</w:t>
      </w:r>
      <w:r>
        <w:rPr>
          <w:iCs/>
          <w:color w:val="212121"/>
          <w:shd w:val="clear" w:color="auto" w:fill="FFFFFF"/>
        </w:rPr>
        <w:t xml:space="preserve"> </w:t>
      </w:r>
      <w:r w:rsidR="00222C76">
        <w:rPr>
          <w:iCs/>
          <w:color w:val="212121"/>
          <w:shd w:val="clear" w:color="auto" w:fill="FFFFFF"/>
        </w:rPr>
        <w:t xml:space="preserve">help to </w:t>
      </w:r>
      <w:r>
        <w:rPr>
          <w:iCs/>
          <w:color w:val="212121"/>
          <w:shd w:val="clear" w:color="auto" w:fill="FFFFFF"/>
        </w:rPr>
        <w:t>eliminat</w:t>
      </w:r>
      <w:r w:rsidR="00222C76">
        <w:rPr>
          <w:iCs/>
          <w:color w:val="212121"/>
          <w:shd w:val="clear" w:color="auto" w:fill="FFFFFF"/>
        </w:rPr>
        <w:t xml:space="preserve">e delays </w:t>
      </w:r>
      <w:r w:rsidR="000D01F3">
        <w:rPr>
          <w:iCs/>
          <w:color w:val="212121"/>
          <w:shd w:val="clear" w:color="auto" w:fill="FFFFFF"/>
        </w:rPr>
        <w:t xml:space="preserve">connected to providing statements </w:t>
      </w:r>
      <w:r>
        <w:rPr>
          <w:iCs/>
          <w:color w:val="212121"/>
          <w:shd w:val="clear" w:color="auto" w:fill="FFFFFF"/>
        </w:rPr>
        <w:t xml:space="preserve">to the </w:t>
      </w:r>
      <w:r w:rsidR="001F0455">
        <w:rPr>
          <w:iCs/>
          <w:color w:val="212121"/>
          <w:shd w:val="clear" w:color="auto" w:fill="FFFFFF"/>
        </w:rPr>
        <w:t>Appeals Office.</w:t>
      </w:r>
    </w:p>
    <w:p w14:paraId="62B68A5E" w14:textId="1084A3E8" w:rsidR="00A57AC0" w:rsidRDefault="002D7024" w:rsidP="00A56EA0">
      <w:pPr>
        <w:spacing w:line="276" w:lineRule="auto"/>
        <w:jc w:val="both"/>
        <w:rPr>
          <w:iCs/>
          <w:color w:val="212121"/>
          <w:shd w:val="clear" w:color="auto" w:fill="FFFFFF"/>
        </w:rPr>
      </w:pPr>
      <w:r w:rsidRPr="002D7024">
        <w:rPr>
          <w:iCs/>
          <w:color w:val="212121"/>
          <w:shd w:val="clear" w:color="auto" w:fill="FFFFFF"/>
        </w:rPr>
        <w:t xml:space="preserve">Concern was expressed </w:t>
      </w:r>
      <w:r w:rsidR="008563DC">
        <w:rPr>
          <w:iCs/>
          <w:color w:val="212121"/>
          <w:shd w:val="clear" w:color="auto" w:fill="FFFFFF"/>
        </w:rPr>
        <w:t>about any negative impact on</w:t>
      </w:r>
      <w:r w:rsidRPr="002D7024">
        <w:rPr>
          <w:iCs/>
          <w:color w:val="212121"/>
          <w:shd w:val="clear" w:color="auto" w:fill="FFFFFF"/>
        </w:rPr>
        <w:t xml:space="preserve"> the appellant’s case</w:t>
      </w:r>
      <w:r w:rsidR="008563DC">
        <w:rPr>
          <w:iCs/>
          <w:color w:val="212121"/>
          <w:shd w:val="clear" w:color="auto" w:fill="FFFFFF"/>
        </w:rPr>
        <w:t>, where the time limit is not met and the file is not sent</w:t>
      </w:r>
      <w:r w:rsidRPr="002D7024">
        <w:rPr>
          <w:iCs/>
          <w:color w:val="212121"/>
          <w:shd w:val="clear" w:color="auto" w:fill="FFFFFF"/>
        </w:rPr>
        <w:t xml:space="preserve">. </w:t>
      </w:r>
      <w:r w:rsidR="00CA14A0">
        <w:rPr>
          <w:iCs/>
          <w:color w:val="212121"/>
          <w:shd w:val="clear" w:color="auto" w:fill="FFFFFF"/>
        </w:rPr>
        <w:t xml:space="preserve">On the other hand, </w:t>
      </w:r>
      <w:r w:rsidR="00CA14A0">
        <w:rPr>
          <w:iCs/>
          <w:color w:val="212121"/>
          <w:shd w:val="clear" w:color="auto" w:fill="FFFFFF"/>
        </w:rPr>
        <w:lastRenderedPageBreak/>
        <w:t xml:space="preserve">the process </w:t>
      </w:r>
      <w:r w:rsidR="00CF2B6E">
        <w:rPr>
          <w:iCs/>
          <w:color w:val="212121"/>
          <w:shd w:val="clear" w:color="auto" w:fill="FFFFFF"/>
        </w:rPr>
        <w:t>whereby the</w:t>
      </w:r>
      <w:r w:rsidR="00CA14A0">
        <w:rPr>
          <w:iCs/>
          <w:color w:val="212121"/>
          <w:shd w:val="clear" w:color="auto" w:fill="FFFFFF"/>
        </w:rPr>
        <w:t xml:space="preserve"> Department </w:t>
      </w:r>
      <w:r w:rsidR="00CF2B6E">
        <w:rPr>
          <w:iCs/>
          <w:color w:val="212121"/>
          <w:shd w:val="clear" w:color="auto" w:fill="FFFFFF"/>
        </w:rPr>
        <w:t xml:space="preserve">reviews its </w:t>
      </w:r>
      <w:r w:rsidR="00CA14A0">
        <w:rPr>
          <w:iCs/>
          <w:color w:val="212121"/>
          <w:shd w:val="clear" w:color="auto" w:fill="FFFFFF"/>
        </w:rPr>
        <w:t>original decisions is necessary</w:t>
      </w:r>
      <w:r w:rsidR="00CF2B6E">
        <w:rPr>
          <w:iCs/>
          <w:color w:val="212121"/>
          <w:shd w:val="clear" w:color="auto" w:fill="FFFFFF"/>
        </w:rPr>
        <w:t xml:space="preserve"> and important</w:t>
      </w:r>
      <w:r w:rsidR="00555023">
        <w:rPr>
          <w:iCs/>
          <w:color w:val="212121"/>
          <w:shd w:val="clear" w:color="auto" w:fill="FFFFFF"/>
        </w:rPr>
        <w:t>, particularly decisions relating to illness, disability and caring schemes</w:t>
      </w:r>
      <w:r w:rsidR="00CF2B6E">
        <w:rPr>
          <w:iCs/>
          <w:color w:val="212121"/>
          <w:shd w:val="clear" w:color="auto" w:fill="FFFFFF"/>
        </w:rPr>
        <w:t>.</w:t>
      </w:r>
      <w:r w:rsidR="00CA14A0">
        <w:rPr>
          <w:iCs/>
          <w:color w:val="212121"/>
          <w:shd w:val="clear" w:color="auto" w:fill="FFFFFF"/>
        </w:rPr>
        <w:t xml:space="preserve"> </w:t>
      </w:r>
      <w:r w:rsidR="00CF2B6E">
        <w:rPr>
          <w:iCs/>
          <w:color w:val="212121"/>
          <w:shd w:val="clear" w:color="auto" w:fill="FFFFFF"/>
        </w:rPr>
        <w:t>It</w:t>
      </w:r>
      <w:r w:rsidR="00CA14A0">
        <w:rPr>
          <w:iCs/>
          <w:color w:val="212121"/>
          <w:shd w:val="clear" w:color="auto" w:fill="FFFFFF"/>
        </w:rPr>
        <w:t xml:space="preserve"> may also engage with a claimant to make sure all relevant information has been included, so while this may delay the review process it might also lead to revised decision</w:t>
      </w:r>
      <w:r w:rsidR="00555023">
        <w:rPr>
          <w:iCs/>
          <w:color w:val="212121"/>
          <w:shd w:val="clear" w:color="auto" w:fill="FFFFFF"/>
        </w:rPr>
        <w:t>s</w:t>
      </w:r>
      <w:r w:rsidR="00CA14A0">
        <w:rPr>
          <w:iCs/>
          <w:color w:val="212121"/>
          <w:shd w:val="clear" w:color="auto" w:fill="FFFFFF"/>
        </w:rPr>
        <w:t xml:space="preserve"> which ultimately </w:t>
      </w:r>
      <w:r w:rsidR="001238FD">
        <w:rPr>
          <w:iCs/>
          <w:color w:val="212121"/>
          <w:shd w:val="clear" w:color="auto" w:fill="FFFFFF"/>
        </w:rPr>
        <w:t>results in</w:t>
      </w:r>
      <w:r w:rsidR="00CA14A0">
        <w:rPr>
          <w:iCs/>
          <w:color w:val="212121"/>
          <w:shd w:val="clear" w:color="auto" w:fill="FFFFFF"/>
        </w:rPr>
        <w:t xml:space="preserve"> </w:t>
      </w:r>
      <w:r w:rsidR="000D01F3">
        <w:rPr>
          <w:iCs/>
          <w:color w:val="212121"/>
          <w:shd w:val="clear" w:color="auto" w:fill="FFFFFF"/>
        </w:rPr>
        <w:t xml:space="preserve">less </w:t>
      </w:r>
      <w:r w:rsidR="00CA14A0">
        <w:rPr>
          <w:iCs/>
          <w:color w:val="212121"/>
          <w:shd w:val="clear" w:color="auto" w:fill="FFFFFF"/>
        </w:rPr>
        <w:t xml:space="preserve">appeals </w:t>
      </w:r>
      <w:r w:rsidR="000D01F3">
        <w:rPr>
          <w:iCs/>
          <w:color w:val="212121"/>
          <w:shd w:val="clear" w:color="auto" w:fill="FFFFFF"/>
        </w:rPr>
        <w:t xml:space="preserve">being considered by </w:t>
      </w:r>
      <w:r w:rsidR="00CA14A0">
        <w:rPr>
          <w:iCs/>
          <w:color w:val="212121"/>
          <w:shd w:val="clear" w:color="auto" w:fill="FFFFFF"/>
        </w:rPr>
        <w:t xml:space="preserve">the Appeals Office. </w:t>
      </w:r>
      <w:r w:rsidR="000D01F3">
        <w:t>In</w:t>
      </w:r>
      <w:r w:rsidR="00A57AC0" w:rsidRPr="00093D93">
        <w:rPr>
          <w:iCs/>
          <w:color w:val="212121"/>
          <w:shd w:val="clear" w:color="auto" w:fill="FFFFFF"/>
        </w:rPr>
        <w:t xml:space="preserve"> practical terms,</w:t>
      </w:r>
      <w:r w:rsidR="00CF2B6E">
        <w:rPr>
          <w:iCs/>
          <w:color w:val="212121"/>
          <w:shd w:val="clear" w:color="auto" w:fill="FFFFFF"/>
        </w:rPr>
        <w:t xml:space="preserve"> </w:t>
      </w:r>
      <w:r w:rsidR="000D01F3">
        <w:rPr>
          <w:iCs/>
          <w:color w:val="212121"/>
          <w:shd w:val="clear" w:color="auto" w:fill="FFFFFF"/>
        </w:rPr>
        <w:t xml:space="preserve">therefore, </w:t>
      </w:r>
      <w:r w:rsidR="00CF2B6E">
        <w:rPr>
          <w:iCs/>
          <w:color w:val="212121"/>
          <w:shd w:val="clear" w:color="auto" w:fill="FFFFFF"/>
        </w:rPr>
        <w:t>given the workload of the Department,</w:t>
      </w:r>
      <w:r w:rsidR="00A57AC0" w:rsidRPr="00093D93">
        <w:rPr>
          <w:iCs/>
          <w:color w:val="212121"/>
          <w:shd w:val="clear" w:color="auto" w:fill="FFFFFF"/>
        </w:rPr>
        <w:t xml:space="preserve"> 21 days</w:t>
      </w:r>
      <w:r w:rsidR="005E5632">
        <w:rPr>
          <w:iCs/>
          <w:color w:val="212121"/>
          <w:shd w:val="clear" w:color="auto" w:fill="FFFFFF"/>
        </w:rPr>
        <w:t xml:space="preserve"> </w:t>
      </w:r>
      <w:r w:rsidR="000D01F3">
        <w:rPr>
          <w:iCs/>
          <w:color w:val="212121"/>
          <w:shd w:val="clear" w:color="auto" w:fill="FFFFFF"/>
        </w:rPr>
        <w:t xml:space="preserve">may </w:t>
      </w:r>
      <w:r w:rsidR="00E16466">
        <w:rPr>
          <w:iCs/>
          <w:color w:val="212121"/>
          <w:shd w:val="clear" w:color="auto" w:fill="FFFFFF"/>
        </w:rPr>
        <w:t xml:space="preserve">not </w:t>
      </w:r>
      <w:r w:rsidR="00CF2B6E">
        <w:rPr>
          <w:iCs/>
          <w:color w:val="212121"/>
          <w:shd w:val="clear" w:color="auto" w:fill="FFFFFF"/>
        </w:rPr>
        <w:t>be a</w:t>
      </w:r>
      <w:r w:rsidR="00E17877">
        <w:rPr>
          <w:iCs/>
          <w:color w:val="212121"/>
          <w:shd w:val="clear" w:color="auto" w:fill="FFFFFF"/>
        </w:rPr>
        <w:t xml:space="preserve"> </w:t>
      </w:r>
      <w:r w:rsidR="00A57AC0" w:rsidRPr="00093D93">
        <w:rPr>
          <w:iCs/>
          <w:color w:val="212121"/>
          <w:shd w:val="clear" w:color="auto" w:fill="FFFFFF"/>
        </w:rPr>
        <w:t>realistic time frame</w:t>
      </w:r>
      <w:r w:rsidR="00E17877">
        <w:rPr>
          <w:iCs/>
          <w:color w:val="212121"/>
          <w:shd w:val="clear" w:color="auto" w:fill="FFFFFF"/>
        </w:rPr>
        <w:t>.</w:t>
      </w:r>
      <w:r w:rsidR="00A57AC0" w:rsidRPr="00093D93">
        <w:rPr>
          <w:iCs/>
          <w:color w:val="212121"/>
          <w:shd w:val="clear" w:color="auto" w:fill="FFFFFF"/>
        </w:rPr>
        <w:t xml:space="preserve"> </w:t>
      </w:r>
      <w:r w:rsidR="005E5632">
        <w:rPr>
          <w:iCs/>
          <w:color w:val="212121"/>
          <w:shd w:val="clear" w:color="auto" w:fill="FFFFFF"/>
        </w:rPr>
        <w:t>Consideration therefore, should be given to extending this</w:t>
      </w:r>
      <w:r w:rsidR="000D01F3">
        <w:rPr>
          <w:iCs/>
          <w:color w:val="212121"/>
          <w:shd w:val="clear" w:color="auto" w:fill="FFFFFF"/>
        </w:rPr>
        <w:t xml:space="preserve"> time limit</w:t>
      </w:r>
      <w:r w:rsidR="008C6107">
        <w:rPr>
          <w:iCs/>
          <w:color w:val="212121"/>
          <w:shd w:val="clear" w:color="auto" w:fill="FFFFFF"/>
        </w:rPr>
        <w:t>, where it is considered too short for quality reviews to take place</w:t>
      </w:r>
      <w:r w:rsidR="005E5632">
        <w:rPr>
          <w:iCs/>
          <w:color w:val="212121"/>
          <w:shd w:val="clear" w:color="auto" w:fill="FFFFFF"/>
        </w:rPr>
        <w:t xml:space="preserve">. The view was expressed that if </w:t>
      </w:r>
      <w:r w:rsidR="00A57AC0" w:rsidRPr="00093D93">
        <w:rPr>
          <w:iCs/>
          <w:color w:val="212121"/>
          <w:shd w:val="clear" w:color="auto" w:fill="FFFFFF"/>
        </w:rPr>
        <w:t xml:space="preserve">the 21 day limit is kept, </w:t>
      </w:r>
      <w:r w:rsidR="00E17877">
        <w:rPr>
          <w:iCs/>
          <w:color w:val="212121"/>
          <w:shd w:val="clear" w:color="auto" w:fill="FFFFFF"/>
        </w:rPr>
        <w:t>deciding o</w:t>
      </w:r>
      <w:r w:rsidR="005E5632">
        <w:rPr>
          <w:iCs/>
          <w:color w:val="212121"/>
          <w:shd w:val="clear" w:color="auto" w:fill="FFFFFF"/>
        </w:rPr>
        <w:t>fficers</w:t>
      </w:r>
      <w:r w:rsidR="00CF2B6E">
        <w:rPr>
          <w:iCs/>
          <w:color w:val="212121"/>
          <w:shd w:val="clear" w:color="auto" w:fill="FFFFFF"/>
        </w:rPr>
        <w:t xml:space="preserve"> seeking reviews of</w:t>
      </w:r>
      <w:r w:rsidR="00A57AC0" w:rsidRPr="00093D93">
        <w:rPr>
          <w:iCs/>
          <w:color w:val="212121"/>
          <w:shd w:val="clear" w:color="auto" w:fill="FFFFFF"/>
        </w:rPr>
        <w:t xml:space="preserve"> Appeals Officers’ decisions </w:t>
      </w:r>
      <w:r w:rsidR="00E17877">
        <w:rPr>
          <w:iCs/>
          <w:color w:val="212121"/>
          <w:shd w:val="clear" w:color="auto" w:fill="FFFFFF"/>
        </w:rPr>
        <w:t>could also extend</w:t>
      </w:r>
      <w:r w:rsidR="00A57AC0" w:rsidRPr="00093D93">
        <w:rPr>
          <w:iCs/>
          <w:color w:val="212121"/>
          <w:shd w:val="clear" w:color="auto" w:fill="FFFFFF"/>
        </w:rPr>
        <w:t xml:space="preserve"> the process.</w:t>
      </w:r>
      <w:r w:rsidR="005E5632">
        <w:rPr>
          <w:iCs/>
          <w:color w:val="212121"/>
          <w:shd w:val="clear" w:color="auto" w:fill="FFFFFF"/>
        </w:rPr>
        <w:t xml:space="preserve"> </w:t>
      </w:r>
    </w:p>
    <w:p w14:paraId="2010C318" w14:textId="22E172CD" w:rsidR="007976BF" w:rsidRPr="005E5632" w:rsidRDefault="007976BF" w:rsidP="00A56EA0">
      <w:pPr>
        <w:spacing w:line="276" w:lineRule="auto"/>
        <w:jc w:val="both"/>
      </w:pPr>
      <w:r>
        <w:t>It was</w:t>
      </w:r>
      <w:r w:rsidR="005A3DC8">
        <w:t xml:space="preserve"> </w:t>
      </w:r>
      <w:r>
        <w:t>suggest</w:t>
      </w:r>
      <w:r w:rsidR="002D7024">
        <w:t>ed</w:t>
      </w:r>
      <w:r>
        <w:t xml:space="preserve"> that where the review of an appeal by </w:t>
      </w:r>
      <w:r w:rsidRPr="007976BF">
        <w:t xml:space="preserve">the DSP </w:t>
      </w:r>
      <w:r>
        <w:t>produces an unsuccessful outcome for the appellant, that</w:t>
      </w:r>
      <w:r w:rsidRPr="007976BF">
        <w:t xml:space="preserve"> the SWAO </w:t>
      </w:r>
      <w:r>
        <w:t xml:space="preserve">should </w:t>
      </w:r>
      <w:r w:rsidRPr="007976BF">
        <w:t xml:space="preserve">forward a copy of the DSP case to the appellant </w:t>
      </w:r>
      <w:r>
        <w:t>and</w:t>
      </w:r>
      <w:r w:rsidRPr="007976BF">
        <w:t xml:space="preserve"> their representatives</w:t>
      </w:r>
      <w:r>
        <w:t>.</w:t>
      </w:r>
    </w:p>
    <w:p w14:paraId="35EBA62F" w14:textId="07796412" w:rsidR="0043127E" w:rsidRPr="0043127E" w:rsidRDefault="005E5632" w:rsidP="00A56EA0">
      <w:pPr>
        <w:spacing w:line="276" w:lineRule="auto"/>
        <w:jc w:val="both"/>
        <w:rPr>
          <w:b/>
        </w:rPr>
      </w:pPr>
      <w:r>
        <w:rPr>
          <w:b/>
        </w:rPr>
        <w:t xml:space="preserve">Article 10 - </w:t>
      </w:r>
      <w:r w:rsidR="0043127E" w:rsidRPr="0043127E">
        <w:rPr>
          <w:b/>
        </w:rPr>
        <w:t xml:space="preserve">Request for Further Information from </w:t>
      </w:r>
      <w:r w:rsidR="0043127E">
        <w:rPr>
          <w:b/>
        </w:rPr>
        <w:t>an Appeals Officer</w:t>
      </w:r>
    </w:p>
    <w:p w14:paraId="5E552537" w14:textId="221917EB" w:rsidR="00281C65" w:rsidRDefault="009B4B19" w:rsidP="00A56EA0">
      <w:pPr>
        <w:spacing w:line="276" w:lineRule="auto"/>
        <w:jc w:val="both"/>
        <w:rPr>
          <w:rFonts w:cs="Arial"/>
        </w:rPr>
      </w:pPr>
      <w:r w:rsidRPr="009576B7">
        <w:t xml:space="preserve">Article 10 provides a timeframe of </w:t>
      </w:r>
      <w:r w:rsidR="002E2B7F">
        <w:t xml:space="preserve">no more than </w:t>
      </w:r>
      <w:r w:rsidR="00D13975">
        <w:t>three</w:t>
      </w:r>
      <w:r w:rsidRPr="009576B7">
        <w:t xml:space="preserve"> weeks</w:t>
      </w:r>
      <w:r w:rsidR="004D2E67">
        <w:t xml:space="preserve">, </w:t>
      </w:r>
      <w:r w:rsidRPr="009576B7">
        <w:t xml:space="preserve">which may be extended at the discretion of the </w:t>
      </w:r>
      <w:r w:rsidR="006C333B">
        <w:t>a</w:t>
      </w:r>
      <w:r w:rsidRPr="009576B7">
        <w:t xml:space="preserve">ppeals </w:t>
      </w:r>
      <w:r w:rsidR="006C333B">
        <w:t>o</w:t>
      </w:r>
      <w:r w:rsidRPr="009576B7">
        <w:t>f</w:t>
      </w:r>
      <w:r w:rsidR="006C333B">
        <w:rPr>
          <w:rFonts w:cs="Arial"/>
        </w:rPr>
        <w:t>ficer</w:t>
      </w:r>
      <w:r w:rsidR="004D2E67">
        <w:rPr>
          <w:rFonts w:cs="Arial"/>
        </w:rPr>
        <w:t>,</w:t>
      </w:r>
      <w:r w:rsidRPr="00FA188B">
        <w:rPr>
          <w:rFonts w:cs="Arial"/>
        </w:rPr>
        <w:t xml:space="preserve"> for the furnishing of further information by the appellant or any other person.</w:t>
      </w:r>
      <w:r w:rsidR="006E2875">
        <w:rPr>
          <w:rFonts w:cs="Arial"/>
        </w:rPr>
        <w:t xml:space="preserve"> This proposed </w:t>
      </w:r>
      <w:r w:rsidR="006E2875">
        <w:rPr>
          <w:rFonts w:cs="Arial"/>
        </w:rPr>
        <w:lastRenderedPageBreak/>
        <w:t>article was generally</w:t>
      </w:r>
      <w:r w:rsidR="00B3126F">
        <w:rPr>
          <w:rFonts w:cs="Arial"/>
        </w:rPr>
        <w:t xml:space="preserve"> welcomed</w:t>
      </w:r>
      <w:r w:rsidR="006E2875">
        <w:rPr>
          <w:rFonts w:cs="Arial"/>
        </w:rPr>
        <w:t>.</w:t>
      </w:r>
      <w:r w:rsidR="006E2875" w:rsidRPr="006E2875">
        <w:t xml:space="preserve"> </w:t>
      </w:r>
      <w:r w:rsidR="002E2B7F">
        <w:rPr>
          <w:rFonts w:cs="Arial"/>
        </w:rPr>
        <w:t xml:space="preserve">It is acknowledged that the intention here is to ensure consistency and efficiency </w:t>
      </w:r>
      <w:r w:rsidR="004D2E67">
        <w:rPr>
          <w:rFonts w:cs="Arial"/>
        </w:rPr>
        <w:t>in</w:t>
      </w:r>
      <w:r w:rsidR="002E2B7F">
        <w:rPr>
          <w:rFonts w:cs="Arial"/>
        </w:rPr>
        <w:t xml:space="preserve"> the appeals process. </w:t>
      </w:r>
      <w:r w:rsidR="006C333B">
        <w:rPr>
          <w:rFonts w:cs="Arial"/>
        </w:rPr>
        <w:t xml:space="preserve">However, </w:t>
      </w:r>
      <w:r w:rsidR="002E2B7F">
        <w:rPr>
          <w:rFonts w:cs="Arial"/>
        </w:rPr>
        <w:t xml:space="preserve">CIB considers that it is important to recognise that the three week deadline may not be met due to reasonable grounds </w:t>
      </w:r>
      <w:r w:rsidR="006C333B">
        <w:rPr>
          <w:rFonts w:cs="Arial"/>
        </w:rPr>
        <w:t xml:space="preserve">or even </w:t>
      </w:r>
      <w:r w:rsidR="006278B9">
        <w:rPr>
          <w:rFonts w:cs="Arial"/>
        </w:rPr>
        <w:t>‘</w:t>
      </w:r>
      <w:r w:rsidR="006C333B">
        <w:rPr>
          <w:rFonts w:cs="Arial"/>
        </w:rPr>
        <w:t>typical</w:t>
      </w:r>
      <w:r w:rsidR="006278B9">
        <w:rPr>
          <w:rFonts w:cs="Arial"/>
        </w:rPr>
        <w:t>’</w:t>
      </w:r>
      <w:r w:rsidR="006C333B">
        <w:rPr>
          <w:rFonts w:cs="Arial"/>
        </w:rPr>
        <w:t xml:space="preserve"> grounds</w:t>
      </w:r>
      <w:r w:rsidR="00281C65">
        <w:rPr>
          <w:rFonts w:cs="Arial"/>
        </w:rPr>
        <w:t>. Examples given included</w:t>
      </w:r>
      <w:r w:rsidR="006C333B">
        <w:rPr>
          <w:rFonts w:cs="Arial"/>
        </w:rPr>
        <w:t xml:space="preserve"> </w:t>
      </w:r>
      <w:r w:rsidR="002E2B7F">
        <w:rPr>
          <w:rFonts w:cs="Arial"/>
        </w:rPr>
        <w:t>waiting times for an FOI</w:t>
      </w:r>
      <w:r w:rsidR="00D13975">
        <w:rPr>
          <w:rFonts w:cs="Arial"/>
        </w:rPr>
        <w:t xml:space="preserve"> request</w:t>
      </w:r>
      <w:r w:rsidR="00281C65">
        <w:rPr>
          <w:rFonts w:cs="Arial"/>
        </w:rPr>
        <w:t xml:space="preserve">, </w:t>
      </w:r>
      <w:r w:rsidR="006278B9">
        <w:rPr>
          <w:rFonts w:cs="Arial"/>
        </w:rPr>
        <w:t xml:space="preserve">obtaining </w:t>
      </w:r>
      <w:r w:rsidR="00BC11DF">
        <w:rPr>
          <w:rFonts w:cs="Arial"/>
        </w:rPr>
        <w:t>documentation from medical experts</w:t>
      </w:r>
      <w:r w:rsidR="00281C65">
        <w:rPr>
          <w:rFonts w:cs="Arial"/>
        </w:rPr>
        <w:t>,</w:t>
      </w:r>
      <w:r w:rsidR="00356071">
        <w:rPr>
          <w:rFonts w:cs="Arial"/>
        </w:rPr>
        <w:t xml:space="preserve"> </w:t>
      </w:r>
      <w:r w:rsidR="006278B9">
        <w:rPr>
          <w:rFonts w:cs="Arial"/>
        </w:rPr>
        <w:t xml:space="preserve">obtaining </w:t>
      </w:r>
      <w:r w:rsidR="00356071">
        <w:rPr>
          <w:rFonts w:cs="Arial"/>
        </w:rPr>
        <w:t xml:space="preserve">documentation </w:t>
      </w:r>
      <w:r w:rsidR="006278B9">
        <w:rPr>
          <w:rFonts w:cs="Arial"/>
        </w:rPr>
        <w:t xml:space="preserve">to prove a person is habitually resident, </w:t>
      </w:r>
      <w:r w:rsidR="00281C65">
        <w:rPr>
          <w:rFonts w:cs="Arial"/>
        </w:rPr>
        <w:t>obtaining a birth certificate from outside Ireland,</w:t>
      </w:r>
      <w:r w:rsidR="00281C65">
        <w:t xml:space="preserve"> support letters from hospitals, </w:t>
      </w:r>
      <w:r w:rsidR="00D13975">
        <w:t xml:space="preserve">and </w:t>
      </w:r>
      <w:r w:rsidR="00281C65">
        <w:t>letters from landlords or employers.</w:t>
      </w:r>
      <w:r w:rsidR="005B2CBE">
        <w:rPr>
          <w:rFonts w:cs="Arial"/>
        </w:rPr>
        <w:t xml:space="preserve"> </w:t>
      </w:r>
      <w:r w:rsidR="00E16466">
        <w:rPr>
          <w:rFonts w:cs="Arial"/>
        </w:rPr>
        <w:t xml:space="preserve">Issues </w:t>
      </w:r>
      <w:r w:rsidR="00D13975">
        <w:rPr>
          <w:rFonts w:cs="Arial"/>
        </w:rPr>
        <w:t xml:space="preserve">can </w:t>
      </w:r>
      <w:r w:rsidR="00E16466">
        <w:rPr>
          <w:rFonts w:cs="Arial"/>
        </w:rPr>
        <w:t>also arise administratively</w:t>
      </w:r>
      <w:r w:rsidR="00D13975">
        <w:rPr>
          <w:rFonts w:cs="Arial"/>
        </w:rPr>
        <w:t>,</w:t>
      </w:r>
      <w:r w:rsidR="00E16466">
        <w:rPr>
          <w:rFonts w:cs="Arial"/>
        </w:rPr>
        <w:t xml:space="preserve"> with delays in processing and </w:t>
      </w:r>
      <w:r w:rsidR="00D13975">
        <w:rPr>
          <w:rFonts w:cs="Arial"/>
        </w:rPr>
        <w:t xml:space="preserve">obtaining a </w:t>
      </w:r>
      <w:r w:rsidR="00E16466">
        <w:rPr>
          <w:rFonts w:cs="Arial"/>
        </w:rPr>
        <w:t xml:space="preserve">receipt of request for further information. </w:t>
      </w:r>
    </w:p>
    <w:p w14:paraId="69CB7DE8" w14:textId="449FCD7A" w:rsidR="002E2B7F" w:rsidRDefault="005B2CBE" w:rsidP="00A56EA0">
      <w:pPr>
        <w:spacing w:line="276" w:lineRule="auto"/>
        <w:jc w:val="both"/>
        <w:rPr>
          <w:rFonts w:cs="Arial"/>
        </w:rPr>
      </w:pPr>
      <w:r w:rsidRPr="005B2CBE">
        <w:rPr>
          <w:rFonts w:cs="Arial"/>
          <w:iCs/>
        </w:rPr>
        <w:t xml:space="preserve">It is also restrictive for those who </w:t>
      </w:r>
      <w:r>
        <w:rPr>
          <w:rFonts w:cs="Arial"/>
          <w:iCs/>
        </w:rPr>
        <w:t>because of specific needs</w:t>
      </w:r>
      <w:r w:rsidR="0025090D">
        <w:rPr>
          <w:rFonts w:cs="Arial"/>
          <w:iCs/>
        </w:rPr>
        <w:t>, or disadvantage</w:t>
      </w:r>
      <w:r>
        <w:rPr>
          <w:rFonts w:cs="Arial"/>
          <w:iCs/>
        </w:rPr>
        <w:t xml:space="preserve">, e.g. </w:t>
      </w:r>
      <w:r w:rsidRPr="005B2CBE">
        <w:rPr>
          <w:rFonts w:cs="Arial"/>
          <w:iCs/>
        </w:rPr>
        <w:t>language barrier</w:t>
      </w:r>
      <w:r w:rsidR="0025090D">
        <w:rPr>
          <w:rFonts w:cs="Arial"/>
          <w:iCs/>
        </w:rPr>
        <w:t xml:space="preserve">, literacy issues, </w:t>
      </w:r>
      <w:r w:rsidRPr="005B2CBE">
        <w:rPr>
          <w:rFonts w:cs="Arial"/>
          <w:iCs/>
        </w:rPr>
        <w:t>disabilit</w:t>
      </w:r>
      <w:r w:rsidR="0057632C">
        <w:rPr>
          <w:rFonts w:cs="Arial"/>
          <w:iCs/>
        </w:rPr>
        <w:t>y</w:t>
      </w:r>
      <w:r w:rsidR="0025090D">
        <w:rPr>
          <w:rFonts w:cs="Arial"/>
          <w:iCs/>
        </w:rPr>
        <w:t xml:space="preserve">, </w:t>
      </w:r>
      <w:r w:rsidR="00EC7F4F">
        <w:rPr>
          <w:rFonts w:cs="Arial"/>
          <w:iCs/>
        </w:rPr>
        <w:t xml:space="preserve">or </w:t>
      </w:r>
      <w:r w:rsidR="0025090D">
        <w:rPr>
          <w:rFonts w:cs="Arial"/>
          <w:iCs/>
        </w:rPr>
        <w:t>being from an ethnic minority group</w:t>
      </w:r>
      <w:r w:rsidRPr="005B2CBE">
        <w:rPr>
          <w:rFonts w:cs="Arial"/>
          <w:iCs/>
        </w:rPr>
        <w:t xml:space="preserve"> are receiving advocacy support with their appeal</w:t>
      </w:r>
      <w:r w:rsidR="00281C65">
        <w:rPr>
          <w:rFonts w:cs="Arial"/>
          <w:iCs/>
        </w:rPr>
        <w:t xml:space="preserve">. </w:t>
      </w:r>
      <w:r>
        <w:rPr>
          <w:rFonts w:cs="Arial"/>
        </w:rPr>
        <w:t xml:space="preserve">It is suggested therefore that </w:t>
      </w:r>
      <w:r w:rsidR="009B4B19" w:rsidRPr="002E2B7F">
        <w:rPr>
          <w:rFonts w:cs="Arial"/>
        </w:rPr>
        <w:t xml:space="preserve">the </w:t>
      </w:r>
      <w:r w:rsidR="002E2B7F">
        <w:rPr>
          <w:rFonts w:cs="Arial"/>
        </w:rPr>
        <w:t>appeals officer</w:t>
      </w:r>
      <w:r w:rsidR="009B4B19" w:rsidRPr="002E2B7F">
        <w:rPr>
          <w:rFonts w:cs="Arial"/>
        </w:rPr>
        <w:t xml:space="preserve"> </w:t>
      </w:r>
      <w:r w:rsidR="002E2B7F" w:rsidRPr="002E2B7F">
        <w:rPr>
          <w:rFonts w:cs="Arial"/>
        </w:rPr>
        <w:t>should use</w:t>
      </w:r>
      <w:r w:rsidR="009B4B19" w:rsidRPr="002E2B7F">
        <w:rPr>
          <w:rFonts w:cs="Arial"/>
        </w:rPr>
        <w:t xml:space="preserve"> </w:t>
      </w:r>
      <w:r>
        <w:rPr>
          <w:rFonts w:cs="Arial"/>
        </w:rPr>
        <w:t>discretion accordingly and a</w:t>
      </w:r>
      <w:r w:rsidR="009B4B19" w:rsidRPr="002E2B7F">
        <w:rPr>
          <w:rFonts w:cs="Arial"/>
        </w:rPr>
        <w:t xml:space="preserve">llow </w:t>
      </w:r>
      <w:r w:rsidR="002E2B7F" w:rsidRPr="002E2B7F">
        <w:rPr>
          <w:rFonts w:cs="Arial"/>
        </w:rPr>
        <w:t>for</w:t>
      </w:r>
      <w:r w:rsidR="009B4B19" w:rsidRPr="002E2B7F">
        <w:rPr>
          <w:rFonts w:cs="Arial"/>
        </w:rPr>
        <w:t xml:space="preserve"> </w:t>
      </w:r>
      <w:r w:rsidR="0078524C" w:rsidRPr="002E2B7F">
        <w:rPr>
          <w:rFonts w:cs="Arial"/>
        </w:rPr>
        <w:t>circumstances such as</w:t>
      </w:r>
      <w:r w:rsidR="002E2B7F">
        <w:rPr>
          <w:rFonts w:cs="Arial"/>
        </w:rPr>
        <w:t xml:space="preserve"> these</w:t>
      </w:r>
      <w:r w:rsidR="00904305">
        <w:rPr>
          <w:rFonts w:cs="Arial"/>
        </w:rPr>
        <w:t>.</w:t>
      </w:r>
      <w:r w:rsidR="00CD6461">
        <w:rPr>
          <w:rStyle w:val="FootnoteReference"/>
          <w:rFonts w:cs="Arial"/>
        </w:rPr>
        <w:footnoteReference w:id="5"/>
      </w:r>
      <w:r>
        <w:rPr>
          <w:rFonts w:cs="Arial"/>
        </w:rPr>
        <w:t xml:space="preserve"> </w:t>
      </w:r>
      <w:r w:rsidR="004D2E67">
        <w:rPr>
          <w:rFonts w:cs="Arial"/>
        </w:rPr>
        <w:t xml:space="preserve">At the same time, the </w:t>
      </w:r>
      <w:r w:rsidR="00CD6461">
        <w:rPr>
          <w:rFonts w:cs="Arial"/>
        </w:rPr>
        <w:t>process for acceptance of requested additio</w:t>
      </w:r>
      <w:r w:rsidR="00EC7F4F">
        <w:rPr>
          <w:rFonts w:cs="Arial"/>
        </w:rPr>
        <w:t xml:space="preserve">nal information outside of </w:t>
      </w:r>
      <w:r w:rsidR="00EC7F4F">
        <w:rPr>
          <w:rFonts w:cs="Arial"/>
        </w:rPr>
        <w:lastRenderedPageBreak/>
        <w:t>the three</w:t>
      </w:r>
      <w:r w:rsidR="00CD6461">
        <w:rPr>
          <w:rFonts w:cs="Arial"/>
        </w:rPr>
        <w:t xml:space="preserve"> week deadline appears ‘administration heavy’</w:t>
      </w:r>
      <w:r w:rsidR="004D2E67">
        <w:rPr>
          <w:rFonts w:cs="Arial"/>
        </w:rPr>
        <w:t xml:space="preserve">. </w:t>
      </w:r>
      <w:r w:rsidR="00CD6461">
        <w:rPr>
          <w:rFonts w:cs="Arial"/>
        </w:rPr>
        <w:t xml:space="preserve">In this regard, </w:t>
      </w:r>
      <w:r w:rsidR="0057632C">
        <w:rPr>
          <w:rFonts w:cs="Arial"/>
        </w:rPr>
        <w:t>consideration should be given to extending th</w:t>
      </w:r>
      <w:r w:rsidR="00CD6461">
        <w:rPr>
          <w:rFonts w:cs="Arial"/>
        </w:rPr>
        <w:t>e</w:t>
      </w:r>
      <w:r w:rsidR="0057632C">
        <w:rPr>
          <w:rFonts w:cs="Arial"/>
        </w:rPr>
        <w:t xml:space="preserve"> time limit </w:t>
      </w:r>
      <w:r w:rsidR="00EC7F4F">
        <w:rPr>
          <w:rFonts w:cs="Arial"/>
        </w:rPr>
        <w:t>by a further two</w:t>
      </w:r>
      <w:r w:rsidR="00CD6461">
        <w:rPr>
          <w:rFonts w:cs="Arial"/>
        </w:rPr>
        <w:t xml:space="preserve"> weeks </w:t>
      </w:r>
      <w:r w:rsidR="0057632C">
        <w:rPr>
          <w:rFonts w:cs="Arial"/>
        </w:rPr>
        <w:t>to prevent clients and advoc</w:t>
      </w:r>
      <w:r w:rsidR="00EC7F4F">
        <w:rPr>
          <w:rFonts w:cs="Arial"/>
        </w:rPr>
        <w:t>ates having to seek extensions.</w:t>
      </w:r>
    </w:p>
    <w:p w14:paraId="438A86B2" w14:textId="695D40D1" w:rsidR="00B3126F" w:rsidRPr="00B3126F" w:rsidRDefault="00B3126F" w:rsidP="00A56EA0">
      <w:pPr>
        <w:spacing w:line="276" w:lineRule="auto"/>
        <w:jc w:val="both"/>
        <w:rPr>
          <w:rFonts w:cs="Arial"/>
        </w:rPr>
      </w:pPr>
      <w:r w:rsidRPr="00B3126F">
        <w:rPr>
          <w:rFonts w:cs="Arial"/>
        </w:rPr>
        <w:t>To improve efficiency, it was pointed out that this step should</w:t>
      </w:r>
      <w:r w:rsidR="0029799E">
        <w:rPr>
          <w:rFonts w:cs="Arial"/>
        </w:rPr>
        <w:t xml:space="preserve"> </w:t>
      </w:r>
      <w:r w:rsidRPr="00B3126F">
        <w:rPr>
          <w:rFonts w:cs="Arial"/>
        </w:rPr>
        <w:t xml:space="preserve">be carried out by a deciding officer before the initial decision is being made, as clients may not realise the extent </w:t>
      </w:r>
      <w:r w:rsidR="0029799E">
        <w:rPr>
          <w:rFonts w:cs="Arial"/>
        </w:rPr>
        <w:t xml:space="preserve">and type </w:t>
      </w:r>
      <w:r w:rsidRPr="00B3126F">
        <w:rPr>
          <w:rFonts w:cs="Arial"/>
        </w:rPr>
        <w:t xml:space="preserve">of additional documentation needed, e.g. medical evidence. Improved communication from deciding officers on the rules and requirements for particular schemes would help eliminate clients being on </w:t>
      </w:r>
      <w:r w:rsidR="005A3DC8">
        <w:rPr>
          <w:rFonts w:cs="Arial"/>
        </w:rPr>
        <w:t xml:space="preserve">inappropriate </w:t>
      </w:r>
      <w:r w:rsidRPr="00B3126F">
        <w:rPr>
          <w:rFonts w:cs="Arial"/>
        </w:rPr>
        <w:t>payments.</w:t>
      </w:r>
    </w:p>
    <w:p w14:paraId="6D89562F" w14:textId="78BC4433" w:rsidR="00CD6461" w:rsidRDefault="00CD6461" w:rsidP="00A56EA0">
      <w:pPr>
        <w:spacing w:line="276" w:lineRule="auto"/>
        <w:jc w:val="both"/>
        <w:rPr>
          <w:rFonts w:cs="Arial"/>
        </w:rPr>
      </w:pPr>
      <w:r>
        <w:rPr>
          <w:rFonts w:cs="Arial"/>
        </w:rPr>
        <w:t xml:space="preserve">Article 10 (3) provides for the </w:t>
      </w:r>
      <w:r w:rsidRPr="00CD6461">
        <w:rPr>
          <w:rFonts w:cs="Arial"/>
        </w:rPr>
        <w:t xml:space="preserve">introduction of a ‘deemed withdrawn’ </w:t>
      </w:r>
      <w:r w:rsidR="00904305">
        <w:rPr>
          <w:rFonts w:cs="Arial"/>
        </w:rPr>
        <w:t>where an</w:t>
      </w:r>
      <w:r w:rsidRPr="00CD6461">
        <w:rPr>
          <w:rFonts w:cs="Arial"/>
        </w:rPr>
        <w:t xml:space="preserve"> extended deadline </w:t>
      </w:r>
      <w:r>
        <w:rPr>
          <w:rFonts w:cs="Arial"/>
        </w:rPr>
        <w:t xml:space="preserve">of 7 days after the designated return </w:t>
      </w:r>
      <w:r w:rsidR="004D2E67">
        <w:rPr>
          <w:rFonts w:cs="Arial"/>
        </w:rPr>
        <w:t>date for additional information</w:t>
      </w:r>
      <w:r w:rsidR="00904305">
        <w:rPr>
          <w:rFonts w:cs="Arial"/>
        </w:rPr>
        <w:t xml:space="preserve"> has not been met. </w:t>
      </w:r>
      <w:r w:rsidR="00E75558">
        <w:rPr>
          <w:rFonts w:cs="Arial"/>
        </w:rPr>
        <w:t xml:space="preserve">For an appeal to be considered withdrawn, </w:t>
      </w:r>
      <w:r w:rsidR="00904305">
        <w:rPr>
          <w:rFonts w:cs="Arial"/>
        </w:rPr>
        <w:t>a</w:t>
      </w:r>
      <w:r w:rsidR="00E75558">
        <w:rPr>
          <w:rFonts w:cs="Arial"/>
        </w:rPr>
        <w:t xml:space="preserve"> longer time frame</w:t>
      </w:r>
      <w:r w:rsidR="00904305">
        <w:rPr>
          <w:rFonts w:cs="Arial"/>
        </w:rPr>
        <w:t xml:space="preserve"> should be allowed</w:t>
      </w:r>
      <w:r w:rsidR="00E17877">
        <w:rPr>
          <w:rFonts w:cs="Arial"/>
        </w:rPr>
        <w:t xml:space="preserve"> </w:t>
      </w:r>
      <w:r w:rsidR="00E75558">
        <w:rPr>
          <w:rFonts w:cs="Arial"/>
        </w:rPr>
        <w:t>after the return date</w:t>
      </w:r>
      <w:r w:rsidR="00E16466">
        <w:rPr>
          <w:rFonts w:cs="Arial"/>
        </w:rPr>
        <w:t>,</w:t>
      </w:r>
      <w:r>
        <w:rPr>
          <w:rFonts w:cs="Arial"/>
        </w:rPr>
        <w:t xml:space="preserve"> </w:t>
      </w:r>
      <w:r w:rsidR="00E75558">
        <w:rPr>
          <w:rFonts w:cs="Arial"/>
        </w:rPr>
        <w:t xml:space="preserve">as it has the potential to lead to increased administration, through having to seek a Section 317 review, particularly with respect to the more vulnerable appellants who are not availing of advocacy support and may not understand the process of section 317 reviews. </w:t>
      </w:r>
    </w:p>
    <w:p w14:paraId="3B87A008" w14:textId="77777777" w:rsidR="00625DEB" w:rsidRDefault="00625DEB" w:rsidP="00A56EA0">
      <w:pPr>
        <w:spacing w:line="276" w:lineRule="auto"/>
        <w:jc w:val="both"/>
        <w:rPr>
          <w:rFonts w:cs="Arial"/>
          <w:b/>
        </w:rPr>
      </w:pPr>
    </w:p>
    <w:p w14:paraId="7710D291" w14:textId="1E584624" w:rsidR="00745BBF" w:rsidRDefault="00745BBF" w:rsidP="00A56EA0">
      <w:pPr>
        <w:spacing w:line="276" w:lineRule="auto"/>
        <w:jc w:val="both"/>
        <w:rPr>
          <w:rFonts w:cs="Arial"/>
          <w:b/>
        </w:rPr>
      </w:pPr>
      <w:r>
        <w:rPr>
          <w:rFonts w:cs="Arial"/>
          <w:b/>
        </w:rPr>
        <w:t xml:space="preserve">Article 12: </w:t>
      </w:r>
      <w:r w:rsidRPr="00745BBF">
        <w:rPr>
          <w:rFonts w:cs="Arial"/>
          <w:b/>
        </w:rPr>
        <w:t>Decision involving an assessment of capacity to work or requirements for care</w:t>
      </w:r>
    </w:p>
    <w:p w14:paraId="6FB830B5" w14:textId="0250B355" w:rsidR="001A4816" w:rsidRPr="001A4816" w:rsidRDefault="009704D0" w:rsidP="00A56EA0">
      <w:pPr>
        <w:spacing w:line="276" w:lineRule="auto"/>
        <w:jc w:val="both"/>
        <w:rPr>
          <w:rFonts w:cs="Arial"/>
          <w:iCs/>
        </w:rPr>
      </w:pPr>
      <w:r>
        <w:rPr>
          <w:rFonts w:cs="Arial"/>
        </w:rPr>
        <w:lastRenderedPageBreak/>
        <w:t>This provides that a</w:t>
      </w:r>
      <w:r w:rsidR="001A4816" w:rsidRPr="001A4816">
        <w:rPr>
          <w:rFonts w:cs="Arial"/>
        </w:rPr>
        <w:t>n appeal about a person’s </w:t>
      </w:r>
      <w:r w:rsidR="001A4816" w:rsidRPr="001A4816">
        <w:rPr>
          <w:rFonts w:cs="Arial"/>
          <w:bCs/>
        </w:rPr>
        <w:t>capacity to work or need for care</w:t>
      </w:r>
      <w:r w:rsidR="001A4816" w:rsidRPr="001A4816">
        <w:rPr>
          <w:rFonts w:cs="Arial"/>
        </w:rPr>
        <w:t xml:space="preserve"> will be decided by an </w:t>
      </w:r>
      <w:r>
        <w:rPr>
          <w:rFonts w:cs="Arial"/>
        </w:rPr>
        <w:t>a</w:t>
      </w:r>
      <w:r w:rsidR="001A4816" w:rsidRPr="001A4816">
        <w:rPr>
          <w:rFonts w:cs="Arial"/>
        </w:rPr>
        <w:t xml:space="preserve">ppeals </w:t>
      </w:r>
      <w:r>
        <w:rPr>
          <w:rFonts w:cs="Arial"/>
        </w:rPr>
        <w:t>o</w:t>
      </w:r>
      <w:r w:rsidR="001A4816" w:rsidRPr="001A4816">
        <w:rPr>
          <w:rFonts w:cs="Arial"/>
        </w:rPr>
        <w:t xml:space="preserve">fficer who is a registered medical practitioner or by an </w:t>
      </w:r>
      <w:r>
        <w:rPr>
          <w:rFonts w:cs="Arial"/>
        </w:rPr>
        <w:t>a</w:t>
      </w:r>
      <w:r w:rsidR="001A4816" w:rsidRPr="001A4816">
        <w:rPr>
          <w:rFonts w:cs="Arial"/>
        </w:rPr>
        <w:t xml:space="preserve">ppeals </w:t>
      </w:r>
      <w:r>
        <w:rPr>
          <w:rFonts w:cs="Arial"/>
        </w:rPr>
        <w:t>o</w:t>
      </w:r>
      <w:r w:rsidR="001A4816" w:rsidRPr="001A4816">
        <w:rPr>
          <w:rFonts w:cs="Arial"/>
        </w:rPr>
        <w:t>fficer who has looked for the opinion of a medical assessor. </w:t>
      </w:r>
      <w:r w:rsidR="006A709B">
        <w:rPr>
          <w:rFonts w:cs="Arial"/>
        </w:rPr>
        <w:t xml:space="preserve">This proposed regulation </w:t>
      </w:r>
      <w:r w:rsidR="0061457E">
        <w:rPr>
          <w:rFonts w:cs="Arial"/>
        </w:rPr>
        <w:t xml:space="preserve">was considered to be good practice, and that it would hopefully lead to more informed decisions, </w:t>
      </w:r>
      <w:r w:rsidR="002F42CE">
        <w:rPr>
          <w:rFonts w:cs="Arial"/>
        </w:rPr>
        <w:t xml:space="preserve">as it means that an </w:t>
      </w:r>
      <w:r w:rsidR="006A709B">
        <w:rPr>
          <w:rFonts w:cs="Arial"/>
        </w:rPr>
        <w:t xml:space="preserve">appeals officer in making a judgement about the medical evidence needs to </w:t>
      </w:r>
      <w:r w:rsidR="002F42CE">
        <w:rPr>
          <w:rFonts w:cs="Arial"/>
        </w:rPr>
        <w:t>either have this particular</w:t>
      </w:r>
      <w:r w:rsidR="006A709B">
        <w:rPr>
          <w:rFonts w:cs="Arial"/>
        </w:rPr>
        <w:t xml:space="preserve"> expertise or be able to access the</w:t>
      </w:r>
      <w:r w:rsidR="002F42CE">
        <w:rPr>
          <w:rFonts w:cs="Arial"/>
        </w:rPr>
        <w:t xml:space="preserve"> </w:t>
      </w:r>
      <w:r w:rsidR="0061457E">
        <w:rPr>
          <w:rFonts w:cs="Arial"/>
        </w:rPr>
        <w:t xml:space="preserve">required </w:t>
      </w:r>
      <w:r w:rsidR="002F42CE">
        <w:rPr>
          <w:rFonts w:cs="Arial"/>
        </w:rPr>
        <w:t>medical</w:t>
      </w:r>
      <w:r w:rsidR="006A709B">
        <w:rPr>
          <w:rFonts w:cs="Arial"/>
        </w:rPr>
        <w:t xml:space="preserve"> expertise</w:t>
      </w:r>
      <w:r w:rsidR="002F42CE">
        <w:rPr>
          <w:rFonts w:cs="Arial"/>
        </w:rPr>
        <w:t xml:space="preserve">. </w:t>
      </w:r>
      <w:r w:rsidR="000272A5" w:rsidRPr="000272A5">
        <w:rPr>
          <w:rFonts w:cs="Arial"/>
        </w:rPr>
        <w:t xml:space="preserve">The proposed regulations provide that while an appeals officer is empowered to take a decision that is contrary to the medical opinion, they must set out their reasons for doing so. </w:t>
      </w:r>
      <w:r w:rsidR="001A4816" w:rsidRPr="001A4816">
        <w:rPr>
          <w:rFonts w:cs="Arial"/>
          <w:iCs/>
        </w:rPr>
        <w:t xml:space="preserve">Payments affected are Illness Benefit, Partial Capacity Benefit, Injury Benefit, Invalidity Pension, Disability Allowance, Carer's Benefit, Carer's Allowance, </w:t>
      </w:r>
      <w:r>
        <w:rPr>
          <w:rFonts w:cs="Arial"/>
          <w:iCs/>
        </w:rPr>
        <w:t xml:space="preserve">and </w:t>
      </w:r>
      <w:r w:rsidR="000272A5">
        <w:rPr>
          <w:rFonts w:cs="Arial"/>
          <w:iCs/>
        </w:rPr>
        <w:t xml:space="preserve">Domiciliary Care Allowance. </w:t>
      </w:r>
    </w:p>
    <w:p w14:paraId="2D476FF9" w14:textId="4D12A354" w:rsidR="001A4816" w:rsidRDefault="007704E6" w:rsidP="00A56EA0">
      <w:pPr>
        <w:spacing w:line="276" w:lineRule="auto"/>
        <w:jc w:val="both"/>
        <w:rPr>
          <w:rFonts w:cs="Arial"/>
          <w:iCs/>
        </w:rPr>
      </w:pPr>
      <w:r>
        <w:rPr>
          <w:rFonts w:cs="Arial"/>
          <w:iCs/>
        </w:rPr>
        <w:t xml:space="preserve">This new article was </w:t>
      </w:r>
      <w:r w:rsidR="002F42CE">
        <w:rPr>
          <w:rFonts w:cs="Arial"/>
          <w:iCs/>
        </w:rPr>
        <w:t xml:space="preserve">largely </w:t>
      </w:r>
      <w:r>
        <w:rPr>
          <w:rFonts w:cs="Arial"/>
          <w:iCs/>
        </w:rPr>
        <w:t xml:space="preserve">welcomed </w:t>
      </w:r>
      <w:r w:rsidR="000272A5">
        <w:rPr>
          <w:rFonts w:cs="Arial"/>
          <w:iCs/>
        </w:rPr>
        <w:t xml:space="preserve">by CISs </w:t>
      </w:r>
      <w:r>
        <w:rPr>
          <w:rFonts w:cs="Arial"/>
          <w:iCs/>
        </w:rPr>
        <w:t xml:space="preserve">and it was felt that it would </w:t>
      </w:r>
      <w:r w:rsidR="00281C65">
        <w:rPr>
          <w:rFonts w:cs="Arial"/>
          <w:iCs/>
        </w:rPr>
        <w:t xml:space="preserve">generally </w:t>
      </w:r>
      <w:r>
        <w:rPr>
          <w:rFonts w:cs="Arial"/>
          <w:iCs/>
        </w:rPr>
        <w:t>lead to more informed decisions</w:t>
      </w:r>
      <w:r w:rsidR="002F42CE">
        <w:rPr>
          <w:rFonts w:cs="Arial"/>
          <w:iCs/>
        </w:rPr>
        <w:t>. At</w:t>
      </w:r>
      <w:r w:rsidR="000272A5">
        <w:rPr>
          <w:rFonts w:cs="Arial"/>
          <w:iCs/>
        </w:rPr>
        <w:t xml:space="preserve"> the same time some reservations were also expressed.</w:t>
      </w:r>
      <w:r w:rsidR="00281C65">
        <w:rPr>
          <w:rFonts w:cs="Arial"/>
          <w:iCs/>
        </w:rPr>
        <w:t xml:space="preserve"> </w:t>
      </w:r>
      <w:r w:rsidR="002F42CE">
        <w:rPr>
          <w:rFonts w:cs="Arial"/>
          <w:iCs/>
        </w:rPr>
        <w:t>CISs feedback in relation to the</w:t>
      </w:r>
      <w:r w:rsidR="001F0455">
        <w:rPr>
          <w:rFonts w:cs="Arial"/>
          <w:iCs/>
        </w:rPr>
        <w:t xml:space="preserve"> proposed regulations included:</w:t>
      </w:r>
    </w:p>
    <w:p w14:paraId="02B617D5" w14:textId="56235B4F" w:rsidR="00FA1319" w:rsidRPr="00FA1319" w:rsidRDefault="00FA1319" w:rsidP="00A56EA0">
      <w:pPr>
        <w:pStyle w:val="ListParagraph"/>
        <w:spacing w:line="276" w:lineRule="auto"/>
        <w:jc w:val="both"/>
        <w:rPr>
          <w:b/>
        </w:rPr>
      </w:pPr>
      <w:r w:rsidRPr="00FA1319">
        <w:t>It is essential that an appeals officer who is a registered medical practitioner or the medical assessor have knowledge of the rules and medical context of each particular scheme</w:t>
      </w:r>
      <w:r w:rsidR="007B4798">
        <w:t>.</w:t>
      </w:r>
    </w:p>
    <w:p w14:paraId="413824C2" w14:textId="0330EBE1" w:rsidR="00F5026C" w:rsidRPr="00F5026C" w:rsidRDefault="00A2025E" w:rsidP="00A56EA0">
      <w:pPr>
        <w:pStyle w:val="ListParagraph"/>
        <w:spacing w:line="276" w:lineRule="auto"/>
        <w:jc w:val="both"/>
        <w:rPr>
          <w:b/>
        </w:rPr>
      </w:pPr>
      <w:r>
        <w:lastRenderedPageBreak/>
        <w:t>Preventing</w:t>
      </w:r>
      <w:r w:rsidR="00DF153E">
        <w:t xml:space="preserve"> potential occurrences </w:t>
      </w:r>
      <w:r>
        <w:t xml:space="preserve">where </w:t>
      </w:r>
      <w:r w:rsidR="00FA1319">
        <w:t>decisions are based on the appeals process’</w:t>
      </w:r>
      <w:r>
        <w:t xml:space="preserve"> medical assessment</w:t>
      </w:r>
      <w:r w:rsidR="00FA1319">
        <w:t>, which is</w:t>
      </w:r>
      <w:r w:rsidR="00DF153E">
        <w:t xml:space="preserve"> mirror</w:t>
      </w:r>
      <w:r w:rsidR="00FA1319">
        <w:t xml:space="preserve">ing </w:t>
      </w:r>
      <w:r w:rsidR="00DF153E" w:rsidRPr="00D62C84">
        <w:t xml:space="preserve">the medical evidence </w:t>
      </w:r>
      <w:r w:rsidR="00DF153E">
        <w:t>provided for</w:t>
      </w:r>
      <w:r w:rsidR="00DF153E" w:rsidRPr="00D62C84">
        <w:t xml:space="preserve"> </w:t>
      </w:r>
      <w:r w:rsidR="00F5026C">
        <w:t xml:space="preserve">in </w:t>
      </w:r>
      <w:r w:rsidR="00DF153E" w:rsidRPr="00D62C84">
        <w:t>the initial decision</w:t>
      </w:r>
      <w:r w:rsidR="00DF153E">
        <w:t>-making on the scheme. At appeals stage, i</w:t>
      </w:r>
      <w:r w:rsidR="000272A5">
        <w:t>f</w:t>
      </w:r>
      <w:r w:rsidR="001A4816" w:rsidRPr="001A4816">
        <w:t xml:space="preserve"> a medical assessor is used then they must be independent of </w:t>
      </w:r>
      <w:r w:rsidR="001A4816">
        <w:t>the Department</w:t>
      </w:r>
      <w:r w:rsidR="00DF153E">
        <w:t>’s existing medical assessors</w:t>
      </w:r>
      <w:r w:rsidR="007B4798">
        <w:t>.</w:t>
      </w:r>
    </w:p>
    <w:p w14:paraId="733F1FEA" w14:textId="4F9634D8" w:rsidR="007704E6" w:rsidRPr="00F5026C" w:rsidRDefault="007704E6" w:rsidP="00A56EA0">
      <w:pPr>
        <w:pStyle w:val="ListParagraph"/>
        <w:spacing w:line="276" w:lineRule="auto"/>
        <w:jc w:val="both"/>
        <w:rPr>
          <w:b/>
        </w:rPr>
      </w:pPr>
      <w:r w:rsidRPr="00DF153E">
        <w:t xml:space="preserve">The importance of </w:t>
      </w:r>
      <w:r w:rsidR="00DF153E" w:rsidRPr="00DF153E">
        <w:t xml:space="preserve">being provided with </w:t>
      </w:r>
      <w:r w:rsidR="00FA1319">
        <w:t xml:space="preserve">the option of </w:t>
      </w:r>
      <w:r w:rsidR="00DF153E" w:rsidRPr="00DF153E">
        <w:t>an</w:t>
      </w:r>
      <w:r w:rsidRPr="00DF153E">
        <w:t xml:space="preserve"> oral hearing when the decision involves an assessment of a person’s capacity to work or requirement for care was stressed</w:t>
      </w:r>
      <w:r w:rsidR="009D5E5E" w:rsidRPr="00DF153E">
        <w:t xml:space="preserve">. </w:t>
      </w:r>
      <w:r w:rsidRPr="00DF153E">
        <w:t xml:space="preserve">The challenges in accessing GPs and/or consultants to get medical evidence was </w:t>
      </w:r>
      <w:r w:rsidR="00FA1319">
        <w:t>reiterated,</w:t>
      </w:r>
      <w:r w:rsidRPr="00DF153E">
        <w:t xml:space="preserve"> particularly so, since the Covid-19 pandemic. </w:t>
      </w:r>
      <w:r w:rsidR="00F5026C">
        <w:t xml:space="preserve">On the other hand, it was </w:t>
      </w:r>
      <w:r w:rsidR="00FA1319">
        <w:t xml:space="preserve">observed </w:t>
      </w:r>
      <w:r w:rsidR="00F5026C">
        <w:t>that an oral hearing</w:t>
      </w:r>
      <w:r w:rsidR="00F5026C" w:rsidRPr="00F5026C">
        <w:t xml:space="preserve"> </w:t>
      </w:r>
      <w:r w:rsidR="00FA1319">
        <w:t>lengthens</w:t>
      </w:r>
      <w:r w:rsidR="00F5026C">
        <w:t xml:space="preserve"> the process, </w:t>
      </w:r>
      <w:r w:rsidR="00FA1319">
        <w:t xml:space="preserve">creating a gap, </w:t>
      </w:r>
      <w:r w:rsidR="00F5026C">
        <w:t>and should only be used where necessary to avoid introducing further</w:t>
      </w:r>
      <w:r w:rsidR="007B4798">
        <w:t xml:space="preserve"> delays in the appeals process.</w:t>
      </w:r>
    </w:p>
    <w:p w14:paraId="358C790D" w14:textId="7E6740C1" w:rsidR="00DF153E" w:rsidRPr="00DF153E" w:rsidRDefault="000272A5" w:rsidP="00A56EA0">
      <w:pPr>
        <w:pStyle w:val="ListParagraph"/>
        <w:spacing w:line="276" w:lineRule="auto"/>
        <w:jc w:val="both"/>
        <w:rPr>
          <w:b/>
        </w:rPr>
      </w:pPr>
      <w:r>
        <w:t>The view was expressed that d</w:t>
      </w:r>
      <w:r w:rsidR="00CC0035" w:rsidRPr="00CC0035">
        <w:t>eciding officers usually defer to the opinion of the medical examiner, rather than have regard to it</w:t>
      </w:r>
      <w:r>
        <w:t>,</w:t>
      </w:r>
      <w:r w:rsidR="00CC0035" w:rsidRPr="00CC0035">
        <w:t xml:space="preserve"> while taking into</w:t>
      </w:r>
      <w:r w:rsidR="00CC0035">
        <w:t xml:space="preserve"> account all the other factors. </w:t>
      </w:r>
      <w:r w:rsidR="00DF153E">
        <w:t xml:space="preserve">Therefore, it </w:t>
      </w:r>
      <w:r w:rsidR="00F5026C">
        <w:t>was considered important that the medical evidence is there to support a case, and not to decide it</w:t>
      </w:r>
      <w:r w:rsidR="00FA1319">
        <w:t>,</w:t>
      </w:r>
      <w:r w:rsidR="00F5026C">
        <w:t xml:space="preserve"> and for </w:t>
      </w:r>
      <w:r w:rsidR="00CC0035">
        <w:t>the a</w:t>
      </w:r>
      <w:r w:rsidR="00CC0035" w:rsidRPr="00CC0035">
        <w:t xml:space="preserve">ppeals officers </w:t>
      </w:r>
      <w:r w:rsidR="00F5026C">
        <w:t xml:space="preserve">to </w:t>
      </w:r>
      <w:r w:rsidR="00CC0035">
        <w:t>maintain a</w:t>
      </w:r>
      <w:r w:rsidR="00CC0035" w:rsidRPr="00CC0035">
        <w:t xml:space="preserve"> balanced view</w:t>
      </w:r>
      <w:r w:rsidR="00F5026C">
        <w:t xml:space="preserve"> </w:t>
      </w:r>
      <w:r w:rsidR="00FA1319">
        <w:t>on</w:t>
      </w:r>
      <w:r w:rsidR="00F5026C">
        <w:t xml:space="preserve"> this</w:t>
      </w:r>
      <w:r w:rsidR="007B4798">
        <w:t>.</w:t>
      </w:r>
    </w:p>
    <w:p w14:paraId="19638DF0" w14:textId="1585EDCB" w:rsidR="001A4816" w:rsidRPr="00DF153E" w:rsidRDefault="000D783E" w:rsidP="00A56EA0">
      <w:pPr>
        <w:pStyle w:val="ListParagraph"/>
        <w:spacing w:line="276" w:lineRule="auto"/>
        <w:jc w:val="both"/>
        <w:rPr>
          <w:b/>
        </w:rPr>
      </w:pPr>
      <w:r>
        <w:lastRenderedPageBreak/>
        <w:t>The expert</w:t>
      </w:r>
      <w:r w:rsidR="00DF153E">
        <w:t xml:space="preserve"> opinion of </w:t>
      </w:r>
      <w:r w:rsidR="001A4816" w:rsidRPr="001A4816">
        <w:t xml:space="preserve">an occupational </w:t>
      </w:r>
      <w:r w:rsidR="000272A5">
        <w:t>health physician</w:t>
      </w:r>
      <w:r w:rsidR="001A4816" w:rsidRPr="001A4816">
        <w:t xml:space="preserve"> might </w:t>
      </w:r>
      <w:r w:rsidR="00DF153E">
        <w:t>be useful given the assessmen</w:t>
      </w:r>
      <w:r w:rsidR="007B4798">
        <w:t>t of a person’ capacity to work.</w:t>
      </w:r>
    </w:p>
    <w:p w14:paraId="2796BF16" w14:textId="77777777" w:rsidR="00DF153E" w:rsidRDefault="00DF153E" w:rsidP="00A56EA0">
      <w:pPr>
        <w:spacing w:line="276" w:lineRule="auto"/>
        <w:jc w:val="both"/>
        <w:rPr>
          <w:rFonts w:cs="Arial"/>
          <w:b/>
        </w:rPr>
      </w:pPr>
      <w:r>
        <w:rPr>
          <w:rFonts w:cs="Arial"/>
          <w:b/>
        </w:rPr>
        <w:t>Article 13 – Summary Appeals</w:t>
      </w:r>
    </w:p>
    <w:p w14:paraId="428D1A6A" w14:textId="5C7E3584" w:rsidR="003472BB" w:rsidRPr="003472BB" w:rsidRDefault="0024602B" w:rsidP="00A56EA0">
      <w:pPr>
        <w:spacing w:line="276" w:lineRule="auto"/>
        <w:jc w:val="both"/>
        <w:rPr>
          <w:rFonts w:cs="Arial"/>
          <w:b/>
        </w:rPr>
      </w:pPr>
      <w:r>
        <w:rPr>
          <w:rFonts w:cs="Arial"/>
        </w:rPr>
        <w:t xml:space="preserve">CIB welcomes this proposed article which </w:t>
      </w:r>
      <w:r w:rsidR="00DF153E">
        <w:rPr>
          <w:rFonts w:cs="Arial"/>
        </w:rPr>
        <w:t xml:space="preserve">requires </w:t>
      </w:r>
      <w:r w:rsidR="009B2304">
        <w:rPr>
          <w:rFonts w:cs="Arial"/>
        </w:rPr>
        <w:t>an appeals officer</w:t>
      </w:r>
      <w:r w:rsidR="0061457E">
        <w:rPr>
          <w:rFonts w:cs="Arial"/>
        </w:rPr>
        <w:t>,</w:t>
      </w:r>
      <w:r w:rsidR="00DF153E" w:rsidRPr="00DF153E">
        <w:rPr>
          <w:rFonts w:cs="Arial"/>
        </w:rPr>
        <w:t xml:space="preserve"> for the first time, </w:t>
      </w:r>
      <w:r w:rsidR="00DF153E">
        <w:rPr>
          <w:rFonts w:cs="Arial"/>
        </w:rPr>
        <w:t xml:space="preserve">to set out their reasons for determining the appeal on a summary basis. This is intended to improve the transparency of the process and assist appellants in deciding whether to take up the option of further reviews under </w:t>
      </w:r>
      <w:r w:rsidR="002707C4">
        <w:rPr>
          <w:rFonts w:cs="Arial"/>
        </w:rPr>
        <w:t>S</w:t>
      </w:r>
      <w:r w:rsidR="00E16020">
        <w:rPr>
          <w:rFonts w:cs="Arial"/>
        </w:rPr>
        <w:t>ections</w:t>
      </w:r>
      <w:r w:rsidR="00DF153E">
        <w:rPr>
          <w:rFonts w:cs="Arial"/>
        </w:rPr>
        <w:t xml:space="preserve"> 317 and 318 of the 2005 Act. </w:t>
      </w:r>
    </w:p>
    <w:p w14:paraId="06E50486" w14:textId="57A38AD5" w:rsidR="001C2961" w:rsidRPr="00FA188B" w:rsidRDefault="001C2961" w:rsidP="00A56EA0">
      <w:pPr>
        <w:spacing w:line="276" w:lineRule="auto"/>
        <w:jc w:val="both"/>
        <w:rPr>
          <w:rFonts w:cs="Arial"/>
          <w:b/>
        </w:rPr>
      </w:pPr>
      <w:r w:rsidRPr="00FA188B">
        <w:rPr>
          <w:rFonts w:cs="Arial"/>
          <w:b/>
        </w:rPr>
        <w:t>Article</w:t>
      </w:r>
      <w:r w:rsidR="00DF153E">
        <w:rPr>
          <w:rFonts w:cs="Arial"/>
          <w:b/>
        </w:rPr>
        <w:t>s 14 and</w:t>
      </w:r>
      <w:r w:rsidRPr="00FA188B">
        <w:rPr>
          <w:rFonts w:cs="Arial"/>
          <w:b/>
        </w:rPr>
        <w:t xml:space="preserve"> 15 –</w:t>
      </w:r>
      <w:r w:rsidR="00DF153E">
        <w:rPr>
          <w:rFonts w:cs="Arial"/>
          <w:b/>
        </w:rPr>
        <w:t xml:space="preserve"> Hearings and </w:t>
      </w:r>
      <w:r w:rsidRPr="00FA188B">
        <w:rPr>
          <w:rFonts w:cs="Arial"/>
          <w:b/>
        </w:rPr>
        <w:t>Notice where hearing required</w:t>
      </w:r>
    </w:p>
    <w:p w14:paraId="4D645D59" w14:textId="532059E0" w:rsidR="00E04E13" w:rsidRPr="00E04E13" w:rsidRDefault="00DF153E" w:rsidP="00A56EA0">
      <w:pPr>
        <w:spacing w:line="276" w:lineRule="auto"/>
        <w:jc w:val="both"/>
        <w:rPr>
          <w:rFonts w:cs="Arial"/>
        </w:rPr>
      </w:pPr>
      <w:r>
        <w:rPr>
          <w:rFonts w:cs="Arial"/>
        </w:rPr>
        <w:t xml:space="preserve">Article 14 provides that an appellant is entitled to request an oral hearing, and that an appeals officer must provide </w:t>
      </w:r>
      <w:r w:rsidR="007C28BC">
        <w:rPr>
          <w:rFonts w:cs="Arial"/>
        </w:rPr>
        <w:t xml:space="preserve">reasons if this is not granted. </w:t>
      </w:r>
      <w:r w:rsidR="00C24F8A">
        <w:rPr>
          <w:rFonts w:cs="Arial"/>
        </w:rPr>
        <w:t>This ha</w:t>
      </w:r>
      <w:r w:rsidR="00967A84">
        <w:rPr>
          <w:rFonts w:cs="Arial"/>
        </w:rPr>
        <w:t>s</w:t>
      </w:r>
      <w:r>
        <w:rPr>
          <w:rFonts w:cs="Arial"/>
        </w:rPr>
        <w:t xml:space="preserve"> </w:t>
      </w:r>
      <w:r w:rsidR="00C24F8A" w:rsidRPr="00C24F8A">
        <w:rPr>
          <w:rFonts w:cs="Arial"/>
        </w:rPr>
        <w:t xml:space="preserve">already </w:t>
      </w:r>
      <w:r w:rsidR="00C24F8A">
        <w:rPr>
          <w:rFonts w:cs="Arial"/>
        </w:rPr>
        <w:t xml:space="preserve">been </w:t>
      </w:r>
      <w:r w:rsidR="00C24F8A" w:rsidRPr="00C24F8A">
        <w:rPr>
          <w:rFonts w:cs="Arial"/>
        </w:rPr>
        <w:t>a feature of general practice within the appeals office</w:t>
      </w:r>
      <w:r w:rsidR="00C24F8A">
        <w:rPr>
          <w:rFonts w:cs="Arial"/>
        </w:rPr>
        <w:t xml:space="preserve">, and is now an entitlement with this article. </w:t>
      </w:r>
      <w:r w:rsidR="00E00AA1" w:rsidRPr="00E00AA1">
        <w:rPr>
          <w:rFonts w:cs="Arial"/>
        </w:rPr>
        <w:t>Oral hearings allow appellants the opportunity to put their case</w:t>
      </w:r>
      <w:r w:rsidR="00E16020">
        <w:rPr>
          <w:rFonts w:cs="Arial"/>
        </w:rPr>
        <w:t xml:space="preserve"> forward</w:t>
      </w:r>
      <w:r w:rsidR="00E00AA1" w:rsidRPr="00E00AA1">
        <w:rPr>
          <w:rFonts w:cs="Arial"/>
        </w:rPr>
        <w:t xml:space="preserve"> in-person. The decision </w:t>
      </w:r>
      <w:r w:rsidR="0024602B">
        <w:rPr>
          <w:rFonts w:cs="Arial"/>
        </w:rPr>
        <w:t xml:space="preserve">here </w:t>
      </w:r>
      <w:r w:rsidR="00E00AA1" w:rsidRPr="00E00AA1">
        <w:rPr>
          <w:rFonts w:cs="Arial"/>
        </w:rPr>
        <w:t xml:space="preserve">to grant an oral hearing rests solely with the appeals officer. </w:t>
      </w:r>
      <w:r w:rsidR="00E04E13">
        <w:rPr>
          <w:rFonts w:cs="Arial"/>
        </w:rPr>
        <w:t xml:space="preserve">This is </w:t>
      </w:r>
      <w:r w:rsidR="00E04E13" w:rsidRPr="00E04E13">
        <w:rPr>
          <w:rFonts w:cs="Arial"/>
        </w:rPr>
        <w:t>possibly a limitation on</w:t>
      </w:r>
      <w:r w:rsidR="00E04E13">
        <w:rPr>
          <w:rFonts w:cs="Arial"/>
        </w:rPr>
        <w:t xml:space="preserve"> the current case law and the </w:t>
      </w:r>
      <w:r w:rsidR="00E04E13" w:rsidRPr="00E04E13">
        <w:rPr>
          <w:rFonts w:cs="Arial"/>
        </w:rPr>
        <w:t xml:space="preserve">position that </w:t>
      </w:r>
      <w:r w:rsidR="00E04E13">
        <w:rPr>
          <w:rFonts w:cs="Arial"/>
        </w:rPr>
        <w:t>exists</w:t>
      </w:r>
      <w:r w:rsidR="00E04E13" w:rsidRPr="00E04E13">
        <w:rPr>
          <w:rFonts w:cs="Arial"/>
        </w:rPr>
        <w:t xml:space="preserve"> under </w:t>
      </w:r>
      <w:r w:rsidR="00E04E13" w:rsidRPr="00E04E13">
        <w:rPr>
          <w:rFonts w:cs="Arial"/>
          <w:i/>
        </w:rPr>
        <w:t>Kiely v. Minister for Social Welfare [1971] 1 I.R. 21</w:t>
      </w:r>
      <w:r w:rsidR="00E04E13">
        <w:rPr>
          <w:rFonts w:cs="Arial"/>
          <w:i/>
        </w:rPr>
        <w:t xml:space="preserve">, </w:t>
      </w:r>
      <w:r w:rsidR="00E04E13">
        <w:rPr>
          <w:rFonts w:cs="Arial"/>
        </w:rPr>
        <w:t xml:space="preserve">that if a hearing was requested that it would be granted. </w:t>
      </w:r>
      <w:r w:rsidR="00967A84">
        <w:rPr>
          <w:rFonts w:cs="Arial"/>
        </w:rPr>
        <w:t>This case also draws attention to the process and balan</w:t>
      </w:r>
      <w:r w:rsidR="00E16020">
        <w:rPr>
          <w:rFonts w:cs="Arial"/>
        </w:rPr>
        <w:t>ce of power of an oral hearing:</w:t>
      </w:r>
    </w:p>
    <w:p w14:paraId="1E5DFF64" w14:textId="57A9867D" w:rsidR="00E04E13" w:rsidRPr="00E04E13" w:rsidRDefault="00E04E13" w:rsidP="00A56EA0">
      <w:pPr>
        <w:spacing w:line="276" w:lineRule="auto"/>
        <w:ind w:left="720"/>
        <w:jc w:val="both"/>
        <w:rPr>
          <w:rFonts w:cs="Arial"/>
          <w:i/>
        </w:rPr>
      </w:pPr>
      <w:r w:rsidRPr="00E04E13">
        <w:rPr>
          <w:rFonts w:cs="Arial"/>
          <w:i/>
        </w:rPr>
        <w:lastRenderedPageBreak/>
        <w:t>‘Where essential facts are in controversy, a hearing which is required to be oral and confrontational for one side but which is allowed to be based on written and, therefore, effectively unquestionable evidence on the other side has neither the semblance nor the substance of a fair hearing. It is contrary to natural justice’.</w:t>
      </w:r>
    </w:p>
    <w:p w14:paraId="1066A73F" w14:textId="49E19DBB" w:rsidR="0024602B" w:rsidRDefault="0024602B" w:rsidP="00A56EA0">
      <w:pPr>
        <w:spacing w:line="276" w:lineRule="auto"/>
        <w:jc w:val="both"/>
        <w:rPr>
          <w:rFonts w:cs="Arial"/>
        </w:rPr>
      </w:pPr>
      <w:r w:rsidRPr="0024602B">
        <w:rPr>
          <w:rFonts w:cs="Arial"/>
        </w:rPr>
        <w:t>CIB concurs with the Comptroller and Auditor General’s report recommendation that written guidelines for appeals officers should be prepared that clearly establish the circumstances that usually result in an oral hearing being held. As noted these guidelines should be published on the Appeals Office’s website and made available to the public.</w:t>
      </w:r>
      <w:r w:rsidRPr="0024602B">
        <w:rPr>
          <w:rFonts w:cs="Arial"/>
          <w:vertAlign w:val="superscript"/>
        </w:rPr>
        <w:footnoteReference w:id="6"/>
      </w:r>
      <w:r w:rsidRPr="0024602B">
        <w:rPr>
          <w:rFonts w:cs="Arial"/>
        </w:rPr>
        <w:t xml:space="preserve"> </w:t>
      </w:r>
      <w:r w:rsidR="00E00AA1" w:rsidRPr="00E00AA1">
        <w:rPr>
          <w:rFonts w:cs="Arial"/>
        </w:rPr>
        <w:t>The Appeals Office has stated that, in practice, an oral hearing is held in situations where there is a conflict of evidence or a judgement to be made, or where there are multiple parties involved (e.</w:t>
      </w:r>
      <w:r w:rsidR="00E16020">
        <w:rPr>
          <w:rFonts w:cs="Arial"/>
        </w:rPr>
        <w:t>g. insurability of employment).</w:t>
      </w:r>
    </w:p>
    <w:p w14:paraId="19720E31" w14:textId="5193588E" w:rsidR="0024602B" w:rsidRPr="0024602B" w:rsidRDefault="0024602B" w:rsidP="00A56EA0">
      <w:pPr>
        <w:spacing w:line="276" w:lineRule="auto"/>
        <w:jc w:val="both"/>
        <w:rPr>
          <w:rFonts w:cs="Arial"/>
        </w:rPr>
      </w:pPr>
      <w:r w:rsidRPr="0024602B">
        <w:rPr>
          <w:rFonts w:cs="Arial"/>
        </w:rPr>
        <w:t xml:space="preserve">Feedback from CISs note the higher </w:t>
      </w:r>
      <w:r w:rsidR="00967A84">
        <w:rPr>
          <w:rFonts w:cs="Arial"/>
        </w:rPr>
        <w:t>positive outcomes in</w:t>
      </w:r>
      <w:r>
        <w:rPr>
          <w:rFonts w:cs="Arial"/>
        </w:rPr>
        <w:t xml:space="preserve"> appeals where an </w:t>
      </w:r>
      <w:r w:rsidRPr="0024602B">
        <w:rPr>
          <w:rFonts w:cs="Arial"/>
        </w:rPr>
        <w:t xml:space="preserve">oral hearing </w:t>
      </w:r>
      <w:r>
        <w:rPr>
          <w:rFonts w:cs="Arial"/>
        </w:rPr>
        <w:t xml:space="preserve">has been held </w:t>
      </w:r>
      <w:r w:rsidRPr="0024602B">
        <w:rPr>
          <w:rFonts w:cs="Arial"/>
        </w:rPr>
        <w:t xml:space="preserve">because it allows appellants to make a more complete presentation of their circumstances and to have the option of representation. In 2021, 1,050 (6.3%) of the 16,567 appeals finalised by </w:t>
      </w:r>
      <w:r w:rsidRPr="0024602B">
        <w:rPr>
          <w:rFonts w:cs="Arial"/>
        </w:rPr>
        <w:lastRenderedPageBreak/>
        <w:t xml:space="preserve">appeals officers were dealt with by way of oral hearing, and 70% (733) of these had a favourable outcome. This contrasts with 15,517 appeals finalised </w:t>
      </w:r>
      <w:r>
        <w:rPr>
          <w:rFonts w:cs="Arial"/>
        </w:rPr>
        <w:t>by</w:t>
      </w:r>
      <w:r w:rsidRPr="0024602B">
        <w:rPr>
          <w:rFonts w:cs="Arial"/>
        </w:rPr>
        <w:t xml:space="preserve"> summary decisions, </w:t>
      </w:r>
      <w:r>
        <w:rPr>
          <w:rFonts w:cs="Arial"/>
        </w:rPr>
        <w:t xml:space="preserve">and </w:t>
      </w:r>
      <w:r w:rsidRPr="0024602B">
        <w:rPr>
          <w:rFonts w:cs="Arial"/>
        </w:rPr>
        <w:t>of which 38%</w:t>
      </w:r>
      <w:r w:rsidR="00E16020">
        <w:rPr>
          <w:rFonts w:cs="Arial"/>
        </w:rPr>
        <w:t xml:space="preserve"> (5,909)</w:t>
      </w:r>
      <w:r w:rsidRPr="0024602B">
        <w:rPr>
          <w:rFonts w:cs="Arial"/>
        </w:rPr>
        <w:t xml:space="preserve"> had a favourable outcome. It is recognised </w:t>
      </w:r>
      <w:r w:rsidR="00E16020">
        <w:rPr>
          <w:rFonts w:cs="Arial"/>
        </w:rPr>
        <w:t>however</w:t>
      </w:r>
      <w:r w:rsidRPr="0024602B">
        <w:rPr>
          <w:rFonts w:cs="Arial"/>
        </w:rPr>
        <w:t xml:space="preserve"> that there may be</w:t>
      </w:r>
      <w:r>
        <w:rPr>
          <w:rFonts w:cs="Arial"/>
        </w:rPr>
        <w:t xml:space="preserve"> a number of</w:t>
      </w:r>
      <w:r w:rsidRPr="0024602B">
        <w:rPr>
          <w:rFonts w:cs="Arial"/>
        </w:rPr>
        <w:t xml:space="preserve"> </w:t>
      </w:r>
      <w:r w:rsidR="00FE5D39">
        <w:rPr>
          <w:rFonts w:cs="Arial"/>
        </w:rPr>
        <w:t xml:space="preserve">other </w:t>
      </w:r>
      <w:r w:rsidRPr="0024602B">
        <w:rPr>
          <w:rFonts w:cs="Arial"/>
        </w:rPr>
        <w:t xml:space="preserve">factors involved in </w:t>
      </w:r>
      <w:r>
        <w:rPr>
          <w:rFonts w:cs="Arial"/>
        </w:rPr>
        <w:t>appeal</w:t>
      </w:r>
      <w:r w:rsidRPr="0024602B">
        <w:rPr>
          <w:rFonts w:cs="Arial"/>
        </w:rPr>
        <w:t xml:space="preserve"> outcomes</w:t>
      </w:r>
      <w:r w:rsidR="00E16020">
        <w:rPr>
          <w:rFonts w:cs="Arial"/>
        </w:rPr>
        <w:t>.</w:t>
      </w:r>
      <w:r w:rsidR="00FE5D39">
        <w:rPr>
          <w:rStyle w:val="FootnoteReference"/>
          <w:rFonts w:cs="Arial"/>
        </w:rPr>
        <w:footnoteReference w:id="7"/>
      </w:r>
    </w:p>
    <w:p w14:paraId="47971EF4" w14:textId="17124426" w:rsidR="0024602B" w:rsidRPr="0024602B" w:rsidRDefault="0024602B" w:rsidP="00A56EA0">
      <w:pPr>
        <w:spacing w:line="276" w:lineRule="auto"/>
        <w:jc w:val="both"/>
        <w:rPr>
          <w:rFonts w:cs="Arial"/>
        </w:rPr>
      </w:pPr>
      <w:r w:rsidRPr="0024602B">
        <w:rPr>
          <w:rFonts w:cs="Arial"/>
        </w:rPr>
        <w:t xml:space="preserve">It was </w:t>
      </w:r>
      <w:r>
        <w:rPr>
          <w:rFonts w:cs="Arial"/>
        </w:rPr>
        <w:t>emphasised</w:t>
      </w:r>
      <w:r w:rsidRPr="0024602B">
        <w:rPr>
          <w:rFonts w:cs="Arial"/>
        </w:rPr>
        <w:t xml:space="preserve"> that </w:t>
      </w:r>
      <w:r>
        <w:rPr>
          <w:rFonts w:cs="Arial"/>
          <w:iCs/>
        </w:rPr>
        <w:t>an</w:t>
      </w:r>
      <w:r w:rsidRPr="0024602B">
        <w:rPr>
          <w:rFonts w:cs="Arial"/>
          <w:iCs/>
        </w:rPr>
        <w:t xml:space="preserve"> appellant</w:t>
      </w:r>
      <w:r>
        <w:rPr>
          <w:rFonts w:cs="Arial"/>
          <w:iCs/>
        </w:rPr>
        <w:t xml:space="preserve"> should be provided with an oral hearing where that is appropriate even if not requested by the appellant/representative. </w:t>
      </w:r>
      <w:r w:rsidRPr="0024602B">
        <w:rPr>
          <w:rFonts w:cs="Arial"/>
          <w:iCs/>
        </w:rPr>
        <w:t xml:space="preserve">The </w:t>
      </w:r>
      <w:r w:rsidR="00E04E13">
        <w:rPr>
          <w:rFonts w:cs="Arial"/>
          <w:iCs/>
        </w:rPr>
        <w:t>value</w:t>
      </w:r>
      <w:r w:rsidRPr="0024602B">
        <w:rPr>
          <w:rFonts w:cs="Arial"/>
          <w:iCs/>
        </w:rPr>
        <w:t xml:space="preserve"> of oral hearings w</w:t>
      </w:r>
      <w:r w:rsidR="00E04E13">
        <w:rPr>
          <w:rFonts w:cs="Arial"/>
          <w:iCs/>
        </w:rPr>
        <w:t>as</w:t>
      </w:r>
      <w:r w:rsidRPr="0024602B">
        <w:rPr>
          <w:rFonts w:cs="Arial"/>
          <w:iCs/>
        </w:rPr>
        <w:t xml:space="preserve"> </w:t>
      </w:r>
      <w:r w:rsidR="00E04E13">
        <w:rPr>
          <w:rFonts w:cs="Arial"/>
          <w:iCs/>
        </w:rPr>
        <w:t xml:space="preserve">stressed </w:t>
      </w:r>
      <w:r w:rsidRPr="0024602B">
        <w:rPr>
          <w:rFonts w:cs="Arial"/>
          <w:iCs/>
        </w:rPr>
        <w:t>where the issue</w:t>
      </w:r>
      <w:r w:rsidR="00E04E13">
        <w:rPr>
          <w:rFonts w:cs="Arial"/>
          <w:iCs/>
        </w:rPr>
        <w:t>s</w:t>
      </w:r>
      <w:r w:rsidRPr="0024602B">
        <w:rPr>
          <w:rFonts w:cs="Arial"/>
          <w:iCs/>
        </w:rPr>
        <w:t xml:space="preserve"> at hand </w:t>
      </w:r>
      <w:r w:rsidR="00E04E13">
        <w:rPr>
          <w:rFonts w:cs="Arial"/>
          <w:iCs/>
        </w:rPr>
        <w:t>are</w:t>
      </w:r>
      <w:r w:rsidRPr="0024602B">
        <w:rPr>
          <w:rFonts w:cs="Arial"/>
          <w:iCs/>
        </w:rPr>
        <w:t xml:space="preserve"> subjective</w:t>
      </w:r>
      <w:r w:rsidR="00E04E13">
        <w:rPr>
          <w:rFonts w:cs="Arial"/>
          <w:iCs/>
        </w:rPr>
        <w:t xml:space="preserve"> in nature</w:t>
      </w:r>
      <w:r w:rsidRPr="0024602B">
        <w:rPr>
          <w:rFonts w:cs="Arial"/>
          <w:iCs/>
        </w:rPr>
        <w:t xml:space="preserve">, as relevant facts may come to light in the oral setting. Face to face hearings </w:t>
      </w:r>
      <w:r w:rsidR="00E04E13">
        <w:rPr>
          <w:rFonts w:cs="Arial"/>
          <w:iCs/>
        </w:rPr>
        <w:t xml:space="preserve">as opposed to online hearings </w:t>
      </w:r>
      <w:r w:rsidRPr="0024602B">
        <w:rPr>
          <w:rFonts w:cs="Arial"/>
          <w:iCs/>
        </w:rPr>
        <w:t xml:space="preserve">were also considered preferable, especially for </w:t>
      </w:r>
      <w:r w:rsidR="00E04E13">
        <w:rPr>
          <w:rFonts w:cs="Arial"/>
          <w:iCs/>
        </w:rPr>
        <w:t xml:space="preserve">people </w:t>
      </w:r>
      <w:r w:rsidRPr="0024602B">
        <w:rPr>
          <w:rFonts w:cs="Arial"/>
          <w:iCs/>
        </w:rPr>
        <w:t xml:space="preserve">with mental health conditions. The reasons for refusing a request for an oral hearing should be in a ‘lay’ person’s terms. It was also considered that in line with the principles </w:t>
      </w:r>
      <w:r w:rsidRPr="0024602B">
        <w:rPr>
          <w:rFonts w:cs="Arial"/>
          <w:iCs/>
        </w:rPr>
        <w:lastRenderedPageBreak/>
        <w:t>of natural justice, that there should be a procedure for challenging the refusal of a r</w:t>
      </w:r>
      <w:r w:rsidR="001F0455">
        <w:rPr>
          <w:rFonts w:cs="Arial"/>
          <w:iCs/>
        </w:rPr>
        <w:t>equest for an oral hearing.</w:t>
      </w:r>
    </w:p>
    <w:p w14:paraId="0B8B567A" w14:textId="740182F8" w:rsidR="0024602B" w:rsidRPr="0024602B" w:rsidRDefault="00E04E13" w:rsidP="00A56EA0">
      <w:pPr>
        <w:spacing w:line="276" w:lineRule="auto"/>
        <w:jc w:val="both"/>
        <w:rPr>
          <w:rFonts w:cs="Arial"/>
        </w:rPr>
      </w:pPr>
      <w:r>
        <w:rPr>
          <w:rFonts w:cs="Arial"/>
        </w:rPr>
        <w:t xml:space="preserve">While there is a right to request an oral hearing in the proposed regulations, there is no right to information about this fact. </w:t>
      </w:r>
      <w:r w:rsidR="0024602B" w:rsidRPr="0024602B">
        <w:rPr>
          <w:rFonts w:cs="Arial"/>
        </w:rPr>
        <w:t xml:space="preserve">The appellant should be informed that he or she can request an oral hearing, e.g. this right could be included on the Appeals Form to present this as a possibility and </w:t>
      </w:r>
      <w:r w:rsidR="00D27630">
        <w:rPr>
          <w:rFonts w:cs="Arial"/>
        </w:rPr>
        <w:t xml:space="preserve">to draw attention to </w:t>
      </w:r>
      <w:r w:rsidR="0024602B" w:rsidRPr="0024602B">
        <w:rPr>
          <w:rFonts w:cs="Arial"/>
        </w:rPr>
        <w:t>the significance of an oral hearing</w:t>
      </w:r>
      <w:r w:rsidR="00D27630">
        <w:rPr>
          <w:rFonts w:cs="Arial"/>
        </w:rPr>
        <w:t xml:space="preserve">; </w:t>
      </w:r>
      <w:r w:rsidR="00BB07F4">
        <w:rPr>
          <w:rFonts w:cs="Arial"/>
        </w:rPr>
        <w:t>and/</w:t>
      </w:r>
      <w:r w:rsidR="00D27630">
        <w:rPr>
          <w:rFonts w:cs="Arial"/>
        </w:rPr>
        <w:t xml:space="preserve">or this information could be provided in an information leaflet, reaching people who </w:t>
      </w:r>
      <w:r w:rsidR="001F0455">
        <w:rPr>
          <w:rFonts w:cs="Arial"/>
        </w:rPr>
        <w:t>experience digital exclusion.</w:t>
      </w:r>
    </w:p>
    <w:p w14:paraId="0198AD83" w14:textId="0F95B81A" w:rsidR="0024602B" w:rsidRPr="0024602B" w:rsidRDefault="0024602B" w:rsidP="00A56EA0">
      <w:pPr>
        <w:spacing w:line="276" w:lineRule="auto"/>
        <w:jc w:val="both"/>
        <w:rPr>
          <w:rFonts w:cs="Arial"/>
        </w:rPr>
      </w:pPr>
      <w:r w:rsidRPr="00160200">
        <w:rPr>
          <w:rFonts w:cs="Arial"/>
          <w:b/>
        </w:rPr>
        <w:t>Article 15</w:t>
      </w:r>
      <w:r w:rsidRPr="0024602B">
        <w:rPr>
          <w:rFonts w:cs="Arial"/>
        </w:rPr>
        <w:t xml:space="preserve"> states: ‘…. and as soon as may be, fix a date and place for the hearing, and give reasonable notice of the said hearing to the appellant…’</w:t>
      </w:r>
    </w:p>
    <w:p w14:paraId="6A02031D" w14:textId="77777777" w:rsidR="00E04E13" w:rsidRDefault="0024602B" w:rsidP="00A56EA0">
      <w:pPr>
        <w:spacing w:line="276" w:lineRule="auto"/>
        <w:jc w:val="both"/>
        <w:rPr>
          <w:rFonts w:cs="Arial"/>
        </w:rPr>
      </w:pPr>
      <w:r w:rsidRPr="0024602B">
        <w:rPr>
          <w:rFonts w:cs="Arial"/>
        </w:rPr>
        <w:t xml:space="preserve">‘Reasonable notice’ is not defined in the draft regulations. Note here that the Residential Tenancies Board provides an appellant with 14 days’ notice of a hearing. </w:t>
      </w:r>
    </w:p>
    <w:p w14:paraId="23080AAD" w14:textId="25073F32" w:rsidR="002C6F2E" w:rsidRPr="00E04E13" w:rsidRDefault="00264C77" w:rsidP="00A56EA0">
      <w:pPr>
        <w:spacing w:line="276" w:lineRule="auto"/>
        <w:jc w:val="both"/>
        <w:rPr>
          <w:rFonts w:cs="Arial"/>
          <w:b/>
        </w:rPr>
      </w:pPr>
      <w:r w:rsidRPr="00E04E13">
        <w:rPr>
          <w:rFonts w:cs="Arial"/>
          <w:b/>
        </w:rPr>
        <w:t>Article 16 – Persons who may appear at hearing</w:t>
      </w:r>
    </w:p>
    <w:p w14:paraId="02D6BEB9" w14:textId="0DBED496" w:rsidR="00264C77" w:rsidRDefault="00160200" w:rsidP="00A56EA0">
      <w:pPr>
        <w:spacing w:line="276" w:lineRule="auto"/>
        <w:jc w:val="both"/>
        <w:rPr>
          <w:rFonts w:cs="Arial"/>
        </w:rPr>
      </w:pPr>
      <w:r>
        <w:rPr>
          <w:rFonts w:cs="Arial"/>
        </w:rPr>
        <w:t xml:space="preserve">‘…the consent of the Appeals Officer’ is required for ‘any other person’ to appear at the oral hearing. </w:t>
      </w:r>
      <w:r w:rsidR="00264C77">
        <w:rPr>
          <w:rFonts w:cs="Arial"/>
        </w:rPr>
        <w:t xml:space="preserve">It is </w:t>
      </w:r>
      <w:r>
        <w:rPr>
          <w:rFonts w:cs="Arial"/>
        </w:rPr>
        <w:t xml:space="preserve">recognised </w:t>
      </w:r>
      <w:r w:rsidR="00264C77">
        <w:rPr>
          <w:rFonts w:cs="Arial"/>
        </w:rPr>
        <w:t>that CIS representatives can seek to appear in a case</w:t>
      </w:r>
      <w:r w:rsidR="00E90D53">
        <w:rPr>
          <w:rFonts w:cs="Arial"/>
        </w:rPr>
        <w:t>.</w:t>
      </w:r>
    </w:p>
    <w:p w14:paraId="6CEE3A95" w14:textId="77777777" w:rsidR="00E17877" w:rsidRPr="002C6F2E" w:rsidRDefault="00E17877" w:rsidP="00A56EA0">
      <w:pPr>
        <w:spacing w:line="276" w:lineRule="auto"/>
        <w:jc w:val="both"/>
        <w:rPr>
          <w:rFonts w:cs="Arial"/>
        </w:rPr>
      </w:pPr>
    </w:p>
    <w:p w14:paraId="0B00D30E" w14:textId="77777777" w:rsidR="00814B69" w:rsidRDefault="00814B69" w:rsidP="00A56EA0">
      <w:pPr>
        <w:spacing w:line="276" w:lineRule="auto"/>
        <w:jc w:val="both"/>
        <w:rPr>
          <w:rFonts w:cs="Arial"/>
          <w:b/>
        </w:rPr>
      </w:pPr>
      <w:r>
        <w:rPr>
          <w:rFonts w:cs="Arial"/>
          <w:b/>
        </w:rPr>
        <w:t>Article 19 (2) – Procedure at hearing</w:t>
      </w:r>
    </w:p>
    <w:p w14:paraId="35502F01" w14:textId="70D8E901" w:rsidR="00814B69" w:rsidRDefault="00814B69" w:rsidP="00A56EA0">
      <w:pPr>
        <w:spacing w:line="276" w:lineRule="auto"/>
        <w:jc w:val="both"/>
        <w:rPr>
          <w:rFonts w:cs="Arial"/>
        </w:rPr>
      </w:pPr>
      <w:r>
        <w:rPr>
          <w:rFonts w:cs="Arial"/>
        </w:rPr>
        <w:t>This includes a provision on</w:t>
      </w:r>
      <w:r w:rsidRPr="00814B69">
        <w:rPr>
          <w:rFonts w:cs="Arial"/>
        </w:rPr>
        <w:t xml:space="preserve"> postponements or adjournment of hearings</w:t>
      </w:r>
      <w:r>
        <w:rPr>
          <w:rFonts w:cs="Arial"/>
        </w:rPr>
        <w:t>, which</w:t>
      </w:r>
      <w:r w:rsidRPr="00814B69">
        <w:rPr>
          <w:rFonts w:cs="Arial"/>
        </w:rPr>
        <w:t xml:space="preserve"> shall only be granted in exceptional circumstances.</w:t>
      </w:r>
      <w:r>
        <w:rPr>
          <w:rFonts w:cs="Arial"/>
        </w:rPr>
        <w:t xml:space="preserve"> ‘Reasonable cause’ (including e.g. attending a medical appointment) was considered preferable in favour of ‘exceptional circumstances’ which ca</w:t>
      </w:r>
      <w:r w:rsidR="00D337EB">
        <w:rPr>
          <w:rFonts w:cs="Arial"/>
        </w:rPr>
        <w:t>n have a varied interpretation.</w:t>
      </w:r>
    </w:p>
    <w:p w14:paraId="0E773D9D" w14:textId="066CBD50" w:rsidR="00ED6D53" w:rsidRPr="00DF153E" w:rsidRDefault="005B7819" w:rsidP="00A56EA0">
      <w:pPr>
        <w:spacing w:line="276" w:lineRule="auto"/>
        <w:jc w:val="both"/>
        <w:rPr>
          <w:rFonts w:cs="Arial"/>
          <w:b/>
        </w:rPr>
      </w:pPr>
      <w:r w:rsidRPr="00DF153E">
        <w:rPr>
          <w:rFonts w:cs="Arial"/>
          <w:b/>
        </w:rPr>
        <w:t>Article 20 – Decision of appeals officer</w:t>
      </w:r>
    </w:p>
    <w:p w14:paraId="7403BE78" w14:textId="3F42AEC0" w:rsidR="005B7819" w:rsidRPr="00DF153E" w:rsidRDefault="005B7819" w:rsidP="00A56EA0">
      <w:pPr>
        <w:spacing w:line="276" w:lineRule="auto"/>
        <w:jc w:val="both"/>
        <w:rPr>
          <w:color w:val="212121"/>
          <w:shd w:val="clear" w:color="auto" w:fill="FFFFFF"/>
        </w:rPr>
      </w:pPr>
      <w:r w:rsidRPr="00DF153E">
        <w:rPr>
          <w:rFonts w:cs="Arial"/>
        </w:rPr>
        <w:t>This provides that</w:t>
      </w:r>
      <w:r w:rsidRPr="00DF153E">
        <w:rPr>
          <w:rFonts w:cs="Arial"/>
          <w:b/>
        </w:rPr>
        <w:t xml:space="preserve"> </w:t>
      </w:r>
      <w:r w:rsidRPr="00DF153E">
        <w:rPr>
          <w:color w:val="212121"/>
          <w:shd w:val="clear" w:color="auto" w:fill="FFFFFF"/>
        </w:rPr>
        <w:t>the decision of the appeals officer must be sent to all parties to the appeal within 15 days (working days) of the decision being made.</w:t>
      </w:r>
      <w:r w:rsidR="00CF7006">
        <w:rPr>
          <w:color w:val="212121"/>
          <w:shd w:val="clear" w:color="auto" w:fill="FFFFFF"/>
        </w:rPr>
        <w:t xml:space="preserve"> </w:t>
      </w:r>
    </w:p>
    <w:p w14:paraId="6A203556" w14:textId="76AC69EE" w:rsidR="005B7819" w:rsidRDefault="005B7819" w:rsidP="00A56EA0">
      <w:pPr>
        <w:spacing w:line="276" w:lineRule="auto"/>
        <w:jc w:val="both"/>
        <w:rPr>
          <w:color w:val="212121"/>
          <w:shd w:val="clear" w:color="auto" w:fill="FFFFFF"/>
        </w:rPr>
      </w:pPr>
      <w:r w:rsidRPr="00DF153E">
        <w:rPr>
          <w:color w:val="212121"/>
          <w:shd w:val="clear" w:color="auto" w:fill="FFFFFF"/>
        </w:rPr>
        <w:t xml:space="preserve">This was </w:t>
      </w:r>
      <w:r w:rsidR="00CF7006">
        <w:rPr>
          <w:color w:val="212121"/>
          <w:shd w:val="clear" w:color="auto" w:fill="FFFFFF"/>
        </w:rPr>
        <w:t xml:space="preserve">broadly welcomed </w:t>
      </w:r>
      <w:r w:rsidR="00006A52">
        <w:rPr>
          <w:color w:val="212121"/>
          <w:shd w:val="clear" w:color="auto" w:fill="FFFFFF"/>
        </w:rPr>
        <w:t xml:space="preserve">and </w:t>
      </w:r>
      <w:r w:rsidR="001E7BA2">
        <w:rPr>
          <w:color w:val="212121"/>
          <w:shd w:val="clear" w:color="auto" w:fill="FFFFFF"/>
        </w:rPr>
        <w:t xml:space="preserve">should </w:t>
      </w:r>
      <w:r w:rsidR="00006A52">
        <w:rPr>
          <w:color w:val="212121"/>
          <w:shd w:val="clear" w:color="auto" w:fill="FFFFFF"/>
        </w:rPr>
        <w:t>help to reduce stress for appellants who may be in vulnerable situations, on inappropriate payments, and who have been waiting for a decision. It was considered</w:t>
      </w:r>
      <w:r w:rsidR="00CF7006">
        <w:rPr>
          <w:color w:val="212121"/>
          <w:shd w:val="clear" w:color="auto" w:fill="FFFFFF"/>
        </w:rPr>
        <w:t xml:space="preserve"> </w:t>
      </w:r>
      <w:r w:rsidRPr="00DF153E">
        <w:rPr>
          <w:color w:val="212121"/>
          <w:shd w:val="clear" w:color="auto" w:fill="FFFFFF"/>
        </w:rPr>
        <w:t xml:space="preserve">important </w:t>
      </w:r>
      <w:r w:rsidR="00CF7006">
        <w:rPr>
          <w:color w:val="212121"/>
          <w:shd w:val="clear" w:color="auto" w:fill="FFFFFF"/>
        </w:rPr>
        <w:t>to ensure</w:t>
      </w:r>
      <w:r w:rsidRPr="00DF153E">
        <w:rPr>
          <w:color w:val="212121"/>
          <w:shd w:val="clear" w:color="auto" w:fill="FFFFFF"/>
        </w:rPr>
        <w:t xml:space="preserve"> that the </w:t>
      </w:r>
      <w:r w:rsidR="00DF153E">
        <w:rPr>
          <w:color w:val="212121"/>
          <w:shd w:val="clear" w:color="auto" w:fill="FFFFFF"/>
        </w:rPr>
        <w:t>appeals office</w:t>
      </w:r>
      <w:r w:rsidRPr="00DF153E">
        <w:rPr>
          <w:color w:val="212121"/>
          <w:shd w:val="clear" w:color="auto" w:fill="FFFFFF"/>
        </w:rPr>
        <w:t xml:space="preserve"> has the </w:t>
      </w:r>
      <w:r w:rsidR="00CF7006">
        <w:rPr>
          <w:color w:val="212121"/>
          <w:shd w:val="clear" w:color="auto" w:fill="FFFFFF"/>
        </w:rPr>
        <w:t>necessary</w:t>
      </w:r>
      <w:r w:rsidRPr="00DF153E">
        <w:rPr>
          <w:color w:val="212121"/>
          <w:shd w:val="clear" w:color="auto" w:fill="FFFFFF"/>
        </w:rPr>
        <w:t xml:space="preserve"> resources to administer this</w:t>
      </w:r>
      <w:r w:rsidR="00BE42F3">
        <w:rPr>
          <w:color w:val="212121"/>
          <w:shd w:val="clear" w:color="auto" w:fill="FFFFFF"/>
        </w:rPr>
        <w:t>. The use of language</w:t>
      </w:r>
      <w:r w:rsidR="00CF7006">
        <w:rPr>
          <w:color w:val="212121"/>
          <w:shd w:val="clear" w:color="auto" w:fill="FFFFFF"/>
        </w:rPr>
        <w:t xml:space="preserve"> and plain English</w:t>
      </w:r>
      <w:r w:rsidR="00BE42F3">
        <w:rPr>
          <w:color w:val="212121"/>
          <w:shd w:val="clear" w:color="auto" w:fill="FFFFFF"/>
        </w:rPr>
        <w:t xml:space="preserve"> in decision letters was raised, where </w:t>
      </w:r>
      <w:r w:rsidR="00CF7006">
        <w:rPr>
          <w:color w:val="212121"/>
          <w:shd w:val="clear" w:color="auto" w:fill="FFFFFF"/>
        </w:rPr>
        <w:t xml:space="preserve">the </w:t>
      </w:r>
      <w:r w:rsidR="00BE42F3" w:rsidRPr="00BE42F3">
        <w:rPr>
          <w:color w:val="212121"/>
          <w:shd w:val="clear" w:color="auto" w:fill="FFFFFF"/>
        </w:rPr>
        <w:t xml:space="preserve">wording in </w:t>
      </w:r>
      <w:r w:rsidR="00CF7006">
        <w:rPr>
          <w:color w:val="212121"/>
          <w:shd w:val="clear" w:color="auto" w:fill="FFFFFF"/>
        </w:rPr>
        <w:t>appeal</w:t>
      </w:r>
      <w:r w:rsidR="00BE42F3">
        <w:rPr>
          <w:color w:val="212121"/>
          <w:shd w:val="clear" w:color="auto" w:fill="FFFFFF"/>
        </w:rPr>
        <w:t xml:space="preserve"> </w:t>
      </w:r>
      <w:r w:rsidR="00BE42F3" w:rsidRPr="00BE42F3">
        <w:rPr>
          <w:color w:val="212121"/>
          <w:shd w:val="clear" w:color="auto" w:fill="FFFFFF"/>
        </w:rPr>
        <w:t xml:space="preserve">decision letters </w:t>
      </w:r>
      <w:r w:rsidR="00CF7006">
        <w:rPr>
          <w:color w:val="212121"/>
          <w:shd w:val="clear" w:color="auto" w:fill="FFFFFF"/>
        </w:rPr>
        <w:t>could be</w:t>
      </w:r>
      <w:r w:rsidR="00BE42F3">
        <w:rPr>
          <w:color w:val="212121"/>
          <w:shd w:val="clear" w:color="auto" w:fill="FFFFFF"/>
        </w:rPr>
        <w:t xml:space="preserve"> </w:t>
      </w:r>
      <w:r w:rsidR="008C4364">
        <w:rPr>
          <w:color w:val="212121"/>
          <w:shd w:val="clear" w:color="auto" w:fill="FFFFFF"/>
        </w:rPr>
        <w:t xml:space="preserve">overly legalistic, and </w:t>
      </w:r>
      <w:r w:rsidR="00BE42F3">
        <w:rPr>
          <w:color w:val="212121"/>
          <w:shd w:val="clear" w:color="auto" w:fill="FFFFFF"/>
        </w:rPr>
        <w:t>confusing for clients, e.g. t</w:t>
      </w:r>
      <w:r w:rsidR="00BE42F3" w:rsidRPr="00BE42F3">
        <w:rPr>
          <w:color w:val="212121"/>
          <w:shd w:val="clear" w:color="auto" w:fill="FFFFFF"/>
        </w:rPr>
        <w:t xml:space="preserve">he current wording of "Appeal Allowed" </w:t>
      </w:r>
      <w:r w:rsidR="00BE42F3">
        <w:rPr>
          <w:color w:val="212121"/>
          <w:shd w:val="clear" w:color="auto" w:fill="FFFFFF"/>
        </w:rPr>
        <w:t xml:space="preserve">is confusing for </w:t>
      </w:r>
      <w:r w:rsidR="00BE42F3">
        <w:rPr>
          <w:color w:val="212121"/>
          <w:shd w:val="clear" w:color="auto" w:fill="FFFFFF"/>
        </w:rPr>
        <w:lastRenderedPageBreak/>
        <w:t>some</w:t>
      </w:r>
      <w:r w:rsidR="00CF7006">
        <w:rPr>
          <w:color w:val="212121"/>
          <w:shd w:val="clear" w:color="auto" w:fill="FFFFFF"/>
        </w:rPr>
        <w:t xml:space="preserve"> people</w:t>
      </w:r>
      <w:r w:rsidR="00BE42F3">
        <w:rPr>
          <w:color w:val="212121"/>
          <w:shd w:val="clear" w:color="auto" w:fill="FFFFFF"/>
        </w:rPr>
        <w:t xml:space="preserve">, </w:t>
      </w:r>
      <w:r w:rsidR="00CF7006">
        <w:rPr>
          <w:color w:val="212121"/>
          <w:shd w:val="clear" w:color="auto" w:fill="FFFFFF"/>
        </w:rPr>
        <w:t xml:space="preserve">and </w:t>
      </w:r>
      <w:r w:rsidR="00CF7006">
        <w:t>r</w:t>
      </w:r>
      <w:r w:rsidR="00BE42F3">
        <w:t>eplacing this with</w:t>
      </w:r>
      <w:r w:rsidR="00CF7006">
        <w:t xml:space="preserve"> more direct language e.g.</w:t>
      </w:r>
      <w:r w:rsidR="00BE42F3">
        <w:t xml:space="preserve"> </w:t>
      </w:r>
      <w:r w:rsidR="00BE42F3" w:rsidRPr="00BE42F3">
        <w:rPr>
          <w:color w:val="212121"/>
          <w:shd w:val="clear" w:color="auto" w:fill="FFFFFF"/>
        </w:rPr>
        <w:t>‘Your appeal is successf</w:t>
      </w:r>
      <w:r w:rsidR="00BE42F3">
        <w:rPr>
          <w:color w:val="212121"/>
          <w:shd w:val="clear" w:color="auto" w:fill="FFFFFF"/>
        </w:rPr>
        <w:t xml:space="preserve">ul, you will receive X payment’ is clearer. </w:t>
      </w:r>
    </w:p>
    <w:p w14:paraId="58684A06" w14:textId="2B3A17DC" w:rsidR="00CF7006" w:rsidRPr="008743CA" w:rsidRDefault="00E90D53" w:rsidP="00A56EA0">
      <w:pPr>
        <w:spacing w:line="276" w:lineRule="auto"/>
        <w:jc w:val="both"/>
        <w:rPr>
          <w:color w:val="212121"/>
          <w:shd w:val="clear" w:color="auto" w:fill="FFFFFF"/>
        </w:rPr>
      </w:pPr>
      <w:r>
        <w:rPr>
          <w:color w:val="212121"/>
          <w:shd w:val="clear" w:color="auto" w:fill="FFFFFF"/>
        </w:rPr>
        <w:t xml:space="preserve">CIB has noted in previous submissions that </w:t>
      </w:r>
      <w:r w:rsidR="001E7BA2">
        <w:rPr>
          <w:color w:val="212121"/>
          <w:shd w:val="clear" w:color="auto" w:fill="FFFFFF"/>
        </w:rPr>
        <w:t>t</w:t>
      </w:r>
      <w:r w:rsidR="00CF7006" w:rsidRPr="00CF7006">
        <w:rPr>
          <w:color w:val="212121"/>
          <w:shd w:val="clear" w:color="auto" w:fill="FFFFFF"/>
        </w:rPr>
        <w:t xml:space="preserve">he review and appeals process would be significantly enhanced by a much fuller statement of reasons for refusal </w:t>
      </w:r>
      <w:r w:rsidR="001E7BA2">
        <w:rPr>
          <w:color w:val="212121"/>
          <w:shd w:val="clear" w:color="auto" w:fill="FFFFFF"/>
        </w:rPr>
        <w:t xml:space="preserve">other </w:t>
      </w:r>
      <w:r w:rsidR="00CF7006" w:rsidRPr="00CF7006">
        <w:rPr>
          <w:color w:val="212121"/>
          <w:shd w:val="clear" w:color="auto" w:fill="FFFFFF"/>
        </w:rPr>
        <w:t>than th</w:t>
      </w:r>
      <w:r w:rsidR="001E7BA2">
        <w:rPr>
          <w:color w:val="212121"/>
          <w:shd w:val="clear" w:color="auto" w:fill="FFFFFF"/>
        </w:rPr>
        <w:t>at which is currently provided.</w:t>
      </w:r>
    </w:p>
    <w:p w14:paraId="0385B177" w14:textId="31819538" w:rsidR="00264C77" w:rsidRPr="00BE42F3" w:rsidRDefault="00264C77" w:rsidP="00A56EA0">
      <w:pPr>
        <w:spacing w:line="276" w:lineRule="auto"/>
        <w:jc w:val="both"/>
        <w:rPr>
          <w:rFonts w:ascii="Calibri" w:eastAsia="Calibri" w:hAnsi="Calibri" w:cs="Arial"/>
          <w:b/>
        </w:rPr>
      </w:pPr>
      <w:r w:rsidRPr="00BE42F3">
        <w:rPr>
          <w:rFonts w:ascii="Calibri" w:eastAsia="Calibri" w:hAnsi="Calibri" w:cs="Arial"/>
          <w:b/>
        </w:rPr>
        <w:t>Article 21 – Method of sending documents</w:t>
      </w:r>
    </w:p>
    <w:p w14:paraId="065F2203" w14:textId="20C36585" w:rsidR="004F2664" w:rsidRPr="00DF153E" w:rsidRDefault="00264C77" w:rsidP="00A56EA0">
      <w:pPr>
        <w:spacing w:line="276" w:lineRule="auto"/>
        <w:jc w:val="both"/>
        <w:rPr>
          <w:color w:val="212121"/>
          <w:shd w:val="clear" w:color="auto" w:fill="FFFFFF"/>
        </w:rPr>
      </w:pPr>
      <w:r>
        <w:rPr>
          <w:rFonts w:ascii="Calibri" w:eastAsia="Calibri" w:hAnsi="Calibri" w:cs="Arial"/>
        </w:rPr>
        <w:t xml:space="preserve">This includes that electronic means can be used for sending documents, which is welcomed. However, it should not become ‘digital by default’ as there are </w:t>
      </w:r>
      <w:r w:rsidR="00A628C5">
        <w:rPr>
          <w:rFonts w:ascii="Calibri" w:eastAsia="Calibri" w:hAnsi="Calibri" w:cs="Arial"/>
        </w:rPr>
        <w:t>groups experiencing digital exclusion, such as older people, and people with disabilities.</w:t>
      </w:r>
      <w:r>
        <w:rPr>
          <w:rFonts w:ascii="Calibri" w:eastAsia="Calibri" w:hAnsi="Calibri" w:cs="Arial"/>
        </w:rPr>
        <w:t xml:space="preserve"> </w:t>
      </w:r>
      <w:r w:rsidR="00006A52">
        <w:rPr>
          <w:rFonts w:ascii="Calibri" w:eastAsia="Calibri" w:hAnsi="Calibri" w:cs="Arial"/>
        </w:rPr>
        <w:t xml:space="preserve">Communicating by electronic means necessitates having </w:t>
      </w:r>
      <w:r w:rsidR="004F2664" w:rsidRPr="004F2664">
        <w:rPr>
          <w:color w:val="212121"/>
          <w:shd w:val="clear" w:color="auto" w:fill="FFFFFF"/>
        </w:rPr>
        <w:t>a robust and effective email system wi</w:t>
      </w:r>
      <w:r w:rsidR="00006A52">
        <w:rPr>
          <w:color w:val="212121"/>
          <w:shd w:val="clear" w:color="auto" w:fill="FFFFFF"/>
        </w:rPr>
        <w:t>t</w:t>
      </w:r>
      <w:r w:rsidR="002707C4">
        <w:rPr>
          <w:color w:val="212121"/>
          <w:shd w:val="clear" w:color="auto" w:fill="FFFFFF"/>
        </w:rPr>
        <w:t>h the necessary staff in place.</w:t>
      </w:r>
    </w:p>
    <w:p w14:paraId="2DEDFACF" w14:textId="21B5C6CE" w:rsidR="005B7819" w:rsidRPr="00F854A2" w:rsidRDefault="00C84BD3" w:rsidP="00A56EA0">
      <w:pPr>
        <w:spacing w:line="276" w:lineRule="auto"/>
        <w:jc w:val="both"/>
        <w:rPr>
          <w:rFonts w:cs="Arial"/>
          <w:b/>
          <w:sz w:val="24"/>
          <w:szCs w:val="24"/>
        </w:rPr>
      </w:pPr>
      <w:r w:rsidRPr="00F854A2">
        <w:rPr>
          <w:rFonts w:cs="Arial"/>
          <w:b/>
          <w:sz w:val="24"/>
          <w:szCs w:val="24"/>
        </w:rPr>
        <w:t>Other Issues not included in the proposed regulations</w:t>
      </w:r>
    </w:p>
    <w:p w14:paraId="2CE0CB27" w14:textId="77777777" w:rsidR="00C84BD3" w:rsidRPr="00F854A2" w:rsidRDefault="00C84BD3" w:rsidP="00A56EA0">
      <w:pPr>
        <w:spacing w:line="276" w:lineRule="auto"/>
        <w:jc w:val="both"/>
        <w:rPr>
          <w:b/>
        </w:rPr>
      </w:pPr>
      <w:r w:rsidRPr="00F854A2">
        <w:rPr>
          <w:b/>
        </w:rPr>
        <w:t>Role of Advocacy/ Representation</w:t>
      </w:r>
    </w:p>
    <w:p w14:paraId="46DE70A2" w14:textId="4C1973A7" w:rsidR="00C84BD3" w:rsidRDefault="00C84BD3" w:rsidP="00A56EA0">
      <w:pPr>
        <w:spacing w:line="276" w:lineRule="auto"/>
        <w:jc w:val="both"/>
      </w:pPr>
      <w:r w:rsidRPr="0019080D">
        <w:t xml:space="preserve">Representation is regarded as </w:t>
      </w:r>
      <w:r w:rsidR="006205B9">
        <w:t xml:space="preserve">having </w:t>
      </w:r>
      <w:r w:rsidRPr="0019080D">
        <w:t xml:space="preserve">a significant influence on the outcome of oral hearings. There was a perception that this was due to the fact that advocates had familiarity with and an understanding of the appeals </w:t>
      </w:r>
      <w:r w:rsidRPr="0019080D">
        <w:lastRenderedPageBreak/>
        <w:t xml:space="preserve">system </w:t>
      </w:r>
      <w:r w:rsidR="006205B9">
        <w:t>while,</w:t>
      </w:r>
      <w:r w:rsidRPr="0019080D">
        <w:t xml:space="preserve"> in many instances</w:t>
      </w:r>
      <w:r w:rsidR="002707C4">
        <w:t>,</w:t>
      </w:r>
      <w:r w:rsidRPr="0019080D">
        <w:t xml:space="preserve"> individuals </w:t>
      </w:r>
      <w:r w:rsidR="006205B9">
        <w:t xml:space="preserve">do not and the lack of </w:t>
      </w:r>
      <w:r w:rsidRPr="0019080D">
        <w:t xml:space="preserve">representation thus resulted in </w:t>
      </w:r>
      <w:r w:rsidR="00BF53DC">
        <w:t>their</w:t>
      </w:r>
      <w:r w:rsidRPr="0019080D">
        <w:t xml:space="preserve"> significant disadvantage.</w:t>
      </w:r>
    </w:p>
    <w:p w14:paraId="6FBBFC48" w14:textId="5E8A06D6" w:rsidR="00BF53DC" w:rsidRDefault="00BF53DC" w:rsidP="00A56EA0">
      <w:pPr>
        <w:spacing w:line="276" w:lineRule="auto"/>
        <w:jc w:val="both"/>
      </w:pPr>
      <w:r w:rsidRPr="00BF53DC">
        <w:t xml:space="preserve">CISs </w:t>
      </w:r>
      <w:r>
        <w:t xml:space="preserve">regularly </w:t>
      </w:r>
      <w:r w:rsidRPr="00BF53DC">
        <w:t xml:space="preserve">act on behalf of clients </w:t>
      </w:r>
      <w:r>
        <w:t xml:space="preserve">in the social welfare appeals process, where an </w:t>
      </w:r>
      <w:r w:rsidRPr="00BF53DC">
        <w:t xml:space="preserve">Authority to Act </w:t>
      </w:r>
      <w:r w:rsidR="001B1DBB">
        <w:t xml:space="preserve">form </w:t>
      </w:r>
      <w:r w:rsidRPr="00BF53DC">
        <w:t xml:space="preserve">is signed by </w:t>
      </w:r>
      <w:r w:rsidR="001B1DBB">
        <w:t xml:space="preserve">their </w:t>
      </w:r>
      <w:r w:rsidRPr="00BF53DC">
        <w:t xml:space="preserve">client and forwarded to </w:t>
      </w:r>
      <w:r>
        <w:t>the Appeals Office</w:t>
      </w:r>
      <w:r w:rsidRPr="00BF53DC">
        <w:t xml:space="preserve"> at </w:t>
      </w:r>
      <w:r>
        <w:t xml:space="preserve">the </w:t>
      </w:r>
      <w:r w:rsidRPr="00BF53DC">
        <w:t xml:space="preserve">initial stage of </w:t>
      </w:r>
      <w:r w:rsidR="001B1DBB">
        <w:t xml:space="preserve">an </w:t>
      </w:r>
      <w:r w:rsidRPr="00BF53DC">
        <w:t xml:space="preserve">appeal. </w:t>
      </w:r>
      <w:r w:rsidR="001B1DBB" w:rsidRPr="001B1DBB">
        <w:t>CISs consistently raised the non-recognition of the role of an advocate/representative, which is typically at the discretion of the Appeals Officer</w:t>
      </w:r>
      <w:r w:rsidR="001B1DBB">
        <w:t>. The</w:t>
      </w:r>
      <w:r w:rsidR="001B1DBB" w:rsidRPr="001B1DBB">
        <w:t xml:space="preserve"> experience has been that the Appeals Office will often only correspond with the appellant, excluding the CIS, despite the Authority to Act form being on their file.</w:t>
      </w:r>
      <w:r w:rsidR="001B1DBB">
        <w:t xml:space="preserve"> </w:t>
      </w:r>
      <w:r w:rsidR="001B1DBB" w:rsidRPr="001B1DBB">
        <w:t>This can have a distressing impact on the client</w:t>
      </w:r>
      <w:r w:rsidR="001B1DBB">
        <w:t xml:space="preserve">. </w:t>
      </w:r>
      <w:r>
        <w:t xml:space="preserve">It is noted that </w:t>
      </w:r>
      <w:r>
        <w:rPr>
          <w:rFonts w:cs="Arial"/>
        </w:rPr>
        <w:t xml:space="preserve">the new Appeals Form includes a section on representation. </w:t>
      </w:r>
      <w:r w:rsidRPr="00BF53DC">
        <w:t>It</w:t>
      </w:r>
      <w:r>
        <w:t xml:space="preserve"> is recommended therefore that</w:t>
      </w:r>
      <w:r w:rsidRPr="00BF53DC">
        <w:t xml:space="preserve"> </w:t>
      </w:r>
      <w:r>
        <w:t>both the</w:t>
      </w:r>
      <w:r w:rsidRPr="00BF53DC">
        <w:t xml:space="preserve"> </w:t>
      </w:r>
      <w:r>
        <w:t>appellant</w:t>
      </w:r>
      <w:r w:rsidRPr="00BF53DC">
        <w:t xml:space="preserve"> and their representative are</w:t>
      </w:r>
      <w:r>
        <w:t xml:space="preserve"> kept</w:t>
      </w:r>
      <w:r w:rsidRPr="00BF53DC">
        <w:t xml:space="preserve"> informed/advised at all times of any correspondence/decision</w:t>
      </w:r>
      <w:r>
        <w:t xml:space="preserve">s. </w:t>
      </w:r>
    </w:p>
    <w:p w14:paraId="70353753" w14:textId="584EC408" w:rsidR="008C4364" w:rsidRDefault="008C4364" w:rsidP="00A56EA0">
      <w:pPr>
        <w:spacing w:line="276" w:lineRule="auto"/>
        <w:ind w:left="720"/>
        <w:jc w:val="both"/>
        <w:rPr>
          <w:i/>
        </w:rPr>
      </w:pPr>
      <w:r>
        <w:rPr>
          <w:i/>
        </w:rPr>
        <w:t>‘</w:t>
      </w:r>
      <w:r w:rsidRPr="008C4364">
        <w:rPr>
          <w:i/>
        </w:rPr>
        <w:t xml:space="preserve">Client contacted the Information Officer to advise that they had received a letter from the Social Welfare Appeals Office confirming that their appeal had been successful. Citizens Information </w:t>
      </w:r>
      <w:r w:rsidR="0030213B" w:rsidRPr="008C4364">
        <w:rPr>
          <w:i/>
        </w:rPr>
        <w:t>Service</w:t>
      </w:r>
      <w:r w:rsidR="0030213B">
        <w:rPr>
          <w:i/>
        </w:rPr>
        <w:t xml:space="preserve"> </w:t>
      </w:r>
      <w:r w:rsidR="0030213B" w:rsidRPr="008C4364">
        <w:rPr>
          <w:i/>
        </w:rPr>
        <w:t>is</w:t>
      </w:r>
      <w:r w:rsidRPr="008C4364">
        <w:rPr>
          <w:i/>
        </w:rPr>
        <w:t xml:space="preserve"> logged and confirmed as a third party with Social Welfare Appeals Office on this appeal. As such we should have received a copy of the appeal decision letter advising as to whether the appeal was suc</w:t>
      </w:r>
      <w:r w:rsidRPr="008C4364">
        <w:rPr>
          <w:i/>
        </w:rPr>
        <w:lastRenderedPageBreak/>
        <w:t xml:space="preserve">cessful or not. Information Officer contacted the Social Welfare Appeals Office who confirmed that we are indeed logged as a third party on this appeal and apologised for the oversight in not sending us a copy of the appeal decision letter. The Social Welfare Appeals Office should (as a matter of course) issue copies of all communications to both the client and </w:t>
      </w:r>
      <w:r w:rsidR="00625DEB">
        <w:rPr>
          <w:i/>
        </w:rPr>
        <w:t xml:space="preserve">CIS </w:t>
      </w:r>
      <w:r w:rsidRPr="008C4364">
        <w:rPr>
          <w:i/>
        </w:rPr>
        <w:t>when the Service is acting as and registered as, a third party on the clients appeal</w:t>
      </w:r>
      <w:r>
        <w:rPr>
          <w:i/>
        </w:rPr>
        <w:t>’</w:t>
      </w:r>
    </w:p>
    <w:p w14:paraId="14B36009" w14:textId="14CBF261" w:rsidR="009741CA" w:rsidRPr="008C4364" w:rsidRDefault="009741CA" w:rsidP="00A56EA0">
      <w:pPr>
        <w:spacing w:line="276" w:lineRule="auto"/>
        <w:ind w:left="720"/>
        <w:jc w:val="both"/>
        <w:rPr>
          <w:i/>
        </w:rPr>
      </w:pPr>
      <w:r w:rsidRPr="009741CA">
        <w:rPr>
          <w:i/>
        </w:rPr>
        <w:t xml:space="preserve">Client has literacy issues. Their </w:t>
      </w:r>
      <w:r>
        <w:rPr>
          <w:i/>
        </w:rPr>
        <w:t>D</w:t>
      </w:r>
      <w:r w:rsidRPr="009741CA">
        <w:rPr>
          <w:i/>
        </w:rPr>
        <w:t xml:space="preserve">isability </w:t>
      </w:r>
      <w:r>
        <w:rPr>
          <w:i/>
        </w:rPr>
        <w:t>A</w:t>
      </w:r>
      <w:r w:rsidRPr="009741CA">
        <w:rPr>
          <w:i/>
        </w:rPr>
        <w:t>llowance was stopped because they did not respond to letters sent by the DA section. The client cannot read and during Covid</w:t>
      </w:r>
      <w:r>
        <w:rPr>
          <w:i/>
        </w:rPr>
        <w:t>-19</w:t>
      </w:r>
      <w:r w:rsidRPr="009741CA">
        <w:rPr>
          <w:i/>
        </w:rPr>
        <w:t xml:space="preserve"> could not attend a CIS office. Th</w:t>
      </w:r>
      <w:r>
        <w:rPr>
          <w:i/>
        </w:rPr>
        <w:t xml:space="preserve">e Information </w:t>
      </w:r>
      <w:r w:rsidRPr="009741CA">
        <w:rPr>
          <w:i/>
        </w:rPr>
        <w:t>O</w:t>
      </w:r>
      <w:r>
        <w:rPr>
          <w:i/>
        </w:rPr>
        <w:t>fficer</w:t>
      </w:r>
      <w:r w:rsidRPr="009741CA">
        <w:rPr>
          <w:i/>
        </w:rPr>
        <w:t xml:space="preserve"> </w:t>
      </w:r>
      <w:r>
        <w:rPr>
          <w:i/>
        </w:rPr>
        <w:t xml:space="preserve">(IO) </w:t>
      </w:r>
      <w:r w:rsidRPr="009741CA">
        <w:rPr>
          <w:i/>
        </w:rPr>
        <w:t>appealed the decision but the DA section continued to send the correspon</w:t>
      </w:r>
      <w:r>
        <w:rPr>
          <w:i/>
        </w:rPr>
        <w:t>dence to the client even though</w:t>
      </w:r>
      <w:r w:rsidRPr="009741CA">
        <w:rPr>
          <w:i/>
        </w:rPr>
        <w:t xml:space="preserve"> the IO had Authority to Act on the client</w:t>
      </w:r>
      <w:r>
        <w:rPr>
          <w:i/>
        </w:rPr>
        <w:t>’</w:t>
      </w:r>
      <w:r w:rsidRPr="009741CA">
        <w:rPr>
          <w:i/>
        </w:rPr>
        <w:t xml:space="preserve">s behalf. </w:t>
      </w:r>
    </w:p>
    <w:p w14:paraId="6E2C9BC0" w14:textId="144D2A23" w:rsidR="00BF53DC" w:rsidRPr="00264C77" w:rsidRDefault="00264C77" w:rsidP="00A56EA0">
      <w:pPr>
        <w:spacing w:line="276" w:lineRule="auto"/>
        <w:jc w:val="both"/>
        <w:rPr>
          <w:b/>
        </w:rPr>
      </w:pPr>
      <w:r w:rsidRPr="00264C77">
        <w:rPr>
          <w:b/>
        </w:rPr>
        <w:t>Reason for refusal of first instance decisions</w:t>
      </w:r>
    </w:p>
    <w:p w14:paraId="74A295EE" w14:textId="0C2FA6FD" w:rsidR="00BF53DC" w:rsidRDefault="00BF53DC" w:rsidP="00A56EA0">
      <w:pPr>
        <w:spacing w:line="276" w:lineRule="auto"/>
        <w:jc w:val="both"/>
      </w:pPr>
      <w:r>
        <w:t>One of the recommendations of the Comptroller and Auditor General’s report was that the Department should ‘review its current procedures so as to ensure that all claimants are informed clearly of the reason(s) for refusal of claims’.</w:t>
      </w:r>
    </w:p>
    <w:p w14:paraId="51B599A2" w14:textId="182C0666" w:rsidR="00264C77" w:rsidRDefault="00BF53DC" w:rsidP="00A56EA0">
      <w:pPr>
        <w:spacing w:line="276" w:lineRule="auto"/>
        <w:jc w:val="both"/>
      </w:pPr>
      <w:r>
        <w:lastRenderedPageBreak/>
        <w:t>This would allow claimants to make informed decision</w:t>
      </w:r>
      <w:r w:rsidR="00BF514F">
        <w:t>s</w:t>
      </w:r>
      <w:r>
        <w:t xml:space="preserve"> </w:t>
      </w:r>
      <w:r w:rsidR="00264C77">
        <w:t>about their appeal/review</w:t>
      </w:r>
      <w:r w:rsidR="00BF514F">
        <w:t>s</w:t>
      </w:r>
      <w:r>
        <w:t>. Feedback from CISs indicated that clients continue to find notification of decisions from deciding officers confusing and difficul</w:t>
      </w:r>
      <w:r w:rsidR="00F22CFC">
        <w:t xml:space="preserve">t to understand. The Department, as noted above, </w:t>
      </w:r>
      <w:r>
        <w:t>was to review its gui</w:t>
      </w:r>
      <w:r w:rsidR="00264C77">
        <w:t xml:space="preserve">delines for reasoned decisions. </w:t>
      </w:r>
      <w:r w:rsidR="00264C77" w:rsidRPr="00264C77">
        <w:t>CISs expressed the view that it would be useful if decision letters from the Department could stress the importance of the time limit and the urgency of starting the process as soon as possible particularly in relation to gathering the supporting evidence.</w:t>
      </w:r>
    </w:p>
    <w:p w14:paraId="50156A1D" w14:textId="25198111" w:rsidR="00F854A2" w:rsidRPr="00F854A2" w:rsidRDefault="00F854A2" w:rsidP="00A56EA0">
      <w:pPr>
        <w:spacing w:line="276" w:lineRule="auto"/>
        <w:jc w:val="both"/>
        <w:rPr>
          <w:rFonts w:cs="Arial"/>
          <w:b/>
        </w:rPr>
      </w:pPr>
      <w:r w:rsidRPr="00F854A2">
        <w:rPr>
          <w:rFonts w:cs="Arial"/>
          <w:b/>
        </w:rPr>
        <w:t>Administration</w:t>
      </w:r>
    </w:p>
    <w:p w14:paraId="4700CD64" w14:textId="015DFFE7" w:rsidR="000D3A6D" w:rsidRPr="000D3A6D" w:rsidRDefault="006205B9" w:rsidP="00A56EA0">
      <w:pPr>
        <w:spacing w:line="276" w:lineRule="auto"/>
        <w:jc w:val="both"/>
        <w:rPr>
          <w:rFonts w:cs="Arial"/>
        </w:rPr>
      </w:pPr>
      <w:r>
        <w:rPr>
          <w:rFonts w:cs="Arial"/>
        </w:rPr>
        <w:t xml:space="preserve">CISs note problems in </w:t>
      </w:r>
      <w:r w:rsidR="002F7061">
        <w:rPr>
          <w:rFonts w:cs="Arial"/>
        </w:rPr>
        <w:t xml:space="preserve">the </w:t>
      </w:r>
      <w:r>
        <w:rPr>
          <w:rFonts w:cs="Arial"/>
        </w:rPr>
        <w:t>adminis</w:t>
      </w:r>
      <w:r w:rsidR="002F7061">
        <w:rPr>
          <w:rFonts w:cs="Arial"/>
        </w:rPr>
        <w:t>tration and communication of the appeals system and need for improved</w:t>
      </w:r>
      <w:r>
        <w:rPr>
          <w:rFonts w:cs="Arial"/>
        </w:rPr>
        <w:t xml:space="preserve"> </w:t>
      </w:r>
      <w:r w:rsidR="00C84BD3" w:rsidRPr="006205B9">
        <w:rPr>
          <w:rFonts w:cs="Arial"/>
        </w:rPr>
        <w:t>timeframes and procedures</w:t>
      </w:r>
      <w:r w:rsidR="002F7061">
        <w:rPr>
          <w:rFonts w:cs="Arial"/>
        </w:rPr>
        <w:t>, e.g. delays in getting an</w:t>
      </w:r>
      <w:r w:rsidR="0048545F" w:rsidRPr="0048545F">
        <w:rPr>
          <w:rFonts w:cs="Arial"/>
        </w:rPr>
        <w:t xml:space="preserve"> appeal </w:t>
      </w:r>
      <w:r w:rsidR="002707C4">
        <w:rPr>
          <w:rFonts w:cs="Arial"/>
        </w:rPr>
        <w:t>registered,</w:t>
      </w:r>
      <w:r w:rsidR="002F7061">
        <w:rPr>
          <w:rFonts w:cs="Arial"/>
        </w:rPr>
        <w:t xml:space="preserve"> delays</w:t>
      </w:r>
      <w:r>
        <w:rPr>
          <w:rFonts w:cs="Arial"/>
        </w:rPr>
        <w:t xml:space="preserve"> </w:t>
      </w:r>
      <w:r w:rsidR="007D3994">
        <w:rPr>
          <w:rFonts w:cs="Arial"/>
        </w:rPr>
        <w:t xml:space="preserve">in </w:t>
      </w:r>
      <w:r w:rsidR="00C84BD3" w:rsidRPr="006205B9">
        <w:rPr>
          <w:rFonts w:cs="Arial"/>
        </w:rPr>
        <w:t>acknowledgement of appeals submitted and the issu</w:t>
      </w:r>
      <w:r w:rsidR="007D3994">
        <w:rPr>
          <w:rFonts w:cs="Arial"/>
        </w:rPr>
        <w:t>ing</w:t>
      </w:r>
      <w:r w:rsidR="00C84BD3" w:rsidRPr="006205B9">
        <w:rPr>
          <w:rFonts w:cs="Arial"/>
        </w:rPr>
        <w:t xml:space="preserve"> of appeal numbers</w:t>
      </w:r>
      <w:r>
        <w:rPr>
          <w:rFonts w:cs="Arial"/>
        </w:rPr>
        <w:t>,</w:t>
      </w:r>
      <w:r w:rsidR="007D3994">
        <w:rPr>
          <w:rFonts w:cs="Arial"/>
        </w:rPr>
        <w:t xml:space="preserve"> and </w:t>
      </w:r>
      <w:r w:rsidR="00C84BD3" w:rsidRPr="006205B9">
        <w:rPr>
          <w:rFonts w:cs="Arial"/>
        </w:rPr>
        <w:t xml:space="preserve">information/documents not </w:t>
      </w:r>
      <w:r w:rsidR="007D3994">
        <w:rPr>
          <w:rFonts w:cs="Arial"/>
        </w:rPr>
        <w:t xml:space="preserve">being </w:t>
      </w:r>
      <w:r w:rsidR="00C84BD3" w:rsidRPr="006205B9">
        <w:rPr>
          <w:rFonts w:cs="Arial"/>
        </w:rPr>
        <w:t xml:space="preserve">added to appellants’ files for </w:t>
      </w:r>
      <w:r>
        <w:rPr>
          <w:rFonts w:cs="Arial"/>
        </w:rPr>
        <w:t>appeals officers</w:t>
      </w:r>
      <w:r w:rsidR="007D3994">
        <w:rPr>
          <w:rFonts w:cs="Arial"/>
        </w:rPr>
        <w:t xml:space="preserve">. </w:t>
      </w:r>
      <w:r w:rsidR="000D3A6D" w:rsidRPr="000D3A6D">
        <w:rPr>
          <w:rFonts w:cs="Arial"/>
        </w:rPr>
        <w:t>To improve transparency, and ensure documentation has been received by the correct person</w:t>
      </w:r>
      <w:r w:rsidR="00F22CFC">
        <w:rPr>
          <w:rFonts w:cs="Arial"/>
        </w:rPr>
        <w:t xml:space="preserve">, it would be </w:t>
      </w:r>
      <w:r w:rsidR="000D3A6D" w:rsidRPr="000D3A6D">
        <w:rPr>
          <w:rFonts w:cs="Arial"/>
        </w:rPr>
        <w:t xml:space="preserve">useful for CISs and </w:t>
      </w:r>
      <w:r w:rsidR="002707C4">
        <w:rPr>
          <w:rFonts w:cs="Arial"/>
        </w:rPr>
        <w:t xml:space="preserve">the </w:t>
      </w:r>
      <w:r w:rsidR="000D3A6D" w:rsidRPr="000D3A6D">
        <w:rPr>
          <w:rFonts w:cs="Arial"/>
        </w:rPr>
        <w:t xml:space="preserve">appellant </w:t>
      </w:r>
      <w:r w:rsidR="00F22CFC">
        <w:rPr>
          <w:rFonts w:cs="Arial"/>
        </w:rPr>
        <w:t>to know</w:t>
      </w:r>
      <w:r w:rsidR="000D3A6D" w:rsidRPr="000D3A6D">
        <w:rPr>
          <w:rFonts w:cs="Arial"/>
        </w:rPr>
        <w:t xml:space="preserve"> the name of the Appeals Officer ha</w:t>
      </w:r>
      <w:r w:rsidR="002707C4">
        <w:rPr>
          <w:rFonts w:cs="Arial"/>
        </w:rPr>
        <w:t xml:space="preserve">ndling the appeal or </w:t>
      </w:r>
      <w:r w:rsidR="000D3A6D" w:rsidRPr="000D3A6D">
        <w:rPr>
          <w:rFonts w:cs="Arial"/>
        </w:rPr>
        <w:t>oral hearing.</w:t>
      </w:r>
    </w:p>
    <w:p w14:paraId="33F53F1A" w14:textId="77777777" w:rsidR="00625DEB" w:rsidRDefault="00625DEB" w:rsidP="00A56EA0">
      <w:pPr>
        <w:spacing w:line="276" w:lineRule="auto"/>
        <w:jc w:val="both"/>
        <w:rPr>
          <w:rFonts w:cs="Arial"/>
          <w:b/>
          <w:sz w:val="24"/>
          <w:szCs w:val="24"/>
        </w:rPr>
      </w:pPr>
    </w:p>
    <w:p w14:paraId="2196C8A9" w14:textId="509D0C7F" w:rsidR="00ED6D53" w:rsidRPr="00BB7AE6" w:rsidRDefault="00CF7006" w:rsidP="00A56EA0">
      <w:pPr>
        <w:spacing w:line="276" w:lineRule="auto"/>
        <w:jc w:val="both"/>
        <w:rPr>
          <w:rFonts w:cs="Arial"/>
          <w:sz w:val="24"/>
          <w:szCs w:val="24"/>
        </w:rPr>
      </w:pPr>
      <w:r>
        <w:rPr>
          <w:rFonts w:cs="Arial"/>
          <w:b/>
          <w:sz w:val="24"/>
          <w:szCs w:val="24"/>
        </w:rPr>
        <w:t>Questions for Consideration</w:t>
      </w:r>
    </w:p>
    <w:p w14:paraId="07A6AED6" w14:textId="164F97F2" w:rsidR="007F4259" w:rsidRPr="002707C4" w:rsidRDefault="007F4259" w:rsidP="00A56EA0">
      <w:pPr>
        <w:pStyle w:val="ListParagraph"/>
        <w:spacing w:line="276" w:lineRule="auto"/>
        <w:jc w:val="both"/>
        <w:rPr>
          <w:rFonts w:cstheme="minorBidi"/>
        </w:rPr>
      </w:pPr>
      <w:r w:rsidRPr="002707C4">
        <w:lastRenderedPageBreak/>
        <w:t xml:space="preserve">Improved </w:t>
      </w:r>
      <w:r w:rsidR="00F22CFC" w:rsidRPr="002707C4">
        <w:t>d</w:t>
      </w:r>
      <w:r w:rsidRPr="002707C4">
        <w:t xml:space="preserve">ata </w:t>
      </w:r>
      <w:r w:rsidR="00F22CFC" w:rsidRPr="002707C4">
        <w:t>p</w:t>
      </w:r>
      <w:r w:rsidR="00D27630" w:rsidRPr="002707C4">
        <w:t>rovision</w:t>
      </w:r>
      <w:r w:rsidR="00CF7006" w:rsidRPr="002707C4">
        <w:t xml:space="preserve">: </w:t>
      </w:r>
      <w:r w:rsidR="00D27630" w:rsidRPr="002707C4">
        <w:t xml:space="preserve">further statistics </w:t>
      </w:r>
      <w:r w:rsidR="00444DE8" w:rsidRPr="002707C4">
        <w:t>should</w:t>
      </w:r>
      <w:r w:rsidR="00D27630" w:rsidRPr="002707C4">
        <w:t xml:space="preserve"> be provided including the number of cases taken under Section 317, Section 318</w:t>
      </w:r>
      <w:r w:rsidR="002707C4">
        <w:t>,</w:t>
      </w:r>
      <w:r w:rsidR="00D27630" w:rsidRPr="002707C4">
        <w:t xml:space="preserve"> </w:t>
      </w:r>
      <w:r w:rsidR="002707C4" w:rsidRPr="002707C4">
        <w:t>and the</w:t>
      </w:r>
      <w:r w:rsidR="00D27630" w:rsidRPr="002707C4">
        <w:t xml:space="preserve"> decisions that were either allowed or partially allowed</w:t>
      </w:r>
      <w:r w:rsidR="00E90D53" w:rsidRPr="002707C4">
        <w:t>,</w:t>
      </w:r>
      <w:r w:rsidR="008743CA" w:rsidRPr="002707C4">
        <w:t xml:space="preserve"> </w:t>
      </w:r>
      <w:r w:rsidR="00D27630" w:rsidRPr="002707C4">
        <w:t>whether they came about through a summa</w:t>
      </w:r>
      <w:r w:rsidR="002707C4">
        <w:t>ry deci</w:t>
      </w:r>
      <w:r w:rsidR="00625DEB">
        <w:t>sion or an oral hearing; data should be published on the number of appeals cases with third party representation</w:t>
      </w:r>
      <w:r w:rsidR="0030213B">
        <w:t>.</w:t>
      </w:r>
    </w:p>
    <w:p w14:paraId="46212650" w14:textId="5280A886" w:rsidR="00BB7AE6" w:rsidRPr="009B5AF2" w:rsidRDefault="000323D8" w:rsidP="00A56EA0">
      <w:pPr>
        <w:pStyle w:val="ListParagraph"/>
        <w:spacing w:line="276" w:lineRule="auto"/>
        <w:jc w:val="both"/>
      </w:pPr>
      <w:r w:rsidRPr="002707C4">
        <w:t>Improved decision-making:</w:t>
      </w:r>
      <w:r>
        <w:t xml:space="preserve"> </w:t>
      </w:r>
      <w:r w:rsidR="00E90D53">
        <w:t>p</w:t>
      </w:r>
      <w:r>
        <w:t>rovide</w:t>
      </w:r>
      <w:r w:rsidRPr="000323D8">
        <w:t xml:space="preserve"> for a citizen-centred perspective to ensure that social welfare applicants have access to good and ‘correct’ decisions at the earliest possible stage</w:t>
      </w:r>
      <w:r>
        <w:t xml:space="preserve"> through enhanced </w:t>
      </w:r>
      <w:r w:rsidR="00CF7006" w:rsidRPr="00CF7006">
        <w:t>t</w:t>
      </w:r>
      <w:r w:rsidR="00BB7AE6" w:rsidRPr="00CF7006">
        <w:t xml:space="preserve">raining of </w:t>
      </w:r>
      <w:r w:rsidR="00CF7006" w:rsidRPr="00CF7006">
        <w:t>d</w:t>
      </w:r>
      <w:r w:rsidR="00BB7AE6" w:rsidRPr="00CF7006">
        <w:t>ecision officers, and appeals officers</w:t>
      </w:r>
      <w:r w:rsidR="00CF7006">
        <w:t xml:space="preserve">, particularly, to support the quality of first-instance decision-making </w:t>
      </w:r>
      <w:r w:rsidR="009B5AF2">
        <w:t>including consistent application of the eligibility criteria</w:t>
      </w:r>
      <w:r>
        <w:t>. C</w:t>
      </w:r>
      <w:r w:rsidRPr="000323D8">
        <w:t>arry out periodic reviews of successfully appealed cases where no new or additional material information was provided</w:t>
      </w:r>
      <w:r>
        <w:t>.</w:t>
      </w:r>
    </w:p>
    <w:p w14:paraId="423D64E5" w14:textId="0543BB12" w:rsidR="00CF7006" w:rsidRDefault="000323D8" w:rsidP="00A56EA0">
      <w:pPr>
        <w:pStyle w:val="ListParagraph"/>
        <w:spacing w:line="276" w:lineRule="auto"/>
        <w:jc w:val="both"/>
        <w:rPr>
          <w:rFonts w:cstheme="minorBidi"/>
        </w:rPr>
      </w:pPr>
      <w:r>
        <w:rPr>
          <w:rFonts w:cstheme="minorBidi"/>
        </w:rPr>
        <w:t>Consider extending the proposed</w:t>
      </w:r>
      <w:r w:rsidR="0052021E">
        <w:rPr>
          <w:rFonts w:cstheme="minorBidi"/>
        </w:rPr>
        <w:t xml:space="preserve"> 60 day</w:t>
      </w:r>
      <w:r>
        <w:rPr>
          <w:rFonts w:cstheme="minorBidi"/>
        </w:rPr>
        <w:t xml:space="preserve"> time limit </w:t>
      </w:r>
      <w:r w:rsidR="0052021E">
        <w:rPr>
          <w:rFonts w:cstheme="minorBidi"/>
        </w:rPr>
        <w:t>in which to lodge</w:t>
      </w:r>
      <w:r w:rsidR="008743CA">
        <w:rPr>
          <w:rFonts w:cstheme="minorBidi"/>
        </w:rPr>
        <w:t xml:space="preserve"> </w:t>
      </w:r>
      <w:r w:rsidR="00444DE8">
        <w:rPr>
          <w:rFonts w:cstheme="minorBidi"/>
        </w:rPr>
        <w:t>an appeal</w:t>
      </w:r>
      <w:r>
        <w:rPr>
          <w:rFonts w:cstheme="minorBidi"/>
        </w:rPr>
        <w:t xml:space="preserve"> to </w:t>
      </w:r>
      <w:r w:rsidR="00ED5621">
        <w:rPr>
          <w:rFonts w:cstheme="minorBidi"/>
        </w:rPr>
        <w:t>four</w:t>
      </w:r>
      <w:r w:rsidR="0052021E">
        <w:rPr>
          <w:rFonts w:cstheme="minorBidi"/>
        </w:rPr>
        <w:t xml:space="preserve"> months</w:t>
      </w:r>
      <w:r>
        <w:rPr>
          <w:rFonts w:cstheme="minorBidi"/>
        </w:rPr>
        <w:t xml:space="preserve"> </w:t>
      </w:r>
      <w:r w:rsidR="0030213B">
        <w:rPr>
          <w:rFonts w:cstheme="minorBidi"/>
        </w:rPr>
        <w:t xml:space="preserve">to allow </w:t>
      </w:r>
      <w:r>
        <w:rPr>
          <w:rFonts w:cstheme="minorBidi"/>
        </w:rPr>
        <w:t xml:space="preserve">for a fully supported appeal. </w:t>
      </w:r>
    </w:p>
    <w:p w14:paraId="7CE615D1" w14:textId="1B0C286E" w:rsidR="00DD117E" w:rsidRDefault="00DD117E" w:rsidP="00A56EA0">
      <w:pPr>
        <w:pStyle w:val="ListParagraph"/>
        <w:spacing w:line="276" w:lineRule="auto"/>
        <w:jc w:val="both"/>
        <w:rPr>
          <w:rFonts w:cstheme="minorBidi"/>
        </w:rPr>
      </w:pPr>
      <w:r>
        <w:rPr>
          <w:rFonts w:cstheme="minorBidi"/>
        </w:rPr>
        <w:t xml:space="preserve">Provide comprehensive information on the appeals process either on the new Appeals form, or through an information leaflet. </w:t>
      </w:r>
    </w:p>
    <w:p w14:paraId="3C77BFE7" w14:textId="20E55D04" w:rsidR="00C86436" w:rsidRDefault="00C86436" w:rsidP="00A56EA0">
      <w:pPr>
        <w:pStyle w:val="ListParagraph"/>
        <w:spacing w:line="276" w:lineRule="auto"/>
        <w:jc w:val="both"/>
        <w:rPr>
          <w:rFonts w:cstheme="minorBidi"/>
        </w:rPr>
      </w:pPr>
      <w:r>
        <w:rPr>
          <w:rFonts w:cstheme="minorBidi"/>
        </w:rPr>
        <w:t>The</w:t>
      </w:r>
      <w:r w:rsidRPr="00C86436">
        <w:rPr>
          <w:rFonts w:cstheme="minorBidi"/>
        </w:rPr>
        <w:t xml:space="preserve"> possibility of</w:t>
      </w:r>
      <w:r>
        <w:rPr>
          <w:rFonts w:cstheme="minorBidi"/>
        </w:rPr>
        <w:t xml:space="preserve"> lodging an appeal at any time </w:t>
      </w:r>
      <w:r w:rsidRPr="00C86436">
        <w:rPr>
          <w:rFonts w:cstheme="minorBidi"/>
        </w:rPr>
        <w:t>has been removed in the proposed regulations</w:t>
      </w:r>
      <w:r>
        <w:rPr>
          <w:rFonts w:cstheme="minorBidi"/>
        </w:rPr>
        <w:t xml:space="preserve">, but there may be </w:t>
      </w:r>
      <w:r w:rsidRPr="00C86436">
        <w:rPr>
          <w:rFonts w:cstheme="minorBidi"/>
        </w:rPr>
        <w:t>exceptional circumstances</w:t>
      </w:r>
      <w:r>
        <w:rPr>
          <w:rFonts w:cstheme="minorBidi"/>
        </w:rPr>
        <w:t>,</w:t>
      </w:r>
      <w:r w:rsidRPr="00C86436">
        <w:rPr>
          <w:rFonts w:cstheme="minorBidi"/>
        </w:rPr>
        <w:t xml:space="preserve"> </w:t>
      </w:r>
      <w:r>
        <w:rPr>
          <w:rFonts w:cstheme="minorBidi"/>
        </w:rPr>
        <w:t xml:space="preserve">which should allow for </w:t>
      </w:r>
      <w:r w:rsidRPr="00C86436">
        <w:rPr>
          <w:rFonts w:cstheme="minorBidi"/>
        </w:rPr>
        <w:t xml:space="preserve">an appeal </w:t>
      </w:r>
      <w:r>
        <w:rPr>
          <w:rFonts w:cstheme="minorBidi"/>
        </w:rPr>
        <w:t>to</w:t>
      </w:r>
      <w:r w:rsidRPr="00C86436">
        <w:rPr>
          <w:rFonts w:cstheme="minorBidi"/>
        </w:rPr>
        <w:t xml:space="preserve"> be accepted at any </w:t>
      </w:r>
      <w:r w:rsidRPr="00C86436">
        <w:rPr>
          <w:rFonts w:cstheme="minorBidi"/>
        </w:rPr>
        <w:lastRenderedPageBreak/>
        <w:t>time</w:t>
      </w:r>
      <w:r w:rsidR="0052021E">
        <w:rPr>
          <w:rFonts w:cstheme="minorBidi"/>
        </w:rPr>
        <w:t xml:space="preserve">, </w:t>
      </w:r>
      <w:r w:rsidR="0052021E" w:rsidRPr="0052021E">
        <w:rPr>
          <w:rFonts w:cstheme="minorBidi"/>
        </w:rPr>
        <w:t>and therefore this provision should be main</w:t>
      </w:r>
      <w:r w:rsidR="001F0455">
        <w:rPr>
          <w:rFonts w:cstheme="minorBidi"/>
        </w:rPr>
        <w:t>tained in the new regulations.</w:t>
      </w:r>
    </w:p>
    <w:p w14:paraId="6209D019" w14:textId="6620D8E1" w:rsidR="006B0B73" w:rsidRDefault="006B0B73" w:rsidP="00A56EA0">
      <w:pPr>
        <w:pStyle w:val="ListParagraph"/>
        <w:spacing w:line="276" w:lineRule="auto"/>
        <w:jc w:val="both"/>
        <w:rPr>
          <w:rFonts w:cstheme="minorBidi"/>
        </w:rPr>
      </w:pPr>
      <w:r>
        <w:rPr>
          <w:rFonts w:cstheme="minorBidi"/>
        </w:rPr>
        <w:t>In relation to Article 7(3) concerning late appeals, it</w:t>
      </w:r>
      <w:r w:rsidRPr="006B0B73">
        <w:rPr>
          <w:rFonts w:cstheme="minorBidi"/>
        </w:rPr>
        <w:t xml:space="preserve"> is suggested that ‘exceptional circumstances’ should be broadly defined </w:t>
      </w:r>
      <w:r>
        <w:rPr>
          <w:rFonts w:cstheme="minorBidi"/>
        </w:rPr>
        <w:t>to include its</w:t>
      </w:r>
      <w:r w:rsidRPr="006B0B73">
        <w:rPr>
          <w:rFonts w:cstheme="minorBidi"/>
        </w:rPr>
        <w:t xml:space="preserve"> parameters</w:t>
      </w:r>
      <w:r>
        <w:rPr>
          <w:rFonts w:cstheme="minorBidi"/>
        </w:rPr>
        <w:t xml:space="preserve">. </w:t>
      </w:r>
      <w:r w:rsidRPr="006B0B73">
        <w:rPr>
          <w:rFonts w:cstheme="minorBidi"/>
        </w:rPr>
        <w:t xml:space="preserve">Another suggestion is to change the standard to one of ‘reasonable cause’ </w:t>
      </w:r>
      <w:r>
        <w:rPr>
          <w:rFonts w:cstheme="minorBidi"/>
        </w:rPr>
        <w:t xml:space="preserve">instead. </w:t>
      </w:r>
    </w:p>
    <w:p w14:paraId="141F5E3E" w14:textId="118EF7A5" w:rsidR="006B0B73" w:rsidRDefault="006B0B73" w:rsidP="00A56EA0">
      <w:pPr>
        <w:pStyle w:val="ListParagraph"/>
        <w:spacing w:line="276" w:lineRule="auto"/>
        <w:jc w:val="both"/>
        <w:rPr>
          <w:rFonts w:cstheme="minorBidi"/>
        </w:rPr>
      </w:pPr>
      <w:r>
        <w:rPr>
          <w:rFonts w:cstheme="minorBidi"/>
        </w:rPr>
        <w:t xml:space="preserve">There is no explanation for </w:t>
      </w:r>
      <w:r w:rsidRPr="00C51C6D">
        <w:rPr>
          <w:rFonts w:cstheme="minorBidi"/>
        </w:rPr>
        <w:t>strong</w:t>
      </w:r>
      <w:r>
        <w:rPr>
          <w:rFonts w:cstheme="minorBidi"/>
        </w:rPr>
        <w:t xml:space="preserve"> </w:t>
      </w:r>
      <w:r w:rsidRPr="006B0B73">
        <w:rPr>
          <w:rFonts w:cstheme="minorBidi"/>
        </w:rPr>
        <w:t xml:space="preserve">prima facie grounds </w:t>
      </w:r>
      <w:r>
        <w:rPr>
          <w:rFonts w:cstheme="minorBidi"/>
        </w:rPr>
        <w:t>in the regulations, which is a subjective measure, and gives little indication of what this might entail.</w:t>
      </w:r>
      <w:r w:rsidRPr="006B0B73">
        <w:rPr>
          <w:rFonts w:cstheme="minorBidi"/>
        </w:rPr>
        <w:t xml:space="preserve"> </w:t>
      </w:r>
      <w:r w:rsidR="00A635A1">
        <w:rPr>
          <w:rFonts w:cstheme="minorBidi"/>
        </w:rPr>
        <w:t>Therefore, it is suggested</w:t>
      </w:r>
      <w:r w:rsidR="00C51C6D">
        <w:rPr>
          <w:rFonts w:cstheme="minorBidi"/>
        </w:rPr>
        <w:t xml:space="preserve"> that ‘strong’ be removed here.</w:t>
      </w:r>
    </w:p>
    <w:p w14:paraId="060ECFFF" w14:textId="6945E854" w:rsidR="00444DE8" w:rsidRDefault="00444DE8" w:rsidP="00A56EA0">
      <w:pPr>
        <w:pStyle w:val="ListParagraph"/>
        <w:spacing w:line="276" w:lineRule="auto"/>
        <w:jc w:val="both"/>
        <w:rPr>
          <w:rFonts w:cstheme="minorBidi"/>
        </w:rPr>
      </w:pPr>
      <w:r w:rsidRPr="00444DE8">
        <w:rPr>
          <w:rFonts w:cstheme="minorBidi"/>
        </w:rPr>
        <w:t>It is noted in Article 7</w:t>
      </w:r>
      <w:r w:rsidR="00D9504B">
        <w:rPr>
          <w:rFonts w:cstheme="minorBidi"/>
        </w:rPr>
        <w:t xml:space="preserve"> </w:t>
      </w:r>
      <w:r w:rsidRPr="00444DE8">
        <w:rPr>
          <w:rFonts w:cstheme="minorBidi"/>
        </w:rPr>
        <w:t>(4) that the requirement in the notice of appeal to include details of the original claim may not always be possible in the timeframe due to wait times/delays in accessing these details under a FOI</w:t>
      </w:r>
      <w:r w:rsidR="00C51C6D">
        <w:rPr>
          <w:rFonts w:cstheme="minorBidi"/>
        </w:rPr>
        <w:t xml:space="preserve"> request</w:t>
      </w:r>
      <w:r w:rsidRPr="00444DE8">
        <w:rPr>
          <w:rFonts w:cstheme="minorBidi"/>
        </w:rPr>
        <w:t>.</w:t>
      </w:r>
    </w:p>
    <w:p w14:paraId="261CB3C1" w14:textId="69F832A3" w:rsidR="008C6107" w:rsidRPr="008C6107" w:rsidRDefault="008C6107" w:rsidP="00A56EA0">
      <w:pPr>
        <w:pStyle w:val="ListParagraph"/>
        <w:spacing w:line="276" w:lineRule="auto"/>
        <w:jc w:val="both"/>
        <w:rPr>
          <w:rFonts w:cstheme="minorBidi"/>
        </w:rPr>
      </w:pPr>
      <w:r w:rsidRPr="008C6107">
        <w:rPr>
          <w:rFonts w:cstheme="minorBidi"/>
          <w:iCs/>
        </w:rPr>
        <w:t xml:space="preserve">Consideration should be given to extending </w:t>
      </w:r>
      <w:r w:rsidR="00D9504B">
        <w:rPr>
          <w:rFonts w:cstheme="minorBidi"/>
          <w:iCs/>
        </w:rPr>
        <w:t>the time limit of three</w:t>
      </w:r>
      <w:r>
        <w:rPr>
          <w:rFonts w:cstheme="minorBidi"/>
          <w:iCs/>
        </w:rPr>
        <w:t xml:space="preserve"> weeks in which the Department must</w:t>
      </w:r>
      <w:r w:rsidRPr="008C6107">
        <w:rPr>
          <w:rFonts w:cstheme="minorBidi"/>
          <w:iCs/>
        </w:rPr>
        <w:t xml:space="preserve"> either review its original decision or provide information used in reaching the original decision to the Appeals Office</w:t>
      </w:r>
      <w:r>
        <w:rPr>
          <w:rFonts w:cstheme="minorBidi"/>
          <w:iCs/>
        </w:rPr>
        <w:t>, where that would facilitate improve</w:t>
      </w:r>
      <w:r w:rsidR="00C51C6D">
        <w:rPr>
          <w:rFonts w:cstheme="minorBidi"/>
          <w:iCs/>
        </w:rPr>
        <w:t>d Department review mechanisms.</w:t>
      </w:r>
    </w:p>
    <w:p w14:paraId="4574799A" w14:textId="41D24BDB" w:rsidR="008C6107" w:rsidRDefault="005A3DC8" w:rsidP="00A56EA0">
      <w:pPr>
        <w:pStyle w:val="ListParagraph"/>
        <w:spacing w:line="276" w:lineRule="auto"/>
        <w:jc w:val="both"/>
        <w:rPr>
          <w:rFonts w:cstheme="minorBidi"/>
        </w:rPr>
      </w:pPr>
      <w:r>
        <w:rPr>
          <w:rFonts w:cstheme="minorBidi"/>
        </w:rPr>
        <w:lastRenderedPageBreak/>
        <w:t>W</w:t>
      </w:r>
      <w:r w:rsidRPr="005A3DC8">
        <w:rPr>
          <w:rFonts w:cstheme="minorBidi"/>
        </w:rPr>
        <w:t>here the review of an appeal by the DSP produces an unsuccessful outcome for the appellant, the SWAO should forward a copy of the DSP case to the appellant and their representatives.</w:t>
      </w:r>
    </w:p>
    <w:p w14:paraId="0DAE3D3E" w14:textId="7D92358E" w:rsidR="0029799E" w:rsidRPr="0029799E" w:rsidRDefault="005A3DC8" w:rsidP="00A56EA0">
      <w:pPr>
        <w:pStyle w:val="ListParagraph"/>
        <w:spacing w:line="276" w:lineRule="auto"/>
        <w:jc w:val="both"/>
        <w:rPr>
          <w:rFonts w:cstheme="minorBidi"/>
        </w:rPr>
      </w:pPr>
      <w:r>
        <w:rPr>
          <w:rFonts w:cstheme="minorBidi"/>
        </w:rPr>
        <w:t>C</w:t>
      </w:r>
      <w:r w:rsidRPr="005A3DC8">
        <w:rPr>
          <w:rFonts w:cstheme="minorBidi"/>
        </w:rPr>
        <w:t xml:space="preserve">onsideration should be given to extending the time limit </w:t>
      </w:r>
      <w:r>
        <w:rPr>
          <w:rFonts w:cstheme="minorBidi"/>
        </w:rPr>
        <w:t xml:space="preserve">for further information to be provided by an appellant/any other person </w:t>
      </w:r>
      <w:r w:rsidRPr="005A3DC8">
        <w:rPr>
          <w:rFonts w:cstheme="minorBidi"/>
        </w:rPr>
        <w:t xml:space="preserve">by a further </w:t>
      </w:r>
      <w:r w:rsidR="00D9504B">
        <w:rPr>
          <w:rFonts w:cstheme="minorBidi"/>
        </w:rPr>
        <w:t>two</w:t>
      </w:r>
      <w:r w:rsidRPr="005A3DC8">
        <w:rPr>
          <w:rFonts w:cstheme="minorBidi"/>
        </w:rPr>
        <w:t xml:space="preserve"> weeks to prevent clients and advocates having to seek extensions.</w:t>
      </w:r>
      <w:r w:rsidR="0029799E">
        <w:rPr>
          <w:rFonts w:cstheme="minorBidi"/>
        </w:rPr>
        <w:t xml:space="preserve"> </w:t>
      </w:r>
      <w:r w:rsidR="0029799E" w:rsidRPr="0029799E">
        <w:rPr>
          <w:rFonts w:cstheme="minorBidi"/>
        </w:rPr>
        <w:t xml:space="preserve">To improve efficiency, it was pointed out that this step should also be carried out by a deciding officer before the initial decision is being made, as clients may not realise the extent and type of additional documentation </w:t>
      </w:r>
      <w:r w:rsidR="0029799E">
        <w:rPr>
          <w:rFonts w:cstheme="minorBidi"/>
        </w:rPr>
        <w:t>required.</w:t>
      </w:r>
    </w:p>
    <w:p w14:paraId="4509D20E" w14:textId="3BAD6E1B" w:rsidR="005A3DC8" w:rsidRDefault="005A3DC8" w:rsidP="00A56EA0">
      <w:pPr>
        <w:pStyle w:val="ListParagraph"/>
        <w:spacing w:line="276" w:lineRule="auto"/>
        <w:jc w:val="both"/>
        <w:rPr>
          <w:rFonts w:cstheme="minorBidi"/>
        </w:rPr>
      </w:pPr>
      <w:r w:rsidRPr="005A3DC8">
        <w:rPr>
          <w:rFonts w:cstheme="minorBidi"/>
        </w:rPr>
        <w:t>For an appeal to be considered withdrawn, a longer time frame should be allowed, after the return date as it has the potential to lead to increased administration, through having to seek a Section 317 review, p</w:t>
      </w:r>
      <w:r w:rsidR="00B01DE9">
        <w:rPr>
          <w:rFonts w:cstheme="minorBidi"/>
        </w:rPr>
        <w:t xml:space="preserve">articularly with respect to more disadvantaged </w:t>
      </w:r>
      <w:r w:rsidRPr="005A3DC8">
        <w:rPr>
          <w:rFonts w:cstheme="minorBidi"/>
        </w:rPr>
        <w:t>appellants who are not availing of advocacy support and may not understand the pr</w:t>
      </w:r>
      <w:r w:rsidR="00C51C6D">
        <w:rPr>
          <w:rFonts w:cstheme="minorBidi"/>
        </w:rPr>
        <w:t>ocess of S</w:t>
      </w:r>
      <w:r w:rsidRPr="005A3DC8">
        <w:rPr>
          <w:rFonts w:cstheme="minorBidi"/>
        </w:rPr>
        <w:t>ection 317 reviews.</w:t>
      </w:r>
    </w:p>
    <w:p w14:paraId="53B5065D" w14:textId="58EE9527" w:rsidR="00C34F63" w:rsidRPr="008743CA" w:rsidRDefault="00C34F63" w:rsidP="00A56EA0">
      <w:pPr>
        <w:pStyle w:val="ListParagraph"/>
        <w:spacing w:line="276" w:lineRule="auto"/>
        <w:jc w:val="both"/>
        <w:rPr>
          <w:rFonts w:cstheme="minorBidi"/>
          <w:b/>
        </w:rPr>
      </w:pPr>
      <w:r w:rsidRPr="00C34F63">
        <w:t>At appeals stage, if a medical assessor is used then they must be independent of the Department’s existing medical assessors</w:t>
      </w:r>
      <w:r w:rsidR="008A18B9">
        <w:t xml:space="preserve">. </w:t>
      </w:r>
      <w:r w:rsidR="008A18B9" w:rsidRPr="008A18B9">
        <w:rPr>
          <w:rFonts w:cstheme="minorBidi"/>
        </w:rPr>
        <w:t>The importance of the medical evidence being there to support a case, and not to decide it was emphasised.</w:t>
      </w:r>
    </w:p>
    <w:p w14:paraId="2EFE6E2F" w14:textId="470A0E3A" w:rsidR="00C34F63" w:rsidRDefault="00C34F63" w:rsidP="00A56EA0">
      <w:pPr>
        <w:pStyle w:val="ListParagraph"/>
        <w:spacing w:line="276" w:lineRule="auto"/>
        <w:jc w:val="both"/>
        <w:rPr>
          <w:rFonts w:cstheme="minorBidi"/>
        </w:rPr>
      </w:pPr>
      <w:r>
        <w:rPr>
          <w:rFonts w:cstheme="minorBidi"/>
        </w:rPr>
        <w:lastRenderedPageBreak/>
        <w:t xml:space="preserve">Ensure there are </w:t>
      </w:r>
      <w:r w:rsidRPr="00C34F63">
        <w:rPr>
          <w:rFonts w:cstheme="minorBidi"/>
        </w:rPr>
        <w:t>written guidelines for appeals officers that clearly establish the circumstances that usually result in an oral hearing being held.</w:t>
      </w:r>
    </w:p>
    <w:p w14:paraId="104D47A9" w14:textId="6E86CD8B" w:rsidR="00C34F63" w:rsidRPr="001C7E13" w:rsidRDefault="00C34F63" w:rsidP="00A56EA0">
      <w:pPr>
        <w:pStyle w:val="ListParagraph"/>
        <w:spacing w:line="276" w:lineRule="auto"/>
        <w:jc w:val="both"/>
        <w:rPr>
          <w:rFonts w:cstheme="minorBidi"/>
        </w:rPr>
      </w:pPr>
      <w:r w:rsidRPr="00C34F63">
        <w:rPr>
          <w:rFonts w:cstheme="minorBidi"/>
        </w:rPr>
        <w:t>The value of oral hearings was stressed where the issues at hand are subjective in nature, as relevant facts may come to light in the oral setting.</w:t>
      </w:r>
      <w:r w:rsidR="008A18B9" w:rsidRPr="008A18B9">
        <w:rPr>
          <w:rFonts w:cstheme="minorBidi"/>
        </w:rPr>
        <w:t xml:space="preserve"> The importance of being provided with the option of an oral hearing when the decision involves an assessment of a person’s capacity to work or requirement for care was stressed.</w:t>
      </w:r>
      <w:r w:rsidRPr="008A18B9">
        <w:rPr>
          <w:rFonts w:cstheme="minorBidi"/>
        </w:rPr>
        <w:t xml:space="preserve"> Face to face hearings as opposed to online hearings were also considered preferable, especially for people with mental health conditions. </w:t>
      </w:r>
      <w:r w:rsidRPr="008A18B9">
        <w:rPr>
          <w:iCs/>
        </w:rPr>
        <w:t>The reasons for refusing a request for an oral hearing should be in a ‘lay’ person’s terms. It was also considered that in line with the principles of natural justice, that there should be a procedure for challenging the refusal of a request for an oral he</w:t>
      </w:r>
      <w:r w:rsidR="001F0455">
        <w:rPr>
          <w:iCs/>
        </w:rPr>
        <w:t>aring.</w:t>
      </w:r>
    </w:p>
    <w:p w14:paraId="2E75EAC8" w14:textId="1CAAF5FD" w:rsidR="00C34F63" w:rsidRDefault="00253A18" w:rsidP="00A56EA0">
      <w:pPr>
        <w:pStyle w:val="ListParagraph"/>
        <w:spacing w:line="276" w:lineRule="auto"/>
        <w:jc w:val="both"/>
        <w:rPr>
          <w:rFonts w:cstheme="minorBidi"/>
        </w:rPr>
      </w:pPr>
      <w:r>
        <w:rPr>
          <w:rFonts w:cstheme="minorBidi"/>
        </w:rPr>
        <w:t>Provision of information about the right to request an oral hearing should be in</w:t>
      </w:r>
      <w:r w:rsidR="00C51C6D">
        <w:rPr>
          <w:rFonts w:cstheme="minorBidi"/>
        </w:rPr>
        <w:t>cluded in the new Appeals Form.</w:t>
      </w:r>
    </w:p>
    <w:p w14:paraId="70430AE1" w14:textId="22D8E9C7" w:rsidR="00BA467C" w:rsidRDefault="00BA467C" w:rsidP="00A56EA0">
      <w:pPr>
        <w:pStyle w:val="ListParagraph"/>
        <w:spacing w:line="276" w:lineRule="auto"/>
        <w:jc w:val="both"/>
        <w:rPr>
          <w:rFonts w:cstheme="minorBidi"/>
        </w:rPr>
      </w:pPr>
      <w:r>
        <w:rPr>
          <w:rFonts w:cstheme="minorBidi"/>
        </w:rPr>
        <w:t xml:space="preserve">With regard to postponements/adjournments of hearings, </w:t>
      </w:r>
      <w:r w:rsidRPr="00BA467C">
        <w:rPr>
          <w:rFonts w:cstheme="minorBidi"/>
        </w:rPr>
        <w:t>‘Reasonable cause’ (including e.g. attending a medical appointment) was considered preferable in favour of ‘exceptional circumstances’ which can have a varied interpretation.</w:t>
      </w:r>
    </w:p>
    <w:p w14:paraId="768D39E7" w14:textId="7671A337" w:rsidR="00BA467C" w:rsidRDefault="00BA467C" w:rsidP="00A56EA0">
      <w:pPr>
        <w:pStyle w:val="ListParagraph"/>
        <w:spacing w:line="276" w:lineRule="auto"/>
        <w:jc w:val="both"/>
        <w:rPr>
          <w:rFonts w:cstheme="minorBidi"/>
        </w:rPr>
      </w:pPr>
      <w:r w:rsidRPr="00BA467C">
        <w:rPr>
          <w:rFonts w:cstheme="minorBidi"/>
        </w:rPr>
        <w:lastRenderedPageBreak/>
        <w:t>The use of language and plain English in decision letters was raised, where the wording in appeal decision letters could be overly legalistic, and confusing for clients</w:t>
      </w:r>
      <w:r w:rsidR="00C51C6D">
        <w:rPr>
          <w:rFonts w:cstheme="minorBidi"/>
        </w:rPr>
        <w:t>.</w:t>
      </w:r>
    </w:p>
    <w:p w14:paraId="7D6C4FDB" w14:textId="07D63A86" w:rsidR="00253A18" w:rsidRPr="00DD117E" w:rsidRDefault="00253A18" w:rsidP="00A56EA0">
      <w:pPr>
        <w:pStyle w:val="ListParagraph"/>
        <w:spacing w:line="276" w:lineRule="auto"/>
        <w:jc w:val="both"/>
        <w:rPr>
          <w:rFonts w:cstheme="minorBidi"/>
        </w:rPr>
      </w:pPr>
      <w:r w:rsidRPr="00253A18">
        <w:rPr>
          <w:rFonts w:cstheme="minorBidi"/>
        </w:rPr>
        <w:t xml:space="preserve">It is recommended that both the appellant and their representative are kept informed/advised at all times </w:t>
      </w:r>
      <w:r>
        <w:rPr>
          <w:rFonts w:cstheme="minorBidi"/>
        </w:rPr>
        <w:t xml:space="preserve">of the appeals process </w:t>
      </w:r>
      <w:r w:rsidRPr="00253A18">
        <w:rPr>
          <w:rFonts w:cstheme="minorBidi"/>
        </w:rPr>
        <w:t>of any correspondence/decisions.</w:t>
      </w:r>
    </w:p>
    <w:p w14:paraId="1C99A2B8" w14:textId="77777777" w:rsidR="007F4259" w:rsidRDefault="007F4259" w:rsidP="00A56EA0">
      <w:pPr>
        <w:spacing w:line="276" w:lineRule="auto"/>
        <w:jc w:val="both"/>
        <w:rPr>
          <w:rFonts w:cs="Arial"/>
          <w:b/>
        </w:rPr>
      </w:pPr>
    </w:p>
    <w:p w14:paraId="4D043BD1" w14:textId="77777777" w:rsidR="007F4259" w:rsidRDefault="007F4259" w:rsidP="00A56EA0">
      <w:pPr>
        <w:spacing w:line="276" w:lineRule="auto"/>
        <w:jc w:val="both"/>
        <w:rPr>
          <w:rFonts w:cs="Arial"/>
          <w:b/>
        </w:rPr>
      </w:pPr>
    </w:p>
    <w:p w14:paraId="280E4522" w14:textId="77777777" w:rsidR="007F4259" w:rsidRDefault="007F4259" w:rsidP="00A56EA0">
      <w:pPr>
        <w:spacing w:line="276" w:lineRule="auto"/>
        <w:jc w:val="both"/>
        <w:rPr>
          <w:rFonts w:cs="Arial"/>
          <w:b/>
        </w:rPr>
      </w:pPr>
    </w:p>
    <w:p w14:paraId="7B8743E9" w14:textId="1F7FD8BF" w:rsidR="00F22CFC" w:rsidRDefault="00F22CFC" w:rsidP="00A56EA0">
      <w:pPr>
        <w:spacing w:line="276" w:lineRule="auto"/>
        <w:jc w:val="both"/>
        <w:rPr>
          <w:rFonts w:cs="Arial"/>
          <w:b/>
        </w:rPr>
      </w:pPr>
      <w:r>
        <w:rPr>
          <w:rFonts w:cs="Arial"/>
          <w:b/>
        </w:rPr>
        <w:br w:type="page"/>
      </w:r>
    </w:p>
    <w:p w14:paraId="06AACA31" w14:textId="77777777" w:rsidR="007F4259" w:rsidRDefault="007F4259" w:rsidP="00A56EA0">
      <w:pPr>
        <w:spacing w:line="276" w:lineRule="auto"/>
        <w:jc w:val="both"/>
        <w:rPr>
          <w:rFonts w:cs="Arial"/>
          <w:b/>
        </w:rPr>
      </w:pPr>
    </w:p>
    <w:p w14:paraId="14F21DF5" w14:textId="77777777" w:rsidR="00FF3ADA" w:rsidRDefault="00FF3ADA" w:rsidP="00A56EA0">
      <w:pPr>
        <w:spacing w:line="276" w:lineRule="auto"/>
        <w:jc w:val="both"/>
        <w:rPr>
          <w:b/>
          <w:sz w:val="36"/>
          <w:szCs w:val="36"/>
        </w:rPr>
      </w:pPr>
      <w:r>
        <w:rPr>
          <w:b/>
          <w:sz w:val="36"/>
          <w:szCs w:val="36"/>
        </w:rPr>
        <w:t>Appendix 1</w:t>
      </w:r>
    </w:p>
    <w:p w14:paraId="26E600A2" w14:textId="77777777" w:rsidR="00FF3ADA" w:rsidRPr="00B61B60" w:rsidRDefault="00FF3ADA" w:rsidP="00A56EA0">
      <w:pPr>
        <w:spacing w:line="276" w:lineRule="auto"/>
        <w:jc w:val="both"/>
        <w:rPr>
          <w:b/>
          <w:sz w:val="36"/>
          <w:szCs w:val="36"/>
        </w:rPr>
      </w:pPr>
      <w:r>
        <w:rPr>
          <w:b/>
          <w:sz w:val="36"/>
          <w:szCs w:val="36"/>
        </w:rPr>
        <w:t>Timeline</w:t>
      </w:r>
      <w:r w:rsidRPr="00B61B60">
        <w:rPr>
          <w:b/>
          <w:sz w:val="36"/>
          <w:szCs w:val="36"/>
        </w:rPr>
        <w:t xml:space="preserve"> for Social Welfare Advocacy Cases</w:t>
      </w:r>
    </w:p>
    <w:tbl>
      <w:tblPr>
        <w:tblStyle w:val="TableGrid"/>
        <w:tblW w:w="9180" w:type="dxa"/>
        <w:tblLook w:val="04A0" w:firstRow="1" w:lastRow="0" w:firstColumn="1" w:lastColumn="0" w:noHBand="0" w:noVBand="1"/>
      </w:tblPr>
      <w:tblGrid>
        <w:gridCol w:w="7621"/>
        <w:gridCol w:w="1559"/>
      </w:tblGrid>
      <w:tr w:rsidR="00FF3ADA" w:rsidRPr="00CF7006" w14:paraId="77E24902" w14:textId="77777777" w:rsidTr="005B7819">
        <w:tc>
          <w:tcPr>
            <w:tcW w:w="7621" w:type="dxa"/>
          </w:tcPr>
          <w:p w14:paraId="4F8A5F8C" w14:textId="77777777" w:rsidR="00FF3ADA" w:rsidRPr="00CF7006" w:rsidRDefault="00FF3ADA" w:rsidP="00A56EA0">
            <w:pPr>
              <w:spacing w:line="276" w:lineRule="auto"/>
              <w:jc w:val="both"/>
              <w:rPr>
                <w:b/>
              </w:rPr>
            </w:pPr>
            <w:r w:rsidRPr="00CF7006">
              <w:rPr>
                <w:b/>
              </w:rPr>
              <w:t>ACTION</w:t>
            </w:r>
          </w:p>
        </w:tc>
        <w:tc>
          <w:tcPr>
            <w:tcW w:w="1559" w:type="dxa"/>
          </w:tcPr>
          <w:p w14:paraId="0A80524F" w14:textId="77777777" w:rsidR="00FF3ADA" w:rsidRPr="00CF7006" w:rsidRDefault="00FF3ADA" w:rsidP="00A56EA0">
            <w:pPr>
              <w:spacing w:line="276" w:lineRule="auto"/>
              <w:jc w:val="both"/>
              <w:rPr>
                <w:b/>
              </w:rPr>
            </w:pPr>
            <w:r w:rsidRPr="00CF7006">
              <w:rPr>
                <w:b/>
              </w:rPr>
              <w:t>Time Scale</w:t>
            </w:r>
          </w:p>
        </w:tc>
      </w:tr>
      <w:tr w:rsidR="00FF3ADA" w:rsidRPr="00CF7006" w14:paraId="110B3A24" w14:textId="77777777" w:rsidTr="005B7819">
        <w:tc>
          <w:tcPr>
            <w:tcW w:w="7621" w:type="dxa"/>
            <w:shd w:val="clear" w:color="auto" w:fill="E2EFD9" w:themeFill="accent6" w:themeFillTint="33"/>
          </w:tcPr>
          <w:p w14:paraId="3F17C74A" w14:textId="660BAEFC" w:rsidR="00FF3ADA" w:rsidRPr="00CF7006" w:rsidRDefault="00FF3ADA" w:rsidP="00A56EA0">
            <w:pPr>
              <w:spacing w:line="276" w:lineRule="auto"/>
              <w:jc w:val="both"/>
            </w:pPr>
            <w:r w:rsidRPr="00CF7006">
              <w:t>Initial Meeting with Client, explain A</w:t>
            </w:r>
            <w:bookmarkStart w:id="0" w:name="_GoBack"/>
            <w:bookmarkEnd w:id="0"/>
            <w:r w:rsidRPr="00CF7006">
              <w:t>dvocacy Service and Authority to Act signed. Notice of Appeal Lodged with Appeals Office. Case recorded on ECMS</w:t>
            </w:r>
            <w:r w:rsidR="0030213B">
              <w:rPr>
                <w:rStyle w:val="FootnoteReference"/>
              </w:rPr>
              <w:footnoteReference w:id="8"/>
            </w:r>
            <w:r w:rsidRPr="00CF7006">
              <w:t xml:space="preserve"> and FOI Request Submitted to DSP.</w:t>
            </w:r>
          </w:p>
        </w:tc>
        <w:tc>
          <w:tcPr>
            <w:tcW w:w="1559" w:type="dxa"/>
            <w:shd w:val="clear" w:color="auto" w:fill="E2EFD9" w:themeFill="accent6" w:themeFillTint="33"/>
          </w:tcPr>
          <w:p w14:paraId="0E453B93" w14:textId="77777777" w:rsidR="00FF3ADA" w:rsidRPr="00CF7006" w:rsidRDefault="00FF3ADA" w:rsidP="00A56EA0">
            <w:pPr>
              <w:spacing w:line="276" w:lineRule="auto"/>
              <w:jc w:val="both"/>
            </w:pPr>
            <w:r w:rsidRPr="00CF7006">
              <w:t>Day 1</w:t>
            </w:r>
          </w:p>
        </w:tc>
      </w:tr>
      <w:tr w:rsidR="00FF3ADA" w:rsidRPr="00CF7006" w14:paraId="403FD125" w14:textId="77777777" w:rsidTr="005B7819">
        <w:tc>
          <w:tcPr>
            <w:tcW w:w="7621" w:type="dxa"/>
            <w:shd w:val="clear" w:color="auto" w:fill="D9E2F3" w:themeFill="accent5" w:themeFillTint="33"/>
          </w:tcPr>
          <w:p w14:paraId="76C23258" w14:textId="77777777" w:rsidR="00FF3ADA" w:rsidRPr="00CF7006" w:rsidRDefault="00FF3ADA" w:rsidP="00A56EA0">
            <w:pPr>
              <w:spacing w:line="276" w:lineRule="auto"/>
              <w:jc w:val="both"/>
            </w:pPr>
            <w:r w:rsidRPr="00CF7006">
              <w:t>Letter to client setting out actions completed in week 1 and outlining what information/ documentation is required from them to progress the case</w:t>
            </w:r>
          </w:p>
        </w:tc>
        <w:tc>
          <w:tcPr>
            <w:tcW w:w="1559" w:type="dxa"/>
            <w:shd w:val="clear" w:color="auto" w:fill="D9E2F3" w:themeFill="accent5" w:themeFillTint="33"/>
          </w:tcPr>
          <w:p w14:paraId="13124DD0" w14:textId="77777777" w:rsidR="00FF3ADA" w:rsidRPr="00CF7006" w:rsidRDefault="00FF3ADA" w:rsidP="00A56EA0">
            <w:pPr>
              <w:spacing w:line="276" w:lineRule="auto"/>
              <w:jc w:val="both"/>
            </w:pPr>
            <w:r w:rsidRPr="00CF7006">
              <w:t>End of Week 1</w:t>
            </w:r>
          </w:p>
        </w:tc>
      </w:tr>
      <w:tr w:rsidR="00FF3ADA" w:rsidRPr="00CF7006" w14:paraId="51057137" w14:textId="77777777" w:rsidTr="005B7819">
        <w:tc>
          <w:tcPr>
            <w:tcW w:w="7621" w:type="dxa"/>
            <w:shd w:val="clear" w:color="auto" w:fill="FBE4D5" w:themeFill="accent2" w:themeFillTint="33"/>
          </w:tcPr>
          <w:p w14:paraId="6B475533" w14:textId="19010B86" w:rsidR="00FF3ADA" w:rsidRPr="00CF7006" w:rsidRDefault="00FF3ADA" w:rsidP="00A56EA0">
            <w:pPr>
              <w:spacing w:line="276" w:lineRule="auto"/>
              <w:jc w:val="both"/>
            </w:pPr>
            <w:r w:rsidRPr="00CF7006">
              <w:t>Check if FOI file received and i</w:t>
            </w:r>
            <w:r w:rsidR="00D9504B">
              <w:t>f not follow up (usually takes four</w:t>
            </w:r>
            <w:r w:rsidRPr="00CF7006">
              <w:t xml:space="preserve"> weeks for file to come from DSP)</w:t>
            </w:r>
          </w:p>
        </w:tc>
        <w:tc>
          <w:tcPr>
            <w:tcW w:w="1559" w:type="dxa"/>
            <w:shd w:val="clear" w:color="auto" w:fill="FBE4D5" w:themeFill="accent2" w:themeFillTint="33"/>
          </w:tcPr>
          <w:p w14:paraId="2A9C80C9" w14:textId="77777777" w:rsidR="00FF3ADA" w:rsidRPr="00CF7006" w:rsidRDefault="00FF3ADA" w:rsidP="00A56EA0">
            <w:pPr>
              <w:spacing w:line="276" w:lineRule="auto"/>
              <w:jc w:val="both"/>
            </w:pPr>
            <w:r w:rsidRPr="00CF7006">
              <w:t>Week 5</w:t>
            </w:r>
          </w:p>
        </w:tc>
      </w:tr>
      <w:tr w:rsidR="00FF3ADA" w:rsidRPr="00CF7006" w14:paraId="4EA08337" w14:textId="77777777" w:rsidTr="005B7819">
        <w:tc>
          <w:tcPr>
            <w:tcW w:w="7621" w:type="dxa"/>
            <w:shd w:val="clear" w:color="auto" w:fill="DEEAF6" w:themeFill="accent1" w:themeFillTint="33"/>
          </w:tcPr>
          <w:p w14:paraId="58D52EC9" w14:textId="77777777" w:rsidR="00FF3ADA" w:rsidRPr="00CF7006" w:rsidRDefault="00FF3ADA" w:rsidP="00A56EA0">
            <w:pPr>
              <w:spacing w:line="276" w:lineRule="auto"/>
              <w:jc w:val="both"/>
            </w:pPr>
            <w:r w:rsidRPr="00CF7006">
              <w:t xml:space="preserve">FOI File Reviewed </w:t>
            </w:r>
          </w:p>
        </w:tc>
        <w:tc>
          <w:tcPr>
            <w:tcW w:w="1559" w:type="dxa"/>
            <w:shd w:val="clear" w:color="auto" w:fill="DEEAF6" w:themeFill="accent1" w:themeFillTint="33"/>
          </w:tcPr>
          <w:p w14:paraId="0570ACC4" w14:textId="77777777" w:rsidR="00FF3ADA" w:rsidRPr="00CF7006" w:rsidRDefault="00FF3ADA" w:rsidP="00A56EA0">
            <w:pPr>
              <w:spacing w:line="276" w:lineRule="auto"/>
              <w:jc w:val="both"/>
            </w:pPr>
            <w:r w:rsidRPr="00CF7006">
              <w:t>Week 5-6</w:t>
            </w:r>
          </w:p>
        </w:tc>
      </w:tr>
      <w:tr w:rsidR="00FF3ADA" w:rsidRPr="00CF7006" w14:paraId="179605FA" w14:textId="77777777" w:rsidTr="005B7819">
        <w:tc>
          <w:tcPr>
            <w:tcW w:w="7621" w:type="dxa"/>
            <w:shd w:val="clear" w:color="auto" w:fill="DEEAF6" w:themeFill="accent1" w:themeFillTint="33"/>
          </w:tcPr>
          <w:p w14:paraId="7ED6AEAB" w14:textId="77777777" w:rsidR="00FF3ADA" w:rsidRPr="00CF7006" w:rsidRDefault="00FF3ADA" w:rsidP="00A56EA0">
            <w:pPr>
              <w:spacing w:line="276" w:lineRule="auto"/>
              <w:jc w:val="both"/>
            </w:pPr>
            <w:r w:rsidRPr="00CF7006">
              <w:t>Discuss case with DM &amp; decide on next steps</w:t>
            </w:r>
          </w:p>
        </w:tc>
        <w:tc>
          <w:tcPr>
            <w:tcW w:w="1559" w:type="dxa"/>
            <w:shd w:val="clear" w:color="auto" w:fill="DEEAF6" w:themeFill="accent1" w:themeFillTint="33"/>
          </w:tcPr>
          <w:p w14:paraId="0CF7C039" w14:textId="144EA36D" w:rsidR="00FF3ADA" w:rsidRPr="00CF7006" w:rsidRDefault="00FF3ADA" w:rsidP="001F0455">
            <w:pPr>
              <w:spacing w:line="276" w:lineRule="auto"/>
              <w:jc w:val="both"/>
            </w:pPr>
            <w:r w:rsidRPr="00CF7006">
              <w:t>Week 5-6</w:t>
            </w:r>
          </w:p>
        </w:tc>
      </w:tr>
      <w:tr w:rsidR="00FF3ADA" w:rsidRPr="00CF7006" w14:paraId="066D7FAF" w14:textId="77777777" w:rsidTr="005B7819">
        <w:tc>
          <w:tcPr>
            <w:tcW w:w="7621" w:type="dxa"/>
            <w:shd w:val="clear" w:color="auto" w:fill="FFF2CC" w:themeFill="accent4" w:themeFillTint="33"/>
          </w:tcPr>
          <w:p w14:paraId="7170154B" w14:textId="77777777" w:rsidR="00FF3ADA" w:rsidRPr="00CF7006" w:rsidRDefault="00FF3ADA" w:rsidP="00A56EA0">
            <w:pPr>
              <w:spacing w:line="276" w:lineRule="auto"/>
              <w:jc w:val="both"/>
            </w:pPr>
            <w:r w:rsidRPr="00CF7006">
              <w:t>Follow-Up Meeting arranged with client to discuss file and agree how to proceed – amend Advocacy Plan</w:t>
            </w:r>
          </w:p>
        </w:tc>
        <w:tc>
          <w:tcPr>
            <w:tcW w:w="1559" w:type="dxa"/>
            <w:shd w:val="clear" w:color="auto" w:fill="FFF2CC" w:themeFill="accent4" w:themeFillTint="33"/>
          </w:tcPr>
          <w:p w14:paraId="73EDD767" w14:textId="77777777" w:rsidR="00FF3ADA" w:rsidRPr="00CF7006" w:rsidRDefault="00FF3ADA" w:rsidP="00A56EA0">
            <w:pPr>
              <w:spacing w:line="276" w:lineRule="auto"/>
              <w:jc w:val="both"/>
            </w:pPr>
            <w:r w:rsidRPr="00CF7006">
              <w:t>Week 7</w:t>
            </w:r>
          </w:p>
        </w:tc>
      </w:tr>
      <w:tr w:rsidR="00FF3ADA" w:rsidRPr="00CF7006" w14:paraId="4C6AD4FE" w14:textId="77777777" w:rsidTr="005B7819">
        <w:tc>
          <w:tcPr>
            <w:tcW w:w="7621" w:type="dxa"/>
            <w:shd w:val="clear" w:color="auto" w:fill="FFF2CC" w:themeFill="accent4" w:themeFillTint="33"/>
          </w:tcPr>
          <w:p w14:paraId="31C81A64" w14:textId="77777777" w:rsidR="00FF3ADA" w:rsidRPr="00CF7006" w:rsidRDefault="00FF3ADA" w:rsidP="00A56EA0">
            <w:pPr>
              <w:spacing w:line="276" w:lineRule="auto"/>
              <w:jc w:val="both"/>
            </w:pPr>
            <w:r w:rsidRPr="00CF7006">
              <w:t>Client informed of any additional information/ documents which s/he is required to gather as a result of reviewing file and time-frame to return</w:t>
            </w:r>
          </w:p>
        </w:tc>
        <w:tc>
          <w:tcPr>
            <w:tcW w:w="1559" w:type="dxa"/>
            <w:shd w:val="clear" w:color="auto" w:fill="FFF2CC" w:themeFill="accent4" w:themeFillTint="33"/>
          </w:tcPr>
          <w:p w14:paraId="64A9428C" w14:textId="77777777" w:rsidR="00FF3ADA" w:rsidRPr="00CF7006" w:rsidRDefault="00FF3ADA" w:rsidP="00A56EA0">
            <w:pPr>
              <w:spacing w:line="276" w:lineRule="auto"/>
              <w:jc w:val="both"/>
            </w:pPr>
            <w:r w:rsidRPr="00CF7006">
              <w:t>Week 7</w:t>
            </w:r>
          </w:p>
        </w:tc>
      </w:tr>
      <w:tr w:rsidR="00FF3ADA" w:rsidRPr="00CF7006" w14:paraId="1C526E22" w14:textId="77777777" w:rsidTr="005B7819">
        <w:tc>
          <w:tcPr>
            <w:tcW w:w="7621" w:type="dxa"/>
            <w:shd w:val="clear" w:color="auto" w:fill="EDEDED" w:themeFill="accent3" w:themeFillTint="33"/>
          </w:tcPr>
          <w:p w14:paraId="3979EFD6" w14:textId="77777777" w:rsidR="00FF3ADA" w:rsidRPr="00CF7006" w:rsidRDefault="00FF3ADA" w:rsidP="00A56EA0">
            <w:pPr>
              <w:spacing w:line="276" w:lineRule="auto"/>
              <w:jc w:val="both"/>
            </w:pPr>
            <w:r w:rsidRPr="00CF7006">
              <w:t>Submission Drafted</w:t>
            </w:r>
          </w:p>
        </w:tc>
        <w:tc>
          <w:tcPr>
            <w:tcW w:w="1559" w:type="dxa"/>
            <w:shd w:val="clear" w:color="auto" w:fill="EDEDED" w:themeFill="accent3" w:themeFillTint="33"/>
          </w:tcPr>
          <w:p w14:paraId="15F2BD3C" w14:textId="77777777" w:rsidR="00FF3ADA" w:rsidRPr="00CF7006" w:rsidRDefault="00FF3ADA" w:rsidP="00A56EA0">
            <w:pPr>
              <w:spacing w:line="276" w:lineRule="auto"/>
              <w:jc w:val="both"/>
            </w:pPr>
            <w:r w:rsidRPr="00CF7006">
              <w:t>Week 8 &amp; 9</w:t>
            </w:r>
          </w:p>
        </w:tc>
      </w:tr>
      <w:tr w:rsidR="00FF3ADA" w:rsidRPr="00CF7006" w14:paraId="5400B4B3" w14:textId="77777777" w:rsidTr="005B7819">
        <w:tc>
          <w:tcPr>
            <w:tcW w:w="7621" w:type="dxa"/>
            <w:shd w:val="clear" w:color="auto" w:fill="FFD966" w:themeFill="accent4" w:themeFillTint="99"/>
          </w:tcPr>
          <w:p w14:paraId="2157BED5" w14:textId="77777777" w:rsidR="00FF3ADA" w:rsidRPr="00CF7006" w:rsidRDefault="00FF3ADA" w:rsidP="00A56EA0">
            <w:pPr>
              <w:spacing w:line="276" w:lineRule="auto"/>
              <w:jc w:val="both"/>
            </w:pPr>
            <w:r w:rsidRPr="00CF7006">
              <w:t>Submission sent to Appeals Office</w:t>
            </w:r>
          </w:p>
        </w:tc>
        <w:tc>
          <w:tcPr>
            <w:tcW w:w="1559" w:type="dxa"/>
            <w:shd w:val="clear" w:color="auto" w:fill="FFD966" w:themeFill="accent4" w:themeFillTint="99"/>
          </w:tcPr>
          <w:p w14:paraId="3E40B8DC" w14:textId="77777777" w:rsidR="00FF3ADA" w:rsidRPr="00CF7006" w:rsidRDefault="00FF3ADA" w:rsidP="00A56EA0">
            <w:pPr>
              <w:spacing w:line="276" w:lineRule="auto"/>
              <w:jc w:val="both"/>
            </w:pPr>
            <w:r w:rsidRPr="00CF7006">
              <w:t>Week 10</w:t>
            </w:r>
          </w:p>
        </w:tc>
      </w:tr>
    </w:tbl>
    <w:p w14:paraId="23543205" w14:textId="1E042E33" w:rsidR="00F22CFC" w:rsidRDefault="00F22CFC" w:rsidP="00A56EA0">
      <w:pPr>
        <w:spacing w:line="276" w:lineRule="auto"/>
        <w:jc w:val="both"/>
        <w:rPr>
          <w:rFonts w:cs="Arial"/>
          <w:b/>
        </w:rPr>
      </w:pPr>
    </w:p>
    <w:sectPr w:rsidR="00F22CFC">
      <w:headerReference w:type="default" r:id="rId15"/>
      <w:footerReference w:type="default" r:id="rId1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54B77" w14:textId="77777777" w:rsidR="00A9324B" w:rsidRDefault="00A9324B" w:rsidP="009721DE">
      <w:pPr>
        <w:spacing w:after="0" w:line="240" w:lineRule="auto"/>
      </w:pPr>
      <w:r>
        <w:separator/>
      </w:r>
    </w:p>
  </w:endnote>
  <w:endnote w:type="continuationSeparator" w:id="0">
    <w:p w14:paraId="675080EF" w14:textId="77777777" w:rsidR="00A9324B" w:rsidRDefault="00A9324B" w:rsidP="009721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5889054"/>
      <w:docPartObj>
        <w:docPartGallery w:val="Page Numbers (Bottom of Page)"/>
        <w:docPartUnique/>
      </w:docPartObj>
    </w:sdtPr>
    <w:sdtEndPr>
      <w:rPr>
        <w:noProof/>
      </w:rPr>
    </w:sdtEndPr>
    <w:sdtContent>
      <w:p w14:paraId="61F4CAFE" w14:textId="64400208" w:rsidR="00F22CFC" w:rsidRDefault="00F22CFC">
        <w:pPr>
          <w:pStyle w:val="Footer"/>
          <w:jc w:val="right"/>
        </w:pPr>
        <w:r>
          <w:fldChar w:fldCharType="begin"/>
        </w:r>
        <w:r>
          <w:instrText xml:space="preserve"> PAGE   \* MERGEFORMAT </w:instrText>
        </w:r>
        <w:r>
          <w:fldChar w:fldCharType="separate"/>
        </w:r>
        <w:r w:rsidR="00506339">
          <w:rPr>
            <w:noProof/>
          </w:rPr>
          <w:t>1</w:t>
        </w:r>
        <w:r>
          <w:rPr>
            <w:noProof/>
          </w:rPr>
          <w:fldChar w:fldCharType="end"/>
        </w:r>
      </w:p>
    </w:sdtContent>
  </w:sdt>
  <w:p w14:paraId="423E7BE2" w14:textId="77777777" w:rsidR="00F22CFC" w:rsidRDefault="00F22C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9C21B" w14:textId="77777777" w:rsidR="00A9324B" w:rsidRDefault="00A9324B" w:rsidP="009721DE">
      <w:pPr>
        <w:spacing w:after="0" w:line="240" w:lineRule="auto"/>
      </w:pPr>
      <w:r>
        <w:separator/>
      </w:r>
    </w:p>
  </w:footnote>
  <w:footnote w:type="continuationSeparator" w:id="0">
    <w:p w14:paraId="395133F1" w14:textId="77777777" w:rsidR="00A9324B" w:rsidRDefault="00A9324B" w:rsidP="009721DE">
      <w:pPr>
        <w:spacing w:after="0" w:line="240" w:lineRule="auto"/>
      </w:pPr>
      <w:r>
        <w:continuationSeparator/>
      </w:r>
    </w:p>
  </w:footnote>
  <w:footnote w:id="1">
    <w:p w14:paraId="52A13917" w14:textId="3A5C0332" w:rsidR="00F22CFC" w:rsidRPr="00C1544E" w:rsidRDefault="00F22CFC">
      <w:pPr>
        <w:pStyle w:val="FootnoteText"/>
        <w:rPr>
          <w:rFonts w:asciiTheme="minorHAnsi" w:hAnsiTheme="minorHAnsi" w:cstheme="minorHAnsi"/>
          <w:sz w:val="20"/>
          <w:szCs w:val="20"/>
          <w:lang w:val="en-IE"/>
        </w:rPr>
      </w:pPr>
      <w:r w:rsidRPr="00377E34">
        <w:rPr>
          <w:rStyle w:val="FootnoteReference"/>
          <w:rFonts w:asciiTheme="minorHAnsi" w:hAnsiTheme="minorHAnsi" w:cstheme="minorHAnsi"/>
        </w:rPr>
        <w:footnoteRef/>
      </w:r>
      <w:r w:rsidRPr="00377E34">
        <w:rPr>
          <w:rFonts w:asciiTheme="minorHAnsi" w:hAnsiTheme="minorHAnsi" w:cstheme="minorHAnsi"/>
        </w:rPr>
        <w:t xml:space="preserve"> </w:t>
      </w:r>
      <w:r w:rsidRPr="00C1544E">
        <w:rPr>
          <w:rFonts w:asciiTheme="minorHAnsi" w:hAnsiTheme="minorHAnsi" w:cstheme="minorHAnsi"/>
          <w:sz w:val="20"/>
          <w:szCs w:val="20"/>
          <w:lang w:val="en-IE"/>
        </w:rPr>
        <w:t xml:space="preserve">Social Welfare Appeals Office (SWAO) Social Welfare Appeals Office Annual Report 2021. </w:t>
      </w:r>
      <w:hyperlink r:id="rId1" w:history="1">
        <w:r w:rsidRPr="00C1544E">
          <w:rPr>
            <w:rStyle w:val="Hyperlink"/>
            <w:rFonts w:asciiTheme="minorHAnsi" w:hAnsiTheme="minorHAnsi" w:cstheme="minorHAnsi"/>
            <w:sz w:val="20"/>
            <w:szCs w:val="20"/>
            <w:lang w:val="en-IE"/>
          </w:rPr>
          <w:t>https://www.gov.ie/en/collection/ae6ada-news-and-publications-from-the-social-welfare-appeals-office/</w:t>
        </w:r>
      </w:hyperlink>
      <w:r w:rsidRPr="00C1544E">
        <w:rPr>
          <w:rFonts w:asciiTheme="minorHAnsi" w:hAnsiTheme="minorHAnsi" w:cstheme="minorHAnsi"/>
          <w:sz w:val="20"/>
          <w:szCs w:val="20"/>
          <w:lang w:val="en-IE"/>
        </w:rPr>
        <w:t xml:space="preserve"> </w:t>
      </w:r>
    </w:p>
  </w:footnote>
  <w:footnote w:id="2">
    <w:p w14:paraId="48D059E6" w14:textId="6E66CC03" w:rsidR="00F22CFC" w:rsidRPr="00C1544E" w:rsidRDefault="00F22CFC">
      <w:pPr>
        <w:pStyle w:val="FootnoteText"/>
        <w:rPr>
          <w:rFonts w:asciiTheme="minorHAnsi" w:hAnsiTheme="minorHAnsi" w:cstheme="minorHAnsi"/>
          <w:sz w:val="20"/>
          <w:szCs w:val="20"/>
          <w:lang w:val="en-IE"/>
        </w:rPr>
      </w:pPr>
      <w:r w:rsidRPr="00C1544E">
        <w:rPr>
          <w:rStyle w:val="FootnoteReference"/>
          <w:rFonts w:asciiTheme="minorHAnsi" w:hAnsiTheme="minorHAnsi" w:cstheme="minorHAnsi"/>
          <w:sz w:val="20"/>
          <w:szCs w:val="20"/>
        </w:rPr>
        <w:footnoteRef/>
      </w:r>
      <w:r w:rsidRPr="00C1544E">
        <w:rPr>
          <w:rFonts w:asciiTheme="minorHAnsi" w:hAnsiTheme="minorHAnsi" w:cstheme="minorHAnsi"/>
          <w:sz w:val="20"/>
          <w:szCs w:val="20"/>
        </w:rPr>
        <w:t xml:space="preserve"> Justice/Administrative Justice Council, 2021 </w:t>
      </w:r>
      <w:r w:rsidRPr="00C1544E">
        <w:rPr>
          <w:rFonts w:asciiTheme="minorHAnsi" w:hAnsiTheme="minorHAnsi" w:cstheme="minorHAnsi"/>
          <w:sz w:val="20"/>
          <w:szCs w:val="20"/>
          <w:lang w:val="en-IE"/>
        </w:rPr>
        <w:t>Refor</w:t>
      </w:r>
      <w:r w:rsidR="001F0455">
        <w:rPr>
          <w:rFonts w:asciiTheme="minorHAnsi" w:hAnsiTheme="minorHAnsi" w:cstheme="minorHAnsi"/>
          <w:sz w:val="20"/>
          <w:szCs w:val="20"/>
          <w:lang w:val="en-IE"/>
        </w:rPr>
        <w:t xml:space="preserve">ming Benefits Decision Making. </w:t>
      </w:r>
      <w:hyperlink r:id="rId2" w:history="1">
        <w:r w:rsidRPr="00C1544E">
          <w:rPr>
            <w:rStyle w:val="Hyperlink"/>
            <w:rFonts w:asciiTheme="minorHAnsi" w:hAnsiTheme="minorHAnsi" w:cstheme="minorHAnsi"/>
            <w:sz w:val="20"/>
            <w:szCs w:val="20"/>
            <w:lang w:val="en-IE"/>
          </w:rPr>
          <w:t>https://files.justice.org.uk/wp-content/uploads/2021/08/17151507/Reforming-Benefits-Decision-Making-FINAL-update</w:t>
        </w:r>
        <w:r w:rsidRPr="00C1544E">
          <w:rPr>
            <w:rStyle w:val="Hyperlink"/>
            <w:rFonts w:asciiTheme="minorHAnsi" w:hAnsiTheme="minorHAnsi" w:cstheme="minorHAnsi"/>
            <w:sz w:val="20"/>
            <w:szCs w:val="20"/>
            <w:lang w:val="en-IE"/>
          </w:rPr>
          <w:t>d</w:t>
        </w:r>
        <w:r w:rsidRPr="00C1544E">
          <w:rPr>
            <w:rStyle w:val="Hyperlink"/>
            <w:rFonts w:asciiTheme="minorHAnsi" w:hAnsiTheme="minorHAnsi" w:cstheme="minorHAnsi"/>
            <w:sz w:val="20"/>
            <w:szCs w:val="20"/>
            <w:lang w:val="en-IE"/>
          </w:rPr>
          <w:t>-August-2</w:t>
        </w:r>
        <w:r w:rsidRPr="00C1544E">
          <w:rPr>
            <w:rStyle w:val="Hyperlink"/>
            <w:rFonts w:asciiTheme="minorHAnsi" w:hAnsiTheme="minorHAnsi" w:cstheme="minorHAnsi"/>
            <w:sz w:val="20"/>
            <w:szCs w:val="20"/>
            <w:lang w:val="en-IE"/>
          </w:rPr>
          <w:t>0</w:t>
        </w:r>
        <w:r w:rsidRPr="00C1544E">
          <w:rPr>
            <w:rStyle w:val="Hyperlink"/>
            <w:rFonts w:asciiTheme="minorHAnsi" w:hAnsiTheme="minorHAnsi" w:cstheme="minorHAnsi"/>
            <w:sz w:val="20"/>
            <w:szCs w:val="20"/>
            <w:lang w:val="en-IE"/>
          </w:rPr>
          <w:t>21.pdf</w:t>
        </w:r>
      </w:hyperlink>
      <w:r w:rsidRPr="00C1544E">
        <w:rPr>
          <w:rFonts w:asciiTheme="minorHAnsi" w:hAnsiTheme="minorHAnsi" w:cstheme="minorHAnsi"/>
          <w:sz w:val="20"/>
          <w:szCs w:val="20"/>
          <w:lang w:val="en-IE"/>
        </w:rPr>
        <w:t xml:space="preserve"> </w:t>
      </w:r>
    </w:p>
  </w:footnote>
  <w:footnote w:id="3">
    <w:p w14:paraId="4520A980" w14:textId="77777777" w:rsidR="00F22CFC" w:rsidRPr="008F3C2F" w:rsidRDefault="00F22CFC" w:rsidP="000C1122">
      <w:pPr>
        <w:pStyle w:val="FootnoteText"/>
        <w:rPr>
          <w:rFonts w:asciiTheme="minorHAnsi" w:hAnsiTheme="minorHAnsi" w:cstheme="minorHAnsi"/>
          <w:sz w:val="20"/>
          <w:szCs w:val="20"/>
          <w:lang w:val="en-IE"/>
        </w:rPr>
      </w:pPr>
      <w:r w:rsidRPr="008F3C2F">
        <w:rPr>
          <w:rStyle w:val="FootnoteReference"/>
          <w:rFonts w:asciiTheme="minorHAnsi" w:hAnsiTheme="minorHAnsi" w:cstheme="minorHAnsi"/>
          <w:sz w:val="20"/>
          <w:szCs w:val="20"/>
        </w:rPr>
        <w:footnoteRef/>
      </w:r>
      <w:r w:rsidRPr="008F3C2F">
        <w:rPr>
          <w:rFonts w:asciiTheme="minorHAnsi" w:hAnsiTheme="minorHAnsi" w:cstheme="minorHAnsi"/>
          <w:sz w:val="20"/>
          <w:szCs w:val="20"/>
        </w:rPr>
        <w:t xml:space="preserve"> </w:t>
      </w:r>
      <w:r w:rsidRPr="008F3C2F">
        <w:rPr>
          <w:rFonts w:asciiTheme="minorHAnsi" w:hAnsiTheme="minorHAnsi" w:cstheme="minorHAnsi"/>
          <w:sz w:val="20"/>
          <w:szCs w:val="20"/>
          <w:lang w:val="en-IE"/>
        </w:rPr>
        <w:t xml:space="preserve">FLAC (2012) Not Fair Enough: Making the Case for the Reform of the Social Welfare Appeals System. </w:t>
      </w:r>
    </w:p>
  </w:footnote>
  <w:footnote w:id="4">
    <w:p w14:paraId="46FFF1D9" w14:textId="60D2A3FF" w:rsidR="00F22CFC" w:rsidRPr="00905D94" w:rsidRDefault="00F22CFC">
      <w:pPr>
        <w:pStyle w:val="FootnoteText"/>
        <w:rPr>
          <w:lang w:val="en-IE"/>
        </w:rPr>
      </w:pPr>
      <w:r>
        <w:rPr>
          <w:rStyle w:val="FootnoteReference"/>
        </w:rPr>
        <w:footnoteRef/>
      </w:r>
      <w:r>
        <w:t xml:space="preserve"> </w:t>
      </w:r>
      <w:r w:rsidRPr="00905D94">
        <w:rPr>
          <w:rFonts w:asciiTheme="minorHAnsi" w:hAnsiTheme="minorHAnsi" w:cstheme="minorHAnsi"/>
          <w:sz w:val="20"/>
          <w:szCs w:val="20"/>
          <w:lang w:eastAsia="en-IE"/>
        </w:rPr>
        <w:t>(Art 9(3) of SI 108/1998)</w:t>
      </w:r>
    </w:p>
  </w:footnote>
  <w:footnote w:id="5">
    <w:p w14:paraId="535C3CB9" w14:textId="0E9F3136" w:rsidR="00F22CFC" w:rsidRPr="00CD6461" w:rsidRDefault="00F22CFC">
      <w:pPr>
        <w:pStyle w:val="FootnoteText"/>
        <w:rPr>
          <w:rFonts w:asciiTheme="minorHAnsi" w:hAnsiTheme="minorHAnsi" w:cstheme="minorHAnsi"/>
          <w:sz w:val="20"/>
          <w:szCs w:val="20"/>
          <w:lang w:val="en-IE"/>
        </w:rPr>
      </w:pPr>
      <w:r w:rsidRPr="00CD6461">
        <w:rPr>
          <w:rStyle w:val="FootnoteReference"/>
          <w:rFonts w:asciiTheme="minorHAnsi" w:hAnsiTheme="minorHAnsi" w:cstheme="minorHAnsi"/>
          <w:sz w:val="20"/>
          <w:szCs w:val="20"/>
        </w:rPr>
        <w:footnoteRef/>
      </w:r>
      <w:r w:rsidRPr="00CD6461">
        <w:rPr>
          <w:rFonts w:asciiTheme="minorHAnsi" w:hAnsiTheme="minorHAnsi" w:cstheme="minorHAnsi"/>
          <w:sz w:val="20"/>
          <w:szCs w:val="20"/>
        </w:rPr>
        <w:t xml:space="preserve"> This is notwithstanding the right, which has been retained, under section 317 of the Act for appellants or other interested parties to seek a review of an Appeals Officer Decision at any time if new facts or evidence are available to be submitted.</w:t>
      </w:r>
    </w:p>
  </w:footnote>
  <w:footnote w:id="6">
    <w:p w14:paraId="6108E097" w14:textId="77777777" w:rsidR="00F22CFC" w:rsidRPr="00A826EA" w:rsidRDefault="00F22CFC" w:rsidP="0024602B">
      <w:pPr>
        <w:pStyle w:val="FootnoteText"/>
        <w:rPr>
          <w:rFonts w:asciiTheme="minorHAnsi" w:hAnsiTheme="minorHAnsi" w:cstheme="minorHAnsi"/>
          <w:sz w:val="20"/>
          <w:szCs w:val="20"/>
          <w:lang w:val="en-IE"/>
        </w:rPr>
      </w:pPr>
      <w:r w:rsidRPr="00A826EA">
        <w:rPr>
          <w:rStyle w:val="FootnoteReference"/>
          <w:rFonts w:asciiTheme="minorHAnsi" w:hAnsiTheme="minorHAnsi" w:cstheme="minorHAnsi"/>
          <w:sz w:val="20"/>
          <w:szCs w:val="20"/>
        </w:rPr>
        <w:footnoteRef/>
      </w:r>
      <w:r w:rsidRPr="00A826EA">
        <w:rPr>
          <w:rFonts w:asciiTheme="minorHAnsi" w:hAnsiTheme="minorHAnsi" w:cstheme="minorHAnsi"/>
          <w:sz w:val="20"/>
          <w:szCs w:val="20"/>
        </w:rPr>
        <w:t xml:space="preserve"> </w:t>
      </w:r>
      <w:hyperlink r:id="rId3" w:history="1">
        <w:r w:rsidRPr="00A826EA">
          <w:rPr>
            <w:rStyle w:val="Hyperlink"/>
            <w:rFonts w:asciiTheme="minorHAnsi" w:hAnsiTheme="minorHAnsi" w:cstheme="minorHAnsi"/>
            <w:sz w:val="20"/>
            <w:szCs w:val="20"/>
            <w:lang w:val="en-IE"/>
          </w:rPr>
          <w:t>https://www.audit.gov.ie/en/find-report/publications/2021/chapter-10-management-of-social-welfare-appeals.pdf</w:t>
        </w:r>
      </w:hyperlink>
      <w:r w:rsidRPr="00A826EA">
        <w:rPr>
          <w:rFonts w:asciiTheme="minorHAnsi" w:hAnsiTheme="minorHAnsi" w:cstheme="minorHAnsi"/>
          <w:sz w:val="20"/>
          <w:szCs w:val="20"/>
          <w:lang w:val="en-IE"/>
        </w:rPr>
        <w:t xml:space="preserve"> </w:t>
      </w:r>
    </w:p>
  </w:footnote>
  <w:footnote w:id="7">
    <w:p w14:paraId="3411FB25" w14:textId="2AD54233" w:rsidR="00F22CFC" w:rsidRPr="00FE5D39" w:rsidRDefault="00F22CFC">
      <w:pPr>
        <w:pStyle w:val="FootnoteText"/>
        <w:rPr>
          <w:rFonts w:asciiTheme="minorHAnsi" w:hAnsiTheme="minorHAnsi" w:cstheme="minorHAnsi"/>
          <w:sz w:val="20"/>
          <w:szCs w:val="20"/>
          <w:lang w:val="en-IE"/>
        </w:rPr>
      </w:pPr>
      <w:r w:rsidRPr="00FE5D39">
        <w:rPr>
          <w:rStyle w:val="FootnoteReference"/>
          <w:rFonts w:asciiTheme="minorHAnsi" w:hAnsiTheme="minorHAnsi" w:cstheme="minorHAnsi"/>
          <w:sz w:val="20"/>
          <w:szCs w:val="20"/>
        </w:rPr>
        <w:footnoteRef/>
      </w:r>
      <w:r w:rsidRPr="00FE5D39">
        <w:rPr>
          <w:rFonts w:asciiTheme="minorHAnsi" w:hAnsiTheme="minorHAnsi" w:cstheme="minorHAnsi"/>
          <w:sz w:val="20"/>
          <w:szCs w:val="20"/>
        </w:rPr>
        <w:t xml:space="preserve"> </w:t>
      </w:r>
      <w:r w:rsidRPr="00FE5D39">
        <w:rPr>
          <w:rFonts w:asciiTheme="minorHAnsi" w:hAnsiTheme="minorHAnsi" w:cstheme="minorHAnsi"/>
          <w:sz w:val="20"/>
          <w:szCs w:val="20"/>
          <w:lang w:val="en-IE"/>
        </w:rPr>
        <w:t xml:space="preserve">Note </w:t>
      </w:r>
      <w:r>
        <w:rPr>
          <w:rFonts w:asciiTheme="minorHAnsi" w:hAnsiTheme="minorHAnsi" w:cstheme="minorHAnsi"/>
          <w:sz w:val="20"/>
          <w:szCs w:val="20"/>
          <w:lang w:val="en-IE"/>
        </w:rPr>
        <w:t xml:space="preserve">Oireachtas </w:t>
      </w:r>
      <w:r w:rsidRPr="00FE5D39">
        <w:rPr>
          <w:rFonts w:asciiTheme="minorHAnsi" w:hAnsiTheme="minorHAnsi" w:cstheme="minorHAnsi"/>
          <w:sz w:val="20"/>
          <w:szCs w:val="20"/>
          <w:lang w:val="en-IE"/>
        </w:rPr>
        <w:t>debate, Draft Regulations on the Operation of the Social Welfare Appeals Office</w:t>
      </w:r>
      <w:r>
        <w:rPr>
          <w:rFonts w:asciiTheme="minorHAnsi" w:hAnsiTheme="minorHAnsi" w:cstheme="minorHAnsi"/>
          <w:sz w:val="20"/>
          <w:szCs w:val="20"/>
          <w:lang w:val="en-IE"/>
        </w:rPr>
        <w:t>,</w:t>
      </w:r>
      <w:r w:rsidRPr="00FE5D39">
        <w:rPr>
          <w:rFonts w:asciiTheme="minorHAnsi" w:hAnsiTheme="minorHAnsi" w:cstheme="minorHAnsi"/>
          <w:sz w:val="20"/>
          <w:szCs w:val="20"/>
          <w:lang w:val="en-IE"/>
        </w:rPr>
        <w:t xml:space="preserve"> </w:t>
      </w:r>
      <w:r>
        <w:rPr>
          <w:rFonts w:asciiTheme="minorHAnsi" w:hAnsiTheme="minorHAnsi" w:cstheme="minorHAnsi"/>
          <w:sz w:val="20"/>
          <w:szCs w:val="20"/>
          <w:lang w:val="en-IE"/>
        </w:rPr>
        <w:t>25 Apr</w:t>
      </w:r>
      <w:r w:rsidR="00CE7E6B">
        <w:rPr>
          <w:rFonts w:asciiTheme="minorHAnsi" w:hAnsiTheme="minorHAnsi" w:cstheme="minorHAnsi"/>
          <w:sz w:val="20"/>
          <w:szCs w:val="20"/>
          <w:lang w:val="en-IE"/>
        </w:rPr>
        <w:t>il</w:t>
      </w:r>
      <w:r>
        <w:rPr>
          <w:rFonts w:asciiTheme="minorHAnsi" w:hAnsiTheme="minorHAnsi" w:cstheme="minorHAnsi"/>
          <w:sz w:val="20"/>
          <w:szCs w:val="20"/>
          <w:lang w:val="en-IE"/>
        </w:rPr>
        <w:t xml:space="preserve"> 2023, </w:t>
      </w:r>
      <w:r w:rsidRPr="00FE5D39">
        <w:rPr>
          <w:rFonts w:asciiTheme="minorHAnsi" w:hAnsiTheme="minorHAnsi" w:cstheme="minorHAnsi"/>
          <w:sz w:val="20"/>
          <w:szCs w:val="20"/>
          <w:lang w:val="en-IE"/>
        </w:rPr>
        <w:t>where it was referenced that a lower proportion of claims are being appealed, and a higher proportion of those are being dealt with at re</w:t>
      </w:r>
      <w:r>
        <w:rPr>
          <w:rFonts w:asciiTheme="minorHAnsi" w:hAnsiTheme="minorHAnsi" w:cstheme="minorHAnsi"/>
          <w:sz w:val="20"/>
          <w:szCs w:val="20"/>
          <w:lang w:val="en-IE"/>
        </w:rPr>
        <w:t>view</w:t>
      </w:r>
      <w:r w:rsidRPr="00FE5D39">
        <w:rPr>
          <w:rFonts w:asciiTheme="minorHAnsi" w:hAnsiTheme="minorHAnsi" w:cstheme="minorHAnsi"/>
          <w:sz w:val="20"/>
          <w:szCs w:val="20"/>
          <w:lang w:val="en-IE"/>
        </w:rPr>
        <w:t xml:space="preserve"> stage rather than appeal stage.</w:t>
      </w:r>
      <w:r>
        <w:rPr>
          <w:rFonts w:asciiTheme="minorHAnsi" w:hAnsiTheme="minorHAnsi" w:cstheme="minorHAnsi"/>
          <w:sz w:val="20"/>
          <w:szCs w:val="20"/>
          <w:lang w:val="en-IE"/>
        </w:rPr>
        <w:t xml:space="preserve"> </w:t>
      </w:r>
      <w:hyperlink r:id="rId4" w:history="1">
        <w:r w:rsidRPr="002E6D0E">
          <w:rPr>
            <w:rStyle w:val="Hyperlink"/>
            <w:rFonts w:asciiTheme="minorHAnsi" w:hAnsiTheme="minorHAnsi" w:cstheme="minorHAnsi"/>
            <w:sz w:val="20"/>
            <w:szCs w:val="20"/>
            <w:lang w:val="en-IE"/>
          </w:rPr>
          <w:t>https://www.oireachtas.ie/en/press-centre/press-releases/20230425-social-protection-committee-to-discuss-draft-regulations-relating-to-the-operation-of-the-social-welfare-appeals-office/</w:t>
        </w:r>
      </w:hyperlink>
      <w:r>
        <w:rPr>
          <w:rFonts w:asciiTheme="minorHAnsi" w:hAnsiTheme="minorHAnsi" w:cstheme="minorHAnsi"/>
          <w:sz w:val="20"/>
          <w:szCs w:val="20"/>
          <w:lang w:val="en-IE"/>
        </w:rPr>
        <w:t xml:space="preserve"> </w:t>
      </w:r>
    </w:p>
  </w:footnote>
  <w:footnote w:id="8">
    <w:p w14:paraId="6944F10E" w14:textId="76707CCA" w:rsidR="0030213B" w:rsidRPr="0030213B" w:rsidRDefault="0030213B">
      <w:pPr>
        <w:pStyle w:val="FootnoteText"/>
        <w:rPr>
          <w:rFonts w:asciiTheme="minorHAnsi" w:hAnsiTheme="minorHAnsi" w:cstheme="minorHAnsi"/>
          <w:sz w:val="20"/>
          <w:szCs w:val="20"/>
          <w:lang w:val="en-IE"/>
        </w:rPr>
      </w:pPr>
      <w:r>
        <w:rPr>
          <w:rStyle w:val="FootnoteReference"/>
        </w:rPr>
        <w:footnoteRef/>
      </w:r>
      <w:r>
        <w:t xml:space="preserve"> </w:t>
      </w:r>
      <w:r w:rsidRPr="0030213B">
        <w:rPr>
          <w:rFonts w:asciiTheme="minorHAnsi" w:hAnsiTheme="minorHAnsi" w:cstheme="minorHAnsi"/>
          <w:sz w:val="20"/>
          <w:szCs w:val="20"/>
          <w:lang w:val="en-IE"/>
        </w:rPr>
        <w:t>Internal electronic case recording system used by Citizens Information Services to record advocacy casework.</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58476D" w14:textId="2BD6374F" w:rsidR="008743CA" w:rsidRDefault="008743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D3664"/>
    <w:multiLevelType w:val="hybridMultilevel"/>
    <w:tmpl w:val="AD9A8D2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88D95E8"/>
    <w:multiLevelType w:val="hybridMultilevel"/>
    <w:tmpl w:val="D4B60DE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1AB70D28"/>
    <w:multiLevelType w:val="hybridMultilevel"/>
    <w:tmpl w:val="B04E37B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23FE7667"/>
    <w:multiLevelType w:val="hybridMultilevel"/>
    <w:tmpl w:val="3D94ADB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61D69E1"/>
    <w:multiLevelType w:val="hybridMultilevel"/>
    <w:tmpl w:val="AB3E12EA"/>
    <w:lvl w:ilvl="0" w:tplc="16FAD370">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7505323"/>
    <w:multiLevelType w:val="hybridMultilevel"/>
    <w:tmpl w:val="63C29B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2E4844CE"/>
    <w:multiLevelType w:val="hybridMultilevel"/>
    <w:tmpl w:val="8EF0F9F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FB207AA"/>
    <w:multiLevelType w:val="hybridMultilevel"/>
    <w:tmpl w:val="4000AC00"/>
    <w:lvl w:ilvl="0" w:tplc="286C0514">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ABF7A80"/>
    <w:multiLevelType w:val="hybridMultilevel"/>
    <w:tmpl w:val="F3E673E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3E306BF6"/>
    <w:multiLevelType w:val="hybridMultilevel"/>
    <w:tmpl w:val="0D4204D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482454E6"/>
    <w:multiLevelType w:val="hybridMultilevel"/>
    <w:tmpl w:val="A5FAFE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51A61D39"/>
    <w:multiLevelType w:val="hybridMultilevel"/>
    <w:tmpl w:val="42A4EF82"/>
    <w:lvl w:ilvl="0" w:tplc="F77E4138">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4AE5EB3"/>
    <w:multiLevelType w:val="hybridMultilevel"/>
    <w:tmpl w:val="7E527F90"/>
    <w:lvl w:ilvl="0" w:tplc="18090001">
      <w:start w:val="1"/>
      <w:numFmt w:val="bullet"/>
      <w:lvlText w:val=""/>
      <w:lvlJc w:val="left"/>
      <w:pPr>
        <w:ind w:left="705" w:hanging="360"/>
      </w:pPr>
      <w:rPr>
        <w:rFonts w:ascii="Symbol" w:hAnsi="Symbol" w:hint="default"/>
      </w:rPr>
    </w:lvl>
    <w:lvl w:ilvl="1" w:tplc="18090003" w:tentative="1">
      <w:start w:val="1"/>
      <w:numFmt w:val="bullet"/>
      <w:lvlText w:val="o"/>
      <w:lvlJc w:val="left"/>
      <w:pPr>
        <w:ind w:left="1425" w:hanging="360"/>
      </w:pPr>
      <w:rPr>
        <w:rFonts w:ascii="Courier New" w:hAnsi="Courier New" w:cs="Courier New" w:hint="default"/>
      </w:rPr>
    </w:lvl>
    <w:lvl w:ilvl="2" w:tplc="18090005" w:tentative="1">
      <w:start w:val="1"/>
      <w:numFmt w:val="bullet"/>
      <w:lvlText w:val=""/>
      <w:lvlJc w:val="left"/>
      <w:pPr>
        <w:ind w:left="2145" w:hanging="360"/>
      </w:pPr>
      <w:rPr>
        <w:rFonts w:ascii="Wingdings" w:hAnsi="Wingdings" w:hint="default"/>
      </w:rPr>
    </w:lvl>
    <w:lvl w:ilvl="3" w:tplc="18090001" w:tentative="1">
      <w:start w:val="1"/>
      <w:numFmt w:val="bullet"/>
      <w:lvlText w:val=""/>
      <w:lvlJc w:val="left"/>
      <w:pPr>
        <w:ind w:left="2865" w:hanging="360"/>
      </w:pPr>
      <w:rPr>
        <w:rFonts w:ascii="Symbol" w:hAnsi="Symbol" w:hint="default"/>
      </w:rPr>
    </w:lvl>
    <w:lvl w:ilvl="4" w:tplc="18090003" w:tentative="1">
      <w:start w:val="1"/>
      <w:numFmt w:val="bullet"/>
      <w:lvlText w:val="o"/>
      <w:lvlJc w:val="left"/>
      <w:pPr>
        <w:ind w:left="3585" w:hanging="360"/>
      </w:pPr>
      <w:rPr>
        <w:rFonts w:ascii="Courier New" w:hAnsi="Courier New" w:cs="Courier New" w:hint="default"/>
      </w:rPr>
    </w:lvl>
    <w:lvl w:ilvl="5" w:tplc="18090005" w:tentative="1">
      <w:start w:val="1"/>
      <w:numFmt w:val="bullet"/>
      <w:lvlText w:val=""/>
      <w:lvlJc w:val="left"/>
      <w:pPr>
        <w:ind w:left="4305" w:hanging="360"/>
      </w:pPr>
      <w:rPr>
        <w:rFonts w:ascii="Wingdings" w:hAnsi="Wingdings" w:hint="default"/>
      </w:rPr>
    </w:lvl>
    <w:lvl w:ilvl="6" w:tplc="18090001" w:tentative="1">
      <w:start w:val="1"/>
      <w:numFmt w:val="bullet"/>
      <w:lvlText w:val=""/>
      <w:lvlJc w:val="left"/>
      <w:pPr>
        <w:ind w:left="5025" w:hanging="360"/>
      </w:pPr>
      <w:rPr>
        <w:rFonts w:ascii="Symbol" w:hAnsi="Symbol" w:hint="default"/>
      </w:rPr>
    </w:lvl>
    <w:lvl w:ilvl="7" w:tplc="18090003" w:tentative="1">
      <w:start w:val="1"/>
      <w:numFmt w:val="bullet"/>
      <w:lvlText w:val="o"/>
      <w:lvlJc w:val="left"/>
      <w:pPr>
        <w:ind w:left="5745" w:hanging="360"/>
      </w:pPr>
      <w:rPr>
        <w:rFonts w:ascii="Courier New" w:hAnsi="Courier New" w:cs="Courier New" w:hint="default"/>
      </w:rPr>
    </w:lvl>
    <w:lvl w:ilvl="8" w:tplc="18090005" w:tentative="1">
      <w:start w:val="1"/>
      <w:numFmt w:val="bullet"/>
      <w:lvlText w:val=""/>
      <w:lvlJc w:val="left"/>
      <w:pPr>
        <w:ind w:left="6465" w:hanging="360"/>
      </w:pPr>
      <w:rPr>
        <w:rFonts w:ascii="Wingdings" w:hAnsi="Wingdings" w:hint="default"/>
      </w:rPr>
    </w:lvl>
  </w:abstractNum>
  <w:abstractNum w:abstractNumId="13" w15:restartNumberingAfterBreak="0">
    <w:nsid w:val="5A4D07E8"/>
    <w:multiLevelType w:val="multilevel"/>
    <w:tmpl w:val="1F14B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5140AC3"/>
    <w:multiLevelType w:val="hybridMultilevel"/>
    <w:tmpl w:val="2FDC8B1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5D24E35"/>
    <w:multiLevelType w:val="hybridMultilevel"/>
    <w:tmpl w:val="6F0470C4"/>
    <w:lvl w:ilvl="0" w:tplc="9FECB782">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BC03DA8"/>
    <w:multiLevelType w:val="hybridMultilevel"/>
    <w:tmpl w:val="6218C824"/>
    <w:lvl w:ilvl="0" w:tplc="93B89438">
      <w:start w:val="1"/>
      <w:numFmt w:val="bullet"/>
      <w:pStyle w:val="ListParagraph"/>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15"/>
  </w:num>
  <w:num w:numId="4">
    <w:abstractNumId w:val="1"/>
  </w:num>
  <w:num w:numId="5">
    <w:abstractNumId w:val="13"/>
  </w:num>
  <w:num w:numId="6">
    <w:abstractNumId w:val="6"/>
  </w:num>
  <w:num w:numId="7">
    <w:abstractNumId w:val="11"/>
  </w:num>
  <w:num w:numId="8">
    <w:abstractNumId w:val="3"/>
  </w:num>
  <w:num w:numId="9">
    <w:abstractNumId w:val="14"/>
  </w:num>
  <w:num w:numId="10">
    <w:abstractNumId w:val="2"/>
  </w:num>
  <w:num w:numId="11">
    <w:abstractNumId w:val="5"/>
  </w:num>
  <w:num w:numId="12">
    <w:abstractNumId w:val="0"/>
  </w:num>
  <w:num w:numId="13">
    <w:abstractNumId w:val="8"/>
  </w:num>
  <w:num w:numId="14">
    <w:abstractNumId w:val="4"/>
  </w:num>
  <w:num w:numId="15">
    <w:abstractNumId w:val="7"/>
  </w:num>
  <w:num w:numId="16">
    <w:abstractNumId w:val="10"/>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1DE"/>
    <w:rsid w:val="00006A52"/>
    <w:rsid w:val="000163A3"/>
    <w:rsid w:val="000272A5"/>
    <w:rsid w:val="00032008"/>
    <w:rsid w:val="000323D8"/>
    <w:rsid w:val="00036978"/>
    <w:rsid w:val="0006136B"/>
    <w:rsid w:val="000B037C"/>
    <w:rsid w:val="000B2C5F"/>
    <w:rsid w:val="000C1122"/>
    <w:rsid w:val="000C3899"/>
    <w:rsid w:val="000C4EDE"/>
    <w:rsid w:val="000D01F3"/>
    <w:rsid w:val="000D3A6D"/>
    <w:rsid w:val="000D783E"/>
    <w:rsid w:val="00113297"/>
    <w:rsid w:val="001238FD"/>
    <w:rsid w:val="001360C5"/>
    <w:rsid w:val="00144CBE"/>
    <w:rsid w:val="001505E6"/>
    <w:rsid w:val="00160200"/>
    <w:rsid w:val="00163A4A"/>
    <w:rsid w:val="0016713F"/>
    <w:rsid w:val="00185E55"/>
    <w:rsid w:val="0019080D"/>
    <w:rsid w:val="001928B1"/>
    <w:rsid w:val="00192F0B"/>
    <w:rsid w:val="001A4816"/>
    <w:rsid w:val="001A7E51"/>
    <w:rsid w:val="001B1DBB"/>
    <w:rsid w:val="001C14A5"/>
    <w:rsid w:val="001C2961"/>
    <w:rsid w:val="001C7E13"/>
    <w:rsid w:val="001D7530"/>
    <w:rsid w:val="001E7279"/>
    <w:rsid w:val="001E7BA2"/>
    <w:rsid w:val="001F0455"/>
    <w:rsid w:val="002157D3"/>
    <w:rsid w:val="00222C76"/>
    <w:rsid w:val="00230DAD"/>
    <w:rsid w:val="0024602B"/>
    <w:rsid w:val="0025090D"/>
    <w:rsid w:val="00251A15"/>
    <w:rsid w:val="00253A18"/>
    <w:rsid w:val="00264C77"/>
    <w:rsid w:val="002707C4"/>
    <w:rsid w:val="00281C65"/>
    <w:rsid w:val="0029284C"/>
    <w:rsid w:val="00293F35"/>
    <w:rsid w:val="0029799E"/>
    <w:rsid w:val="002B3231"/>
    <w:rsid w:val="002C6F2E"/>
    <w:rsid w:val="002D3AC8"/>
    <w:rsid w:val="002D4DB2"/>
    <w:rsid w:val="002D7024"/>
    <w:rsid w:val="002E2B7F"/>
    <w:rsid w:val="002F1E48"/>
    <w:rsid w:val="002F42CE"/>
    <w:rsid w:val="002F7061"/>
    <w:rsid w:val="0030213B"/>
    <w:rsid w:val="00304494"/>
    <w:rsid w:val="003048CA"/>
    <w:rsid w:val="003472BB"/>
    <w:rsid w:val="00356071"/>
    <w:rsid w:val="0036110C"/>
    <w:rsid w:val="0036781A"/>
    <w:rsid w:val="00372DFF"/>
    <w:rsid w:val="00377E34"/>
    <w:rsid w:val="0038067E"/>
    <w:rsid w:val="0038490F"/>
    <w:rsid w:val="00395841"/>
    <w:rsid w:val="003A7A8F"/>
    <w:rsid w:val="003D7F5A"/>
    <w:rsid w:val="003F1AE8"/>
    <w:rsid w:val="003F5F97"/>
    <w:rsid w:val="00416A6B"/>
    <w:rsid w:val="0043127E"/>
    <w:rsid w:val="004414D4"/>
    <w:rsid w:val="00444DE8"/>
    <w:rsid w:val="0044637E"/>
    <w:rsid w:val="004651BD"/>
    <w:rsid w:val="00471622"/>
    <w:rsid w:val="004802FA"/>
    <w:rsid w:val="0048545F"/>
    <w:rsid w:val="004A57CE"/>
    <w:rsid w:val="004C2864"/>
    <w:rsid w:val="004D2E67"/>
    <w:rsid w:val="004F1E2B"/>
    <w:rsid w:val="004F2664"/>
    <w:rsid w:val="00506339"/>
    <w:rsid w:val="00510C26"/>
    <w:rsid w:val="00513624"/>
    <w:rsid w:val="0052021E"/>
    <w:rsid w:val="005222E2"/>
    <w:rsid w:val="00527182"/>
    <w:rsid w:val="00535E6E"/>
    <w:rsid w:val="00537F12"/>
    <w:rsid w:val="00555023"/>
    <w:rsid w:val="00572869"/>
    <w:rsid w:val="00573106"/>
    <w:rsid w:val="005743F0"/>
    <w:rsid w:val="0057632C"/>
    <w:rsid w:val="005872A1"/>
    <w:rsid w:val="005A3DC8"/>
    <w:rsid w:val="005B0F35"/>
    <w:rsid w:val="005B10A2"/>
    <w:rsid w:val="005B2CBE"/>
    <w:rsid w:val="005B4163"/>
    <w:rsid w:val="005B7819"/>
    <w:rsid w:val="005D3AD4"/>
    <w:rsid w:val="005E3480"/>
    <w:rsid w:val="005E48DE"/>
    <w:rsid w:val="005E5632"/>
    <w:rsid w:val="0061457E"/>
    <w:rsid w:val="006205B9"/>
    <w:rsid w:val="00625DEB"/>
    <w:rsid w:val="006278B9"/>
    <w:rsid w:val="00647DEA"/>
    <w:rsid w:val="00650001"/>
    <w:rsid w:val="006565C8"/>
    <w:rsid w:val="00661A91"/>
    <w:rsid w:val="006A709B"/>
    <w:rsid w:val="006B0B73"/>
    <w:rsid w:val="006C333B"/>
    <w:rsid w:val="006E2875"/>
    <w:rsid w:val="006F3579"/>
    <w:rsid w:val="00702A7A"/>
    <w:rsid w:val="00715D83"/>
    <w:rsid w:val="0073638E"/>
    <w:rsid w:val="00742712"/>
    <w:rsid w:val="00745BBF"/>
    <w:rsid w:val="007704E6"/>
    <w:rsid w:val="0077566C"/>
    <w:rsid w:val="00780CCE"/>
    <w:rsid w:val="00782A79"/>
    <w:rsid w:val="0078524C"/>
    <w:rsid w:val="00786307"/>
    <w:rsid w:val="00792769"/>
    <w:rsid w:val="007976BF"/>
    <w:rsid w:val="007B4798"/>
    <w:rsid w:val="007C28BC"/>
    <w:rsid w:val="007D3994"/>
    <w:rsid w:val="007E1F0A"/>
    <w:rsid w:val="007F4259"/>
    <w:rsid w:val="007F78D5"/>
    <w:rsid w:val="00803B54"/>
    <w:rsid w:val="008140FC"/>
    <w:rsid w:val="00814B69"/>
    <w:rsid w:val="0083189F"/>
    <w:rsid w:val="00835135"/>
    <w:rsid w:val="0083657D"/>
    <w:rsid w:val="008563DC"/>
    <w:rsid w:val="008743CA"/>
    <w:rsid w:val="008848EF"/>
    <w:rsid w:val="00895333"/>
    <w:rsid w:val="008A18B9"/>
    <w:rsid w:val="008C4364"/>
    <w:rsid w:val="008C6107"/>
    <w:rsid w:val="008E34C5"/>
    <w:rsid w:val="008F3763"/>
    <w:rsid w:val="008F3C2F"/>
    <w:rsid w:val="0090193D"/>
    <w:rsid w:val="00903C71"/>
    <w:rsid w:val="00904305"/>
    <w:rsid w:val="00905D94"/>
    <w:rsid w:val="00920079"/>
    <w:rsid w:val="0092682D"/>
    <w:rsid w:val="00934299"/>
    <w:rsid w:val="00954577"/>
    <w:rsid w:val="009576B7"/>
    <w:rsid w:val="00966034"/>
    <w:rsid w:val="00967A84"/>
    <w:rsid w:val="009704D0"/>
    <w:rsid w:val="009721DE"/>
    <w:rsid w:val="009741CA"/>
    <w:rsid w:val="0097680D"/>
    <w:rsid w:val="00983452"/>
    <w:rsid w:val="00991F1A"/>
    <w:rsid w:val="00997528"/>
    <w:rsid w:val="009A365B"/>
    <w:rsid w:val="009A7A0A"/>
    <w:rsid w:val="009B2304"/>
    <w:rsid w:val="009B4B19"/>
    <w:rsid w:val="009B5AF2"/>
    <w:rsid w:val="009C5945"/>
    <w:rsid w:val="009C7253"/>
    <w:rsid w:val="009C7BB1"/>
    <w:rsid w:val="009D5E5E"/>
    <w:rsid w:val="009F4BC8"/>
    <w:rsid w:val="00A10336"/>
    <w:rsid w:val="00A2025E"/>
    <w:rsid w:val="00A342E4"/>
    <w:rsid w:val="00A47F09"/>
    <w:rsid w:val="00A506E4"/>
    <w:rsid w:val="00A56EA0"/>
    <w:rsid w:val="00A578F6"/>
    <w:rsid w:val="00A57AC0"/>
    <w:rsid w:val="00A621CE"/>
    <w:rsid w:val="00A628C5"/>
    <w:rsid w:val="00A635A1"/>
    <w:rsid w:val="00A826EA"/>
    <w:rsid w:val="00A8573E"/>
    <w:rsid w:val="00A9324B"/>
    <w:rsid w:val="00AA0737"/>
    <w:rsid w:val="00AA42EA"/>
    <w:rsid w:val="00AC723B"/>
    <w:rsid w:val="00AD2D58"/>
    <w:rsid w:val="00B01DE9"/>
    <w:rsid w:val="00B101EA"/>
    <w:rsid w:val="00B3126F"/>
    <w:rsid w:val="00B44F18"/>
    <w:rsid w:val="00B541B9"/>
    <w:rsid w:val="00B56897"/>
    <w:rsid w:val="00B916B3"/>
    <w:rsid w:val="00BA43BE"/>
    <w:rsid w:val="00BA467C"/>
    <w:rsid w:val="00BB07F4"/>
    <w:rsid w:val="00BB633F"/>
    <w:rsid w:val="00BB7AE6"/>
    <w:rsid w:val="00BC11DF"/>
    <w:rsid w:val="00BC29B3"/>
    <w:rsid w:val="00BC31F8"/>
    <w:rsid w:val="00BD2D54"/>
    <w:rsid w:val="00BE42F3"/>
    <w:rsid w:val="00BE4F49"/>
    <w:rsid w:val="00BF514F"/>
    <w:rsid w:val="00BF53DC"/>
    <w:rsid w:val="00C1544E"/>
    <w:rsid w:val="00C17D69"/>
    <w:rsid w:val="00C202C4"/>
    <w:rsid w:val="00C24F8A"/>
    <w:rsid w:val="00C26661"/>
    <w:rsid w:val="00C34F63"/>
    <w:rsid w:val="00C40795"/>
    <w:rsid w:val="00C51C6D"/>
    <w:rsid w:val="00C57409"/>
    <w:rsid w:val="00C64AFC"/>
    <w:rsid w:val="00C6757E"/>
    <w:rsid w:val="00C84BD3"/>
    <w:rsid w:val="00C85C3A"/>
    <w:rsid w:val="00C86436"/>
    <w:rsid w:val="00CA14A0"/>
    <w:rsid w:val="00CB242B"/>
    <w:rsid w:val="00CB6BE7"/>
    <w:rsid w:val="00CC0035"/>
    <w:rsid w:val="00CD4242"/>
    <w:rsid w:val="00CD58AA"/>
    <w:rsid w:val="00CD6461"/>
    <w:rsid w:val="00CE7E6B"/>
    <w:rsid w:val="00CF2349"/>
    <w:rsid w:val="00CF2B6E"/>
    <w:rsid w:val="00CF7006"/>
    <w:rsid w:val="00D00C76"/>
    <w:rsid w:val="00D13975"/>
    <w:rsid w:val="00D27630"/>
    <w:rsid w:val="00D3143D"/>
    <w:rsid w:val="00D337EB"/>
    <w:rsid w:val="00D40673"/>
    <w:rsid w:val="00D4086F"/>
    <w:rsid w:val="00D51DA2"/>
    <w:rsid w:val="00D631BD"/>
    <w:rsid w:val="00D80E6F"/>
    <w:rsid w:val="00D9504B"/>
    <w:rsid w:val="00D95375"/>
    <w:rsid w:val="00DA26A4"/>
    <w:rsid w:val="00DA2F4A"/>
    <w:rsid w:val="00DA7BF0"/>
    <w:rsid w:val="00DD117E"/>
    <w:rsid w:val="00DD5D71"/>
    <w:rsid w:val="00DE3D23"/>
    <w:rsid w:val="00DF153E"/>
    <w:rsid w:val="00DF4774"/>
    <w:rsid w:val="00E00AA1"/>
    <w:rsid w:val="00E04E13"/>
    <w:rsid w:val="00E16020"/>
    <w:rsid w:val="00E16466"/>
    <w:rsid w:val="00E17877"/>
    <w:rsid w:val="00E419AF"/>
    <w:rsid w:val="00E42769"/>
    <w:rsid w:val="00E47CE2"/>
    <w:rsid w:val="00E74E62"/>
    <w:rsid w:val="00E75558"/>
    <w:rsid w:val="00E90D53"/>
    <w:rsid w:val="00EB0BE5"/>
    <w:rsid w:val="00EB64A3"/>
    <w:rsid w:val="00EC7F4F"/>
    <w:rsid w:val="00ED267B"/>
    <w:rsid w:val="00ED5621"/>
    <w:rsid w:val="00ED6D53"/>
    <w:rsid w:val="00EE0F14"/>
    <w:rsid w:val="00F13EA4"/>
    <w:rsid w:val="00F17E09"/>
    <w:rsid w:val="00F22CFC"/>
    <w:rsid w:val="00F46982"/>
    <w:rsid w:val="00F5026C"/>
    <w:rsid w:val="00F65F4F"/>
    <w:rsid w:val="00F7699F"/>
    <w:rsid w:val="00F830E6"/>
    <w:rsid w:val="00F854A2"/>
    <w:rsid w:val="00F957D9"/>
    <w:rsid w:val="00FA1319"/>
    <w:rsid w:val="00FA188B"/>
    <w:rsid w:val="00FE406C"/>
    <w:rsid w:val="00FE56C6"/>
    <w:rsid w:val="00FE5D39"/>
    <w:rsid w:val="00FF1748"/>
    <w:rsid w:val="00FF3AD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38DC060D"/>
  <w15:chartTrackingRefBased/>
  <w15:docId w15:val="{EDE8B07A-6B5A-43E0-B3ED-35D987EA9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F6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CF7006"/>
    <w:pPr>
      <w:numPr>
        <w:numId w:val="17"/>
      </w:numPr>
      <w:contextualSpacing/>
    </w:pPr>
    <w:rPr>
      <w:rFonts w:cs="Arial"/>
    </w:rPr>
  </w:style>
  <w:style w:type="paragraph" w:styleId="FootnoteText">
    <w:name w:val="footnote text"/>
    <w:basedOn w:val="Normal"/>
    <w:link w:val="FootnoteTextChar"/>
    <w:semiHidden/>
    <w:unhideWhenUsed/>
    <w:rsid w:val="009721DE"/>
    <w:pPr>
      <w:spacing w:after="0" w:line="240" w:lineRule="auto"/>
    </w:pPr>
    <w:rPr>
      <w:rFonts w:ascii="Times New Roman" w:eastAsia="Times New Roman" w:hAnsi="Times New Roman" w:cs="Times New Roman"/>
      <w:lang w:val="en-GB"/>
    </w:rPr>
  </w:style>
  <w:style w:type="character" w:customStyle="1" w:styleId="FootnoteTextChar">
    <w:name w:val="Footnote Text Char"/>
    <w:basedOn w:val="DefaultParagraphFont"/>
    <w:link w:val="FootnoteText"/>
    <w:semiHidden/>
    <w:rsid w:val="009721DE"/>
    <w:rPr>
      <w:rFonts w:ascii="Times New Roman" w:eastAsia="Times New Roman" w:hAnsi="Times New Roman" w:cs="Times New Roman"/>
      <w:color w:val="auto"/>
      <w:sz w:val="20"/>
      <w:szCs w:val="20"/>
      <w:lang w:val="en-GB"/>
    </w:rPr>
  </w:style>
  <w:style w:type="character" w:styleId="FootnoteReference">
    <w:name w:val="footnote reference"/>
    <w:uiPriority w:val="99"/>
    <w:semiHidden/>
    <w:unhideWhenUsed/>
    <w:rsid w:val="009721DE"/>
    <w:rPr>
      <w:vertAlign w:val="superscript"/>
    </w:rPr>
  </w:style>
  <w:style w:type="character" w:styleId="Hyperlink">
    <w:name w:val="Hyperlink"/>
    <w:basedOn w:val="DefaultParagraphFont"/>
    <w:uiPriority w:val="99"/>
    <w:unhideWhenUsed/>
    <w:rsid w:val="00DA7BF0"/>
    <w:rPr>
      <w:color w:val="0563C1" w:themeColor="hyperlink"/>
      <w:u w:val="single"/>
    </w:rPr>
  </w:style>
  <w:style w:type="table" w:styleId="TableGrid">
    <w:name w:val="Table Grid"/>
    <w:basedOn w:val="TableNormal"/>
    <w:uiPriority w:val="39"/>
    <w:rsid w:val="00FF3A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192F0B"/>
    <w:rPr>
      <w:color w:val="954F72" w:themeColor="followedHyperlink"/>
      <w:u w:val="single"/>
    </w:rPr>
  </w:style>
  <w:style w:type="paragraph" w:customStyle="1" w:styleId="Default">
    <w:name w:val="Default"/>
    <w:rsid w:val="00742712"/>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BA43BE"/>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Header">
    <w:name w:val="header"/>
    <w:basedOn w:val="Normal"/>
    <w:link w:val="HeaderChar"/>
    <w:uiPriority w:val="99"/>
    <w:unhideWhenUsed/>
    <w:rsid w:val="0092682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682D"/>
  </w:style>
  <w:style w:type="paragraph" w:styleId="Footer">
    <w:name w:val="footer"/>
    <w:basedOn w:val="Normal"/>
    <w:link w:val="FooterChar"/>
    <w:uiPriority w:val="99"/>
    <w:unhideWhenUsed/>
    <w:rsid w:val="0092682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682D"/>
  </w:style>
  <w:style w:type="paragraph" w:styleId="BalloonText">
    <w:name w:val="Balloon Text"/>
    <w:basedOn w:val="Normal"/>
    <w:link w:val="BalloonTextChar"/>
    <w:uiPriority w:val="99"/>
    <w:semiHidden/>
    <w:unhideWhenUsed/>
    <w:rsid w:val="00150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05E6"/>
    <w:rPr>
      <w:rFonts w:ascii="Segoe UI" w:hAnsi="Segoe UI" w:cs="Segoe UI"/>
      <w:sz w:val="18"/>
      <w:szCs w:val="18"/>
    </w:rPr>
  </w:style>
  <w:style w:type="character" w:styleId="CommentReference">
    <w:name w:val="annotation reference"/>
    <w:basedOn w:val="DefaultParagraphFont"/>
    <w:uiPriority w:val="99"/>
    <w:semiHidden/>
    <w:unhideWhenUsed/>
    <w:rsid w:val="001C7E13"/>
    <w:rPr>
      <w:sz w:val="16"/>
      <w:szCs w:val="16"/>
    </w:rPr>
  </w:style>
  <w:style w:type="paragraph" w:styleId="CommentText">
    <w:name w:val="annotation text"/>
    <w:basedOn w:val="Normal"/>
    <w:link w:val="CommentTextChar"/>
    <w:uiPriority w:val="99"/>
    <w:semiHidden/>
    <w:unhideWhenUsed/>
    <w:rsid w:val="001C7E13"/>
    <w:pPr>
      <w:spacing w:line="240" w:lineRule="auto"/>
    </w:pPr>
    <w:rPr>
      <w:sz w:val="20"/>
      <w:szCs w:val="20"/>
    </w:rPr>
  </w:style>
  <w:style w:type="character" w:customStyle="1" w:styleId="CommentTextChar">
    <w:name w:val="Comment Text Char"/>
    <w:basedOn w:val="DefaultParagraphFont"/>
    <w:link w:val="CommentText"/>
    <w:uiPriority w:val="99"/>
    <w:semiHidden/>
    <w:rsid w:val="001C7E13"/>
    <w:rPr>
      <w:sz w:val="20"/>
      <w:szCs w:val="20"/>
    </w:rPr>
  </w:style>
  <w:style w:type="paragraph" w:styleId="CommentSubject">
    <w:name w:val="annotation subject"/>
    <w:basedOn w:val="CommentText"/>
    <w:next w:val="CommentText"/>
    <w:link w:val="CommentSubjectChar"/>
    <w:uiPriority w:val="99"/>
    <w:semiHidden/>
    <w:unhideWhenUsed/>
    <w:rsid w:val="001C7E13"/>
    <w:rPr>
      <w:b/>
      <w:bCs/>
    </w:rPr>
  </w:style>
  <w:style w:type="character" w:customStyle="1" w:styleId="CommentSubjectChar">
    <w:name w:val="Comment Subject Char"/>
    <w:basedOn w:val="CommentTextChar"/>
    <w:link w:val="CommentSubject"/>
    <w:uiPriority w:val="99"/>
    <w:semiHidden/>
    <w:rsid w:val="001C7E1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5115443">
      <w:bodyDiv w:val="1"/>
      <w:marLeft w:val="0"/>
      <w:marRight w:val="0"/>
      <w:marTop w:val="0"/>
      <w:marBottom w:val="0"/>
      <w:divBdr>
        <w:top w:val="none" w:sz="0" w:space="0" w:color="auto"/>
        <w:left w:val="none" w:sz="0" w:space="0" w:color="auto"/>
        <w:bottom w:val="none" w:sz="0" w:space="0" w:color="auto"/>
        <w:right w:val="none" w:sz="0" w:space="0" w:color="auto"/>
      </w:divBdr>
    </w:div>
    <w:div w:id="534390836">
      <w:bodyDiv w:val="1"/>
      <w:marLeft w:val="0"/>
      <w:marRight w:val="0"/>
      <w:marTop w:val="0"/>
      <w:marBottom w:val="0"/>
      <w:divBdr>
        <w:top w:val="none" w:sz="0" w:space="0" w:color="auto"/>
        <w:left w:val="none" w:sz="0" w:space="0" w:color="auto"/>
        <w:bottom w:val="none" w:sz="0" w:space="0" w:color="auto"/>
        <w:right w:val="none" w:sz="0" w:space="0" w:color="auto"/>
      </w:divBdr>
    </w:div>
    <w:div w:id="956450900">
      <w:bodyDiv w:val="1"/>
      <w:marLeft w:val="0"/>
      <w:marRight w:val="0"/>
      <w:marTop w:val="0"/>
      <w:marBottom w:val="0"/>
      <w:divBdr>
        <w:top w:val="none" w:sz="0" w:space="0" w:color="auto"/>
        <w:left w:val="none" w:sz="0" w:space="0" w:color="auto"/>
        <w:bottom w:val="none" w:sz="0" w:space="0" w:color="auto"/>
        <w:right w:val="none" w:sz="0" w:space="0" w:color="auto"/>
      </w:divBdr>
    </w:div>
    <w:div w:id="1308627056">
      <w:bodyDiv w:val="1"/>
      <w:marLeft w:val="0"/>
      <w:marRight w:val="0"/>
      <w:marTop w:val="0"/>
      <w:marBottom w:val="0"/>
      <w:divBdr>
        <w:top w:val="none" w:sz="0" w:space="0" w:color="auto"/>
        <w:left w:val="none" w:sz="0" w:space="0" w:color="auto"/>
        <w:bottom w:val="none" w:sz="0" w:space="0" w:color="auto"/>
        <w:right w:val="none" w:sz="0" w:space="0" w:color="auto"/>
      </w:divBdr>
    </w:div>
    <w:div w:id="2044134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gif"/><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citizensinformation.ie/en/"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audit.gov.ie/en/find-report/publications/2021/chapter-10-management-of-social-welfare-appeals.pdf" TargetMode="External"/><Relationship Id="rId2" Type="http://schemas.openxmlformats.org/officeDocument/2006/relationships/hyperlink" Target="https://files.justice.org.uk/wp-content/uploads/2021/08/17151507/Reforming-Benefits-Decision-Making-FINAL-updated-August-2021.pdf" TargetMode="External"/><Relationship Id="rId1" Type="http://schemas.openxmlformats.org/officeDocument/2006/relationships/hyperlink" Target="https://www.gov.ie/en/collection/ae6ada-news-and-publications-from-the-social-welfare-appeals-office/" TargetMode="External"/><Relationship Id="rId4" Type="http://schemas.openxmlformats.org/officeDocument/2006/relationships/hyperlink" Target="https://www.oireachtas.ie/en/press-centre/press-releases/20230425-social-protection-committee-to-discuss-draft-regulations-relating-to-the-operation-of-the-social-welfare-appeals-offi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Docs_FileTopicsTaxHTField0 xmlns="f534d041-ad79-4a52-b780-410adfd0608f">
      <Terms xmlns="http://schemas.microsoft.com/office/infopath/2007/PartnerControls">
        <TermInfo xmlns="http://schemas.microsoft.com/office/infopath/2007/PartnerControls">
          <TermName xmlns="http://schemas.microsoft.com/office/infopath/2007/PartnerControls">Corporate</TermName>
          <TermId xmlns="http://schemas.microsoft.com/office/infopath/2007/PartnerControls">32e37c74-0cb0-48bf-b309-c6e237880be4</TermId>
        </TermInfo>
      </Terms>
    </eDocs_FileTopicsTaxHTField0>
    <eDocs_SecurityClassificationTaxHTField0 xmlns="f534d041-ad79-4a52-b780-410adfd0608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eDocs_DocumentTopicsTaxHTField0 xmlns="f534d041-ad79-4a52-b780-410adfd0608f">
      <Terms xmlns="http://schemas.microsoft.com/office/infopath/2007/PartnerControls"/>
    </eDocs_DocumentTopicsTaxHTField0>
    <eDocs_FileStatus xmlns="http://schemas.microsoft.com/sharepoint/v3">Live</eDocs_FileStatus>
    <eDocs_SeriesSubSeriesTaxHTField0 xmlns="f534d041-ad79-4a52-b780-410adfd0608f">
      <Terms xmlns="http://schemas.microsoft.com/office/infopath/2007/PartnerControls">
        <TermInfo xmlns="http://schemas.microsoft.com/office/infopath/2007/PartnerControls">
          <TermName xmlns="http://schemas.microsoft.com/office/infopath/2007/PartnerControls">044</TermName>
          <TermId xmlns="http://schemas.microsoft.com/office/infopath/2007/PartnerControls">d3c4c38a-c908-41df-b6c6-0fe119a40293</TermId>
        </TermInfo>
      </Terms>
    </eDocs_SeriesSubSeriesTaxHTField0>
    <TaxCatchAll xmlns="0e2210f3-d997-4b15-abf5-2f9c566fe8e8">
      <Value>8</Value>
      <Value>1</Value>
      <Value>15</Value>
      <Value>7</Value>
    </TaxCatchAll>
    <eDocs_FileName xmlns="http://schemas.microsoft.com/sharepoint/v3">CIB044-005-2023</eDocs_FileName>
    <eDocs_YearTaxHTField0 xmlns="f534d041-ad79-4a52-b780-410adfd0608f">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74a2641e-fbeb-46ca-9ff1-c4fa9880aa6c</TermId>
        </TermInfo>
      </Terms>
    </eDocs_YearTaxHTField0>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B177192AEC4B384B8E80EC3AB33A30A2" ma:contentTypeVersion="15" ma:contentTypeDescription="Create a new document for eDocs" ma:contentTypeScope="" ma:versionID="8e7a96a7fa6389ba0f4445ea2402fa82">
  <xsd:schema xmlns:xsd="http://www.w3.org/2001/XMLSchema" xmlns:xs="http://www.w3.org/2001/XMLSchema" xmlns:p="http://schemas.microsoft.com/office/2006/metadata/properties" xmlns:ns1="http://schemas.microsoft.com/sharepoint/v3" xmlns:ns2="f534d041-ad79-4a52-b780-410adfd0608f" xmlns:ns3="0e2210f3-d997-4b15-abf5-2f9c566fe8e8" targetNamespace="http://schemas.microsoft.com/office/2006/metadata/properties" ma:root="true" ma:fieldsID="327af8d8ac6a15da1ed4d392d07900d7" ns1:_="" ns2:_="" ns3:_="">
    <xsd:import namespace="http://schemas.microsoft.com/sharepoint/v3"/>
    <xsd:import namespace="f534d041-ad79-4a52-b780-410adfd0608f"/>
    <xsd:import namespace="0e2210f3-d997-4b15-abf5-2f9c566fe8e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f534d041-ad79-4a52-b780-410adfd0608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2210f3-d997-4b15-abf5-2f9c566fe8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13aece-1217-4d7e-8f5e-ac0c90feb4db}" ma:internalName="TaxCatchAll" ma:showField="CatchAllData" ma:web="0e2210f3-d997-4b15-abf5-2f9c566fe8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eDocument</p:Name>
  <p:Description/>
  <p:Statement/>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6AB10-5CD5-4B15-8843-B2F18694310A}">
  <ds:schemaRefs>
    <ds:schemaRef ds:uri="http://schemas.microsoft.com/sharepoint/v3/contenttype/forms"/>
  </ds:schemaRefs>
</ds:datastoreItem>
</file>

<file path=customXml/itemProps2.xml><?xml version="1.0" encoding="utf-8"?>
<ds:datastoreItem xmlns:ds="http://schemas.openxmlformats.org/officeDocument/2006/customXml" ds:itemID="{1C8440CE-D5B1-4145-B419-604C813B0C67}">
  <ds:schemaRefs>
    <ds:schemaRef ds:uri="http://schemas.microsoft.com/sharepoint/v3"/>
    <ds:schemaRef ds:uri="http://purl.org/dc/terms/"/>
    <ds:schemaRef ds:uri="f534d041-ad79-4a52-b780-410adfd0608f"/>
    <ds:schemaRef ds:uri="http://schemas.microsoft.com/office/2006/documentManagement/types"/>
    <ds:schemaRef ds:uri="http://schemas.openxmlformats.org/package/2006/metadata/core-properties"/>
    <ds:schemaRef ds:uri="0e2210f3-d997-4b15-abf5-2f9c566fe8e8"/>
    <ds:schemaRef ds:uri="http://purl.org/dc/elements/1.1/"/>
    <ds:schemaRef ds:uri="http://schemas.microsoft.com/office/2006/metadata/properties"/>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7C65DB4A-71B7-4A63-B5B5-1DC5167F47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34d041-ad79-4a52-b780-410adfd0608f"/>
    <ds:schemaRef ds:uri="0e2210f3-d997-4b15-abf5-2f9c566fe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6D9772F-9099-4268-B6CC-6E62BD773B4F}">
  <ds:schemaRefs>
    <ds:schemaRef ds:uri="http://schemas.microsoft.com/sharepoint/events"/>
  </ds:schemaRefs>
</ds:datastoreItem>
</file>

<file path=customXml/itemProps5.xml><?xml version="1.0" encoding="utf-8"?>
<ds:datastoreItem xmlns:ds="http://schemas.openxmlformats.org/officeDocument/2006/customXml" ds:itemID="{99075A7B-328C-4A4D-B857-93295CC09583}">
  <ds:schemaRefs>
    <ds:schemaRef ds:uri="office.server.policy"/>
  </ds:schemaRefs>
</ds:datastoreItem>
</file>

<file path=customXml/itemProps6.xml><?xml version="1.0" encoding="utf-8"?>
<ds:datastoreItem xmlns:ds="http://schemas.openxmlformats.org/officeDocument/2006/customXml" ds:itemID="{9248B385-239E-4E3E-8A88-ABC7AC3348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5637</Words>
  <Characters>32136</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O’Connor</dc:creator>
  <cp:keywords/>
  <dc:description/>
  <cp:lastModifiedBy>Geralyn McGarry</cp:lastModifiedBy>
  <cp:revision>2</cp:revision>
  <cp:lastPrinted>2023-05-16T07:21:00Z</cp:lastPrinted>
  <dcterms:created xsi:type="dcterms:W3CDTF">2023-05-19T15:20:00Z</dcterms:created>
  <dcterms:modified xsi:type="dcterms:W3CDTF">2023-05-19T15:20:00Z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0x0101000BC94875665D404BB1351B53C41FD2C000B177192AEC4B384B8E80EC3AB33A30A2</vt:lpwstr>
  </property>
  <property fmtid="{D5CDD505-2E9C-101B-9397-08002B2CF9AE}" pid="3" name="eDocs_FileTopics">
    <vt:lpwstr>8;#Corporate|32e37c74-0cb0-48bf-b309-c6e237880be4</vt:lpwstr>
  </property>
  <property fmtid="{D5CDD505-2E9C-101B-9397-08002B2CF9AE}" pid="4" name="eDocs_SecurityClassification">
    <vt:lpwstr>1;#Unclassified|13b0a387-28e5-4d0e-ba93-bfbfb7bc32d7</vt:lpwstr>
  </property>
  <property fmtid="{D5CDD505-2E9C-101B-9397-08002B2CF9AE}" pid="5" name="eDocs_DocumentTopics">
    <vt:lpwstr/>
  </property>
  <property fmtid="{D5CDD505-2E9C-101B-9397-08002B2CF9AE}" pid="6" name="eDocs_Year">
    <vt:lpwstr>15;#2023|74a2641e-fbeb-46ca-9ff1-c4fa9880aa6c</vt:lpwstr>
  </property>
  <property fmtid="{D5CDD505-2E9C-101B-9397-08002B2CF9AE}" pid="7" name="eDocs_SeriesSubSeries">
    <vt:lpwstr>7;#044|d3c4c38a-c908-41df-b6c6-0fe119a40293</vt:lpwstr>
  </property>
  <property fmtid="{D5CDD505-2E9C-101B-9397-08002B2CF9AE}" pid="8" name="_dlc_policyId">
    <vt:lpwstr/>
  </property>
  <property fmtid="{D5CDD505-2E9C-101B-9397-08002B2CF9AE}" pid="9" name="ItemRetentionFormula">
    <vt:lpwstr/>
  </property>
</Properties>
</file>