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C2445C" w14:textId="77777777" w:rsidR="00BE4D72" w:rsidRDefault="00BE4D72" w:rsidP="00BE4D72">
      <w:pPr>
        <w:spacing w:after="22" w:line="259" w:lineRule="auto"/>
        <w:ind w:left="-5"/>
        <w:jc w:val="center"/>
        <w:rPr>
          <w:rFonts w:ascii="Cambria" w:eastAsia="Cambria" w:hAnsi="Cambria" w:cs="Cambria"/>
          <w:b/>
          <w:color w:val="365F91"/>
          <w:sz w:val="28"/>
        </w:rPr>
      </w:pPr>
      <w:r>
        <w:rPr>
          <w:noProof/>
        </w:rPr>
        <w:drawing>
          <wp:inline distT="0" distB="0" distL="0" distR="0" wp14:anchorId="1C71CC97" wp14:editId="54C28DDA">
            <wp:extent cx="3115310" cy="914400"/>
            <wp:effectExtent l="0" t="0" r="8890" b="0"/>
            <wp:docPr id="1" name="Picture 1" descr="C:\Users\salleyann.davis\Pictures\CIB Logo.jpg"/>
            <wp:cNvGraphicFramePr/>
            <a:graphic xmlns:a="http://schemas.openxmlformats.org/drawingml/2006/main">
              <a:graphicData uri="http://schemas.openxmlformats.org/drawingml/2006/picture">
                <pic:pic xmlns:pic="http://schemas.openxmlformats.org/drawingml/2006/picture">
                  <pic:nvPicPr>
                    <pic:cNvPr id="1" name="Picture 1" descr="C:\Users\salleyann.davis\Pictures\CIB Logo.jpg"/>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15310" cy="914400"/>
                    </a:xfrm>
                    <a:prstGeom prst="rect">
                      <a:avLst/>
                    </a:prstGeom>
                    <a:noFill/>
                    <a:ln>
                      <a:noFill/>
                    </a:ln>
                  </pic:spPr>
                </pic:pic>
              </a:graphicData>
            </a:graphic>
          </wp:inline>
        </w:drawing>
      </w:r>
    </w:p>
    <w:p w14:paraId="58235467" w14:textId="77777777" w:rsidR="00BE4D72" w:rsidRDefault="00BE4D72" w:rsidP="00BE4D72">
      <w:pPr>
        <w:spacing w:after="22" w:line="259" w:lineRule="auto"/>
        <w:ind w:left="-5"/>
        <w:rPr>
          <w:rFonts w:ascii="Cambria" w:eastAsia="Cambria" w:hAnsi="Cambria" w:cs="Cambria"/>
          <w:b/>
          <w:color w:val="365F91"/>
          <w:sz w:val="28"/>
        </w:rPr>
      </w:pPr>
    </w:p>
    <w:p w14:paraId="05539984" w14:textId="375522C3" w:rsidR="00A71989" w:rsidRDefault="009D12C1" w:rsidP="00BE4D72">
      <w:pPr>
        <w:spacing w:after="22" w:line="259" w:lineRule="auto"/>
        <w:ind w:left="-5"/>
        <w:jc w:val="center"/>
      </w:pPr>
      <w:r>
        <w:rPr>
          <w:rFonts w:ascii="Cambria" w:eastAsia="Cambria" w:hAnsi="Cambria" w:cs="Cambria"/>
          <w:b/>
          <w:color w:val="365F91"/>
          <w:sz w:val="28"/>
        </w:rPr>
        <w:t>A Strawman Public Consultation Process</w:t>
      </w:r>
      <w:r w:rsidR="00A44D29">
        <w:rPr>
          <w:rFonts w:ascii="Cambria" w:eastAsia="Cambria" w:hAnsi="Cambria" w:cs="Cambria"/>
          <w:b/>
          <w:color w:val="365F91"/>
          <w:sz w:val="28"/>
        </w:rPr>
        <w:t xml:space="preserve"> for a Pay-Related Jobseeker’s Benefit Scheme in Ireland.</w:t>
      </w:r>
    </w:p>
    <w:p w14:paraId="1FDA218D" w14:textId="77777777" w:rsidR="005B0764" w:rsidRDefault="005B0764" w:rsidP="002D241E">
      <w:pPr>
        <w:spacing w:after="180" w:line="259" w:lineRule="auto"/>
        <w:ind w:left="0" w:firstLine="0"/>
        <w:jc w:val="center"/>
        <w:rPr>
          <w:rFonts w:ascii="Cambria" w:eastAsia="Cambria" w:hAnsi="Cambria" w:cs="Cambria"/>
          <w:b/>
          <w:i/>
          <w:color w:val="365F91"/>
          <w:sz w:val="28"/>
        </w:rPr>
      </w:pPr>
    </w:p>
    <w:p w14:paraId="733514FF" w14:textId="42E45EDD" w:rsidR="00A71989" w:rsidRDefault="00A71989" w:rsidP="002D241E">
      <w:pPr>
        <w:spacing w:after="180" w:line="259" w:lineRule="auto"/>
        <w:ind w:left="0" w:firstLine="0"/>
        <w:jc w:val="center"/>
      </w:pPr>
      <w:r>
        <w:rPr>
          <w:rFonts w:ascii="Cambria" w:eastAsia="Cambria" w:hAnsi="Cambria" w:cs="Cambria"/>
          <w:b/>
          <w:i/>
          <w:color w:val="365F91"/>
          <w:sz w:val="28"/>
        </w:rPr>
        <w:t>Submission by the Citizens Information Board (February 2023)</w:t>
      </w:r>
    </w:p>
    <w:p w14:paraId="567375BE" w14:textId="77777777" w:rsidR="00A71989" w:rsidRPr="004D5CF4" w:rsidRDefault="00A71989" w:rsidP="007A69C8">
      <w:pPr>
        <w:pStyle w:val="Heading1"/>
        <w:jc w:val="both"/>
        <w:rPr>
          <w:rFonts w:asciiTheme="majorHAnsi" w:eastAsiaTheme="majorEastAsia" w:hAnsiTheme="majorHAnsi" w:cstheme="majorBidi"/>
          <w:color w:val="2F5496" w:themeColor="accent1" w:themeShade="BF"/>
          <w:sz w:val="26"/>
          <w:szCs w:val="26"/>
        </w:rPr>
      </w:pPr>
      <w:r w:rsidRPr="004D5CF4">
        <w:rPr>
          <w:rFonts w:asciiTheme="majorHAnsi" w:eastAsiaTheme="majorEastAsia" w:hAnsiTheme="majorHAnsi" w:cstheme="majorBidi"/>
          <w:color w:val="2F5496" w:themeColor="accent1" w:themeShade="BF"/>
          <w:sz w:val="26"/>
          <w:szCs w:val="26"/>
        </w:rPr>
        <w:t xml:space="preserve">Introduction </w:t>
      </w:r>
    </w:p>
    <w:p w14:paraId="30DE7092" w14:textId="77777777" w:rsidR="001A5FB6" w:rsidRDefault="00A71989" w:rsidP="007A69C8">
      <w:pPr>
        <w:spacing w:after="160"/>
        <w:jc w:val="both"/>
      </w:pPr>
      <w:r>
        <w:t xml:space="preserve">The Citizens Information Board (CIB) welcomes the opportunity to </w:t>
      </w:r>
      <w:r w:rsidR="00E54E51">
        <w:t xml:space="preserve">respond to </w:t>
      </w:r>
      <w:r>
        <w:t xml:space="preserve">the </w:t>
      </w:r>
      <w:r w:rsidR="00986A0F">
        <w:t xml:space="preserve">Pay-Related Jobseeker’s Benefit Strawman </w:t>
      </w:r>
      <w:r w:rsidR="0069763A">
        <w:t>C</w:t>
      </w:r>
      <w:r w:rsidR="00E1036D">
        <w:t xml:space="preserve">onsultation </w:t>
      </w:r>
      <w:r w:rsidR="0069763A">
        <w:t>P</w:t>
      </w:r>
      <w:r w:rsidR="00E1036D">
        <w:t>aper</w:t>
      </w:r>
      <w:r w:rsidR="00743018">
        <w:t xml:space="preserve"> published by the </w:t>
      </w:r>
      <w:r>
        <w:t>Department of Social Protection</w:t>
      </w:r>
      <w:r w:rsidR="001A5FB6">
        <w:t>.</w:t>
      </w:r>
    </w:p>
    <w:p w14:paraId="0FC9DF7B" w14:textId="77777777" w:rsidR="001A5FB6" w:rsidRDefault="001A5FB6" w:rsidP="007A69C8">
      <w:pPr>
        <w:spacing w:after="160"/>
        <w:jc w:val="both"/>
      </w:pPr>
      <w:r>
        <w:t>CIB, funded by the Department, is the national agency responsible for supporting the provision of information, advice and advocacy on social and public services through our website and through CIB-funded services – Citizens Information Services (CISs), the Citizens Information Phone Service (CIPS), Money Advice and Budgeting Services (MABS), the National Advocacy Service (NAS) for people with disabilities and the Sign Language Interpreting Service (SLIS). CIB also collaborates and engages with a range of Non-Governmental Organisations (NGOs) that support and represent the interests of disadvantaged sections of the population.</w:t>
      </w:r>
    </w:p>
    <w:p w14:paraId="4C72104F" w14:textId="798A5719" w:rsidR="00A71989" w:rsidRDefault="00A71989" w:rsidP="004B3B8C">
      <w:pPr>
        <w:spacing w:after="160"/>
        <w:jc w:val="both"/>
      </w:pPr>
      <w:r>
        <w:t xml:space="preserve">CIB is particularly aware of the pressures now being experienced by </w:t>
      </w:r>
      <w:r w:rsidR="00457E0C">
        <w:t xml:space="preserve">the public </w:t>
      </w:r>
      <w:r>
        <w:t xml:space="preserve">arising from increasing energy costs, general inflationary pressures, and difficulties in accessing and affording housing. These pressures will impact most severely on people who are dependent on social welfare payments and services or who are in low-pay and/or precarious employments. </w:t>
      </w:r>
      <w:r w:rsidR="006A0257">
        <w:t xml:space="preserve">It is also </w:t>
      </w:r>
      <w:r w:rsidR="00746A01">
        <w:t xml:space="preserve">likely that people </w:t>
      </w:r>
      <w:r w:rsidR="006A3483">
        <w:t>who become unemployed will experience significant challenges</w:t>
      </w:r>
      <w:r w:rsidR="0086786B">
        <w:t xml:space="preserve"> when faced, </w:t>
      </w:r>
      <w:r w:rsidR="00FE0C58">
        <w:t>sometimes</w:t>
      </w:r>
      <w:r w:rsidR="0086786B">
        <w:t xml:space="preserve"> suddenly, with a drop in income.</w:t>
      </w:r>
      <w:r w:rsidR="006A7950">
        <w:t xml:space="preserve"> A new approach to </w:t>
      </w:r>
      <w:r w:rsidR="006A0257">
        <w:t xml:space="preserve">Jobseekers’ Benefit </w:t>
      </w:r>
      <w:r w:rsidR="006A7950">
        <w:t xml:space="preserve">is, therefore, timely and necessary. </w:t>
      </w:r>
    </w:p>
    <w:p w14:paraId="072D8E86" w14:textId="7205B85F" w:rsidR="007A69C8" w:rsidRPr="004B3B8C" w:rsidRDefault="00D42351" w:rsidP="004B3B8C">
      <w:pPr>
        <w:spacing w:after="160"/>
        <w:jc w:val="both"/>
      </w:pPr>
      <w:r w:rsidRPr="00D42351">
        <w:lastRenderedPageBreak/>
        <w:t>C</w:t>
      </w:r>
      <w:r w:rsidR="006A7950">
        <w:t xml:space="preserve">ISs </w:t>
      </w:r>
      <w:r>
        <w:t xml:space="preserve">dealt with </w:t>
      </w:r>
      <w:r w:rsidR="0015190A">
        <w:t>788,</w:t>
      </w:r>
      <w:r w:rsidR="006A0257">
        <w:t xml:space="preserve">902 </w:t>
      </w:r>
      <w:r w:rsidR="0015190A">
        <w:t>queries from 394,</w:t>
      </w:r>
      <w:r w:rsidR="006A0257">
        <w:t xml:space="preserve">400 </w:t>
      </w:r>
      <w:r w:rsidR="0015190A">
        <w:t>callers in 2022</w:t>
      </w:r>
      <w:r w:rsidR="004B3B8C">
        <w:t>.</w:t>
      </w:r>
      <w:r w:rsidR="001A277D" w:rsidRPr="00FB1F4F">
        <w:rPr>
          <w:vertAlign w:val="superscript"/>
        </w:rPr>
        <w:footnoteReference w:id="1"/>
      </w:r>
      <w:r w:rsidR="00D22FA1">
        <w:t xml:space="preserve"> </w:t>
      </w:r>
      <w:r w:rsidR="004E0536">
        <w:t xml:space="preserve">Over </w:t>
      </w:r>
      <w:r w:rsidR="00885A6A">
        <w:t>30,</w:t>
      </w:r>
      <w:r w:rsidR="004E0536">
        <w:t>000</w:t>
      </w:r>
      <w:r w:rsidR="006A0257">
        <w:t xml:space="preserve"> </w:t>
      </w:r>
      <w:r w:rsidR="00885A6A">
        <w:t>of these</w:t>
      </w:r>
      <w:r w:rsidR="00464310">
        <w:t xml:space="preserve"> </w:t>
      </w:r>
      <w:r w:rsidR="008B0A7D">
        <w:t xml:space="preserve">queries </w:t>
      </w:r>
      <w:r w:rsidR="00464310">
        <w:t>related to</w:t>
      </w:r>
      <w:r w:rsidR="00B561F2">
        <w:t xml:space="preserve"> the issue of unemployment. </w:t>
      </w:r>
      <w:r w:rsidR="00997DE9">
        <w:t>Of th</w:t>
      </w:r>
      <w:r w:rsidR="00434CB3">
        <w:t>e</w:t>
      </w:r>
      <w:r w:rsidR="00997DE9">
        <w:t xml:space="preserve"> unemployment-related queries</w:t>
      </w:r>
      <w:r w:rsidR="00FE0C58">
        <w:t>,</w:t>
      </w:r>
      <w:r w:rsidR="00997DE9">
        <w:t xml:space="preserve"> </w:t>
      </w:r>
      <w:r w:rsidR="006A0257">
        <w:t>53</w:t>
      </w:r>
      <w:r w:rsidR="005A2A68">
        <w:t>% concerned Jobseeker’s Allowance</w:t>
      </w:r>
      <w:r w:rsidR="0033396A">
        <w:t xml:space="preserve"> (16,118),</w:t>
      </w:r>
      <w:r w:rsidR="005A2A68">
        <w:t xml:space="preserve"> </w:t>
      </w:r>
      <w:r w:rsidR="009154FF">
        <w:t>31% Jobseeker’s Benefit</w:t>
      </w:r>
      <w:r w:rsidR="0033396A">
        <w:t xml:space="preserve"> (9,441)</w:t>
      </w:r>
      <w:r w:rsidR="009154FF">
        <w:t>, and the remainder</w:t>
      </w:r>
      <w:r w:rsidR="005B68B8">
        <w:t xml:space="preserve"> concerned general matters of social welfare payments and work, Jobseeker’s Transitional Payment, </w:t>
      </w:r>
      <w:r w:rsidR="00066110">
        <w:t xml:space="preserve">and issues relating to </w:t>
      </w:r>
      <w:r w:rsidR="00295E1C">
        <w:t>unemployment following self-employment.</w:t>
      </w:r>
      <w:r w:rsidR="006F1C86">
        <w:t xml:space="preserve"> </w:t>
      </w:r>
      <w:r w:rsidR="001A5FB6" w:rsidRPr="004B3B8C">
        <w:t>CISs received some 11,</w:t>
      </w:r>
      <w:r w:rsidR="00237707" w:rsidRPr="004B3B8C">
        <w:t xml:space="preserve">934 </w:t>
      </w:r>
      <w:r w:rsidR="001A5FB6" w:rsidRPr="004B3B8C">
        <w:t>queries relating to Jobseekers Benefit in 2021 and</w:t>
      </w:r>
      <w:r w:rsidR="004E0536" w:rsidRPr="004B3B8C">
        <w:t xml:space="preserve"> </w:t>
      </w:r>
      <w:r w:rsidR="00237707" w:rsidRPr="004B3B8C">
        <w:t>9</w:t>
      </w:r>
      <w:r w:rsidR="004E0536" w:rsidRPr="004B3B8C">
        <w:t>,</w:t>
      </w:r>
      <w:r w:rsidR="00237707" w:rsidRPr="004B3B8C">
        <w:t>441</w:t>
      </w:r>
      <w:r w:rsidR="001A5FB6" w:rsidRPr="004B3B8C">
        <w:t xml:space="preserve"> in 2022.</w:t>
      </w:r>
    </w:p>
    <w:p w14:paraId="758CAEAA" w14:textId="0CBFACDC" w:rsidR="008E6292" w:rsidRDefault="008E6292" w:rsidP="004B3B8C">
      <w:pPr>
        <w:spacing w:after="160"/>
        <w:jc w:val="both"/>
      </w:pPr>
      <w:r>
        <w:t>CIB</w:t>
      </w:r>
      <w:r w:rsidR="001A5FB6">
        <w:t xml:space="preserve">-funded </w:t>
      </w:r>
      <w:r>
        <w:t xml:space="preserve">services </w:t>
      </w:r>
      <w:r w:rsidR="00E12717">
        <w:t>consiste</w:t>
      </w:r>
      <w:r w:rsidR="00A41338">
        <w:t>n</w:t>
      </w:r>
      <w:r w:rsidR="00E12717">
        <w:t>tly</w:t>
      </w:r>
      <w:r w:rsidR="00A41338">
        <w:t xml:space="preserve"> report that </w:t>
      </w:r>
      <w:r w:rsidR="001A5FB6">
        <w:t xml:space="preserve">many </w:t>
      </w:r>
      <w:r w:rsidR="00A41338">
        <w:t xml:space="preserve">clients </w:t>
      </w:r>
      <w:r w:rsidR="007D4ADF">
        <w:t>present with complex queries</w:t>
      </w:r>
      <w:r w:rsidR="001C4A0C">
        <w:t xml:space="preserve"> and </w:t>
      </w:r>
      <w:r w:rsidR="004108DE">
        <w:t xml:space="preserve">problems, </w:t>
      </w:r>
      <w:r w:rsidR="0070240D">
        <w:t xml:space="preserve">requiring </w:t>
      </w:r>
      <w:r w:rsidR="0042781F">
        <w:t>multiple intera</w:t>
      </w:r>
      <w:r w:rsidR="00615C01">
        <w:t>ctions with state services and supports</w:t>
      </w:r>
      <w:r w:rsidR="00521ABB">
        <w:t xml:space="preserve">. Clients are </w:t>
      </w:r>
      <w:r w:rsidR="00FA03F6">
        <w:t xml:space="preserve">also likely to have experienced </w:t>
      </w:r>
      <w:r w:rsidR="00FE0C58">
        <w:t xml:space="preserve">difficulties </w:t>
      </w:r>
      <w:r w:rsidR="007D6CFC">
        <w:t xml:space="preserve">in their attempts to </w:t>
      </w:r>
      <w:r w:rsidR="00C25DE5">
        <w:t>determine their entitlements and</w:t>
      </w:r>
      <w:r w:rsidR="00077D27">
        <w:t xml:space="preserve"> </w:t>
      </w:r>
      <w:r w:rsidR="00E90B24">
        <w:t xml:space="preserve">to understand </w:t>
      </w:r>
      <w:r w:rsidR="00077D27">
        <w:t xml:space="preserve">the regulations and processes that </w:t>
      </w:r>
      <w:r w:rsidR="002D173C">
        <w:t>attach to those entitlements.</w:t>
      </w:r>
      <w:r w:rsidR="006A7950">
        <w:t xml:space="preserve"> The eligibility criteria for</w:t>
      </w:r>
      <w:r w:rsidR="00FA32B0" w:rsidRPr="00FA32B0">
        <w:t xml:space="preserve"> Jobseeker’s Benefit</w:t>
      </w:r>
      <w:r w:rsidR="004611D4">
        <w:t>, in particular,</w:t>
      </w:r>
      <w:r w:rsidR="00FA32B0" w:rsidRPr="00FA32B0">
        <w:t xml:space="preserve"> can be difficult </w:t>
      </w:r>
      <w:r w:rsidR="006A7950">
        <w:t xml:space="preserve">for many people </w:t>
      </w:r>
      <w:r w:rsidR="00FA32B0" w:rsidRPr="00FA32B0">
        <w:t xml:space="preserve">to </w:t>
      </w:r>
      <w:r w:rsidR="00FE0C58">
        <w:t>understand</w:t>
      </w:r>
      <w:r w:rsidR="00160E70">
        <w:t>.</w:t>
      </w:r>
    </w:p>
    <w:p w14:paraId="3057291F" w14:textId="77777777" w:rsidR="008E5750" w:rsidRDefault="008E5750" w:rsidP="004B3B8C">
      <w:pPr>
        <w:spacing w:after="160"/>
        <w:jc w:val="both"/>
      </w:pPr>
    </w:p>
    <w:p w14:paraId="455D528E" w14:textId="7F4E8A85" w:rsidR="006A7950" w:rsidRDefault="006A7950" w:rsidP="007A69C8">
      <w:pPr>
        <w:pStyle w:val="Heading2"/>
        <w:jc w:val="both"/>
      </w:pPr>
      <w:r>
        <w:t>Structure of Submission</w:t>
      </w:r>
    </w:p>
    <w:p w14:paraId="07994994" w14:textId="77777777" w:rsidR="007602F3" w:rsidRDefault="006A7950" w:rsidP="007602F3">
      <w:pPr>
        <w:spacing w:after="160"/>
        <w:jc w:val="both"/>
      </w:pPr>
      <w:r>
        <w:t>The Submission is set out under a number of headings related to the themes included in the Consultation Document and which address the various indicative questions identified in the document.</w:t>
      </w:r>
    </w:p>
    <w:p w14:paraId="4A7AEA14" w14:textId="3E52BFEA" w:rsidR="00A71989" w:rsidRPr="00A03178" w:rsidRDefault="006A7950" w:rsidP="007602F3">
      <w:pPr>
        <w:spacing w:after="160"/>
        <w:jc w:val="both"/>
      </w:pPr>
      <w:r>
        <w:br/>
      </w:r>
      <w:r w:rsidR="00A71989" w:rsidRPr="007602F3">
        <w:rPr>
          <w:rFonts w:asciiTheme="majorHAnsi" w:eastAsiaTheme="majorEastAsia" w:hAnsiTheme="majorHAnsi" w:cstheme="majorBidi"/>
          <w:color w:val="2F5496" w:themeColor="accent1" w:themeShade="BF"/>
          <w:sz w:val="26"/>
          <w:szCs w:val="26"/>
        </w:rPr>
        <w:t xml:space="preserve">General </w:t>
      </w:r>
      <w:r w:rsidR="00DF0126" w:rsidRPr="007602F3">
        <w:rPr>
          <w:rFonts w:asciiTheme="majorHAnsi" w:eastAsiaTheme="majorEastAsia" w:hAnsiTheme="majorHAnsi" w:cstheme="majorBidi"/>
          <w:color w:val="2F5496" w:themeColor="accent1" w:themeShade="BF"/>
          <w:sz w:val="26"/>
          <w:szCs w:val="26"/>
        </w:rPr>
        <w:t>c</w:t>
      </w:r>
      <w:r w:rsidR="001C4AB0" w:rsidRPr="007602F3">
        <w:rPr>
          <w:rFonts w:asciiTheme="majorHAnsi" w:eastAsiaTheme="majorEastAsia" w:hAnsiTheme="majorHAnsi" w:cstheme="majorBidi"/>
          <w:color w:val="2F5496" w:themeColor="accent1" w:themeShade="BF"/>
          <w:sz w:val="26"/>
          <w:szCs w:val="26"/>
        </w:rPr>
        <w:t>ontext</w:t>
      </w:r>
      <w:r w:rsidR="00A71989" w:rsidRPr="007602F3">
        <w:rPr>
          <w:rFonts w:asciiTheme="majorHAnsi" w:eastAsiaTheme="majorEastAsia" w:hAnsiTheme="majorHAnsi" w:cstheme="majorBidi"/>
          <w:color w:val="2F5496" w:themeColor="accent1" w:themeShade="BF"/>
          <w:sz w:val="26"/>
          <w:szCs w:val="26"/>
        </w:rPr>
        <w:t xml:space="preserve"> </w:t>
      </w:r>
      <w:r w:rsidR="00DF0126" w:rsidRPr="007602F3">
        <w:rPr>
          <w:rFonts w:asciiTheme="majorHAnsi" w:eastAsiaTheme="majorEastAsia" w:hAnsiTheme="majorHAnsi" w:cstheme="majorBidi"/>
          <w:color w:val="2F5496" w:themeColor="accent1" w:themeShade="BF"/>
          <w:sz w:val="26"/>
          <w:szCs w:val="26"/>
        </w:rPr>
        <w:t>for considering pay-related benefit</w:t>
      </w:r>
      <w:r w:rsidR="00DF0126">
        <w:t xml:space="preserve"> </w:t>
      </w:r>
    </w:p>
    <w:p w14:paraId="12974865" w14:textId="2C6CD22F" w:rsidR="006D6115" w:rsidRDefault="004208FF" w:rsidP="007602F3">
      <w:pPr>
        <w:spacing w:after="160"/>
        <w:jc w:val="both"/>
      </w:pPr>
      <w:r w:rsidRPr="00617606">
        <w:t xml:space="preserve">Ireland has a relatively progressive taxation and redistribution system. </w:t>
      </w:r>
      <w:r w:rsidR="0015722B">
        <w:t>I</w:t>
      </w:r>
      <w:r w:rsidRPr="00617606">
        <w:t>ncome inequality has remained fairly stable compared to other developed countries, where it has</w:t>
      </w:r>
      <w:r>
        <w:t xml:space="preserve"> </w:t>
      </w:r>
      <w:r w:rsidRPr="00617606">
        <w:t>grown</w:t>
      </w:r>
      <w:r w:rsidR="007602F3">
        <w:t>.</w:t>
      </w:r>
      <w:r w:rsidR="00EF445D" w:rsidRPr="007602F3">
        <w:rPr>
          <w:vertAlign w:val="superscript"/>
        </w:rPr>
        <w:footnoteReference w:id="2"/>
      </w:r>
      <w:r w:rsidRPr="00617606">
        <w:t xml:space="preserve"> While the </w:t>
      </w:r>
      <w:r w:rsidR="00C93B71">
        <w:lastRenderedPageBreak/>
        <w:t xml:space="preserve">Irish </w:t>
      </w:r>
      <w:r w:rsidRPr="00617606">
        <w:t xml:space="preserve">social protection system has worked </w:t>
      </w:r>
      <w:r w:rsidR="00FE0C58">
        <w:t xml:space="preserve">relatively well </w:t>
      </w:r>
      <w:r w:rsidRPr="00617606">
        <w:t>in terms of reducing poverty and inequality, the lack of investment in public services i</w:t>
      </w:r>
      <w:r w:rsidR="00817E08">
        <w:t>mpacts</w:t>
      </w:r>
      <w:r>
        <w:t xml:space="preserve"> </w:t>
      </w:r>
      <w:r w:rsidRPr="00617606">
        <w:t>people on low incomes</w:t>
      </w:r>
      <w:r w:rsidR="00817E08">
        <w:t xml:space="preserve"> in particular</w:t>
      </w:r>
      <w:r w:rsidRPr="00617606">
        <w:t xml:space="preserve"> and imped</w:t>
      </w:r>
      <w:r w:rsidR="00817E08">
        <w:t>es</w:t>
      </w:r>
      <w:r w:rsidRPr="00617606">
        <w:t xml:space="preserve"> participation in the labour market</w:t>
      </w:r>
      <w:r w:rsidR="00DF0126">
        <w:t xml:space="preserve"> by low-income groups</w:t>
      </w:r>
      <w:r w:rsidRPr="00617606">
        <w:t xml:space="preserve">. </w:t>
      </w:r>
      <w:r w:rsidR="00770773">
        <w:t xml:space="preserve">The OECD </w:t>
      </w:r>
      <w:r w:rsidRPr="00617606">
        <w:t>has observed</w:t>
      </w:r>
      <w:r w:rsidR="00DF0126" w:rsidRPr="007602F3">
        <w:rPr>
          <w:vertAlign w:val="superscript"/>
        </w:rPr>
        <w:footnoteReference w:id="3"/>
      </w:r>
      <w:r w:rsidRPr="007602F3">
        <w:rPr>
          <w:vertAlign w:val="superscript"/>
        </w:rPr>
        <w:t xml:space="preserve"> </w:t>
      </w:r>
      <w:r w:rsidRPr="00617606">
        <w:t>that our system has historically developed cash</w:t>
      </w:r>
      <w:r>
        <w:t xml:space="preserve"> </w:t>
      </w:r>
      <w:r w:rsidRPr="00617606">
        <w:t>benefits more than services</w:t>
      </w:r>
      <w:r w:rsidR="00770773">
        <w:t xml:space="preserve">. The impact of this, for example, on people with disabilities is </w:t>
      </w:r>
      <w:r w:rsidRPr="00617606">
        <w:t>a combination of a relatively comprehensive cash benefit</w:t>
      </w:r>
      <w:r w:rsidR="00C149C5" w:rsidRPr="00C149C5">
        <w:t xml:space="preserve"> </w:t>
      </w:r>
      <w:r w:rsidR="00786525" w:rsidRPr="00786525">
        <w:t>regime combined with weak and fragmented services for social integration, occupational health, vocational rehabilitation and training</w:t>
      </w:r>
      <w:r w:rsidR="00786525">
        <w:t>.</w:t>
      </w:r>
      <w:r w:rsidR="00770773">
        <w:t xml:space="preserve"> NESC has stated that the challenge for policy</w:t>
      </w:r>
      <w:r w:rsidR="00FE0C58">
        <w:t xml:space="preserve"> </w:t>
      </w:r>
      <w:r w:rsidR="00770773">
        <w:t xml:space="preserve">makers is to identify an appropriate mix of responses—cash and services—and to sequence their development </w:t>
      </w:r>
      <w:r w:rsidR="006A7950">
        <w:t>in an integrated manner</w:t>
      </w:r>
      <w:r w:rsidR="00770773">
        <w:t>.</w:t>
      </w:r>
      <w:r w:rsidR="00770773" w:rsidRPr="007602F3">
        <w:rPr>
          <w:vertAlign w:val="superscript"/>
        </w:rPr>
        <w:footnoteReference w:id="4"/>
      </w:r>
    </w:p>
    <w:p w14:paraId="10183316" w14:textId="1EE9CF5C" w:rsidR="006A42C1" w:rsidRDefault="00066110" w:rsidP="007602F3">
      <w:pPr>
        <w:spacing w:after="160"/>
        <w:jc w:val="both"/>
      </w:pPr>
      <w:r>
        <w:t xml:space="preserve">Commenting on the appropriate mix between </w:t>
      </w:r>
      <w:r w:rsidR="0011168F" w:rsidRPr="0011168F">
        <w:t>cash and services in Ireland</w:t>
      </w:r>
      <w:r w:rsidR="00DF0126">
        <w:t>,</w:t>
      </w:r>
      <w:r w:rsidR="002D7D78">
        <w:t xml:space="preserve"> NESC</w:t>
      </w:r>
      <w:r w:rsidR="00AB2CC5">
        <w:t xml:space="preserve"> </w:t>
      </w:r>
      <w:r w:rsidR="00FE0C58">
        <w:t xml:space="preserve">has </w:t>
      </w:r>
      <w:r w:rsidR="00AB2CC5">
        <w:t>argue</w:t>
      </w:r>
      <w:r w:rsidR="00FE0C58">
        <w:t>d</w:t>
      </w:r>
      <w:r w:rsidR="00AB2CC5">
        <w:t xml:space="preserve"> that </w:t>
      </w:r>
      <w:r w:rsidR="0011168F" w:rsidRPr="0011168F">
        <w:t>the radical development of services is the most important route to improving social protection.</w:t>
      </w:r>
      <w:r w:rsidR="00455705" w:rsidRPr="007602F3">
        <w:rPr>
          <w:vertAlign w:val="superscript"/>
        </w:rPr>
        <w:footnoteReference w:id="5"/>
      </w:r>
      <w:r w:rsidR="00455705">
        <w:t xml:space="preserve"> However, Ireland has lagged somewhat behind other EU countries in </w:t>
      </w:r>
      <w:r w:rsidR="006A7950">
        <w:t xml:space="preserve">engaging people in activation programmes </w:t>
      </w:r>
      <w:r w:rsidR="00455705">
        <w:t>and</w:t>
      </w:r>
      <w:r w:rsidR="006A7950">
        <w:t xml:space="preserve">, in particular, in </w:t>
      </w:r>
      <w:r w:rsidR="00455705">
        <w:t xml:space="preserve">supporting parents to combine </w:t>
      </w:r>
      <w:r w:rsidR="006A7950">
        <w:t xml:space="preserve">child care </w:t>
      </w:r>
      <w:r w:rsidR="00455705">
        <w:t>and employment</w:t>
      </w:r>
      <w:r w:rsidR="006A42C1">
        <w:t>.</w:t>
      </w:r>
      <w:r w:rsidR="00455705" w:rsidRPr="007602F3">
        <w:rPr>
          <w:vertAlign w:val="superscript"/>
        </w:rPr>
        <w:footnoteReference w:id="6"/>
      </w:r>
    </w:p>
    <w:p w14:paraId="41C00BBD" w14:textId="54A2096F" w:rsidR="006A42C1" w:rsidRDefault="006A42C1" w:rsidP="007602F3">
      <w:pPr>
        <w:spacing w:after="160"/>
        <w:jc w:val="both"/>
      </w:pPr>
      <w:r>
        <w:t>Most EU countries provide significant income replacement rates during the first months of unemployment (e.g. ranging from 55</w:t>
      </w:r>
      <w:r w:rsidR="0071798C">
        <w:t>%</w:t>
      </w:r>
      <w:r>
        <w:t xml:space="preserve"> in Austria to 90</w:t>
      </w:r>
      <w:r w:rsidR="0071798C">
        <w:t>%</w:t>
      </w:r>
      <w:r>
        <w:t xml:space="preserve"> in Denmark, with most countries having around 60</w:t>
      </w:r>
      <w:r w:rsidR="0071798C">
        <w:t>%</w:t>
      </w:r>
      <w:r>
        <w:t xml:space="preserve">). However, this is not the case in Ireland and the development and implementation of the Strawman Proposal on PRB offers a way forward to address this gap. </w:t>
      </w:r>
    </w:p>
    <w:p w14:paraId="2BD11327" w14:textId="5B00E7E5" w:rsidR="004F246E" w:rsidRPr="007602F3" w:rsidRDefault="004F246E" w:rsidP="007602F3">
      <w:pPr>
        <w:spacing w:after="160"/>
        <w:jc w:val="both"/>
      </w:pPr>
      <w:r w:rsidRPr="00C941A1">
        <w:t xml:space="preserve">The experience of Covid-19 demonstrated the significant drop in income on sudden loss of employment for individuals who </w:t>
      </w:r>
      <w:r w:rsidR="00C941A1" w:rsidRPr="00C941A1">
        <w:t>were</w:t>
      </w:r>
      <w:r w:rsidRPr="00C941A1">
        <w:t xml:space="preserve"> new to the social welfare system. </w:t>
      </w:r>
      <w:r w:rsidR="00C941A1" w:rsidRPr="00C941A1">
        <w:t xml:space="preserve">At this time, </w:t>
      </w:r>
      <w:r w:rsidRPr="00C941A1">
        <w:t xml:space="preserve">CISs and MABS </w:t>
      </w:r>
      <w:r w:rsidRPr="00C941A1">
        <w:lastRenderedPageBreak/>
        <w:t>highlighted the impact of sudden losses of income on their clients and raised the need for increased welfare payments in the early stages of job loss as a cushioning element</w:t>
      </w:r>
      <w:r w:rsidR="007602F3">
        <w:t>.</w:t>
      </w:r>
      <w:r w:rsidRPr="007602F3">
        <w:rPr>
          <w:vertAlign w:val="superscript"/>
        </w:rPr>
        <w:footnoteReference w:id="7"/>
      </w:r>
    </w:p>
    <w:p w14:paraId="6E901038" w14:textId="2AB7C175" w:rsidR="00455705" w:rsidRDefault="00455705" w:rsidP="007A69C8">
      <w:pPr>
        <w:spacing w:after="0" w:line="240" w:lineRule="auto"/>
        <w:ind w:left="0" w:firstLine="0"/>
        <w:jc w:val="both"/>
      </w:pPr>
    </w:p>
    <w:p w14:paraId="5E73F6E7" w14:textId="058A77B1" w:rsidR="00455705" w:rsidRDefault="00455705" w:rsidP="007A69C8">
      <w:pPr>
        <w:pStyle w:val="Heading2"/>
        <w:jc w:val="both"/>
      </w:pPr>
      <w:r>
        <w:t>General observations by CIB on the Strawman proposals</w:t>
      </w:r>
    </w:p>
    <w:p w14:paraId="568955B0" w14:textId="111D3D65" w:rsidR="00455705" w:rsidRDefault="00455705" w:rsidP="007A69C8">
      <w:pPr>
        <w:spacing w:after="160"/>
        <w:ind w:left="-5"/>
        <w:jc w:val="both"/>
      </w:pPr>
      <w:r>
        <w:t xml:space="preserve">CIB welcomes the recognition in the Strawman Proposal that the development of a new Pay-Related Benefit (PRB) scheme should be a first step in a suite of measures to reform supports for jobseekers. The strong inter-relationships and inter-connectedness that exist at present between various jobseeker provisions makes it imperative that the development of any new PRB provision should be accompanied by parallel development and reform of other jobseeker provisions, such as Jobseekers Allowance and the Working Family Payment. (Many queries to CISs refer to issues around </w:t>
      </w:r>
      <w:r w:rsidR="006A42C1">
        <w:t>both of those payments</w:t>
      </w:r>
      <w:r>
        <w:t>).</w:t>
      </w:r>
      <w:r w:rsidR="0033396A">
        <w:rPr>
          <w:rStyle w:val="FootnoteReference"/>
        </w:rPr>
        <w:footnoteReference w:id="8"/>
      </w:r>
      <w:r>
        <w:t xml:space="preserve"> </w:t>
      </w:r>
    </w:p>
    <w:p w14:paraId="2EACD4CB" w14:textId="218F3DEE" w:rsidR="007C0D2D" w:rsidRPr="00B300CD" w:rsidRDefault="007C0D2D" w:rsidP="00B300CD">
      <w:pPr>
        <w:spacing w:after="160"/>
        <w:jc w:val="both"/>
      </w:pPr>
      <w:r>
        <w:t>CIB broadly concurs with the ESRI conclusion that there is a coherent economic case for linking benefit payments (unemployment, illness, maternity) to previous levels of earnings, a</w:t>
      </w:r>
      <w:r w:rsidR="00C608AF">
        <w:t xml:space="preserve">t least for an initial period. </w:t>
      </w:r>
      <w:r>
        <w:t xml:space="preserve">Such an approach not only incorporates the social insurance contributory principle but, also, in the case of </w:t>
      </w:r>
      <w:r w:rsidR="00066110">
        <w:t xml:space="preserve">unexpected </w:t>
      </w:r>
      <w:r>
        <w:t xml:space="preserve">unemployment </w:t>
      </w:r>
      <w:r w:rsidR="00066110">
        <w:t xml:space="preserve">or sudden </w:t>
      </w:r>
      <w:r>
        <w:t>illness, provide a means of enabling people to manage their living situation more effectively in the short-term.</w:t>
      </w:r>
      <w:r w:rsidR="0033396A">
        <w:t xml:space="preserve"> </w:t>
      </w:r>
    </w:p>
    <w:p w14:paraId="67395B8D" w14:textId="15C0965A" w:rsidR="0033396A" w:rsidRPr="00B300CD" w:rsidRDefault="00455705" w:rsidP="00B300CD">
      <w:pPr>
        <w:spacing w:after="160"/>
        <w:jc w:val="both"/>
      </w:pPr>
      <w:r>
        <w:t xml:space="preserve">CIB agrees that the experiences gained during Covid-19 point clearly to the need for measures that will cushion people from the worst effects of becoming unemployed. CIB-funded services are acutely aware of the trauma and distress that can be experienced by people when they are subjected to sudden income loss, especially </w:t>
      </w:r>
      <w:r w:rsidR="00066110">
        <w:t xml:space="preserve">during times of increased </w:t>
      </w:r>
      <w:r>
        <w:t>financial pressures o</w:t>
      </w:r>
      <w:r w:rsidR="00066110">
        <w:t xml:space="preserve">n </w:t>
      </w:r>
      <w:r w:rsidR="00066110">
        <w:lastRenderedPageBreak/>
        <w:t>many families and individuals such as that being experienced at present.</w:t>
      </w:r>
      <w:r w:rsidR="0033396A">
        <w:t xml:space="preserve"> MABS sees scenarios where sudden drops in household income are a key trigger for longer term indebtedness.</w:t>
      </w:r>
    </w:p>
    <w:p w14:paraId="37CA7284" w14:textId="0B418F11" w:rsidR="00280F86" w:rsidRDefault="00280F86" w:rsidP="00B300CD">
      <w:pPr>
        <w:spacing w:after="160"/>
        <w:jc w:val="both"/>
      </w:pPr>
      <w:r>
        <w:t>In considering the Strawman Proposal</w:t>
      </w:r>
      <w:r w:rsidR="005F6AFF">
        <w:t xml:space="preserve">, CIB believes that </w:t>
      </w:r>
      <w:r w:rsidR="00123B5C">
        <w:t xml:space="preserve">a move toward </w:t>
      </w:r>
      <w:r w:rsidR="00B013EF">
        <w:t xml:space="preserve">a greater linking of entitlements </w:t>
      </w:r>
      <w:r w:rsidR="00AB6932">
        <w:t>to contributions</w:t>
      </w:r>
      <w:r w:rsidR="00455705">
        <w:t xml:space="preserve">, </w:t>
      </w:r>
      <w:r w:rsidR="00AB6932">
        <w:t>i.e.</w:t>
      </w:r>
      <w:r w:rsidR="007C35F5">
        <w:t>,</w:t>
      </w:r>
      <w:r w:rsidR="00AB6932">
        <w:t xml:space="preserve"> a move </w:t>
      </w:r>
      <w:r w:rsidR="005013B8">
        <w:t>toward pay-related benefits</w:t>
      </w:r>
      <w:r w:rsidR="00455705">
        <w:t>,</w:t>
      </w:r>
      <w:r w:rsidR="005013B8">
        <w:t xml:space="preserve"> while </w:t>
      </w:r>
      <w:r w:rsidR="00236F49">
        <w:t xml:space="preserve">having </w:t>
      </w:r>
      <w:r w:rsidR="00557F9D">
        <w:t>substantial</w:t>
      </w:r>
      <w:r w:rsidR="00BD5D28">
        <w:t xml:space="preserve"> merit, </w:t>
      </w:r>
      <w:r w:rsidR="001A5C5D">
        <w:t xml:space="preserve">must be viewed in </w:t>
      </w:r>
      <w:r w:rsidR="00444633">
        <w:t>a</w:t>
      </w:r>
      <w:r w:rsidR="001A5C5D">
        <w:t xml:space="preserve"> </w:t>
      </w:r>
      <w:r w:rsidR="00444633">
        <w:t>wider</w:t>
      </w:r>
      <w:r w:rsidR="001A5C5D">
        <w:t xml:space="preserve"> context </w:t>
      </w:r>
      <w:r w:rsidR="00444633">
        <w:t xml:space="preserve">that includes </w:t>
      </w:r>
      <w:r w:rsidR="00DF0126">
        <w:t>the integration of a</w:t>
      </w:r>
      <w:r w:rsidR="00290152">
        <w:t xml:space="preserve"> range of </w:t>
      </w:r>
      <w:r w:rsidR="006961E4">
        <w:t>policies and provisions aimed at supporting low-income families and individuals</w:t>
      </w:r>
      <w:r w:rsidR="00F428F9">
        <w:t xml:space="preserve">. These include childcare provision, housing supports, </w:t>
      </w:r>
      <w:r w:rsidR="00FF2093">
        <w:t>education and training, pathways to employment, a</w:t>
      </w:r>
      <w:r w:rsidR="00DF0126">
        <w:t>s well as i</w:t>
      </w:r>
      <w:r w:rsidR="00FF2093">
        <w:t>ncome maintenance</w:t>
      </w:r>
      <w:r w:rsidR="00667B8F">
        <w:t>.</w:t>
      </w:r>
      <w:r w:rsidR="00F74442">
        <w:t xml:space="preserve"> For many </w:t>
      </w:r>
      <w:r w:rsidR="00DF0126">
        <w:t>CIS clients,</w:t>
      </w:r>
      <w:r w:rsidR="00790DE9">
        <w:t xml:space="preserve"> the </w:t>
      </w:r>
      <w:r w:rsidR="00D96494">
        <w:t xml:space="preserve">operation of the </w:t>
      </w:r>
      <w:r w:rsidR="00790DE9">
        <w:t xml:space="preserve">social welfare system is </w:t>
      </w:r>
      <w:r w:rsidR="00DF0126">
        <w:t xml:space="preserve">experienced as a system that makes it difficult for them to </w:t>
      </w:r>
      <w:r w:rsidR="00F43794">
        <w:t xml:space="preserve">combine income from low income or part-time </w:t>
      </w:r>
      <w:r w:rsidR="006A42C1">
        <w:t xml:space="preserve">or casual </w:t>
      </w:r>
      <w:r w:rsidR="00F43794">
        <w:t xml:space="preserve">work and social welfare payments when such a combination is the only realistic option available because of, for example, child care responsibilities </w:t>
      </w:r>
      <w:r w:rsidR="00455705">
        <w:t>a</w:t>
      </w:r>
      <w:r w:rsidR="00F43794">
        <w:t xml:space="preserve">nd </w:t>
      </w:r>
      <w:r w:rsidR="00455705">
        <w:t xml:space="preserve">a reliance on </w:t>
      </w:r>
      <w:r w:rsidR="00F43794">
        <w:t>low-paid part-time work</w:t>
      </w:r>
      <w:r w:rsidR="00455705">
        <w:t>.</w:t>
      </w:r>
    </w:p>
    <w:p w14:paraId="38DD496E" w14:textId="222097B4" w:rsidR="00C32923" w:rsidRDefault="006A42C1" w:rsidP="00B300CD">
      <w:pPr>
        <w:spacing w:after="160"/>
        <w:jc w:val="both"/>
      </w:pPr>
      <w:r>
        <w:t>CIB believes that it is important that PRB r</w:t>
      </w:r>
      <w:r w:rsidR="00F43794">
        <w:t>e</w:t>
      </w:r>
      <w:r w:rsidR="003D6DF7">
        <w:t>form</w:t>
      </w:r>
      <w:r w:rsidR="00F26A88">
        <w:t xml:space="preserve"> is</w:t>
      </w:r>
      <w:r w:rsidR="00770C38">
        <w:t xml:space="preserve"> </w:t>
      </w:r>
      <w:r w:rsidR="00330263">
        <w:t>framed within a</w:t>
      </w:r>
      <w:r w:rsidR="00770C38">
        <w:t xml:space="preserve"> perspective that </w:t>
      </w:r>
      <w:r w:rsidR="00BD1C95">
        <w:t>other required reforms</w:t>
      </w:r>
      <w:r w:rsidR="00F26A88">
        <w:t>, particularly in the areas of Jobseeker’s Allowance and Working Family Payment,</w:t>
      </w:r>
      <w:r w:rsidR="00BD1C95">
        <w:t xml:space="preserve"> will</w:t>
      </w:r>
      <w:r w:rsidR="00F03FE3">
        <w:t xml:space="preserve"> proceed in step with PRB reform.</w:t>
      </w:r>
    </w:p>
    <w:p w14:paraId="78D3AEC9" w14:textId="063FE786" w:rsidR="0098092C" w:rsidRDefault="001B2E96" w:rsidP="00B300CD">
      <w:pPr>
        <w:spacing w:after="160"/>
        <w:jc w:val="both"/>
      </w:pPr>
      <w:r>
        <w:t xml:space="preserve">CIB sees value in </w:t>
      </w:r>
      <w:r w:rsidR="007C7B66">
        <w:t>further considering the potential</w:t>
      </w:r>
      <w:r w:rsidR="0074741C">
        <w:t xml:space="preserve"> for gradual development of an income continuance plan modelled on</w:t>
      </w:r>
      <w:r w:rsidR="00727D1B">
        <w:t xml:space="preserve"> the concept of ‘flexicurity’ </w:t>
      </w:r>
      <w:r w:rsidR="000F7A1E">
        <w:t>as exists</w:t>
      </w:r>
      <w:r w:rsidR="00F26A88">
        <w:t>,</w:t>
      </w:r>
      <w:r w:rsidR="000F7A1E">
        <w:t xml:space="preserve"> for example</w:t>
      </w:r>
      <w:r w:rsidR="00066110">
        <w:t>,</w:t>
      </w:r>
      <w:r w:rsidR="000F7A1E">
        <w:t xml:space="preserve"> in Denmark</w:t>
      </w:r>
      <w:r w:rsidR="006B037F">
        <w:t xml:space="preserve">, which supports a high degree of </w:t>
      </w:r>
      <w:r w:rsidR="005914DE">
        <w:t xml:space="preserve">job mobility with an extensive income safety net for people during </w:t>
      </w:r>
      <w:r w:rsidR="00C1258C">
        <w:t xml:space="preserve">periods of </w:t>
      </w:r>
      <w:r w:rsidR="005914DE">
        <w:t>unemployment</w:t>
      </w:r>
      <w:r w:rsidR="00C1258C">
        <w:t xml:space="preserve"> a</w:t>
      </w:r>
      <w:r w:rsidR="000550BF">
        <w:t>llied to an effective active labour market policy</w:t>
      </w:r>
      <w:r w:rsidR="00043BE4">
        <w:t>.</w:t>
      </w:r>
      <w:r w:rsidR="0012632F" w:rsidRPr="00043BE4">
        <w:rPr>
          <w:vertAlign w:val="superscript"/>
        </w:rPr>
        <w:footnoteReference w:id="9"/>
      </w:r>
    </w:p>
    <w:p w14:paraId="40AC4C7D" w14:textId="3335E332" w:rsidR="007C0D2D" w:rsidRDefault="007C0D2D" w:rsidP="00B300CD">
      <w:pPr>
        <w:spacing w:after="160"/>
        <w:jc w:val="both"/>
      </w:pPr>
      <w:r>
        <w:t xml:space="preserve">CIB is of the view that, in considering any restructuring of unemployment payments, a better balance will need to be struck between contributory principles, on the one hand, and principles of redistribution and solidarity on the other. This requires adequate provision by the State of </w:t>
      </w:r>
      <w:r>
        <w:lastRenderedPageBreak/>
        <w:t>those services and measures that can facilitate, enable and encourage unemployed people to enter, re-enter, and/or remain productive within the labour force.</w:t>
      </w:r>
    </w:p>
    <w:p w14:paraId="0C06D118" w14:textId="77777777" w:rsidR="008E5750" w:rsidRDefault="008E5750" w:rsidP="007A69C8">
      <w:pPr>
        <w:pStyle w:val="Heading2"/>
        <w:jc w:val="both"/>
      </w:pPr>
    </w:p>
    <w:p w14:paraId="4A828219" w14:textId="1A8C1B7A" w:rsidR="00625BBC" w:rsidRPr="00EC62AD" w:rsidRDefault="00EC62AD" w:rsidP="007A69C8">
      <w:pPr>
        <w:pStyle w:val="Heading2"/>
        <w:jc w:val="both"/>
      </w:pPr>
      <w:r w:rsidRPr="00EC62AD">
        <w:t>Rationale for the introduction of PRB</w:t>
      </w:r>
    </w:p>
    <w:p w14:paraId="3FD1D28D" w14:textId="640AE168" w:rsidR="00625BBC" w:rsidRDefault="007C0D2D" w:rsidP="007A69C8">
      <w:pPr>
        <w:spacing w:after="160"/>
        <w:jc w:val="both"/>
      </w:pPr>
      <w:r>
        <w:t>T</w:t>
      </w:r>
      <w:r w:rsidR="0038463D">
        <w:t>he rationale for the introduction of PRB</w:t>
      </w:r>
      <w:r w:rsidR="005D65D6">
        <w:t xml:space="preserve">, as outlined in the proposal </w:t>
      </w:r>
      <w:r>
        <w:t xml:space="preserve">is, in the view of CIB, generally </w:t>
      </w:r>
      <w:r w:rsidR="005D65D6">
        <w:t xml:space="preserve">sound. </w:t>
      </w:r>
      <w:r w:rsidR="00224A2E">
        <w:t xml:space="preserve">The limits of the present Jobseekers’ Benefit </w:t>
      </w:r>
      <w:r w:rsidR="00D37611">
        <w:t xml:space="preserve">scheme are apparent and well recognised, as is the fact that </w:t>
      </w:r>
      <w:r w:rsidR="00B439BB">
        <w:t xml:space="preserve">many people who become unemployed </w:t>
      </w:r>
      <w:r w:rsidR="00CD5995">
        <w:t xml:space="preserve">believe that they are treated unfairly </w:t>
      </w:r>
      <w:r w:rsidR="008530D8">
        <w:t>when</w:t>
      </w:r>
      <w:r w:rsidR="008A1DE1">
        <w:t>,</w:t>
      </w:r>
      <w:r w:rsidR="008530D8">
        <w:t xml:space="preserve"> after long periods of employment and PRSI contributions</w:t>
      </w:r>
      <w:r w:rsidR="008A1DE1">
        <w:t>,</w:t>
      </w:r>
      <w:r w:rsidR="00D9277C">
        <w:t xml:space="preserve"> they find themselves in receipt of a basic and </w:t>
      </w:r>
      <w:r w:rsidR="008A1DE1">
        <w:t xml:space="preserve">relatively </w:t>
      </w:r>
      <w:r w:rsidR="00D9277C">
        <w:t>low level of income support.</w:t>
      </w:r>
    </w:p>
    <w:p w14:paraId="0E144916" w14:textId="5835ED43" w:rsidR="008A1DE1" w:rsidRDefault="000D1758" w:rsidP="007D0914">
      <w:pPr>
        <w:spacing w:after="160"/>
        <w:jc w:val="both"/>
      </w:pPr>
      <w:r>
        <w:t>While accepting that a risk</w:t>
      </w:r>
      <w:r w:rsidR="00012409">
        <w:t xml:space="preserve"> exists that </w:t>
      </w:r>
      <w:r w:rsidR="00940E14">
        <w:t>PRB could be seen as a disincentive for a return to employment</w:t>
      </w:r>
      <w:r w:rsidR="004F714B">
        <w:t>, CIB believes that the level of PRB payment being considered,</w:t>
      </w:r>
      <w:r w:rsidR="00A67457">
        <w:t xml:space="preserve"> the probable duration of PRB,</w:t>
      </w:r>
      <w:r w:rsidR="006261B1">
        <w:t xml:space="preserve"> </w:t>
      </w:r>
      <w:r w:rsidR="00F26A88">
        <w:t xml:space="preserve">as well as the likely </w:t>
      </w:r>
      <w:r w:rsidR="00581300">
        <w:t>financial pressures on unemployed people</w:t>
      </w:r>
      <w:r w:rsidR="007C0D2D">
        <w:t xml:space="preserve"> mean that any such risk is minimal and can be managed. This is confirmed by </w:t>
      </w:r>
      <w:r w:rsidR="006815B0">
        <w:t>general research</w:t>
      </w:r>
      <w:r w:rsidR="0035677B" w:rsidRPr="00224A2E">
        <w:rPr>
          <w:vertAlign w:val="superscript"/>
        </w:rPr>
        <w:footnoteReference w:id="10"/>
      </w:r>
      <w:r w:rsidR="006815B0">
        <w:t xml:space="preserve"> findings regarding </w:t>
      </w:r>
      <w:r w:rsidR="009805C5">
        <w:t>r</w:t>
      </w:r>
      <w:r w:rsidR="007F59FE">
        <w:t xml:space="preserve">eplacement </w:t>
      </w:r>
      <w:r w:rsidR="009805C5">
        <w:t>r</w:t>
      </w:r>
      <w:r w:rsidR="007F59FE">
        <w:t xml:space="preserve">ates and </w:t>
      </w:r>
      <w:r w:rsidR="009805C5">
        <w:t>disincentive effects</w:t>
      </w:r>
      <w:r w:rsidR="00EC5084">
        <w:t>.</w:t>
      </w:r>
      <w:r w:rsidR="004B728B">
        <w:t xml:space="preserve"> </w:t>
      </w:r>
      <w:r w:rsidR="008A1DE1">
        <w:t>For example, currently some 80% of people on the live register return to work within 6 months.</w:t>
      </w:r>
    </w:p>
    <w:p w14:paraId="1A063FC3" w14:textId="129BA972" w:rsidR="003662F4" w:rsidRDefault="005D7A6E" w:rsidP="007D0914">
      <w:pPr>
        <w:spacing w:after="160"/>
        <w:jc w:val="both"/>
      </w:pPr>
      <w:r>
        <w:t xml:space="preserve">While low-income workers may benefit </w:t>
      </w:r>
      <w:r w:rsidR="004160D1">
        <w:t xml:space="preserve">more </w:t>
      </w:r>
      <w:r>
        <w:t xml:space="preserve">from higher </w:t>
      </w:r>
      <w:r w:rsidR="00BF1AB0">
        <w:t>replacement rates than their better-paid coll</w:t>
      </w:r>
      <w:r w:rsidR="008A1DE1">
        <w:t xml:space="preserve">eagues, </w:t>
      </w:r>
      <w:r w:rsidR="00BF1AB0">
        <w:t>lower-income persons</w:t>
      </w:r>
      <w:r w:rsidR="00C5607B">
        <w:t xml:space="preserve"> are highly likely to have lower financial reserves and to have little</w:t>
      </w:r>
      <w:r w:rsidR="004D27B7">
        <w:t xml:space="preserve"> </w:t>
      </w:r>
      <w:r w:rsidR="00F0779F">
        <w:t>disposable income</w:t>
      </w:r>
      <w:r w:rsidR="008A1DE1">
        <w:t xml:space="preserve"> or savings. This is clearly particularly challenging during periods like the present where the costs of living have been increasing significantly relative to income from employment</w:t>
      </w:r>
      <w:r w:rsidR="00C12F75">
        <w:t>.</w:t>
      </w:r>
    </w:p>
    <w:p w14:paraId="234AC3B1" w14:textId="75138154" w:rsidR="00D95A01" w:rsidRDefault="00BE1E80" w:rsidP="007A69C8">
      <w:pPr>
        <w:spacing w:after="160"/>
        <w:jc w:val="both"/>
      </w:pPr>
      <w:r>
        <w:lastRenderedPageBreak/>
        <w:t xml:space="preserve">CIB </w:t>
      </w:r>
      <w:r w:rsidR="007C0D2D">
        <w:t xml:space="preserve">takes the view that </w:t>
      </w:r>
      <w:r w:rsidR="00D95A01">
        <w:t>a</w:t>
      </w:r>
      <w:r w:rsidR="001D720A">
        <w:t>ny</w:t>
      </w:r>
      <w:r w:rsidR="00D95A01">
        <w:t xml:space="preserve"> concern</w:t>
      </w:r>
      <w:r w:rsidR="001D720A">
        <w:t xml:space="preserve">s regarding </w:t>
      </w:r>
      <w:r w:rsidR="00D95A01">
        <w:t>the disincentive effects of</w:t>
      </w:r>
      <w:r w:rsidR="001D720A">
        <w:t xml:space="preserve"> </w:t>
      </w:r>
      <w:r w:rsidR="00A80E63">
        <w:t>(moderately)</w:t>
      </w:r>
      <w:r w:rsidR="001910A9">
        <w:t xml:space="preserve"> </w:t>
      </w:r>
      <w:r w:rsidR="00D95A01">
        <w:t xml:space="preserve">high replacement rates </w:t>
      </w:r>
      <w:r w:rsidR="008A1DE1">
        <w:t>would be offset by expl</w:t>
      </w:r>
      <w:r w:rsidR="00D95A01">
        <w:t xml:space="preserve">oring ways in which higher rates integrated with </w:t>
      </w:r>
      <w:r w:rsidR="001910A9">
        <w:t xml:space="preserve">better </w:t>
      </w:r>
      <w:r w:rsidR="00D95A01">
        <w:t xml:space="preserve">access to </w:t>
      </w:r>
      <w:r w:rsidR="008A1DE1">
        <w:t xml:space="preserve">public </w:t>
      </w:r>
      <w:r w:rsidR="00D95A01">
        <w:t>services</w:t>
      </w:r>
      <w:r w:rsidR="00A80E63">
        <w:t xml:space="preserve"> </w:t>
      </w:r>
      <w:r w:rsidR="007C0D2D">
        <w:t>c</w:t>
      </w:r>
      <w:r w:rsidR="00D95A01">
        <w:t>ould do more to facilitate progression than minimally adequate welfare incomes.</w:t>
      </w:r>
    </w:p>
    <w:p w14:paraId="2F16A1FA" w14:textId="096C74DB" w:rsidR="00EC5084" w:rsidRDefault="00EC5084" w:rsidP="007A69C8">
      <w:pPr>
        <w:spacing w:after="160"/>
        <w:jc w:val="both"/>
      </w:pPr>
      <w:r>
        <w:t xml:space="preserve">As noted earlier, CIB also believes that </w:t>
      </w:r>
      <w:r w:rsidR="00716E7C">
        <w:t>investment in</w:t>
      </w:r>
      <w:r w:rsidR="00CC12DC">
        <w:t xml:space="preserve"> improved and well-designed and resourced </w:t>
      </w:r>
      <w:r w:rsidR="00030766">
        <w:t>supports for jobseekers toward the</w:t>
      </w:r>
      <w:r w:rsidR="00440B97">
        <w:t xml:space="preserve"> </w:t>
      </w:r>
      <w:r w:rsidR="00030766">
        <w:t xml:space="preserve">securing </w:t>
      </w:r>
      <w:r w:rsidR="00440B97">
        <w:t xml:space="preserve">of </w:t>
      </w:r>
      <w:r w:rsidR="00030766">
        <w:t>employment</w:t>
      </w:r>
      <w:r w:rsidR="00440B97">
        <w:t xml:space="preserve"> will be an important and effective mechanism for reducing any tendencies to </w:t>
      </w:r>
      <w:r w:rsidR="00272381">
        <w:t xml:space="preserve">remain outside the labour force. </w:t>
      </w:r>
    </w:p>
    <w:p w14:paraId="20CBBD1E" w14:textId="70491FD7" w:rsidR="00D833EB" w:rsidRDefault="00580682" w:rsidP="007A69C8">
      <w:pPr>
        <w:spacing w:after="160"/>
        <w:jc w:val="both"/>
      </w:pPr>
      <w:r>
        <w:t xml:space="preserve">The increased participation </w:t>
      </w:r>
      <w:r w:rsidR="00C33F20">
        <w:t>by</w:t>
      </w:r>
      <w:r>
        <w:t xml:space="preserve"> non-Irish nationals in the Irish labour force</w:t>
      </w:r>
      <w:r w:rsidR="00C33F20">
        <w:t xml:space="preserve"> – and the possibility that they could face unemployment </w:t>
      </w:r>
      <w:r w:rsidR="00D03281">
        <w:t xml:space="preserve">at some stage – will </w:t>
      </w:r>
      <w:r w:rsidR="006B70CF">
        <w:t>act to highlight Ireland’s outlier position</w:t>
      </w:r>
      <w:r w:rsidR="005B3DFE" w:rsidRPr="001578D5">
        <w:rPr>
          <w:vertAlign w:val="superscript"/>
        </w:rPr>
        <w:footnoteReference w:id="11"/>
      </w:r>
      <w:r w:rsidR="006B70CF">
        <w:t xml:space="preserve"> as</w:t>
      </w:r>
      <w:r w:rsidR="00395B70">
        <w:t xml:space="preserve"> lacking a form of PRB that is in keeping with many of our EU</w:t>
      </w:r>
      <w:r w:rsidR="00E86119">
        <w:t xml:space="preserve"> partners. Reform of Ireland’s</w:t>
      </w:r>
      <w:r w:rsidR="00A455AC">
        <w:t xml:space="preserve"> Jobseekers Benefit should bring Ireland</w:t>
      </w:r>
      <w:r w:rsidR="00D20A12">
        <w:t xml:space="preserve"> into line with other developed economies.</w:t>
      </w:r>
    </w:p>
    <w:p w14:paraId="125C974E" w14:textId="01BD0BB9" w:rsidR="00D20A12" w:rsidRDefault="0045206D" w:rsidP="007A69C8">
      <w:pPr>
        <w:spacing w:after="160"/>
        <w:jc w:val="both"/>
      </w:pPr>
      <w:r>
        <w:t xml:space="preserve">CIB </w:t>
      </w:r>
      <w:r w:rsidR="001910A9">
        <w:t xml:space="preserve">cautions that </w:t>
      </w:r>
      <w:r>
        <w:t xml:space="preserve">the reforms being considered </w:t>
      </w:r>
      <w:r w:rsidR="00CB14A0">
        <w:t xml:space="preserve">could act to further </w:t>
      </w:r>
      <w:r w:rsidR="00F44D5D">
        <w:t>alienate and st</w:t>
      </w:r>
      <w:r w:rsidR="002A1A52">
        <w:t>i</w:t>
      </w:r>
      <w:r w:rsidR="00F44D5D">
        <w:t xml:space="preserve">gmatise </w:t>
      </w:r>
      <w:r w:rsidR="002A1A52">
        <w:t xml:space="preserve">recipients of non-pay-related welfare </w:t>
      </w:r>
      <w:r w:rsidR="00282041">
        <w:t xml:space="preserve">supports. It is </w:t>
      </w:r>
      <w:r w:rsidR="001910A9">
        <w:t xml:space="preserve">highly </w:t>
      </w:r>
      <w:r w:rsidR="00282041">
        <w:t xml:space="preserve">important, therefore, that attention should continue to be given to </w:t>
      </w:r>
      <w:r w:rsidR="009411DA">
        <w:t>providing adequate income and other supports to non-PRB recipients</w:t>
      </w:r>
      <w:r w:rsidR="00774F12">
        <w:t>, those reliant on means tested social assistance payments, which re-iterates the need for parallel reforms of other jobseeker payment supports.</w:t>
      </w:r>
    </w:p>
    <w:p w14:paraId="4D68A732" w14:textId="71E0DE02" w:rsidR="00740977" w:rsidRDefault="00EF679F" w:rsidP="007D0914">
      <w:pPr>
        <w:spacing w:after="160"/>
        <w:jc w:val="both"/>
      </w:pPr>
      <w:r>
        <w:t xml:space="preserve">CIB agrees that </w:t>
      </w:r>
      <w:r w:rsidR="00625BBC">
        <w:t>social insurance rates, for employees and employers</w:t>
      </w:r>
      <w:r w:rsidR="00933803">
        <w:t xml:space="preserve"> and for </w:t>
      </w:r>
      <w:r w:rsidR="00F26A88">
        <w:t xml:space="preserve">the </w:t>
      </w:r>
      <w:r w:rsidR="00933803">
        <w:t>self-employed</w:t>
      </w:r>
      <w:r w:rsidR="00625BBC">
        <w:t>, should be increased to cover the additional costs to the Social Insurance Fund (SIF) or the Exchequer that may arise as a result of the introduction of a PRB scheme for jobseekers</w:t>
      </w:r>
      <w:r w:rsidR="00BA1811">
        <w:t xml:space="preserve">. </w:t>
      </w:r>
      <w:r w:rsidR="00C166AD">
        <w:t xml:space="preserve">The present rates of </w:t>
      </w:r>
      <w:r w:rsidR="001E0886">
        <w:t xml:space="preserve">PRSI contributions </w:t>
      </w:r>
      <w:r w:rsidR="00C166AD">
        <w:t xml:space="preserve">are noted as being substantially </w:t>
      </w:r>
      <w:r w:rsidR="001E0886">
        <w:t>low</w:t>
      </w:r>
      <w:r w:rsidR="00C166AD">
        <w:t xml:space="preserve">er than those of many other </w:t>
      </w:r>
      <w:r w:rsidR="001E0886">
        <w:lastRenderedPageBreak/>
        <w:t>EU and OECD countries. At the same time, MABS has regularly raised concerns about the capacity of people on persistently low incomes to pay increased</w:t>
      </w:r>
      <w:r w:rsidR="00E66E32">
        <w:t xml:space="preserve"> </w:t>
      </w:r>
      <w:r w:rsidR="001E0886">
        <w:t>PRSI contributions in a sustainable manner. In this regard, some consideration could be given to a lower incremental scale of contributions or a longer timeframe for low</w:t>
      </w:r>
      <w:r w:rsidR="00E66E32">
        <w:t>-</w:t>
      </w:r>
      <w:r w:rsidR="001E0886">
        <w:t>income workers to reach higher level of contributions to address affordability issues.</w:t>
      </w:r>
    </w:p>
    <w:p w14:paraId="770188DF" w14:textId="45C5D537" w:rsidR="00A96956" w:rsidRDefault="007857CD" w:rsidP="007A69C8">
      <w:pPr>
        <w:spacing w:after="160"/>
        <w:ind w:left="-5"/>
        <w:jc w:val="both"/>
      </w:pPr>
      <w:r>
        <w:t xml:space="preserve">CIB </w:t>
      </w:r>
      <w:r w:rsidR="001910A9">
        <w:t xml:space="preserve">is of the view that </w:t>
      </w:r>
      <w:r>
        <w:t xml:space="preserve">the proposed reform </w:t>
      </w:r>
      <w:r w:rsidR="00A64EE7">
        <w:t xml:space="preserve">of PRB should </w:t>
      </w:r>
      <w:r w:rsidR="001910A9">
        <w:t xml:space="preserve">logically </w:t>
      </w:r>
      <w:r w:rsidR="00A64EE7">
        <w:t xml:space="preserve">be </w:t>
      </w:r>
      <w:r w:rsidR="00625BBC">
        <w:t>extend</w:t>
      </w:r>
      <w:r w:rsidR="00A64EE7">
        <w:t>ed</w:t>
      </w:r>
      <w:r w:rsidR="00CE073C">
        <w:t xml:space="preserve"> </w:t>
      </w:r>
      <w:r w:rsidR="00625BBC">
        <w:t xml:space="preserve">to other short-term income supports such as </w:t>
      </w:r>
      <w:r w:rsidR="001910A9">
        <w:t>Illness Benefit, Maternity Benefit</w:t>
      </w:r>
      <w:r w:rsidR="00774F12">
        <w:t>, Paternity</w:t>
      </w:r>
      <w:r w:rsidR="001910A9">
        <w:t xml:space="preserve"> and </w:t>
      </w:r>
      <w:r w:rsidR="00625BBC">
        <w:t>Parent</w:t>
      </w:r>
      <w:r w:rsidR="009102F9">
        <w:t>’</w:t>
      </w:r>
      <w:r w:rsidR="00625BBC">
        <w:t>s Benefit</w:t>
      </w:r>
      <w:r w:rsidR="001910A9">
        <w:t>.</w:t>
      </w:r>
      <w:r w:rsidR="00625BBC">
        <w:t xml:space="preserve"> </w:t>
      </w:r>
    </w:p>
    <w:p w14:paraId="14D2B040" w14:textId="6F8F2557" w:rsidR="00633B87" w:rsidRDefault="00633B87" w:rsidP="007A69C8">
      <w:pPr>
        <w:pStyle w:val="Heading2"/>
        <w:jc w:val="both"/>
      </w:pPr>
      <w:r>
        <w:t>Coverage</w:t>
      </w:r>
    </w:p>
    <w:p w14:paraId="6E4B803F" w14:textId="23DD2DAE" w:rsidR="00477405" w:rsidRDefault="008110A9" w:rsidP="00AC113F">
      <w:pPr>
        <w:spacing w:after="160"/>
        <w:jc w:val="both"/>
      </w:pPr>
      <w:r>
        <w:t>CIB agrees with the general approach to coverage of</w:t>
      </w:r>
      <w:r w:rsidR="00477405">
        <w:t xml:space="preserve"> a new PRB scheme, but with </w:t>
      </w:r>
      <w:r w:rsidR="001910A9">
        <w:t>a number of</w:t>
      </w:r>
      <w:r w:rsidR="00477405">
        <w:t xml:space="preserve"> reservations.</w:t>
      </w:r>
    </w:p>
    <w:p w14:paraId="766045D3" w14:textId="5ED6E42B" w:rsidR="00633B87" w:rsidRDefault="004A6F3D" w:rsidP="00AC113F">
      <w:pPr>
        <w:spacing w:after="160"/>
        <w:jc w:val="both"/>
      </w:pPr>
      <w:r>
        <w:t>P</w:t>
      </w:r>
      <w:r w:rsidR="00633B87">
        <w:t>eople already in receipt of Jobseeker’s Benefit when PRB is introduced should stay on that payment during a transition period until their benefit expires</w:t>
      </w:r>
      <w:r w:rsidR="00F15B96">
        <w:t xml:space="preserve">. This would </w:t>
      </w:r>
      <w:r w:rsidR="00DB2C70">
        <w:t xml:space="preserve">follow logically from the fact that their PRSI contribution record will, most probably, </w:t>
      </w:r>
      <w:r w:rsidR="001B45CB">
        <w:t>have been based on the old rates of contribution as opposed to a new</w:t>
      </w:r>
      <w:r w:rsidR="00385E08">
        <w:t xml:space="preserve"> (and higher) level of contribution.</w:t>
      </w:r>
    </w:p>
    <w:p w14:paraId="1024352C" w14:textId="7314E3E1" w:rsidR="00066110" w:rsidRDefault="00066110" w:rsidP="007A69C8">
      <w:pPr>
        <w:pStyle w:val="Heading4"/>
        <w:jc w:val="both"/>
      </w:pPr>
      <w:r>
        <w:t>Self-employed people</w:t>
      </w:r>
    </w:p>
    <w:p w14:paraId="315F7CEF" w14:textId="2A545E71" w:rsidR="00076823" w:rsidRDefault="001910A9" w:rsidP="00AC113F">
      <w:pPr>
        <w:spacing w:after="160"/>
        <w:jc w:val="both"/>
      </w:pPr>
      <w:r>
        <w:t xml:space="preserve">Notwithstanding the fact that </w:t>
      </w:r>
      <w:r w:rsidR="00385E08">
        <w:t>there may be considera</w:t>
      </w:r>
      <w:r>
        <w:t>ble difficulty in determining</w:t>
      </w:r>
      <w:r w:rsidR="00385E08">
        <w:t xml:space="preserve"> </w:t>
      </w:r>
      <w:r w:rsidR="00901715">
        <w:t xml:space="preserve">the income record of self-employed workers, CIB </w:t>
      </w:r>
      <w:r>
        <w:t xml:space="preserve">believes that </w:t>
      </w:r>
      <w:r w:rsidR="00901715">
        <w:t>efforts should be made to integrate the</w:t>
      </w:r>
      <w:r w:rsidR="00032A17">
        <w:t xml:space="preserve"> position of self-employed with that of employed workers</w:t>
      </w:r>
      <w:r w:rsidR="00F26A88">
        <w:t xml:space="preserve"> in a new PRB system</w:t>
      </w:r>
      <w:r w:rsidR="00032A17">
        <w:t>. This is likely to involve greater DSP – Revenue Commissioners</w:t>
      </w:r>
      <w:r w:rsidR="008965A7">
        <w:t>’</w:t>
      </w:r>
      <w:r w:rsidR="00032A17">
        <w:t xml:space="preserve"> collaboration, </w:t>
      </w:r>
      <w:r w:rsidR="00314EA2">
        <w:t xml:space="preserve">more stringent </w:t>
      </w:r>
      <w:r w:rsidR="008433A3">
        <w:t xml:space="preserve">income reporting by self-employed persons, and </w:t>
      </w:r>
      <w:r w:rsidR="006D6BA3">
        <w:t xml:space="preserve">the design of systems </w:t>
      </w:r>
      <w:r w:rsidR="009B79D4">
        <w:t xml:space="preserve">for PRB determination specifically tailored for the situation of self-employed persons. </w:t>
      </w:r>
      <w:r>
        <w:t xml:space="preserve">Also, despite the greater monitoring in recent years, there may still be a </w:t>
      </w:r>
      <w:r w:rsidR="009B79D4">
        <w:t>proportion of</w:t>
      </w:r>
      <w:r w:rsidR="009A7732">
        <w:t xml:space="preserve"> people registered as </w:t>
      </w:r>
      <w:r w:rsidR="009B79D4">
        <w:t xml:space="preserve">self-employed </w:t>
      </w:r>
      <w:r w:rsidR="009A7732">
        <w:t xml:space="preserve">who are </w:t>
      </w:r>
      <w:r w:rsidR="009A7732" w:rsidRPr="00AC113F">
        <w:t>de facto</w:t>
      </w:r>
      <w:r w:rsidR="009A7732">
        <w:t xml:space="preserve"> employees.</w:t>
      </w:r>
      <w:r w:rsidR="0015465C">
        <w:t xml:space="preserve"> Equally, there are considerable numbers of persons who are </w:t>
      </w:r>
      <w:r w:rsidR="004F6F44">
        <w:t>truly self-employed but whose work is precarious and low-paid.</w:t>
      </w:r>
      <w:r w:rsidR="00150F22">
        <w:t xml:space="preserve"> It would be unjust if these workers were to be excluded from PRB, especially if their PRSI contribution r</w:t>
      </w:r>
      <w:r w:rsidR="00F26A88">
        <w:t xml:space="preserve">ates were increased to reflect </w:t>
      </w:r>
      <w:r w:rsidR="00076823">
        <w:t>improved eligibility.</w:t>
      </w:r>
    </w:p>
    <w:p w14:paraId="40ED4126" w14:textId="4F1BAC95" w:rsidR="00066110" w:rsidRDefault="00066110" w:rsidP="007A69C8">
      <w:pPr>
        <w:pStyle w:val="Heading4"/>
        <w:jc w:val="both"/>
      </w:pPr>
      <w:r>
        <w:lastRenderedPageBreak/>
        <w:t>Part-time and casual workers</w:t>
      </w:r>
    </w:p>
    <w:p w14:paraId="5C5C6076" w14:textId="019B39AF" w:rsidR="008501AA" w:rsidRPr="00316CC3" w:rsidRDefault="006E5EC3" w:rsidP="00AC113F">
      <w:pPr>
        <w:spacing w:after="160"/>
        <w:jc w:val="both"/>
      </w:pPr>
      <w:r w:rsidRPr="00316CC3">
        <w:t xml:space="preserve">CIB is of the </w:t>
      </w:r>
      <w:r w:rsidR="009A7732" w:rsidRPr="00316CC3">
        <w:t xml:space="preserve">view that </w:t>
      </w:r>
      <w:r w:rsidRPr="00316CC3">
        <w:t xml:space="preserve">the exclusion of </w:t>
      </w:r>
      <w:r w:rsidR="00633B87" w:rsidRPr="00316CC3">
        <w:t xml:space="preserve">casual and part-time workers </w:t>
      </w:r>
      <w:r w:rsidRPr="00316CC3">
        <w:t xml:space="preserve">as </w:t>
      </w:r>
      <w:r w:rsidR="00633B87" w:rsidRPr="00316CC3">
        <w:t xml:space="preserve">set out </w:t>
      </w:r>
      <w:r w:rsidRPr="00316CC3">
        <w:t xml:space="preserve">in the proposal </w:t>
      </w:r>
      <w:r w:rsidR="00E12B99" w:rsidRPr="00316CC3">
        <w:t xml:space="preserve">is discriminatory and penalises many workers who are, for a variety of reasons, </w:t>
      </w:r>
      <w:r w:rsidR="002609BB" w:rsidRPr="00316CC3">
        <w:t>in low-pa</w:t>
      </w:r>
      <w:r w:rsidR="009A7732" w:rsidRPr="00316CC3">
        <w:t>id</w:t>
      </w:r>
      <w:r w:rsidR="002609BB" w:rsidRPr="00316CC3">
        <w:t xml:space="preserve"> and precarious employments. </w:t>
      </w:r>
      <w:r w:rsidR="00316CC3">
        <w:t xml:space="preserve">In </w:t>
      </w:r>
      <w:r w:rsidR="00A75556" w:rsidRPr="00316CC3">
        <w:t xml:space="preserve">light of the fact </w:t>
      </w:r>
      <w:r w:rsidR="00F73C17" w:rsidRPr="00316CC3">
        <w:t>that many of these workers are unlikely to</w:t>
      </w:r>
      <w:r w:rsidR="00CA3635" w:rsidRPr="00316CC3">
        <w:t xml:space="preserve"> be eligible for any </w:t>
      </w:r>
      <w:r w:rsidR="00B3291F" w:rsidRPr="00316CC3">
        <w:t xml:space="preserve">of the proposed </w:t>
      </w:r>
      <w:r w:rsidR="00CA3635" w:rsidRPr="00AC113F">
        <w:t>higher rates of PRB</w:t>
      </w:r>
      <w:r w:rsidR="00CA3635" w:rsidRPr="00316CC3">
        <w:t xml:space="preserve">, </w:t>
      </w:r>
      <w:r w:rsidR="0014603B" w:rsidRPr="00316CC3">
        <w:t xml:space="preserve">and in view of the fact that the system should be enabling and encouraging </w:t>
      </w:r>
      <w:r w:rsidR="00B3291F" w:rsidRPr="00316CC3">
        <w:t>a move into full-time employment</w:t>
      </w:r>
      <w:r w:rsidR="00802E74" w:rsidRPr="00316CC3">
        <w:t>, CIB feels that a more positive and inclusive approach to part-time workers is advisable</w:t>
      </w:r>
      <w:r w:rsidR="001874CF" w:rsidRPr="00316CC3">
        <w:t>.</w:t>
      </w:r>
      <w:r w:rsidR="00F35A0A" w:rsidRPr="00316CC3">
        <w:t xml:space="preserve"> </w:t>
      </w:r>
      <w:bookmarkStart w:id="0" w:name="_GoBack"/>
      <w:bookmarkEnd w:id="0"/>
    </w:p>
    <w:p w14:paraId="348A0B7E" w14:textId="5C613946" w:rsidR="00C608AF" w:rsidRDefault="00F26A88" w:rsidP="00AC113F">
      <w:pPr>
        <w:spacing w:after="160"/>
        <w:jc w:val="both"/>
      </w:pPr>
      <w:r w:rsidRPr="00AC113F">
        <w:t>Under the Strawman Proposal,</w:t>
      </w:r>
      <w:r>
        <w:t xml:space="preserve"> people who have </w:t>
      </w:r>
      <w:r w:rsidRPr="00AC113F">
        <w:t>less than five years’</w:t>
      </w:r>
      <w:r>
        <w:t xml:space="preserve"> prior contributions but at least two years (of which six months must have been in the 12 months prior to claim) is to be set </w:t>
      </w:r>
      <w:r w:rsidRPr="00AC113F">
        <w:t>at 50% of the person’s prior gross income subject to a cap of €300 per week</w:t>
      </w:r>
      <w:r>
        <w:t xml:space="preserve"> (about 33% of gross adjusted average industry weekly earnings). </w:t>
      </w:r>
      <w:r w:rsidRPr="00AC113F">
        <w:t>Recently published research</w:t>
      </w:r>
      <w:r w:rsidRPr="004553CD">
        <w:rPr>
          <w:vertAlign w:val="superscript"/>
        </w:rPr>
        <w:footnoteReference w:id="12"/>
      </w:r>
      <w:r w:rsidR="004553CD">
        <w:t xml:space="preserve"> </w:t>
      </w:r>
      <w:r w:rsidRPr="00AC113F">
        <w:t>shows that that nearly two-thirds of retail workers are earning less than €451 per week. This means that they would receive €225 a week under the proposed PRB. More pertinently, perhaps, is the fact that many such workers may not meet the contributions criteria because of the nature of their employment (casual and part-time). It is noted</w:t>
      </w:r>
      <w:r w:rsidRPr="0067471A">
        <w:t xml:space="preserve"> that r</w:t>
      </w:r>
      <w:r>
        <w:t>etail accounts for around 10% of all direct employment in Ireland.</w:t>
      </w:r>
      <w:r w:rsidR="007F78A2">
        <w:t xml:space="preserve"> </w:t>
      </w:r>
      <w:r w:rsidR="00441D5D">
        <w:t>T</w:t>
      </w:r>
      <w:r w:rsidR="007F78A2">
        <w:t xml:space="preserve">here continues to be a </w:t>
      </w:r>
      <w:r w:rsidR="00D25D03">
        <w:t xml:space="preserve">level of </w:t>
      </w:r>
      <w:r w:rsidR="007F78A2">
        <w:t>in-work poverty in Ireland</w:t>
      </w:r>
      <w:r w:rsidR="00D25D03">
        <w:t xml:space="preserve"> (4.4% according to SILC data</w:t>
      </w:r>
      <w:r w:rsidR="00D25D03" w:rsidRPr="00483488">
        <w:rPr>
          <w:vertAlign w:val="superscript"/>
        </w:rPr>
        <w:footnoteReference w:id="13"/>
      </w:r>
      <w:r w:rsidR="00D25D03">
        <w:t>)</w:t>
      </w:r>
      <w:r w:rsidR="00316CC3">
        <w:t>.</w:t>
      </w:r>
    </w:p>
    <w:p w14:paraId="2D6BA253" w14:textId="26C0DAC9" w:rsidR="00066110" w:rsidRDefault="00CF35D9" w:rsidP="0067471A">
      <w:pPr>
        <w:spacing w:after="160"/>
        <w:jc w:val="both"/>
      </w:pPr>
      <w:r>
        <w:lastRenderedPageBreak/>
        <w:t>CIB is also concerned that the position of seasonal, full-time workers</w:t>
      </w:r>
      <w:r w:rsidR="009A7732">
        <w:t>, (e.g., school traffic wardens, tour guides),</w:t>
      </w:r>
      <w:r>
        <w:t xml:space="preserve"> has not been addressed in the Strawman proposal. </w:t>
      </w:r>
      <w:r w:rsidR="00A10D47">
        <w:t>While this group may constitute a relatively small proportion of the workforce</w:t>
      </w:r>
      <w:r w:rsidR="00265DF7">
        <w:t>, it should be noted that many of these seasonal workers are in state or state-funded employment</w:t>
      </w:r>
      <w:r w:rsidR="00AE15D5">
        <w:t xml:space="preserve">, are guaranteed work each year, and </w:t>
      </w:r>
      <w:r w:rsidR="00C416AE">
        <w:t xml:space="preserve">may have long employment and contribution records. </w:t>
      </w:r>
      <w:r w:rsidR="0026227A">
        <w:t xml:space="preserve">It would appear </w:t>
      </w:r>
      <w:r w:rsidR="00E94933">
        <w:t xml:space="preserve">reasonable that their status under a PRB scheme should at a minimum </w:t>
      </w:r>
      <w:r w:rsidR="00AA5898">
        <w:t>allow for an option to participate.</w:t>
      </w:r>
      <w:r w:rsidR="009A7732">
        <w:t xml:space="preserve"> This would have the added advantage that people would not be under pressure </w:t>
      </w:r>
      <w:r w:rsidR="00A53603">
        <w:t>to seek alternative employment</w:t>
      </w:r>
      <w:r w:rsidR="00227E3A">
        <w:t xml:space="preserve">, or </w:t>
      </w:r>
      <w:r w:rsidR="005737F4">
        <w:t xml:space="preserve">be </w:t>
      </w:r>
      <w:r w:rsidR="00177797">
        <w:t xml:space="preserve">obliged to participate in </w:t>
      </w:r>
      <w:r w:rsidR="00245B06">
        <w:t xml:space="preserve">training </w:t>
      </w:r>
      <w:r w:rsidR="000E6EDD">
        <w:t>initiatives or job search processes</w:t>
      </w:r>
      <w:r w:rsidR="00165708">
        <w:t xml:space="preserve"> not relevant to them</w:t>
      </w:r>
      <w:r w:rsidR="000E6EDD">
        <w:t>.</w:t>
      </w:r>
    </w:p>
    <w:p w14:paraId="414B519D" w14:textId="16011FAD" w:rsidR="0067471A" w:rsidRDefault="00066110" w:rsidP="007A69C8">
      <w:pPr>
        <w:spacing w:after="160"/>
        <w:jc w:val="both"/>
      </w:pPr>
      <w:r>
        <w:t>There may be a need to give further consideration to any potential effects that PRB would have on the situation and choices of cross-border (ROI – N. Ireland) workers. Earlier research has suggested a complex mix of welfare, taxation, wage rates and family-related factors</w:t>
      </w:r>
      <w:r w:rsidRPr="00B21BE5">
        <w:rPr>
          <w:vertAlign w:val="superscript"/>
        </w:rPr>
        <w:footnoteReference w:id="14"/>
      </w:r>
      <w:r>
        <w:t xml:space="preserve"> makes it difficult to adequately compare the ROI-UK systems. However, it is recognised that, at present, the structure of payments in Ireland is closer to that of the British than the continental European model, with a greater role for social assistance payments like </w:t>
      </w:r>
      <w:r w:rsidR="008424AD">
        <w:t>Jobseeker’s Allowance</w:t>
      </w:r>
      <w:r>
        <w:t xml:space="preserve"> than unemployment insurance payments like </w:t>
      </w:r>
      <w:r w:rsidR="008424AD">
        <w:t>Jobseeker’s Benefit</w:t>
      </w:r>
      <w:r>
        <w:t>.</w:t>
      </w:r>
    </w:p>
    <w:p w14:paraId="233ECE5B" w14:textId="77777777" w:rsidR="00D65344" w:rsidRDefault="00D65344" w:rsidP="007A69C8">
      <w:pPr>
        <w:spacing w:after="160"/>
        <w:jc w:val="both"/>
        <w:rPr>
          <w:rStyle w:val="Heading2Char"/>
        </w:rPr>
      </w:pPr>
    </w:p>
    <w:p w14:paraId="0336FF2D" w14:textId="51E04188" w:rsidR="0067471A" w:rsidRDefault="00D123C8" w:rsidP="007A69C8">
      <w:pPr>
        <w:spacing w:after="160"/>
        <w:jc w:val="both"/>
        <w:rPr>
          <w:rStyle w:val="Heading2Char"/>
        </w:rPr>
      </w:pPr>
      <w:r w:rsidRPr="00066110">
        <w:rPr>
          <w:rStyle w:val="Heading2Char"/>
        </w:rPr>
        <w:t xml:space="preserve">Qualifying </w:t>
      </w:r>
      <w:r w:rsidR="009A7732" w:rsidRPr="00066110">
        <w:rPr>
          <w:rStyle w:val="Heading2Char"/>
        </w:rPr>
        <w:t>c</w:t>
      </w:r>
      <w:r w:rsidRPr="00066110">
        <w:rPr>
          <w:rStyle w:val="Heading2Char"/>
        </w:rPr>
        <w:t>onditions</w:t>
      </w:r>
    </w:p>
    <w:p w14:paraId="41A00B4B" w14:textId="2AA486B5" w:rsidR="00D123C8" w:rsidRDefault="009B2561" w:rsidP="007A69C8">
      <w:pPr>
        <w:spacing w:after="160"/>
        <w:jc w:val="both"/>
      </w:pPr>
      <w:r>
        <w:lastRenderedPageBreak/>
        <w:t>CIB agrees strongly with</w:t>
      </w:r>
      <w:r w:rsidR="00D123C8">
        <w:t xml:space="preserve"> the proposal to base the assessment of eligibility for PRB on more recent employment and contribution records</w:t>
      </w:r>
      <w:r w:rsidR="009D6276">
        <w:t xml:space="preserve">. The existing basis has proven cumbersome and, to a large extent, unfair and </w:t>
      </w:r>
      <w:r w:rsidR="005C4579">
        <w:t>ineffective.</w:t>
      </w:r>
    </w:p>
    <w:p w14:paraId="1FA03B78" w14:textId="6560472F" w:rsidR="00417AB3" w:rsidRDefault="005C4579" w:rsidP="0067471A">
      <w:pPr>
        <w:spacing w:after="160"/>
        <w:jc w:val="both"/>
      </w:pPr>
      <w:r>
        <w:t xml:space="preserve">CIB agrees in general terms with the proposals regarding </w:t>
      </w:r>
      <w:r w:rsidR="00DE24FB">
        <w:t>the number and timing of paid contributions</w:t>
      </w:r>
      <w:r w:rsidR="00B91963">
        <w:t xml:space="preserve">. Special arrangements may be needed here if PRB is, as suggested above, </w:t>
      </w:r>
      <w:r w:rsidR="00C16A9A">
        <w:t xml:space="preserve">is </w:t>
      </w:r>
      <w:r w:rsidR="00B91963">
        <w:t>extended to self-employed</w:t>
      </w:r>
      <w:r w:rsidR="00417AB3">
        <w:t>, part-time and casual workers.</w:t>
      </w:r>
    </w:p>
    <w:p w14:paraId="6E214C75" w14:textId="17D4D83C" w:rsidR="00066110" w:rsidRDefault="00066110" w:rsidP="007A69C8">
      <w:pPr>
        <w:pStyle w:val="Heading4"/>
        <w:jc w:val="both"/>
      </w:pPr>
      <w:r>
        <w:t>Public Employment Services</w:t>
      </w:r>
    </w:p>
    <w:p w14:paraId="0489B229" w14:textId="71EE92AB" w:rsidR="00257162" w:rsidRDefault="00417AB3" w:rsidP="0067471A">
      <w:pPr>
        <w:spacing w:after="160"/>
        <w:jc w:val="both"/>
      </w:pPr>
      <w:r>
        <w:t xml:space="preserve">CIB is of the </w:t>
      </w:r>
      <w:r w:rsidR="009A7732">
        <w:t>view that</w:t>
      </w:r>
      <w:r w:rsidR="00D123C8">
        <w:t xml:space="preserve"> engagement with the Public Employment Service to assist people to return to employment should be strengthened if PRB is introduced</w:t>
      </w:r>
      <w:r w:rsidR="00D05884">
        <w:t xml:space="preserve">. We consider that there is </w:t>
      </w:r>
      <w:r w:rsidR="00066110">
        <w:t>a</w:t>
      </w:r>
      <w:r w:rsidR="00D05884">
        <w:t xml:space="preserve"> need to improve </w:t>
      </w:r>
      <w:r w:rsidR="0052568A">
        <w:t xml:space="preserve">these services in order that they can be truly facilitative and effective in assisting jobseekers move into employment. </w:t>
      </w:r>
      <w:r w:rsidR="0090574D">
        <w:t xml:space="preserve">Employment Services will need to ensure that personal and family circumstances, </w:t>
      </w:r>
      <w:r w:rsidR="002E1BF2">
        <w:t xml:space="preserve">local employment opportunities, and </w:t>
      </w:r>
      <w:r w:rsidR="00257162">
        <w:t>real assessment of individual need are taken into account.</w:t>
      </w:r>
      <w:r w:rsidR="003931D2">
        <w:t xml:space="preserve"> CIB</w:t>
      </w:r>
      <w:r w:rsidR="009A7732">
        <w:t xml:space="preserve">-funded </w:t>
      </w:r>
      <w:r w:rsidR="003D2808">
        <w:t xml:space="preserve">services </w:t>
      </w:r>
      <w:r w:rsidR="009A7732">
        <w:t>point to the</w:t>
      </w:r>
      <w:r w:rsidR="003D2808">
        <w:t xml:space="preserve"> fact that a substantial cohort of job</w:t>
      </w:r>
      <w:r w:rsidR="007C0D2D">
        <w:t xml:space="preserve"> </w:t>
      </w:r>
      <w:r w:rsidR="003D2808">
        <w:t xml:space="preserve">seekers </w:t>
      </w:r>
      <w:r w:rsidR="009A7732">
        <w:t xml:space="preserve">report </w:t>
      </w:r>
      <w:r w:rsidR="003D2808">
        <w:t>experienc</w:t>
      </w:r>
      <w:r w:rsidR="009A7732">
        <w:t>ing E</w:t>
      </w:r>
      <w:r w:rsidR="003D2808">
        <w:t xml:space="preserve">mployment Services as </w:t>
      </w:r>
      <w:r w:rsidR="009A7732">
        <w:t xml:space="preserve">focusing more on </w:t>
      </w:r>
      <w:r w:rsidR="000B7847">
        <w:t xml:space="preserve">‘moving people on’ rather than being </w:t>
      </w:r>
      <w:r w:rsidR="009A7732">
        <w:t xml:space="preserve">truly </w:t>
      </w:r>
      <w:r w:rsidR="000B7847" w:rsidRPr="0067471A">
        <w:t>enabling</w:t>
      </w:r>
      <w:r w:rsidR="00FB004F" w:rsidRPr="0067471A">
        <w:t xml:space="preserve"> in terms of enhancing employment opportunities.</w:t>
      </w:r>
    </w:p>
    <w:p w14:paraId="687D8CCD" w14:textId="77777777" w:rsidR="008E5750" w:rsidRPr="0067471A" w:rsidRDefault="008E5750" w:rsidP="0067471A">
      <w:pPr>
        <w:spacing w:after="160"/>
        <w:jc w:val="both"/>
      </w:pPr>
    </w:p>
    <w:p w14:paraId="7A67B1A8" w14:textId="77777777" w:rsidR="00033B64" w:rsidRDefault="00070279" w:rsidP="007A69C8">
      <w:pPr>
        <w:pStyle w:val="Heading2"/>
        <w:jc w:val="both"/>
      </w:pPr>
      <w:r>
        <w:t xml:space="preserve">Level of </w:t>
      </w:r>
      <w:r w:rsidR="00DB37ED">
        <w:t>PRB</w:t>
      </w:r>
    </w:p>
    <w:p w14:paraId="1E4ABDA0" w14:textId="77777777" w:rsidR="00C608AF" w:rsidRDefault="006837FF" w:rsidP="007A69C8">
      <w:pPr>
        <w:pStyle w:val="ListParagraph"/>
        <w:numPr>
          <w:ilvl w:val="0"/>
          <w:numId w:val="2"/>
        </w:numPr>
        <w:spacing w:after="160"/>
        <w:jc w:val="both"/>
      </w:pPr>
      <w:r>
        <w:t>CIB agrees with the proposal</w:t>
      </w:r>
      <w:r w:rsidR="00070279">
        <w:t xml:space="preserve"> that the rate of payment a person receives under the </w:t>
      </w:r>
      <w:r w:rsidR="00627BAE">
        <w:t xml:space="preserve">PRB </w:t>
      </w:r>
      <w:r w:rsidR="00070279">
        <w:t xml:space="preserve">scheme </w:t>
      </w:r>
      <w:r w:rsidR="00627BAE">
        <w:t>be</w:t>
      </w:r>
      <w:r w:rsidR="00070279">
        <w:t xml:space="preserve"> directly linked to their previous employment earnings using a fixed percentage of previous earnings rather than using bands</w:t>
      </w:r>
      <w:r w:rsidR="00627BAE">
        <w:t>.</w:t>
      </w:r>
    </w:p>
    <w:p w14:paraId="33AD3B07" w14:textId="77777777" w:rsidR="00C608AF" w:rsidRDefault="00560B8D" w:rsidP="007A69C8">
      <w:pPr>
        <w:pStyle w:val="ListParagraph"/>
        <w:numPr>
          <w:ilvl w:val="0"/>
          <w:numId w:val="2"/>
        </w:numPr>
        <w:spacing w:after="160"/>
        <w:jc w:val="both"/>
      </w:pPr>
      <w:r>
        <w:t>CIB agrees that</w:t>
      </w:r>
      <w:r w:rsidR="00070279">
        <w:t xml:space="preserve"> 60% of prior gross earnings </w:t>
      </w:r>
      <w:r>
        <w:t xml:space="preserve">be adopted </w:t>
      </w:r>
      <w:r w:rsidR="00070279">
        <w:t>as an appropriate rate of payment for people with five or more years of paid contributions</w:t>
      </w:r>
      <w:r w:rsidR="00D44215">
        <w:t>.</w:t>
      </w:r>
    </w:p>
    <w:p w14:paraId="7B41030F" w14:textId="77777777" w:rsidR="00C608AF" w:rsidRDefault="00D44215" w:rsidP="007A69C8">
      <w:pPr>
        <w:pStyle w:val="ListParagraph"/>
        <w:numPr>
          <w:ilvl w:val="0"/>
          <w:numId w:val="2"/>
        </w:numPr>
        <w:spacing w:after="160"/>
        <w:jc w:val="both"/>
      </w:pPr>
      <w:r>
        <w:t>CIB agrees that</w:t>
      </w:r>
      <w:r w:rsidR="00070279">
        <w:t xml:space="preserve"> 50% of prior gross earnings </w:t>
      </w:r>
      <w:r>
        <w:t xml:space="preserve">be adopted </w:t>
      </w:r>
      <w:r w:rsidR="00070279">
        <w:t>as an appropriate rate of payment for a person with at least two but less than five years of paid contributions</w:t>
      </w:r>
      <w:r>
        <w:t>.</w:t>
      </w:r>
    </w:p>
    <w:p w14:paraId="6F7C8095" w14:textId="77777777" w:rsidR="00C608AF" w:rsidRDefault="0015108D" w:rsidP="007A69C8">
      <w:pPr>
        <w:pStyle w:val="ListParagraph"/>
        <w:numPr>
          <w:ilvl w:val="0"/>
          <w:numId w:val="2"/>
        </w:numPr>
        <w:spacing w:after="160"/>
        <w:jc w:val="both"/>
      </w:pPr>
      <w:r>
        <w:lastRenderedPageBreak/>
        <w:t xml:space="preserve">CIB also agrees that </w:t>
      </w:r>
      <w:r w:rsidR="00070279">
        <w:t>the rate of payment should be based on previous earnings gross of tax and other statutory deductions rather than net of such deductions</w:t>
      </w:r>
      <w:r>
        <w:t>.</w:t>
      </w:r>
    </w:p>
    <w:p w14:paraId="6DE8FE37" w14:textId="7825B2BF" w:rsidR="00070279" w:rsidRDefault="00627D7C" w:rsidP="00C608AF">
      <w:pPr>
        <w:pStyle w:val="ListParagraph"/>
        <w:numPr>
          <w:ilvl w:val="0"/>
          <w:numId w:val="2"/>
        </w:numPr>
        <w:spacing w:after="160"/>
        <w:jc w:val="both"/>
      </w:pPr>
      <w:r>
        <w:t xml:space="preserve">CIB agrees with the general principle of a weekly payment cap and </w:t>
      </w:r>
      <w:r w:rsidR="00715C78">
        <w:t>payment floor.</w:t>
      </w:r>
      <w:r w:rsidR="00DA7D87">
        <w:t xml:space="preserve"> We do, however, feel that</w:t>
      </w:r>
      <w:r w:rsidR="00FB004F">
        <w:t xml:space="preserve"> </w:t>
      </w:r>
      <w:r w:rsidR="00DA7D87">
        <w:t>it would be unwise and not useful</w:t>
      </w:r>
      <w:r w:rsidR="00FB004F">
        <w:t xml:space="preserve"> at this juncture</w:t>
      </w:r>
      <w:r w:rsidR="003A6F26">
        <w:t xml:space="preserve"> to </w:t>
      </w:r>
      <w:r w:rsidR="00FB004F">
        <w:t>specify</w:t>
      </w:r>
      <w:r w:rsidR="003A6F26">
        <w:t xml:space="preserve"> </w:t>
      </w:r>
      <w:r w:rsidR="00FB004F">
        <w:t xml:space="preserve">a </w:t>
      </w:r>
      <w:r w:rsidR="003A6F26">
        <w:t xml:space="preserve">financial amount for either. We would strongly suggest that the amounts involved, at all levels, </w:t>
      </w:r>
      <w:r w:rsidR="00FB004F">
        <w:t xml:space="preserve">should </w:t>
      </w:r>
      <w:r w:rsidR="003A6F26">
        <w:t>be linked</w:t>
      </w:r>
      <w:r w:rsidR="008F50BA">
        <w:t xml:space="preserve"> with</w:t>
      </w:r>
      <w:r w:rsidR="003A6F26">
        <w:t xml:space="preserve"> </w:t>
      </w:r>
      <w:r w:rsidR="00A16E0F">
        <w:t xml:space="preserve">and benchmarked against </w:t>
      </w:r>
      <w:r w:rsidR="008504C1">
        <w:t>a number of factors</w:t>
      </w:r>
      <w:r w:rsidR="00FB004F">
        <w:t>,</w:t>
      </w:r>
      <w:r w:rsidR="008504C1">
        <w:t xml:space="preserve"> including the National Minimum Wage or</w:t>
      </w:r>
      <w:r w:rsidR="00EB38F5">
        <w:t xml:space="preserve"> the</w:t>
      </w:r>
      <w:r w:rsidR="001F4BA8">
        <w:t xml:space="preserve"> planned</w:t>
      </w:r>
      <w:r w:rsidR="00403756">
        <w:t xml:space="preserve"> </w:t>
      </w:r>
      <w:r w:rsidR="001F4BA8">
        <w:t xml:space="preserve">National </w:t>
      </w:r>
      <w:r w:rsidR="00EB38F5">
        <w:t>Living Wage</w:t>
      </w:r>
      <w:r w:rsidR="008F50BA">
        <w:t xml:space="preserve">, </w:t>
      </w:r>
      <w:r w:rsidR="008033C2">
        <w:t xml:space="preserve">the national </w:t>
      </w:r>
      <w:r w:rsidR="00A16E0F">
        <w:t>Average Weekly Wage</w:t>
      </w:r>
      <w:r w:rsidR="00F67FAF">
        <w:t>, the Consumer Price Index</w:t>
      </w:r>
      <w:r w:rsidR="008F50BA">
        <w:t xml:space="preserve"> and/or </w:t>
      </w:r>
      <w:r w:rsidR="006125DC">
        <w:t>other such measures.</w:t>
      </w:r>
    </w:p>
    <w:p w14:paraId="78EDFC31" w14:textId="3FA8356E" w:rsidR="0067471A" w:rsidRDefault="00980D2C" w:rsidP="0067471A">
      <w:pPr>
        <w:spacing w:after="160"/>
        <w:jc w:val="both"/>
      </w:pPr>
      <w:r>
        <w:t>The approach to using a 12-month period for calculation of average salaries is viewed by CIB as reasonable. However, there is likely to be a cohort of people working low hours on low pay for whom this benchmark would be inadequate to give them an adequate replacement income.</w:t>
      </w:r>
    </w:p>
    <w:p w14:paraId="33169FF1" w14:textId="77777777" w:rsidR="008E5750" w:rsidRDefault="008E5750" w:rsidP="0067471A">
      <w:pPr>
        <w:spacing w:after="160"/>
        <w:jc w:val="both"/>
      </w:pPr>
    </w:p>
    <w:p w14:paraId="51EA496E" w14:textId="24570556" w:rsidR="00AF5F7E" w:rsidRDefault="00AF5F7E" w:rsidP="007A69C8">
      <w:pPr>
        <w:pStyle w:val="Heading2"/>
        <w:jc w:val="both"/>
      </w:pPr>
      <w:r>
        <w:t>Duration</w:t>
      </w:r>
    </w:p>
    <w:p w14:paraId="6A739452" w14:textId="1CB8E5D9" w:rsidR="00130096" w:rsidRDefault="00140B8A" w:rsidP="0067471A">
      <w:pPr>
        <w:spacing w:after="160"/>
        <w:jc w:val="both"/>
      </w:pPr>
      <w:r>
        <w:t>CIB</w:t>
      </w:r>
      <w:r w:rsidR="00DB37ED">
        <w:t xml:space="preserve"> believes </w:t>
      </w:r>
      <w:r>
        <w:t xml:space="preserve">that the </w:t>
      </w:r>
      <w:r w:rsidR="00AF5F7E">
        <w:t>proposed duration for a PRB (6 months)</w:t>
      </w:r>
      <w:r>
        <w:t xml:space="preserve"> should be extended to 9</w:t>
      </w:r>
      <w:r w:rsidR="002B372E">
        <w:t xml:space="preserve"> months and should </w:t>
      </w:r>
      <w:r w:rsidR="00130096">
        <w:t xml:space="preserve">involve a </w:t>
      </w:r>
      <w:r w:rsidR="00AF5F7E">
        <w:t xml:space="preserve">staggered approach where payment rates drop incrementally the longer </w:t>
      </w:r>
      <w:r w:rsidR="00130096">
        <w:t>a beneficiary</w:t>
      </w:r>
      <w:r w:rsidR="00AF5F7E">
        <w:t xml:space="preserve"> remain</w:t>
      </w:r>
      <w:r w:rsidR="00130096">
        <w:t>s</w:t>
      </w:r>
      <w:r w:rsidR="00AF5F7E">
        <w:t xml:space="preserve"> on the payment</w:t>
      </w:r>
      <w:r w:rsidR="00130096">
        <w:t>.</w:t>
      </w:r>
      <w:r w:rsidR="00123B03">
        <w:t xml:space="preserve"> Tapering the withdraw</w:t>
      </w:r>
      <w:r w:rsidR="00947F30">
        <w:t>al of PRB w</w:t>
      </w:r>
      <w:r w:rsidR="00FB004F">
        <w:t xml:space="preserve">ould </w:t>
      </w:r>
      <w:r w:rsidR="00947F30">
        <w:t>help avoid a ‘cliff edge’ when payments are</w:t>
      </w:r>
      <w:r w:rsidR="00886A23">
        <w:t xml:space="preserve"> removed. </w:t>
      </w:r>
      <w:r w:rsidR="009B7C33">
        <w:t xml:space="preserve">This will assist in avoiding poverty </w:t>
      </w:r>
      <w:r w:rsidR="00C54952">
        <w:t xml:space="preserve">and unemployment traps and should </w:t>
      </w:r>
      <w:r w:rsidR="00FB004F">
        <w:t xml:space="preserve">help in </w:t>
      </w:r>
      <w:r w:rsidR="00C54952">
        <w:t>facilitat</w:t>
      </w:r>
      <w:r w:rsidR="00FB004F">
        <w:t>ing</w:t>
      </w:r>
      <w:r w:rsidR="00C54952">
        <w:t xml:space="preserve"> return to employment.</w:t>
      </w:r>
    </w:p>
    <w:p w14:paraId="2F7C0870" w14:textId="3DBACE1F" w:rsidR="00050D31" w:rsidRDefault="00050D31" w:rsidP="0067471A">
      <w:pPr>
        <w:spacing w:after="160"/>
        <w:jc w:val="both"/>
      </w:pPr>
      <w:r>
        <w:t>CIB notes th</w:t>
      </w:r>
      <w:r w:rsidR="00986741">
        <w:t xml:space="preserve">at over </w:t>
      </w:r>
      <w:r w:rsidR="00441D5D">
        <w:t>8</w:t>
      </w:r>
      <w:r w:rsidR="00986741">
        <w:t>0% of jobseekers</w:t>
      </w:r>
      <w:r w:rsidR="00083B87">
        <w:t xml:space="preserve"> exit the present Jobseeker’s Benefit scheme within 6 months</w:t>
      </w:r>
      <w:r w:rsidR="00720F44">
        <w:t xml:space="preserve"> and would anticipate similar if not higher exit rates in a reformed scheme.</w:t>
      </w:r>
    </w:p>
    <w:p w14:paraId="0D900E92" w14:textId="517FB7A7" w:rsidR="00AF5F7E" w:rsidRDefault="002546E8" w:rsidP="0067471A">
      <w:pPr>
        <w:spacing w:after="160"/>
        <w:jc w:val="both"/>
      </w:pPr>
      <w:r>
        <w:t xml:space="preserve">CIB does not </w:t>
      </w:r>
      <w:r w:rsidR="003D3AA3">
        <w:t xml:space="preserve">fully </w:t>
      </w:r>
      <w:r>
        <w:t>share</w:t>
      </w:r>
      <w:r w:rsidR="003D3AA3">
        <w:t xml:space="preserve"> concerns that the PRB will have a negative effect on the labour marke</w:t>
      </w:r>
      <w:r w:rsidR="00BF6EB0">
        <w:t xml:space="preserve">t. We </w:t>
      </w:r>
      <w:r w:rsidR="00584896">
        <w:t xml:space="preserve">are of the </w:t>
      </w:r>
      <w:r w:rsidR="00DB37ED">
        <w:t xml:space="preserve">view </w:t>
      </w:r>
      <w:r w:rsidR="00584896">
        <w:t>that, as in many other EU and OECD countries</w:t>
      </w:r>
      <w:r w:rsidR="005950A7">
        <w:t>,</w:t>
      </w:r>
      <w:r w:rsidR="00584896">
        <w:t xml:space="preserve"> </w:t>
      </w:r>
      <w:r w:rsidR="00AF5F7E">
        <w:t>the PRB</w:t>
      </w:r>
      <w:r w:rsidR="005950A7">
        <w:t xml:space="preserve"> </w:t>
      </w:r>
      <w:r w:rsidR="00776B98">
        <w:t xml:space="preserve">– with the proposed increased replacement rates – if balanced with other services and supports as outlined earlier </w:t>
      </w:r>
      <w:r w:rsidR="00A87352">
        <w:t>–</w:t>
      </w:r>
      <w:r w:rsidR="00776B98">
        <w:t xml:space="preserve"> </w:t>
      </w:r>
      <w:r w:rsidR="00A87352">
        <w:t>w</w:t>
      </w:r>
      <w:r w:rsidR="00DB37ED">
        <w:t xml:space="preserve">ould </w:t>
      </w:r>
      <w:r w:rsidR="00AF5F7E">
        <w:t>have</w:t>
      </w:r>
      <w:r w:rsidR="00A87352">
        <w:t xml:space="preserve"> minimal effect</w:t>
      </w:r>
      <w:r w:rsidR="00AF5F7E">
        <w:t xml:space="preserve"> on work incentives</w:t>
      </w:r>
      <w:r w:rsidR="00A87352">
        <w:t>.</w:t>
      </w:r>
    </w:p>
    <w:p w14:paraId="2D559045" w14:textId="4679D41B" w:rsidR="00C7267B" w:rsidRDefault="00480B2C" w:rsidP="0067471A">
      <w:pPr>
        <w:spacing w:after="160"/>
        <w:jc w:val="both"/>
      </w:pPr>
      <w:r>
        <w:lastRenderedPageBreak/>
        <w:t xml:space="preserve">CIB is of the view that </w:t>
      </w:r>
      <w:r w:rsidR="00AF5F7E">
        <w:t xml:space="preserve">the proposed rules for requalification for the scheme, </w:t>
      </w:r>
      <w:r w:rsidR="00E16980">
        <w:t>-</w:t>
      </w:r>
      <w:r w:rsidR="00AF5F7E">
        <w:t xml:space="preserve"> that a person will be eligible for PRB for a maximum of 6 months in any 24-month period</w:t>
      </w:r>
      <w:r w:rsidR="00E16980">
        <w:t xml:space="preserve"> – is a fair arrangement.</w:t>
      </w:r>
    </w:p>
    <w:p w14:paraId="3A1EAA89" w14:textId="77777777" w:rsidR="00033B64" w:rsidRPr="00033B64" w:rsidRDefault="00EB0516" w:rsidP="00033B64">
      <w:pPr>
        <w:spacing w:after="160"/>
        <w:jc w:val="both"/>
        <w:rPr>
          <w:rFonts w:asciiTheme="majorHAnsi" w:eastAsiaTheme="majorEastAsia" w:hAnsiTheme="majorHAnsi" w:cstheme="majorBidi"/>
          <w:color w:val="2F5496" w:themeColor="accent1" w:themeShade="BF"/>
        </w:rPr>
      </w:pPr>
      <w:r>
        <w:t>CIB is of the view that there would be merit in adopting a PRB that extends for a longer period of time than 6 months and that gradually tapers to meet, for example, the level of Jobseeker’s Allowance.</w:t>
      </w:r>
      <w:r w:rsidR="009741AA">
        <w:br/>
      </w:r>
    </w:p>
    <w:p w14:paraId="6C4FFD89" w14:textId="01A5363E" w:rsidR="00673E1B" w:rsidRDefault="00673E1B" w:rsidP="00033B64">
      <w:pPr>
        <w:spacing w:after="160"/>
        <w:jc w:val="both"/>
      </w:pPr>
      <w:r w:rsidRPr="00033B64">
        <w:rPr>
          <w:rFonts w:asciiTheme="majorHAnsi" w:eastAsiaTheme="majorEastAsia" w:hAnsiTheme="majorHAnsi" w:cstheme="majorBidi"/>
          <w:color w:val="2F5496" w:themeColor="accent1" w:themeShade="BF"/>
          <w:sz w:val="26"/>
          <w:szCs w:val="26"/>
        </w:rPr>
        <w:t>Working Age Payment</w:t>
      </w:r>
    </w:p>
    <w:p w14:paraId="53BE6D26" w14:textId="77777777" w:rsidR="00673E1B" w:rsidRDefault="00673E1B" w:rsidP="0067471A">
      <w:pPr>
        <w:spacing w:after="160"/>
        <w:jc w:val="both"/>
      </w:pPr>
      <w:r>
        <w:t xml:space="preserve">CIB is broadly in agreement with the proposal to develop a Working Age Payment with the aim of providing a minimum income guarantee and creating greater linkages between welfare payments and employment earnings in order to ensure that a person will always experience an increase in income where they take on additional work. The removal of inconsistencies relating to, for example, disqualification will be an important consideration. </w:t>
      </w:r>
    </w:p>
    <w:p w14:paraId="6041F808" w14:textId="3AA07C28" w:rsidR="001C750E" w:rsidRDefault="00673E1B" w:rsidP="0067471A">
      <w:pPr>
        <w:spacing w:after="160"/>
        <w:jc w:val="both"/>
      </w:pPr>
      <w:r w:rsidRPr="0067471A">
        <w:t xml:space="preserve">It is noted that the proposed scheme would be based on the Working Family Payment model whereby a person receives a payment based on a percentage of the difference between their income and a specified threshold for their family type. However, how the Working Age Payment will be administered will be of crucial importance given the difficulties regularly reported </w:t>
      </w:r>
      <w:r w:rsidR="00EB0516" w:rsidRPr="0067471A">
        <w:t xml:space="preserve">by CIS clients </w:t>
      </w:r>
      <w:r w:rsidRPr="0067471A">
        <w:t>with the Working Family Payment</w:t>
      </w:r>
      <w:r w:rsidR="00316CC3" w:rsidRPr="0067471A">
        <w:t xml:space="preserve"> (WFP)</w:t>
      </w:r>
      <w:r w:rsidRPr="0067471A">
        <w:t xml:space="preserve">. </w:t>
      </w:r>
      <w:r w:rsidR="001C750E">
        <w:t xml:space="preserve">Feedback from services </w:t>
      </w:r>
      <w:r w:rsidR="001C750E" w:rsidRPr="00161570">
        <w:t xml:space="preserve">in relation to </w:t>
      </w:r>
      <w:r w:rsidR="00316CC3">
        <w:t xml:space="preserve">WFP </w:t>
      </w:r>
      <w:r w:rsidR="001C750E">
        <w:t xml:space="preserve">eligibility criteria </w:t>
      </w:r>
      <w:r w:rsidR="00316CC3">
        <w:t xml:space="preserve">and </w:t>
      </w:r>
      <w:r w:rsidR="001C750E">
        <w:t>administrative difficulties</w:t>
      </w:r>
      <w:r w:rsidR="00316CC3">
        <w:t xml:space="preserve"> </w:t>
      </w:r>
      <w:r w:rsidR="001C750E">
        <w:t>featured in CIB’s Pre Budget Submission 2023</w:t>
      </w:r>
      <w:r w:rsidR="00316CC3">
        <w:t xml:space="preserve">; these </w:t>
      </w:r>
      <w:r w:rsidR="005B0764">
        <w:t xml:space="preserve">included </w:t>
      </w:r>
      <w:r w:rsidR="005B0764" w:rsidRPr="00161570">
        <w:t>non</w:t>
      </w:r>
      <w:r w:rsidR="001C750E">
        <w:t>-eligibility for low-income self-employed workers; e</w:t>
      </w:r>
      <w:r w:rsidR="001C750E" w:rsidRPr="00161570">
        <w:t>xclusion of those in temporary or low hours work (less than 19 hours per week)</w:t>
      </w:r>
      <w:r w:rsidR="001C750E">
        <w:t xml:space="preserve"> and impact of a change in hours of work. </w:t>
      </w:r>
      <w:r w:rsidR="001C750E" w:rsidRPr="00161570">
        <w:t>The WFP rate of payment is only reviewed every 52 weeks. This leaves a gap for families who experience loss of income, for example due to reduced working hours, or where an ex-partner ceases their maint</w:t>
      </w:r>
      <w:r w:rsidR="001C750E">
        <w:t>enance payment, in the interim.</w:t>
      </w:r>
    </w:p>
    <w:p w14:paraId="517D6676" w14:textId="26968D7B" w:rsidR="00FB004F" w:rsidRDefault="007246DA" w:rsidP="007A69C8">
      <w:pPr>
        <w:pStyle w:val="Heading2"/>
        <w:jc w:val="both"/>
      </w:pPr>
      <w:r>
        <w:lastRenderedPageBreak/>
        <w:t>Individualised payments</w:t>
      </w:r>
    </w:p>
    <w:p w14:paraId="318088A3" w14:textId="367C5694" w:rsidR="00276CE1" w:rsidRPr="0067471A" w:rsidRDefault="007246DA" w:rsidP="0067471A">
      <w:pPr>
        <w:spacing w:after="160"/>
        <w:jc w:val="both"/>
      </w:pPr>
      <w:r>
        <w:t>The Strawman proposal that PRB would be an individualised payment, with no additional allowances payable in respect of family members (based on the fact that the payment is related to prior earnings rather than household composition) is one that CIB believes, requires careful consideration in order to ensure that families with a number of children are not negatively affected. While people could apply for Jobseeker’s Allowance, this would have the effect of undermining the social welfare contributory principle.</w:t>
      </w:r>
      <w:r w:rsidR="00D03624">
        <w:t xml:space="preserve"> </w:t>
      </w:r>
      <w:r w:rsidR="00276CE1" w:rsidRPr="0067471A">
        <w:t xml:space="preserve">Social welfare individualisation is </w:t>
      </w:r>
      <w:r w:rsidR="008A3CD2" w:rsidRPr="0067471A">
        <w:t>an important factor in achieving equity in soc</w:t>
      </w:r>
      <w:r w:rsidR="00276CE1" w:rsidRPr="0067471A">
        <w:t>ial welfar</w:t>
      </w:r>
      <w:r w:rsidR="008A3CD2" w:rsidRPr="0067471A">
        <w:t xml:space="preserve">e policy, particularly </w:t>
      </w:r>
      <w:r w:rsidR="00276CE1" w:rsidRPr="0067471A">
        <w:t>for women, given that the majority</w:t>
      </w:r>
      <w:r w:rsidR="008A3CD2" w:rsidRPr="0067471A">
        <w:t xml:space="preserve"> of ‘qualified’ </w:t>
      </w:r>
      <w:r w:rsidR="00276CE1" w:rsidRPr="0067471A">
        <w:t>adults are women.</w:t>
      </w:r>
    </w:p>
    <w:p w14:paraId="00B5A578" w14:textId="77777777" w:rsidR="0067471A" w:rsidRDefault="007246DA" w:rsidP="0067471A">
      <w:pPr>
        <w:spacing w:after="160"/>
        <w:jc w:val="both"/>
      </w:pPr>
      <w:r>
        <w:t>CIB notes th</w:t>
      </w:r>
      <w:r w:rsidR="00276CE1">
        <w:t xml:space="preserve">at the Report of the Commission on Taxation and Welfare </w:t>
      </w:r>
      <w:r>
        <w:t>propos</w:t>
      </w:r>
      <w:r w:rsidR="00276CE1">
        <w:t xml:space="preserve">ed </w:t>
      </w:r>
      <w:r w:rsidR="00EB0516">
        <w:t xml:space="preserve">that </w:t>
      </w:r>
      <w:r w:rsidR="00276CE1">
        <w:t>s</w:t>
      </w:r>
      <w:r w:rsidR="00276CE1" w:rsidRPr="0067471A">
        <w:t xml:space="preserve">ocial welfare individualisation </w:t>
      </w:r>
      <w:r w:rsidR="00EB0516" w:rsidRPr="0067471A">
        <w:t xml:space="preserve">should </w:t>
      </w:r>
      <w:r w:rsidR="00276CE1" w:rsidRPr="0067471A">
        <w:t xml:space="preserve">be introduced on </w:t>
      </w:r>
      <w:r>
        <w:t xml:space="preserve">a cumulative and phased </w:t>
      </w:r>
      <w:r w:rsidR="00276CE1">
        <w:t xml:space="preserve">basis. This would </w:t>
      </w:r>
      <w:r w:rsidR="00276CE1" w:rsidRPr="0067471A">
        <w:t>consist of</w:t>
      </w:r>
      <w:r w:rsidR="0067471A">
        <w:t xml:space="preserve"> </w:t>
      </w:r>
      <w:r w:rsidR="00276CE1" w:rsidRPr="0067471A">
        <w:t>a series of changes that can be undertaken to ensure that individuals are treated distinctly and equally within the social welfare system. This, the Commission s</w:t>
      </w:r>
      <w:r w:rsidR="00511452" w:rsidRPr="0067471A">
        <w:t>uggested</w:t>
      </w:r>
      <w:r w:rsidR="00DC1021" w:rsidRPr="0067471A">
        <w:t xml:space="preserve"> </w:t>
      </w:r>
      <w:r w:rsidR="00511452" w:rsidRPr="0067471A">
        <w:t xml:space="preserve">had the potential to </w:t>
      </w:r>
      <w:r w:rsidR="00276CE1" w:rsidRPr="0067471A">
        <w:t>bring about</w:t>
      </w:r>
      <w:r w:rsidR="00511452" w:rsidRPr="0067471A">
        <w:t xml:space="preserve"> </w:t>
      </w:r>
      <w:r w:rsidR="00276CE1" w:rsidRPr="0067471A">
        <w:t>a number of benefits, particularly for women, given that the majority</w:t>
      </w:r>
      <w:r w:rsidR="00511452" w:rsidRPr="0067471A">
        <w:t xml:space="preserve"> </w:t>
      </w:r>
      <w:r w:rsidR="00276CE1" w:rsidRPr="0067471A">
        <w:t xml:space="preserve">of </w:t>
      </w:r>
      <w:r w:rsidR="00D03624" w:rsidRPr="0067471A">
        <w:t>‘qualified’</w:t>
      </w:r>
      <w:r w:rsidR="00276CE1" w:rsidRPr="0067471A">
        <w:t xml:space="preserve"> adults are women.</w:t>
      </w:r>
      <w:r w:rsidR="00511452" w:rsidRPr="007D592E">
        <w:rPr>
          <w:vertAlign w:val="superscript"/>
        </w:rPr>
        <w:footnoteReference w:id="15"/>
      </w:r>
      <w:r w:rsidR="00511452" w:rsidRPr="007D592E">
        <w:rPr>
          <w:vertAlign w:val="superscript"/>
        </w:rPr>
        <w:t xml:space="preserve"> </w:t>
      </w:r>
      <w:r w:rsidR="00511452" w:rsidRPr="0067471A">
        <w:t>Individualisation was regarded by the Commission as particularly important in relation to qualified adults whose partners are in receipt of means-tested social assistance benefits.</w:t>
      </w:r>
      <w:r w:rsidR="00D03624" w:rsidRPr="0067471A">
        <w:t xml:space="preserve"> It is obviously important to ensure that </w:t>
      </w:r>
      <w:r w:rsidR="00511452" w:rsidRPr="0067471A">
        <w:t xml:space="preserve">adequate secondary benefits, income disregards and/or responsive in-work supports are in place, if </w:t>
      </w:r>
      <w:r w:rsidR="00D03624" w:rsidRPr="0067471A">
        <w:t>‘qualified’</w:t>
      </w:r>
      <w:r w:rsidR="00511452" w:rsidRPr="0067471A">
        <w:t xml:space="preserve"> adults are to be encouraged to increase participation in the labour market as part of social welfare individualisation.</w:t>
      </w:r>
    </w:p>
    <w:p w14:paraId="09AD0A05" w14:textId="1005ED6B" w:rsidR="00276CE1" w:rsidRDefault="00511452" w:rsidP="0067471A">
      <w:pPr>
        <w:spacing w:after="160"/>
        <w:jc w:val="both"/>
      </w:pPr>
      <w:r w:rsidRPr="00124232">
        <w:t>The Commission</w:t>
      </w:r>
      <w:r w:rsidR="00031D78">
        <w:t xml:space="preserve"> noted </w:t>
      </w:r>
      <w:r w:rsidRPr="00124232">
        <w:t xml:space="preserve">that the challenge for reform in this area is to strike </w:t>
      </w:r>
      <w:r w:rsidR="00EB0516">
        <w:t>a</w:t>
      </w:r>
      <w:r w:rsidRPr="00124232">
        <w:t xml:space="preserve"> balance between accommodation of, and respect for caring responsibilities, and the promotion of labour market</w:t>
      </w:r>
      <w:r>
        <w:t xml:space="preserve"> equality for both women and men.</w:t>
      </w:r>
      <w:r w:rsidR="00124232">
        <w:t xml:space="preserve"> </w:t>
      </w:r>
    </w:p>
    <w:p w14:paraId="4E660B07" w14:textId="3058B7B7" w:rsidR="00276CE1" w:rsidRDefault="00124232" w:rsidP="0067471A">
      <w:pPr>
        <w:spacing w:after="160"/>
        <w:jc w:val="both"/>
      </w:pPr>
      <w:r>
        <w:lastRenderedPageBreak/>
        <w:t>In introducing change to the benefits system, particularly the introduction of a Working Age Payment, it will be important that the implications of individualisation be duly considered for those currently regarded as ‘qualified adults’. There are two factors here: (</w:t>
      </w:r>
      <w:r w:rsidR="00B84062">
        <w:t>I</w:t>
      </w:r>
      <w:r>
        <w:t xml:space="preserve">) the need to ensure that each individual within a household has an individual right to </w:t>
      </w:r>
      <w:r w:rsidR="006B0B6D">
        <w:t xml:space="preserve">a </w:t>
      </w:r>
      <w:r>
        <w:t xml:space="preserve">benefit that is not dependent on their relationship with another person in the household; and (ii) the need to cater equitably for people who have caring responsibilities which impact on their ability to participate in the paid labour force. </w:t>
      </w:r>
    </w:p>
    <w:p w14:paraId="05FA1E0B" w14:textId="3D0D001B" w:rsidR="0067471A" w:rsidRDefault="00511452" w:rsidP="0067471A">
      <w:pPr>
        <w:spacing w:after="160"/>
        <w:jc w:val="both"/>
      </w:pPr>
      <w:r>
        <w:t xml:space="preserve">The </w:t>
      </w:r>
      <w:r w:rsidR="007246DA">
        <w:t xml:space="preserve">implications of moving towards individualisation with respect to </w:t>
      </w:r>
      <w:r w:rsidR="00EB0516">
        <w:t>‘</w:t>
      </w:r>
      <w:r w:rsidR="007246DA">
        <w:t>qualified</w:t>
      </w:r>
      <w:r w:rsidR="00EB0516">
        <w:t>’</w:t>
      </w:r>
      <w:r w:rsidR="007246DA">
        <w:t xml:space="preserve"> adults </w:t>
      </w:r>
      <w:r w:rsidR="00EB0516">
        <w:t xml:space="preserve">who have caring responsibilities </w:t>
      </w:r>
      <w:r w:rsidR="007246DA">
        <w:t xml:space="preserve">needs to be borne in mind, when proceeding with </w:t>
      </w:r>
      <w:r w:rsidR="00EB0516">
        <w:t>individualisation</w:t>
      </w:r>
      <w:r w:rsidR="007246DA">
        <w:t xml:space="preserve"> and the impact of any changes on eligibility for </w:t>
      </w:r>
      <w:r w:rsidR="00EB0516">
        <w:t xml:space="preserve">household-related </w:t>
      </w:r>
      <w:r w:rsidR="007246DA">
        <w:t>benefits</w:t>
      </w:r>
      <w:r w:rsidR="00EB0516">
        <w:t>, e.g., Fuel Allowance</w:t>
      </w:r>
      <w:r w:rsidR="0067471A">
        <w:t>.</w:t>
      </w:r>
    </w:p>
    <w:p w14:paraId="4ACE0D66" w14:textId="77777777" w:rsidR="007D2190" w:rsidRDefault="007D2190" w:rsidP="0067471A">
      <w:pPr>
        <w:spacing w:after="160"/>
        <w:jc w:val="both"/>
        <w:rPr>
          <w:rStyle w:val="Heading2Char"/>
        </w:rPr>
      </w:pPr>
    </w:p>
    <w:p w14:paraId="28B89CA1" w14:textId="4B16F551" w:rsidR="00E16980" w:rsidRDefault="003B4E8C" w:rsidP="0067471A">
      <w:pPr>
        <w:spacing w:after="160"/>
        <w:jc w:val="both"/>
        <w:rPr>
          <w:rStyle w:val="Heading2Char"/>
        </w:rPr>
      </w:pPr>
      <w:r w:rsidRPr="00124232">
        <w:rPr>
          <w:rStyle w:val="Heading2Char"/>
        </w:rPr>
        <w:t>Conclusion</w:t>
      </w:r>
    </w:p>
    <w:p w14:paraId="2419325E" w14:textId="43A329A0" w:rsidR="00E17225" w:rsidRPr="0067471A" w:rsidRDefault="00EB4535" w:rsidP="0067471A">
      <w:pPr>
        <w:spacing w:after="160"/>
        <w:jc w:val="both"/>
      </w:pPr>
      <w:r w:rsidRPr="0067471A">
        <w:t xml:space="preserve">It is reasonable to suggest that </w:t>
      </w:r>
      <w:r w:rsidR="006B0B6D" w:rsidRPr="0067471A">
        <w:t>t</w:t>
      </w:r>
      <w:r w:rsidRPr="0067471A">
        <w:t>he contributory principle has diminished in importance in Ireland in relation to working age benefits with the expansion of means-tested support for families with children, renters, and in-work support.</w:t>
      </w:r>
      <w:r w:rsidR="00E17225" w:rsidRPr="0067471A">
        <w:t xml:space="preserve"> </w:t>
      </w:r>
      <w:r w:rsidR="00832D36" w:rsidRPr="0067471A">
        <w:t xml:space="preserve">CIB </w:t>
      </w:r>
      <w:r w:rsidR="00781D4E" w:rsidRPr="0067471A">
        <w:t xml:space="preserve">sees the proposed </w:t>
      </w:r>
      <w:r w:rsidR="003A21D2" w:rsidRPr="0067471A">
        <w:t>PRB measure</w:t>
      </w:r>
      <w:r w:rsidR="00781D4E" w:rsidRPr="0067471A">
        <w:t xml:space="preserve"> as</w:t>
      </w:r>
      <w:r w:rsidR="00E17225" w:rsidRPr="0067471A">
        <w:t xml:space="preserve"> redressing this imbalance by</w:t>
      </w:r>
      <w:r w:rsidR="00781D4E" w:rsidRPr="0067471A">
        <w:t xml:space="preserve"> </w:t>
      </w:r>
      <w:r w:rsidR="00D87A0B" w:rsidRPr="0067471A">
        <w:t>provid</w:t>
      </w:r>
      <w:r w:rsidR="00C0482E" w:rsidRPr="0067471A">
        <w:t>ing</w:t>
      </w:r>
      <w:r w:rsidR="00D87A0B" w:rsidRPr="0067471A">
        <w:t xml:space="preserve"> a</w:t>
      </w:r>
      <w:r w:rsidR="00D676D6" w:rsidRPr="0067471A">
        <w:t xml:space="preserve"> welcome reform of the existing provisions</w:t>
      </w:r>
      <w:r w:rsidR="00F10C1C" w:rsidRPr="0067471A">
        <w:t xml:space="preserve"> for jobseekers</w:t>
      </w:r>
      <w:r w:rsidR="00630589" w:rsidRPr="0067471A">
        <w:t xml:space="preserve"> and extending the concepts of social protection and the contributory principle, the latter</w:t>
      </w:r>
      <w:r w:rsidR="00F10C1C" w:rsidRPr="0067471A">
        <w:t xml:space="preserve"> </w:t>
      </w:r>
      <w:r w:rsidR="00630589" w:rsidRPr="0067471A">
        <w:t xml:space="preserve">which provides for a direct link between the PRSI contributions that a person has paid and entitlement to a varying range of benefits. </w:t>
      </w:r>
    </w:p>
    <w:p w14:paraId="0D7B9367" w14:textId="42DAE243" w:rsidR="00630589" w:rsidRPr="0067471A" w:rsidRDefault="00630589" w:rsidP="0067471A">
      <w:pPr>
        <w:spacing w:after="160"/>
        <w:jc w:val="both"/>
      </w:pPr>
      <w:r w:rsidRPr="0067471A">
        <w:t>However, care must be taken to ensure that people who, for various reasons, do not meet contributory conditions are fully protected in the social welfare system and are not subjected to any lessening of status or income because they do not meet social insurance criteria.</w:t>
      </w:r>
      <w:r w:rsidR="00EB4535" w:rsidRPr="0067471A">
        <w:t xml:space="preserve"> A move towards </w:t>
      </w:r>
      <w:r w:rsidR="00EB4535">
        <w:t>s</w:t>
      </w:r>
      <w:r w:rsidR="00EB4535" w:rsidRPr="0067471A">
        <w:t>ocial welfare individualisation, as proposed by the Commission on Taxation and Social Welfare, would clearly be valuable in addressing this issue and should be expedited.</w:t>
      </w:r>
    </w:p>
    <w:p w14:paraId="0AC677BF" w14:textId="391C0A4C" w:rsidR="007C35F5" w:rsidRDefault="00630589" w:rsidP="0067471A">
      <w:pPr>
        <w:spacing w:after="160"/>
        <w:jc w:val="both"/>
      </w:pPr>
      <w:r>
        <w:lastRenderedPageBreak/>
        <w:t xml:space="preserve">CIB believes </w:t>
      </w:r>
      <w:r w:rsidR="00814DF1">
        <w:t xml:space="preserve">that any </w:t>
      </w:r>
      <w:r w:rsidR="00EB4535">
        <w:t xml:space="preserve">PRB </w:t>
      </w:r>
      <w:r w:rsidR="00814DF1">
        <w:t>reforms can only be effective when they are located within the context of a</w:t>
      </w:r>
      <w:r w:rsidR="00467BA8">
        <w:t xml:space="preserve"> wide range of measures and services, all of which must be integrated</w:t>
      </w:r>
      <w:r w:rsidR="00C4028D">
        <w:t xml:space="preserve"> to provide jobseeker</w:t>
      </w:r>
      <w:r>
        <w:t>s</w:t>
      </w:r>
      <w:r w:rsidR="00C4028D">
        <w:t xml:space="preserve"> with </w:t>
      </w:r>
      <w:r w:rsidR="00FD2B34">
        <w:t>adequate and meaningful supports in both coping with a sudden loss of income</w:t>
      </w:r>
      <w:r w:rsidR="00EB4535">
        <w:t>,</w:t>
      </w:r>
      <w:r w:rsidR="009777CD">
        <w:t xml:space="preserve"> with navigating return to work</w:t>
      </w:r>
      <w:r w:rsidR="00EB4535">
        <w:t xml:space="preserve"> and, very importantly, having access to the public services that they require</w:t>
      </w:r>
      <w:r w:rsidR="009777CD">
        <w:t>.</w:t>
      </w:r>
      <w:r w:rsidR="00560D2C">
        <w:t xml:space="preserve"> </w:t>
      </w:r>
    </w:p>
    <w:p w14:paraId="222F470D" w14:textId="3DBDD35B" w:rsidR="00C70282" w:rsidRDefault="00560D2C" w:rsidP="0067471A">
      <w:pPr>
        <w:spacing w:after="160"/>
        <w:jc w:val="both"/>
      </w:pPr>
      <w:r>
        <w:t xml:space="preserve">The </w:t>
      </w:r>
      <w:r w:rsidR="00FB004F">
        <w:t xml:space="preserve">overall </w:t>
      </w:r>
      <w:r>
        <w:t xml:space="preserve">challenge </w:t>
      </w:r>
      <w:r w:rsidR="00FB004F">
        <w:t xml:space="preserve">is to move </w:t>
      </w:r>
      <w:r w:rsidR="00875F77">
        <w:t>toward</w:t>
      </w:r>
      <w:r w:rsidR="00FB004F">
        <w:t>s</w:t>
      </w:r>
      <w:r w:rsidR="00875F77">
        <w:t xml:space="preserve"> </w:t>
      </w:r>
      <w:r>
        <w:t>the</w:t>
      </w:r>
      <w:r w:rsidR="00875F77">
        <w:t xml:space="preserve"> </w:t>
      </w:r>
      <w:r>
        <w:t xml:space="preserve">effective integration of </w:t>
      </w:r>
      <w:r w:rsidR="00DB37ED">
        <w:t xml:space="preserve">public </w:t>
      </w:r>
      <w:r>
        <w:t>services</w:t>
      </w:r>
      <w:r w:rsidR="00DB37ED">
        <w:t xml:space="preserve"> (e.g. child care)</w:t>
      </w:r>
      <w:r>
        <w:t>, income supports and activ</w:t>
      </w:r>
      <w:r w:rsidR="00915A74">
        <w:t xml:space="preserve">e labour-market </w:t>
      </w:r>
      <w:r>
        <w:t xml:space="preserve">measures which </w:t>
      </w:r>
      <w:r w:rsidR="00915A74">
        <w:t xml:space="preserve">will </w:t>
      </w:r>
      <w:r>
        <w:t>provide social protection to people</w:t>
      </w:r>
      <w:r w:rsidR="000D2DDC">
        <w:t>, especially during times of financial loss.</w:t>
      </w:r>
      <w:r w:rsidR="00DF3BCF">
        <w:t xml:space="preserve"> PRB </w:t>
      </w:r>
      <w:r w:rsidR="00630589">
        <w:t>must</w:t>
      </w:r>
      <w:r w:rsidR="00DF3BCF">
        <w:t>, therefore, be one of several essential reforms.</w:t>
      </w:r>
      <w:r w:rsidR="00C70282" w:rsidRPr="00C70282">
        <w:t xml:space="preserve"> </w:t>
      </w:r>
    </w:p>
    <w:p w14:paraId="46BC3F89" w14:textId="6E34D7C5" w:rsidR="00D87A0B" w:rsidRDefault="00D87A0B" w:rsidP="0067471A">
      <w:pPr>
        <w:spacing w:after="160"/>
        <w:jc w:val="both"/>
      </w:pPr>
      <w:r>
        <w:t>The proposed reform</w:t>
      </w:r>
      <w:r w:rsidR="001B2E2B">
        <w:t xml:space="preserve"> provides an opportunity to </w:t>
      </w:r>
      <w:r w:rsidR="003831CA">
        <w:t xml:space="preserve">reimagine and restructure </w:t>
      </w:r>
      <w:r w:rsidR="00C7015F">
        <w:t xml:space="preserve">our approach </w:t>
      </w:r>
      <w:r w:rsidR="00A53649">
        <w:t xml:space="preserve">to </w:t>
      </w:r>
      <w:r w:rsidR="00C7015F">
        <w:t>a</w:t>
      </w:r>
      <w:r w:rsidR="00A53649">
        <w:t xml:space="preserve">nd </w:t>
      </w:r>
      <w:r w:rsidR="00E17225">
        <w:t xml:space="preserve">our </w:t>
      </w:r>
      <w:r w:rsidR="00A53649">
        <w:t>attitudes regarding employment</w:t>
      </w:r>
      <w:r w:rsidR="00A51EBC">
        <w:t xml:space="preserve"> and unemployment in a changing world of work.</w:t>
      </w:r>
      <w:r w:rsidR="003831CA">
        <w:t xml:space="preserve"> </w:t>
      </w:r>
      <w:r w:rsidR="00E17225">
        <w:t>Clearly, the</w:t>
      </w:r>
      <w:r w:rsidR="006B0B6D">
        <w:t xml:space="preserve"> </w:t>
      </w:r>
      <w:r w:rsidR="00E17225">
        <w:t>administration of a reformed system must ensure that the contributory principle works for all.</w:t>
      </w:r>
      <w:r w:rsidR="00E17225" w:rsidRPr="0067471A">
        <w:t> </w:t>
      </w:r>
    </w:p>
    <w:p w14:paraId="5D78FCDD" w14:textId="17B2A289" w:rsidR="004C4462" w:rsidRDefault="004C4462" w:rsidP="007A69C8">
      <w:pPr>
        <w:jc w:val="both"/>
      </w:pPr>
    </w:p>
    <w:p w14:paraId="3B121073" w14:textId="77777777" w:rsidR="004C4462" w:rsidRDefault="004C4462" w:rsidP="007A69C8">
      <w:pPr>
        <w:jc w:val="both"/>
      </w:pPr>
    </w:p>
    <w:p w14:paraId="06E51CC8" w14:textId="77777777" w:rsidR="00207443" w:rsidRDefault="00207443" w:rsidP="007A69C8">
      <w:pPr>
        <w:spacing w:after="160"/>
        <w:ind w:left="11" w:hanging="11"/>
        <w:jc w:val="both"/>
      </w:pPr>
    </w:p>
    <w:sectPr w:rsidR="00207443">
      <w:headerReference w:type="even" r:id="rId14"/>
      <w:headerReference w:type="default" r:id="rId15"/>
      <w:footerReference w:type="default" r:id="rId16"/>
      <w:head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9E3464" w14:textId="77777777" w:rsidR="00B9706B" w:rsidRDefault="00B9706B" w:rsidP="00EF445D">
      <w:pPr>
        <w:spacing w:after="0" w:line="240" w:lineRule="auto"/>
      </w:pPr>
      <w:r>
        <w:separator/>
      </w:r>
    </w:p>
  </w:endnote>
  <w:endnote w:type="continuationSeparator" w:id="0">
    <w:p w14:paraId="1E3DAAF4" w14:textId="77777777" w:rsidR="00B9706B" w:rsidRDefault="00B9706B" w:rsidP="00EF44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6517515"/>
      <w:docPartObj>
        <w:docPartGallery w:val="Page Numbers (Bottom of Page)"/>
        <w:docPartUnique/>
      </w:docPartObj>
    </w:sdtPr>
    <w:sdtEndPr>
      <w:rPr>
        <w:noProof/>
      </w:rPr>
    </w:sdtEndPr>
    <w:sdtContent>
      <w:p w14:paraId="6F4003AC" w14:textId="2B3F8933" w:rsidR="00192BD1" w:rsidRDefault="00192BD1">
        <w:pPr>
          <w:pStyle w:val="Footer"/>
          <w:jc w:val="right"/>
        </w:pPr>
        <w:r>
          <w:fldChar w:fldCharType="begin"/>
        </w:r>
        <w:r>
          <w:instrText xml:space="preserve"> PAGE   \* MERGEFORMAT </w:instrText>
        </w:r>
        <w:r>
          <w:fldChar w:fldCharType="separate"/>
        </w:r>
        <w:r w:rsidR="00E74A72">
          <w:rPr>
            <w:noProof/>
          </w:rPr>
          <w:t>9</w:t>
        </w:r>
        <w:r>
          <w:rPr>
            <w:noProof/>
          </w:rPr>
          <w:fldChar w:fldCharType="end"/>
        </w:r>
      </w:p>
    </w:sdtContent>
  </w:sdt>
  <w:p w14:paraId="48842FBD" w14:textId="77777777" w:rsidR="00192BD1" w:rsidRDefault="00192B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68CABB" w14:textId="77777777" w:rsidR="00B9706B" w:rsidRDefault="00B9706B" w:rsidP="00EF445D">
      <w:pPr>
        <w:spacing w:after="0" w:line="240" w:lineRule="auto"/>
      </w:pPr>
      <w:r>
        <w:separator/>
      </w:r>
    </w:p>
  </w:footnote>
  <w:footnote w:type="continuationSeparator" w:id="0">
    <w:p w14:paraId="32F9C378" w14:textId="77777777" w:rsidR="00B9706B" w:rsidRDefault="00B9706B" w:rsidP="00EF445D">
      <w:pPr>
        <w:spacing w:after="0" w:line="240" w:lineRule="auto"/>
      </w:pPr>
      <w:r>
        <w:continuationSeparator/>
      </w:r>
    </w:p>
  </w:footnote>
  <w:footnote w:id="1">
    <w:p w14:paraId="1C1DF6CB" w14:textId="7030AB43" w:rsidR="001A277D" w:rsidRDefault="001A277D">
      <w:pPr>
        <w:pStyle w:val="FootnoteText"/>
      </w:pPr>
      <w:r>
        <w:rPr>
          <w:rStyle w:val="FootnoteReference"/>
        </w:rPr>
        <w:footnoteRef/>
      </w:r>
      <w:r>
        <w:t xml:space="preserve"> For further detail</w:t>
      </w:r>
      <w:r w:rsidR="00F357F2">
        <w:t>,</w:t>
      </w:r>
      <w:r>
        <w:t xml:space="preserve"> see </w:t>
      </w:r>
      <w:hyperlink r:id="rId1" w:history="1">
        <w:r w:rsidR="00C70708" w:rsidRPr="00831E1E">
          <w:rPr>
            <w:rStyle w:val="Hyperlink"/>
          </w:rPr>
          <w:t>https://www.citizensinformationboard.ie/en/data-hub/</w:t>
        </w:r>
      </w:hyperlink>
      <w:r w:rsidR="00C70708">
        <w:t xml:space="preserve"> </w:t>
      </w:r>
    </w:p>
  </w:footnote>
  <w:footnote w:id="2">
    <w:p w14:paraId="73CF6614" w14:textId="2B4C82F1" w:rsidR="00EF445D" w:rsidRDefault="00EF445D">
      <w:pPr>
        <w:pStyle w:val="FootnoteText"/>
      </w:pPr>
      <w:r>
        <w:rPr>
          <w:rStyle w:val="FootnoteReference"/>
        </w:rPr>
        <w:footnoteRef/>
      </w:r>
      <w:r>
        <w:t xml:space="preserve"> </w:t>
      </w:r>
      <w:r w:rsidRPr="00EF445D">
        <w:t>Johnston, H., McGauran, A.M.,</w:t>
      </w:r>
      <w:r w:rsidR="00F357F2">
        <w:t xml:space="preserve"> (</w:t>
      </w:r>
      <w:r w:rsidRPr="00EF445D">
        <w:t>2021</w:t>
      </w:r>
      <w:r w:rsidR="00F357F2">
        <w:t>)</w:t>
      </w:r>
      <w:r w:rsidRPr="00EF445D">
        <w:t xml:space="preserve">, </w:t>
      </w:r>
      <w:r w:rsidRPr="00E52B2A">
        <w:rPr>
          <w:i/>
          <w:iCs/>
        </w:rPr>
        <w:t>Social Insurance and the Welfare System: Towards a Sustainable Developmental Welfare State</w:t>
      </w:r>
      <w:r w:rsidRPr="00EF445D">
        <w:t>, NESC Background Paper 151/1.</w:t>
      </w:r>
      <w:r w:rsidR="00F357F2" w:rsidRPr="00F357F2">
        <w:t xml:space="preserve"> </w:t>
      </w:r>
      <w:hyperlink r:id="rId2" w:history="1">
        <w:r w:rsidR="00F357F2" w:rsidRPr="00C8403E">
          <w:rPr>
            <w:rStyle w:val="Hyperlink"/>
          </w:rPr>
          <w:t>http://files.nesc.ie/nesc_background_papers/151_background_paper_1.pdf</w:t>
        </w:r>
      </w:hyperlink>
      <w:r w:rsidR="00F357F2">
        <w:t xml:space="preserve"> </w:t>
      </w:r>
    </w:p>
  </w:footnote>
  <w:footnote w:id="3">
    <w:p w14:paraId="3368E761" w14:textId="03E074D1" w:rsidR="00DF0126" w:rsidRPr="00DF0126" w:rsidRDefault="00DF0126">
      <w:pPr>
        <w:pStyle w:val="FootnoteText"/>
        <w:rPr>
          <w:b/>
        </w:rPr>
      </w:pPr>
      <w:r>
        <w:rPr>
          <w:rStyle w:val="FootnoteReference"/>
        </w:rPr>
        <w:footnoteRef/>
      </w:r>
      <w:r>
        <w:t xml:space="preserve"> </w:t>
      </w:r>
      <w:r w:rsidR="00770773">
        <w:t xml:space="preserve">Cited in NESC (2020), </w:t>
      </w:r>
      <w:r w:rsidR="00770773">
        <w:rPr>
          <w:i/>
          <w:iCs/>
        </w:rPr>
        <w:t>The Future of the Irish Social Welfare System: Participation and Protection</w:t>
      </w:r>
      <w:r w:rsidR="00770773">
        <w:t xml:space="preserve">. Report No. 151. </w:t>
      </w:r>
      <w:hyperlink r:id="rId3" w:history="1">
        <w:r w:rsidR="00770773">
          <w:rPr>
            <w:rStyle w:val="Hyperlink"/>
          </w:rPr>
          <w:t>http://files.nesc.ie/nesc_reports/en/151_Future_Social_Welfare.pdf</w:t>
        </w:r>
      </w:hyperlink>
    </w:p>
  </w:footnote>
  <w:footnote w:id="4">
    <w:p w14:paraId="482A0BB2" w14:textId="3081B21D" w:rsidR="00770773" w:rsidRPr="00770773" w:rsidRDefault="00770773">
      <w:pPr>
        <w:pStyle w:val="FootnoteText"/>
      </w:pPr>
      <w:r>
        <w:rPr>
          <w:rStyle w:val="FootnoteReference"/>
        </w:rPr>
        <w:footnoteRef/>
      </w:r>
      <w:r>
        <w:t xml:space="preserve"> </w:t>
      </w:r>
      <w:r>
        <w:rPr>
          <w:i/>
        </w:rPr>
        <w:t xml:space="preserve">Ibid. </w:t>
      </w:r>
      <w:r>
        <w:t>p. (xviii).</w:t>
      </w:r>
    </w:p>
  </w:footnote>
  <w:footnote w:id="5">
    <w:p w14:paraId="291E120F" w14:textId="2029A673" w:rsidR="00455705" w:rsidRPr="00455705" w:rsidRDefault="00455705">
      <w:pPr>
        <w:pStyle w:val="FootnoteText"/>
      </w:pPr>
      <w:r>
        <w:rPr>
          <w:rStyle w:val="FootnoteReference"/>
        </w:rPr>
        <w:footnoteRef/>
      </w:r>
      <w:r>
        <w:t xml:space="preserve"> </w:t>
      </w:r>
      <w:r>
        <w:rPr>
          <w:i/>
        </w:rPr>
        <w:t xml:space="preserve">Ibid. </w:t>
      </w:r>
      <w:r>
        <w:t>p. (xxii)</w:t>
      </w:r>
    </w:p>
  </w:footnote>
  <w:footnote w:id="6">
    <w:p w14:paraId="4591A2E3" w14:textId="77777777" w:rsidR="00455705" w:rsidRDefault="00455705" w:rsidP="00455705">
      <w:pPr>
        <w:pStyle w:val="FootnoteText"/>
      </w:pPr>
      <w:r>
        <w:rPr>
          <w:rStyle w:val="FootnoteReference"/>
        </w:rPr>
        <w:footnoteRef/>
      </w:r>
      <w:r>
        <w:t xml:space="preserve"> NESC (2020), </w:t>
      </w:r>
      <w:r>
        <w:rPr>
          <w:i/>
          <w:iCs/>
        </w:rPr>
        <w:t>The Future of the Irish Social Welfare System: Participation and Protection</w:t>
      </w:r>
      <w:r>
        <w:t xml:space="preserve">. Report No. 151. </w:t>
      </w:r>
      <w:hyperlink r:id="rId4" w:history="1">
        <w:r>
          <w:rPr>
            <w:rStyle w:val="Hyperlink"/>
          </w:rPr>
          <w:t>http://files.nesc.ie/nesc_reports/en/151_Future_Social_Welfare.pdf</w:t>
        </w:r>
      </w:hyperlink>
      <w:r>
        <w:t xml:space="preserve"> .</w:t>
      </w:r>
    </w:p>
  </w:footnote>
  <w:footnote w:id="7">
    <w:p w14:paraId="15D635F4" w14:textId="06907D6F" w:rsidR="004F246E" w:rsidRDefault="004F246E">
      <w:pPr>
        <w:pStyle w:val="FootnoteText"/>
      </w:pPr>
      <w:r>
        <w:rPr>
          <w:rStyle w:val="FootnoteReference"/>
        </w:rPr>
        <w:footnoteRef/>
      </w:r>
      <w:r>
        <w:t xml:space="preserve"> CIB (2021) Pre-Budget Submission 2022: </w:t>
      </w:r>
      <w:r w:rsidRPr="004F246E">
        <w:t>Addressing Citizens’ Concerns on Adequacy of Income, Debt and Money Advice</w:t>
      </w:r>
      <w:r>
        <w:t>.</w:t>
      </w:r>
    </w:p>
  </w:footnote>
  <w:footnote w:id="8">
    <w:p w14:paraId="29C91247" w14:textId="5609ECA0" w:rsidR="0033396A" w:rsidRDefault="0033396A" w:rsidP="00FC0CD2">
      <w:pPr>
        <w:pStyle w:val="FootnoteText"/>
      </w:pPr>
      <w:r>
        <w:rPr>
          <w:rStyle w:val="FootnoteReference"/>
        </w:rPr>
        <w:footnoteRef/>
      </w:r>
      <w:r>
        <w:t xml:space="preserve"> Services dealt with 16,118 JA queries and a further 13,264 Working Family payment queries in 2022.</w:t>
      </w:r>
    </w:p>
  </w:footnote>
  <w:footnote w:id="9">
    <w:p w14:paraId="75D77AE7" w14:textId="06831854" w:rsidR="0012632F" w:rsidRDefault="0012632F">
      <w:pPr>
        <w:pStyle w:val="FootnoteText"/>
      </w:pPr>
      <w:r w:rsidRPr="004226F1">
        <w:rPr>
          <w:rStyle w:val="FootnoteReference"/>
          <w:color w:val="auto"/>
        </w:rPr>
        <w:footnoteRef/>
      </w:r>
      <w:r w:rsidRPr="004226F1">
        <w:rPr>
          <w:color w:val="auto"/>
        </w:rPr>
        <w:t xml:space="preserve"> </w:t>
      </w:r>
      <w:r w:rsidR="00F357F2">
        <w:rPr>
          <w:color w:val="auto"/>
        </w:rPr>
        <w:t xml:space="preserve">See, </w:t>
      </w:r>
      <w:r w:rsidR="008A4DA6" w:rsidRPr="004226F1">
        <w:rPr>
          <w:color w:val="auto"/>
        </w:rPr>
        <w:t>for example</w:t>
      </w:r>
      <w:r w:rsidR="00F357F2">
        <w:rPr>
          <w:color w:val="auto"/>
        </w:rPr>
        <w:t>,</w:t>
      </w:r>
      <w:r w:rsidR="008A4DA6" w:rsidRPr="004226F1">
        <w:rPr>
          <w:color w:val="auto"/>
        </w:rPr>
        <w:t xml:space="preserve"> </w:t>
      </w:r>
      <w:r w:rsidR="00103AE2" w:rsidRPr="004226F1">
        <w:rPr>
          <w:color w:val="auto"/>
        </w:rPr>
        <w:t>NESC (</w:t>
      </w:r>
      <w:r w:rsidR="0036668E" w:rsidRPr="004226F1">
        <w:rPr>
          <w:color w:val="auto"/>
        </w:rPr>
        <w:t>2005</w:t>
      </w:r>
      <w:r w:rsidR="00103AE2" w:rsidRPr="004226F1">
        <w:rPr>
          <w:color w:val="auto"/>
        </w:rPr>
        <w:t>),</w:t>
      </w:r>
      <w:r w:rsidR="0036668E" w:rsidRPr="004226F1">
        <w:rPr>
          <w:color w:val="auto"/>
        </w:rPr>
        <w:t xml:space="preserve"> </w:t>
      </w:r>
      <w:r w:rsidR="0036668E" w:rsidRPr="004226F1">
        <w:rPr>
          <w:i/>
          <w:iCs/>
          <w:color w:val="auto"/>
        </w:rPr>
        <w:t>The Developmental Welfare State</w:t>
      </w:r>
      <w:r w:rsidR="004226F1" w:rsidRPr="004226F1">
        <w:rPr>
          <w:i/>
          <w:iCs/>
          <w:color w:val="auto"/>
        </w:rPr>
        <w:t xml:space="preserve">: A Framework for Reform, </w:t>
      </w:r>
      <w:r w:rsidR="00C608AF">
        <w:rPr>
          <w:color w:val="auto"/>
        </w:rPr>
        <w:t>Report No. 113</w:t>
      </w:r>
      <w:r w:rsidR="004226F1" w:rsidRPr="004226F1">
        <w:rPr>
          <w:color w:val="auto"/>
        </w:rPr>
        <w:t xml:space="preserve"> </w:t>
      </w:r>
      <w:hyperlink r:id="rId5" w:history="1">
        <w:r w:rsidR="004226F1" w:rsidRPr="00C8403E">
          <w:rPr>
            <w:rStyle w:val="Hyperlink"/>
          </w:rPr>
          <w:t>http://files.nesc.ie/nesc_reports/en/NESC_113.pdf</w:t>
        </w:r>
      </w:hyperlink>
      <w:r w:rsidR="004226F1">
        <w:t xml:space="preserve"> </w:t>
      </w:r>
      <w:r w:rsidR="003A6A12">
        <w:t>p</w:t>
      </w:r>
      <w:r w:rsidR="004226F1">
        <w:t>s. 220-221</w:t>
      </w:r>
      <w:r w:rsidR="00DE1D85">
        <w:t>.</w:t>
      </w:r>
    </w:p>
  </w:footnote>
  <w:footnote w:id="10">
    <w:p w14:paraId="0817BFEC" w14:textId="29B7C0CE" w:rsidR="0035677B" w:rsidRDefault="0035677B">
      <w:pPr>
        <w:pStyle w:val="FootnoteText"/>
      </w:pPr>
      <w:r>
        <w:rPr>
          <w:rStyle w:val="FootnoteReference"/>
        </w:rPr>
        <w:footnoteRef/>
      </w:r>
      <w:r>
        <w:t xml:space="preserve"> </w:t>
      </w:r>
      <w:r w:rsidR="007B7EB7">
        <w:t xml:space="preserve">See for example - </w:t>
      </w:r>
      <w:r w:rsidR="0080615F" w:rsidRPr="0080615F">
        <w:t xml:space="preserve">Kakoulidou, T., Doolan, M. and Roantree, B., 2022, </w:t>
      </w:r>
      <w:r w:rsidR="0080615F" w:rsidRPr="007B7EB7">
        <w:rPr>
          <w:i/>
          <w:iCs/>
        </w:rPr>
        <w:t>Earnings Related Benefits in Ireland – Rationale, Costs and Work Incentives</w:t>
      </w:r>
      <w:r w:rsidR="0080615F" w:rsidRPr="0080615F">
        <w:t xml:space="preserve">, Budget Perspective 2023 Paper 2, </w:t>
      </w:r>
      <w:r w:rsidR="00D833EB">
        <w:t>ESRI</w:t>
      </w:r>
      <w:r w:rsidR="0080615F" w:rsidRPr="0080615F">
        <w:t xml:space="preserve">, Dublin - </w:t>
      </w:r>
      <w:hyperlink r:id="rId6" w:history="1">
        <w:r w:rsidR="007B7EB7" w:rsidRPr="001604CB">
          <w:rPr>
            <w:rStyle w:val="Hyperlink"/>
          </w:rPr>
          <w:t>https://www.esri.ie/publications/earnings-related-benefits-in-ireland-rationale-costs-and-work-incentives</w:t>
        </w:r>
      </w:hyperlink>
      <w:r w:rsidR="007B7EB7">
        <w:t xml:space="preserve"> </w:t>
      </w:r>
    </w:p>
  </w:footnote>
  <w:footnote w:id="11">
    <w:p w14:paraId="4CE3D795" w14:textId="2678F694" w:rsidR="005B3DFE" w:rsidRPr="005B3DFE" w:rsidRDefault="005B3DFE" w:rsidP="005B3DFE">
      <w:pPr>
        <w:rPr>
          <w:rFonts w:asciiTheme="minorHAnsi" w:eastAsia="Times New Roman" w:hAnsiTheme="minorHAnsi" w:cstheme="minorHAnsi"/>
          <w:color w:val="auto"/>
          <w:sz w:val="20"/>
          <w:szCs w:val="20"/>
        </w:rPr>
      </w:pPr>
      <w:r w:rsidRPr="005B3DFE">
        <w:rPr>
          <w:rStyle w:val="FootnoteReference"/>
          <w:rFonts w:asciiTheme="minorHAnsi" w:hAnsiTheme="minorHAnsi" w:cstheme="minorHAnsi"/>
          <w:color w:val="auto"/>
          <w:sz w:val="20"/>
          <w:szCs w:val="20"/>
        </w:rPr>
        <w:footnoteRef/>
      </w:r>
      <w:r w:rsidRPr="005B3DFE">
        <w:rPr>
          <w:rFonts w:asciiTheme="minorHAnsi" w:hAnsiTheme="minorHAnsi" w:cstheme="minorHAnsi"/>
          <w:color w:val="auto"/>
          <w:sz w:val="20"/>
          <w:szCs w:val="20"/>
        </w:rPr>
        <w:t xml:space="preserve"> Theano, Kakoulidou, Michael Doolan and Barra Roantree (2022</w:t>
      </w:r>
      <w:r w:rsidRPr="005B3DFE">
        <w:rPr>
          <w:rFonts w:asciiTheme="minorHAnsi" w:hAnsiTheme="minorHAnsi" w:cstheme="minorHAnsi"/>
          <w:i/>
          <w:color w:val="auto"/>
          <w:sz w:val="20"/>
          <w:szCs w:val="20"/>
        </w:rPr>
        <w:t xml:space="preserve">), </w:t>
      </w:r>
      <w:r w:rsidRPr="005B3DFE">
        <w:rPr>
          <w:rStyle w:val="field"/>
          <w:rFonts w:asciiTheme="minorHAnsi" w:hAnsiTheme="minorHAnsi" w:cstheme="minorHAnsi"/>
          <w:i/>
          <w:color w:val="auto"/>
          <w:sz w:val="20"/>
          <w:szCs w:val="20"/>
        </w:rPr>
        <w:t>Earnings-related benefits in Ireland: rationale, costs and work incentives,</w:t>
      </w:r>
      <w:r w:rsidRPr="005B3DFE">
        <w:rPr>
          <w:rStyle w:val="field"/>
          <w:rFonts w:asciiTheme="minorHAnsi" w:hAnsiTheme="minorHAnsi" w:cstheme="minorHAnsi"/>
          <w:color w:val="auto"/>
          <w:sz w:val="20"/>
          <w:szCs w:val="20"/>
        </w:rPr>
        <w:t xml:space="preserve"> ESRI,</w:t>
      </w:r>
    </w:p>
    <w:p w14:paraId="40577FFE" w14:textId="442902AF" w:rsidR="005B3DFE" w:rsidRPr="005B3DFE" w:rsidRDefault="005B3DFE" w:rsidP="005B3DFE">
      <w:pPr>
        <w:rPr>
          <w:rFonts w:asciiTheme="minorHAnsi" w:hAnsiTheme="minorHAnsi" w:cstheme="minorHAnsi"/>
          <w:color w:val="auto"/>
          <w:sz w:val="20"/>
          <w:szCs w:val="20"/>
        </w:rPr>
      </w:pPr>
      <w:r w:rsidRPr="005B3DFE">
        <w:rPr>
          <w:rFonts w:asciiTheme="minorHAnsi" w:hAnsiTheme="minorHAnsi" w:cstheme="minorHAnsi"/>
          <w:color w:val="auto"/>
          <w:sz w:val="20"/>
          <w:szCs w:val="20"/>
        </w:rPr>
        <w:t xml:space="preserve"> </w:t>
      </w:r>
      <w:hyperlink r:id="rId7" w:history="1">
        <w:r w:rsidRPr="005B3DFE">
          <w:rPr>
            <w:rStyle w:val="Hyperlink"/>
            <w:rFonts w:asciiTheme="minorHAnsi" w:hAnsiTheme="minorHAnsi" w:cstheme="minorHAnsi"/>
            <w:color w:val="auto"/>
            <w:sz w:val="20"/>
            <w:szCs w:val="20"/>
          </w:rPr>
          <w:t>https://www.esri.ie/publications/earnings-related-benefits-in-ireland-rationale-costs-and-work-incentives</w:t>
        </w:r>
      </w:hyperlink>
    </w:p>
  </w:footnote>
  <w:footnote w:id="12">
    <w:p w14:paraId="31E2B3BA" w14:textId="3698A859" w:rsidR="00F26A88" w:rsidRDefault="00F26A88" w:rsidP="00F26A88">
      <w:pPr>
        <w:pStyle w:val="FootnoteText"/>
      </w:pPr>
      <w:r>
        <w:rPr>
          <w:rStyle w:val="FootnoteReference"/>
        </w:rPr>
        <w:footnoteRef/>
      </w:r>
      <w:r>
        <w:t xml:space="preserve">MANDATE (2023), </w:t>
      </w:r>
      <w:r>
        <w:rPr>
          <w:i/>
        </w:rPr>
        <w:t xml:space="preserve">Smoke and Mirrors </w:t>
      </w:r>
      <w:hyperlink r:id="rId8" w:history="1">
        <w:r>
          <w:rPr>
            <w:rStyle w:val="Hyperlink"/>
          </w:rPr>
          <w:t>https://mandate.ie/app/uploads/2023/02/15952_smokemirrors_report_interior.pdf</w:t>
        </w:r>
      </w:hyperlink>
      <w:r>
        <w:t xml:space="preserve"> </w:t>
      </w:r>
    </w:p>
  </w:footnote>
  <w:footnote w:id="13">
    <w:p w14:paraId="24B3EB8D" w14:textId="3D840D3E" w:rsidR="00D25D03" w:rsidRPr="00D25D03" w:rsidRDefault="00D25D03" w:rsidP="00D25D03">
      <w:pPr>
        <w:rPr>
          <w:rFonts w:eastAsia="Times New Roman"/>
          <w:sz w:val="20"/>
          <w:szCs w:val="20"/>
        </w:rPr>
      </w:pPr>
      <w:r w:rsidRPr="00D25D03">
        <w:rPr>
          <w:rStyle w:val="FootnoteReference"/>
          <w:sz w:val="20"/>
          <w:szCs w:val="20"/>
        </w:rPr>
        <w:footnoteRef/>
      </w:r>
      <w:r w:rsidRPr="00D25D03">
        <w:rPr>
          <w:sz w:val="20"/>
          <w:szCs w:val="20"/>
        </w:rPr>
        <w:t xml:space="preserve"> Survey on Income and Living Conditions (SILC) 2021</w:t>
      </w:r>
    </w:p>
    <w:p w14:paraId="3A7FF798" w14:textId="52F159BA" w:rsidR="00D25D03" w:rsidRDefault="00E74A72">
      <w:pPr>
        <w:pStyle w:val="FootnoteText"/>
      </w:pPr>
      <w:hyperlink r:id="rId9" w:history="1">
        <w:r w:rsidR="00D25D03" w:rsidRPr="00B37DA2">
          <w:rPr>
            <w:rStyle w:val="Hyperlink"/>
          </w:rPr>
          <w:t>https://www.cso.ie/en/releasesandpublications/ep/p-silc/surveyonincomeandlivingconditionssilc2021/povertyanddeprivation/</w:t>
        </w:r>
      </w:hyperlink>
      <w:r w:rsidR="00D25D03">
        <w:t xml:space="preserve"> </w:t>
      </w:r>
    </w:p>
  </w:footnote>
  <w:footnote w:id="14">
    <w:p w14:paraId="37D45755" w14:textId="279B2721" w:rsidR="00066110" w:rsidRDefault="00066110" w:rsidP="00066110">
      <w:pPr>
        <w:pStyle w:val="FootnoteText"/>
      </w:pPr>
      <w:r>
        <w:rPr>
          <w:rStyle w:val="FootnoteReference"/>
        </w:rPr>
        <w:footnoteRef/>
      </w:r>
      <w:r>
        <w:t xml:space="preserve"> Callan, T., C. O’Dea, B. Roantree and M. Savage (2016). </w:t>
      </w:r>
      <w:r>
        <w:rPr>
          <w:i/>
          <w:iCs/>
        </w:rPr>
        <w:t>Financial incentives to work: Comparing Ireland and the UK</w:t>
      </w:r>
      <w:r>
        <w:t>, Budget Perspectives 2017, Economic and Social Research Institute, Dublin.</w:t>
      </w:r>
      <w:r w:rsidR="00C608AF">
        <w:t xml:space="preserve"> </w:t>
      </w:r>
      <w:hyperlink r:id="rId10" w:history="1">
        <w:r>
          <w:rPr>
            <w:rStyle w:val="Hyperlink"/>
          </w:rPr>
          <w:t>https://www.esri.ie/system/files/publications/BP201702.pdf</w:t>
        </w:r>
      </w:hyperlink>
      <w:r>
        <w:t xml:space="preserve"> </w:t>
      </w:r>
    </w:p>
  </w:footnote>
  <w:footnote w:id="15">
    <w:p w14:paraId="2B31490C" w14:textId="664B0DD0" w:rsidR="00511452" w:rsidRDefault="00511452">
      <w:pPr>
        <w:pStyle w:val="FootnoteText"/>
      </w:pPr>
      <w:r>
        <w:rPr>
          <w:rStyle w:val="FootnoteReference"/>
        </w:rPr>
        <w:footnoteRef/>
      </w:r>
      <w:r>
        <w:t xml:space="preserve"> Report of the Commission on Taxation and Welfare, </w:t>
      </w:r>
      <w:hyperlink r:id="rId11" w:history="1">
        <w:r w:rsidRPr="003C612E">
          <w:rPr>
            <w:rStyle w:val="Hyperlink"/>
          </w:rPr>
          <w:t>https://assets.gov.ie/234316/b4db38b0-1daa-4f7a-a309-fcce4811828c.pdf</w:t>
        </w:r>
      </w:hyperlink>
      <w:r>
        <w:t xml:space="preserve"> p. 305.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E091CD" w14:textId="71B13FE2" w:rsidR="007D7FB5" w:rsidRDefault="007D7F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C95CC8" w14:textId="37ECA26F" w:rsidR="007D7FB5" w:rsidRDefault="007D7F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6AA557" w14:textId="4D55DAA1" w:rsidR="007D7FB5" w:rsidRDefault="007D7F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312435"/>
    <w:multiLevelType w:val="multilevel"/>
    <w:tmpl w:val="5C1C3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766A92"/>
    <w:multiLevelType w:val="hybridMultilevel"/>
    <w:tmpl w:val="7FDC978C"/>
    <w:lvl w:ilvl="0" w:tplc="18090001">
      <w:start w:val="1"/>
      <w:numFmt w:val="bullet"/>
      <w:lvlText w:val=""/>
      <w:lvlJc w:val="left"/>
      <w:pPr>
        <w:ind w:left="705" w:hanging="360"/>
      </w:pPr>
      <w:rPr>
        <w:rFonts w:ascii="Symbol" w:hAnsi="Symbol" w:hint="default"/>
      </w:rPr>
    </w:lvl>
    <w:lvl w:ilvl="1" w:tplc="18090003" w:tentative="1">
      <w:start w:val="1"/>
      <w:numFmt w:val="bullet"/>
      <w:lvlText w:val="o"/>
      <w:lvlJc w:val="left"/>
      <w:pPr>
        <w:ind w:left="1425" w:hanging="360"/>
      </w:pPr>
      <w:rPr>
        <w:rFonts w:ascii="Courier New" w:hAnsi="Courier New" w:cs="Courier New" w:hint="default"/>
      </w:rPr>
    </w:lvl>
    <w:lvl w:ilvl="2" w:tplc="18090005" w:tentative="1">
      <w:start w:val="1"/>
      <w:numFmt w:val="bullet"/>
      <w:lvlText w:val=""/>
      <w:lvlJc w:val="left"/>
      <w:pPr>
        <w:ind w:left="2145" w:hanging="360"/>
      </w:pPr>
      <w:rPr>
        <w:rFonts w:ascii="Wingdings" w:hAnsi="Wingdings" w:hint="default"/>
      </w:rPr>
    </w:lvl>
    <w:lvl w:ilvl="3" w:tplc="18090001" w:tentative="1">
      <w:start w:val="1"/>
      <w:numFmt w:val="bullet"/>
      <w:lvlText w:val=""/>
      <w:lvlJc w:val="left"/>
      <w:pPr>
        <w:ind w:left="2865" w:hanging="360"/>
      </w:pPr>
      <w:rPr>
        <w:rFonts w:ascii="Symbol" w:hAnsi="Symbol" w:hint="default"/>
      </w:rPr>
    </w:lvl>
    <w:lvl w:ilvl="4" w:tplc="18090003" w:tentative="1">
      <w:start w:val="1"/>
      <w:numFmt w:val="bullet"/>
      <w:lvlText w:val="o"/>
      <w:lvlJc w:val="left"/>
      <w:pPr>
        <w:ind w:left="3585" w:hanging="360"/>
      </w:pPr>
      <w:rPr>
        <w:rFonts w:ascii="Courier New" w:hAnsi="Courier New" w:cs="Courier New" w:hint="default"/>
      </w:rPr>
    </w:lvl>
    <w:lvl w:ilvl="5" w:tplc="18090005" w:tentative="1">
      <w:start w:val="1"/>
      <w:numFmt w:val="bullet"/>
      <w:lvlText w:val=""/>
      <w:lvlJc w:val="left"/>
      <w:pPr>
        <w:ind w:left="4305" w:hanging="360"/>
      </w:pPr>
      <w:rPr>
        <w:rFonts w:ascii="Wingdings" w:hAnsi="Wingdings" w:hint="default"/>
      </w:rPr>
    </w:lvl>
    <w:lvl w:ilvl="6" w:tplc="18090001" w:tentative="1">
      <w:start w:val="1"/>
      <w:numFmt w:val="bullet"/>
      <w:lvlText w:val=""/>
      <w:lvlJc w:val="left"/>
      <w:pPr>
        <w:ind w:left="5025" w:hanging="360"/>
      </w:pPr>
      <w:rPr>
        <w:rFonts w:ascii="Symbol" w:hAnsi="Symbol" w:hint="default"/>
      </w:rPr>
    </w:lvl>
    <w:lvl w:ilvl="7" w:tplc="18090003" w:tentative="1">
      <w:start w:val="1"/>
      <w:numFmt w:val="bullet"/>
      <w:lvlText w:val="o"/>
      <w:lvlJc w:val="left"/>
      <w:pPr>
        <w:ind w:left="5745" w:hanging="360"/>
      </w:pPr>
      <w:rPr>
        <w:rFonts w:ascii="Courier New" w:hAnsi="Courier New" w:cs="Courier New" w:hint="default"/>
      </w:rPr>
    </w:lvl>
    <w:lvl w:ilvl="8" w:tplc="18090005" w:tentative="1">
      <w:start w:val="1"/>
      <w:numFmt w:val="bullet"/>
      <w:lvlText w:val=""/>
      <w:lvlJc w:val="left"/>
      <w:pPr>
        <w:ind w:left="6465" w:hanging="360"/>
      </w:pPr>
      <w:rPr>
        <w:rFonts w:ascii="Wingdings" w:hAnsi="Wingdings" w:hint="default"/>
      </w:rPr>
    </w:lvl>
  </w:abstractNum>
  <w:abstractNum w:abstractNumId="2" w15:restartNumberingAfterBreak="0">
    <w:nsid w:val="56164F84"/>
    <w:multiLevelType w:val="hybridMultilevel"/>
    <w:tmpl w:val="814CA29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 w15:restartNumberingAfterBreak="0">
    <w:nsid w:val="58DA66E1"/>
    <w:multiLevelType w:val="hybridMultilevel"/>
    <w:tmpl w:val="8A00C6AE"/>
    <w:lvl w:ilvl="0" w:tplc="1EFE3C60">
      <w:start w:val="1"/>
      <w:numFmt w:val="decimal"/>
      <w:lvlText w:val="%1."/>
      <w:lvlJc w:val="left"/>
      <w:pPr>
        <w:ind w:left="345" w:hanging="360"/>
      </w:pPr>
      <w:rPr>
        <w:rFonts w:hint="default"/>
      </w:rPr>
    </w:lvl>
    <w:lvl w:ilvl="1" w:tplc="18090019" w:tentative="1">
      <w:start w:val="1"/>
      <w:numFmt w:val="lowerLetter"/>
      <w:lvlText w:val="%2."/>
      <w:lvlJc w:val="left"/>
      <w:pPr>
        <w:ind w:left="1065" w:hanging="360"/>
      </w:pPr>
    </w:lvl>
    <w:lvl w:ilvl="2" w:tplc="1809001B" w:tentative="1">
      <w:start w:val="1"/>
      <w:numFmt w:val="lowerRoman"/>
      <w:lvlText w:val="%3."/>
      <w:lvlJc w:val="right"/>
      <w:pPr>
        <w:ind w:left="1785" w:hanging="180"/>
      </w:pPr>
    </w:lvl>
    <w:lvl w:ilvl="3" w:tplc="1809000F" w:tentative="1">
      <w:start w:val="1"/>
      <w:numFmt w:val="decimal"/>
      <w:lvlText w:val="%4."/>
      <w:lvlJc w:val="left"/>
      <w:pPr>
        <w:ind w:left="2505" w:hanging="360"/>
      </w:pPr>
    </w:lvl>
    <w:lvl w:ilvl="4" w:tplc="18090019" w:tentative="1">
      <w:start w:val="1"/>
      <w:numFmt w:val="lowerLetter"/>
      <w:lvlText w:val="%5."/>
      <w:lvlJc w:val="left"/>
      <w:pPr>
        <w:ind w:left="3225" w:hanging="360"/>
      </w:pPr>
    </w:lvl>
    <w:lvl w:ilvl="5" w:tplc="1809001B" w:tentative="1">
      <w:start w:val="1"/>
      <w:numFmt w:val="lowerRoman"/>
      <w:lvlText w:val="%6."/>
      <w:lvlJc w:val="right"/>
      <w:pPr>
        <w:ind w:left="3945" w:hanging="180"/>
      </w:pPr>
    </w:lvl>
    <w:lvl w:ilvl="6" w:tplc="1809000F" w:tentative="1">
      <w:start w:val="1"/>
      <w:numFmt w:val="decimal"/>
      <w:lvlText w:val="%7."/>
      <w:lvlJc w:val="left"/>
      <w:pPr>
        <w:ind w:left="4665" w:hanging="360"/>
      </w:pPr>
    </w:lvl>
    <w:lvl w:ilvl="7" w:tplc="18090019" w:tentative="1">
      <w:start w:val="1"/>
      <w:numFmt w:val="lowerLetter"/>
      <w:lvlText w:val="%8."/>
      <w:lvlJc w:val="left"/>
      <w:pPr>
        <w:ind w:left="5385" w:hanging="360"/>
      </w:pPr>
    </w:lvl>
    <w:lvl w:ilvl="8" w:tplc="1809001B" w:tentative="1">
      <w:start w:val="1"/>
      <w:numFmt w:val="lowerRoman"/>
      <w:lvlText w:val="%9."/>
      <w:lvlJc w:val="right"/>
      <w:pPr>
        <w:ind w:left="6105" w:hanging="180"/>
      </w:pPr>
    </w:lvl>
  </w:abstractNum>
  <w:abstractNum w:abstractNumId="4" w15:restartNumberingAfterBreak="0">
    <w:nsid w:val="653C752A"/>
    <w:multiLevelType w:val="multilevel"/>
    <w:tmpl w:val="4A7E3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A062F78"/>
    <w:multiLevelType w:val="hybridMultilevel"/>
    <w:tmpl w:val="7E9818F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2"/>
  </w:num>
  <w:num w:numId="5">
    <w:abstractNumId w:val="4"/>
  </w:num>
  <w:num w:numId="6">
    <w:abstractNumId w:val="0"/>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3F4"/>
    <w:rsid w:val="00006BF8"/>
    <w:rsid w:val="00012409"/>
    <w:rsid w:val="00023872"/>
    <w:rsid w:val="00030766"/>
    <w:rsid w:val="00031D78"/>
    <w:rsid w:val="00032A17"/>
    <w:rsid w:val="00033B64"/>
    <w:rsid w:val="000423FB"/>
    <w:rsid w:val="00043BE4"/>
    <w:rsid w:val="00050D31"/>
    <w:rsid w:val="000550BF"/>
    <w:rsid w:val="00066110"/>
    <w:rsid w:val="00070279"/>
    <w:rsid w:val="00071CCA"/>
    <w:rsid w:val="00076823"/>
    <w:rsid w:val="00077D27"/>
    <w:rsid w:val="00083B87"/>
    <w:rsid w:val="00093335"/>
    <w:rsid w:val="000978E3"/>
    <w:rsid w:val="000B7847"/>
    <w:rsid w:val="000C03DC"/>
    <w:rsid w:val="000D1758"/>
    <w:rsid w:val="000D2DDC"/>
    <w:rsid w:val="000D4E84"/>
    <w:rsid w:val="000E0D6D"/>
    <w:rsid w:val="000E6EDD"/>
    <w:rsid w:val="000E7228"/>
    <w:rsid w:val="000F25FB"/>
    <w:rsid w:val="000F7A1E"/>
    <w:rsid w:val="00103AE2"/>
    <w:rsid w:val="0011007A"/>
    <w:rsid w:val="0011168F"/>
    <w:rsid w:val="0011728A"/>
    <w:rsid w:val="00123B03"/>
    <w:rsid w:val="00123B5C"/>
    <w:rsid w:val="00124232"/>
    <w:rsid w:val="0012632F"/>
    <w:rsid w:val="00130096"/>
    <w:rsid w:val="00134465"/>
    <w:rsid w:val="00136355"/>
    <w:rsid w:val="00137D7D"/>
    <w:rsid w:val="00140B8A"/>
    <w:rsid w:val="0014603B"/>
    <w:rsid w:val="001464AC"/>
    <w:rsid w:val="00150F22"/>
    <w:rsid w:val="0015108D"/>
    <w:rsid w:val="0015190A"/>
    <w:rsid w:val="00151D17"/>
    <w:rsid w:val="0015465C"/>
    <w:rsid w:val="00156080"/>
    <w:rsid w:val="0015722B"/>
    <w:rsid w:val="001578D5"/>
    <w:rsid w:val="00160597"/>
    <w:rsid w:val="00160E70"/>
    <w:rsid w:val="001642EA"/>
    <w:rsid w:val="00165708"/>
    <w:rsid w:val="00177797"/>
    <w:rsid w:val="00180735"/>
    <w:rsid w:val="001874CF"/>
    <w:rsid w:val="001910A9"/>
    <w:rsid w:val="00192BD1"/>
    <w:rsid w:val="001A125F"/>
    <w:rsid w:val="001A277D"/>
    <w:rsid w:val="001A5C5D"/>
    <w:rsid w:val="001A5FB6"/>
    <w:rsid w:val="001B2E2B"/>
    <w:rsid w:val="001B2E96"/>
    <w:rsid w:val="001B45CB"/>
    <w:rsid w:val="001C4A0C"/>
    <w:rsid w:val="001C4AB0"/>
    <w:rsid w:val="001C750E"/>
    <w:rsid w:val="001D0D1A"/>
    <w:rsid w:val="001D22D3"/>
    <w:rsid w:val="001D5DE5"/>
    <w:rsid w:val="001D720A"/>
    <w:rsid w:val="001D7E9F"/>
    <w:rsid w:val="001E0886"/>
    <w:rsid w:val="001E7C8B"/>
    <w:rsid w:val="001F4BA8"/>
    <w:rsid w:val="00200442"/>
    <w:rsid w:val="00201F7B"/>
    <w:rsid w:val="00207443"/>
    <w:rsid w:val="0021255B"/>
    <w:rsid w:val="00223EB8"/>
    <w:rsid w:val="00224A2E"/>
    <w:rsid w:val="00227E3A"/>
    <w:rsid w:val="00236F49"/>
    <w:rsid w:val="00237707"/>
    <w:rsid w:val="00245B06"/>
    <w:rsid w:val="002546E8"/>
    <w:rsid w:val="00257162"/>
    <w:rsid w:val="002609BB"/>
    <w:rsid w:val="00260EF0"/>
    <w:rsid w:val="00260F96"/>
    <w:rsid w:val="0026227A"/>
    <w:rsid w:val="00265018"/>
    <w:rsid w:val="00265DF7"/>
    <w:rsid w:val="00272381"/>
    <w:rsid w:val="00276CE1"/>
    <w:rsid w:val="00280F86"/>
    <w:rsid w:val="00282041"/>
    <w:rsid w:val="00285998"/>
    <w:rsid w:val="00290152"/>
    <w:rsid w:val="002936D5"/>
    <w:rsid w:val="00295E1C"/>
    <w:rsid w:val="0029629B"/>
    <w:rsid w:val="002A1A52"/>
    <w:rsid w:val="002B372E"/>
    <w:rsid w:val="002C5BC1"/>
    <w:rsid w:val="002D173C"/>
    <w:rsid w:val="002D241E"/>
    <w:rsid w:val="002D7D78"/>
    <w:rsid w:val="002E1BF2"/>
    <w:rsid w:val="002E3144"/>
    <w:rsid w:val="002F2EB7"/>
    <w:rsid w:val="003042AE"/>
    <w:rsid w:val="0031419B"/>
    <w:rsid w:val="00314EA2"/>
    <w:rsid w:val="00316CC3"/>
    <w:rsid w:val="00324C68"/>
    <w:rsid w:val="00330263"/>
    <w:rsid w:val="00331090"/>
    <w:rsid w:val="0033396A"/>
    <w:rsid w:val="00337D50"/>
    <w:rsid w:val="00352DBB"/>
    <w:rsid w:val="003561E3"/>
    <w:rsid w:val="0035677B"/>
    <w:rsid w:val="0036547C"/>
    <w:rsid w:val="003662F4"/>
    <w:rsid w:val="0036668E"/>
    <w:rsid w:val="003708E3"/>
    <w:rsid w:val="00376C9A"/>
    <w:rsid w:val="003770CA"/>
    <w:rsid w:val="00381BDC"/>
    <w:rsid w:val="003831CA"/>
    <w:rsid w:val="00383DE7"/>
    <w:rsid w:val="0038463D"/>
    <w:rsid w:val="00385E08"/>
    <w:rsid w:val="003931D2"/>
    <w:rsid w:val="00395B70"/>
    <w:rsid w:val="003A21D2"/>
    <w:rsid w:val="003A6A12"/>
    <w:rsid w:val="003A6F26"/>
    <w:rsid w:val="003B2C83"/>
    <w:rsid w:val="003B4E8C"/>
    <w:rsid w:val="003B6C38"/>
    <w:rsid w:val="003D03C9"/>
    <w:rsid w:val="003D22A1"/>
    <w:rsid w:val="003D2808"/>
    <w:rsid w:val="003D3AA3"/>
    <w:rsid w:val="003D4741"/>
    <w:rsid w:val="003D6661"/>
    <w:rsid w:val="003D6DF7"/>
    <w:rsid w:val="003F0474"/>
    <w:rsid w:val="003F2C88"/>
    <w:rsid w:val="00403756"/>
    <w:rsid w:val="004108DE"/>
    <w:rsid w:val="004160D1"/>
    <w:rsid w:val="00417AB3"/>
    <w:rsid w:val="004208FF"/>
    <w:rsid w:val="004226F1"/>
    <w:rsid w:val="0042781F"/>
    <w:rsid w:val="00434CB3"/>
    <w:rsid w:val="00435A75"/>
    <w:rsid w:val="00440B97"/>
    <w:rsid w:val="00441D5D"/>
    <w:rsid w:val="00443527"/>
    <w:rsid w:val="00444633"/>
    <w:rsid w:val="004501F4"/>
    <w:rsid w:val="0045206D"/>
    <w:rsid w:val="004553CD"/>
    <w:rsid w:val="00455705"/>
    <w:rsid w:val="00457E0C"/>
    <w:rsid w:val="004611D4"/>
    <w:rsid w:val="00461AF0"/>
    <w:rsid w:val="00464310"/>
    <w:rsid w:val="00467BA8"/>
    <w:rsid w:val="0047381B"/>
    <w:rsid w:val="00477405"/>
    <w:rsid w:val="00480B2C"/>
    <w:rsid w:val="00483488"/>
    <w:rsid w:val="00492109"/>
    <w:rsid w:val="004A4320"/>
    <w:rsid w:val="004A6F3D"/>
    <w:rsid w:val="004B3B8C"/>
    <w:rsid w:val="004B728B"/>
    <w:rsid w:val="004C4462"/>
    <w:rsid w:val="004C6FDA"/>
    <w:rsid w:val="004D2528"/>
    <w:rsid w:val="004D27B7"/>
    <w:rsid w:val="004D5CF4"/>
    <w:rsid w:val="004E0536"/>
    <w:rsid w:val="004E0D12"/>
    <w:rsid w:val="004E2F81"/>
    <w:rsid w:val="004E6EE1"/>
    <w:rsid w:val="004F246E"/>
    <w:rsid w:val="004F6F44"/>
    <w:rsid w:val="004F714B"/>
    <w:rsid w:val="004F721B"/>
    <w:rsid w:val="005013B8"/>
    <w:rsid w:val="005024ED"/>
    <w:rsid w:val="00511452"/>
    <w:rsid w:val="00521ABB"/>
    <w:rsid w:val="0052568A"/>
    <w:rsid w:val="005341E3"/>
    <w:rsid w:val="00536CCA"/>
    <w:rsid w:val="00557F9D"/>
    <w:rsid w:val="00560B8D"/>
    <w:rsid w:val="00560D2C"/>
    <w:rsid w:val="005737F4"/>
    <w:rsid w:val="00580682"/>
    <w:rsid w:val="00581300"/>
    <w:rsid w:val="005827B0"/>
    <w:rsid w:val="00584896"/>
    <w:rsid w:val="00586296"/>
    <w:rsid w:val="005914DE"/>
    <w:rsid w:val="005950A7"/>
    <w:rsid w:val="005A2A68"/>
    <w:rsid w:val="005A4299"/>
    <w:rsid w:val="005B0764"/>
    <w:rsid w:val="005B3DFE"/>
    <w:rsid w:val="005B68B8"/>
    <w:rsid w:val="005C165D"/>
    <w:rsid w:val="005C4579"/>
    <w:rsid w:val="005D269C"/>
    <w:rsid w:val="005D2A34"/>
    <w:rsid w:val="005D65D6"/>
    <w:rsid w:val="005D7A6E"/>
    <w:rsid w:val="005E14B3"/>
    <w:rsid w:val="005F68F7"/>
    <w:rsid w:val="005F6AFF"/>
    <w:rsid w:val="00607018"/>
    <w:rsid w:val="006125DC"/>
    <w:rsid w:val="00612B40"/>
    <w:rsid w:val="00615C01"/>
    <w:rsid w:val="00624DC8"/>
    <w:rsid w:val="00625BBC"/>
    <w:rsid w:val="006261B1"/>
    <w:rsid w:val="00627BAE"/>
    <w:rsid w:val="00627D7C"/>
    <w:rsid w:val="00630589"/>
    <w:rsid w:val="00633B87"/>
    <w:rsid w:val="006342E5"/>
    <w:rsid w:val="006428C7"/>
    <w:rsid w:val="00650B16"/>
    <w:rsid w:val="0066247D"/>
    <w:rsid w:val="00665F0F"/>
    <w:rsid w:val="00667B8F"/>
    <w:rsid w:val="0067060D"/>
    <w:rsid w:val="00673E1B"/>
    <w:rsid w:val="0067471A"/>
    <w:rsid w:val="006815B0"/>
    <w:rsid w:val="006837FF"/>
    <w:rsid w:val="006961E4"/>
    <w:rsid w:val="0069763A"/>
    <w:rsid w:val="006A0257"/>
    <w:rsid w:val="006A3483"/>
    <w:rsid w:val="006A42C1"/>
    <w:rsid w:val="006A7950"/>
    <w:rsid w:val="006B037F"/>
    <w:rsid w:val="006B08B0"/>
    <w:rsid w:val="006B0B6D"/>
    <w:rsid w:val="006B70CF"/>
    <w:rsid w:val="006D35E3"/>
    <w:rsid w:val="006D6115"/>
    <w:rsid w:val="006D6BA3"/>
    <w:rsid w:val="006E5EC3"/>
    <w:rsid w:val="006F1C86"/>
    <w:rsid w:val="0070240D"/>
    <w:rsid w:val="00715C78"/>
    <w:rsid w:val="00716E7C"/>
    <w:rsid w:val="0071798C"/>
    <w:rsid w:val="0072062B"/>
    <w:rsid w:val="00720F44"/>
    <w:rsid w:val="007246DA"/>
    <w:rsid w:val="00726265"/>
    <w:rsid w:val="00727D1B"/>
    <w:rsid w:val="00740977"/>
    <w:rsid w:val="00742E09"/>
    <w:rsid w:val="00743018"/>
    <w:rsid w:val="00746A01"/>
    <w:rsid w:val="0074741C"/>
    <w:rsid w:val="007602F3"/>
    <w:rsid w:val="007651C8"/>
    <w:rsid w:val="00766185"/>
    <w:rsid w:val="00770773"/>
    <w:rsid w:val="00770C38"/>
    <w:rsid w:val="00774F12"/>
    <w:rsid w:val="00776B98"/>
    <w:rsid w:val="00781D4E"/>
    <w:rsid w:val="007857CD"/>
    <w:rsid w:val="00786525"/>
    <w:rsid w:val="00790009"/>
    <w:rsid w:val="00790DE9"/>
    <w:rsid w:val="00794E9C"/>
    <w:rsid w:val="007A50B0"/>
    <w:rsid w:val="007A69C8"/>
    <w:rsid w:val="007B6FDD"/>
    <w:rsid w:val="007B7EB7"/>
    <w:rsid w:val="007C0D2D"/>
    <w:rsid w:val="007C35F5"/>
    <w:rsid w:val="007C7B66"/>
    <w:rsid w:val="007D020A"/>
    <w:rsid w:val="007D07B0"/>
    <w:rsid w:val="007D0914"/>
    <w:rsid w:val="007D2190"/>
    <w:rsid w:val="007D4ADF"/>
    <w:rsid w:val="007D592E"/>
    <w:rsid w:val="007D6CFC"/>
    <w:rsid w:val="007D7FB5"/>
    <w:rsid w:val="007F135E"/>
    <w:rsid w:val="007F59FE"/>
    <w:rsid w:val="007F6581"/>
    <w:rsid w:val="007F78A2"/>
    <w:rsid w:val="00802E74"/>
    <w:rsid w:val="008033C2"/>
    <w:rsid w:val="0080615F"/>
    <w:rsid w:val="00807219"/>
    <w:rsid w:val="008110A9"/>
    <w:rsid w:val="00814DF1"/>
    <w:rsid w:val="00817E08"/>
    <w:rsid w:val="00832D36"/>
    <w:rsid w:val="008424AD"/>
    <w:rsid w:val="008433A3"/>
    <w:rsid w:val="008459F1"/>
    <w:rsid w:val="00846B14"/>
    <w:rsid w:val="008501AA"/>
    <w:rsid w:val="008504C1"/>
    <w:rsid w:val="0085186F"/>
    <w:rsid w:val="008527F6"/>
    <w:rsid w:val="008530D8"/>
    <w:rsid w:val="0086786B"/>
    <w:rsid w:val="00875F77"/>
    <w:rsid w:val="008778B9"/>
    <w:rsid w:val="00881131"/>
    <w:rsid w:val="00885A6A"/>
    <w:rsid w:val="00886A23"/>
    <w:rsid w:val="008965A7"/>
    <w:rsid w:val="008A1DE1"/>
    <w:rsid w:val="008A3CD2"/>
    <w:rsid w:val="008A4DA6"/>
    <w:rsid w:val="008B0A7D"/>
    <w:rsid w:val="008D1FA5"/>
    <w:rsid w:val="008E5750"/>
    <w:rsid w:val="008E6292"/>
    <w:rsid w:val="008E6B8A"/>
    <w:rsid w:val="008F092B"/>
    <w:rsid w:val="008F50BA"/>
    <w:rsid w:val="00901715"/>
    <w:rsid w:val="0090574D"/>
    <w:rsid w:val="00907F57"/>
    <w:rsid w:val="009102F9"/>
    <w:rsid w:val="00912A41"/>
    <w:rsid w:val="00913C47"/>
    <w:rsid w:val="009154FF"/>
    <w:rsid w:val="00915A74"/>
    <w:rsid w:val="009217F2"/>
    <w:rsid w:val="009243F4"/>
    <w:rsid w:val="00933803"/>
    <w:rsid w:val="00935960"/>
    <w:rsid w:val="00940E14"/>
    <w:rsid w:val="009411DA"/>
    <w:rsid w:val="00942691"/>
    <w:rsid w:val="0094309C"/>
    <w:rsid w:val="00947F30"/>
    <w:rsid w:val="009616D0"/>
    <w:rsid w:val="00973C39"/>
    <w:rsid w:val="009741AA"/>
    <w:rsid w:val="00975D61"/>
    <w:rsid w:val="009777CD"/>
    <w:rsid w:val="009805C5"/>
    <w:rsid w:val="0098092C"/>
    <w:rsid w:val="00980D2C"/>
    <w:rsid w:val="00980D4E"/>
    <w:rsid w:val="00984BF1"/>
    <w:rsid w:val="00986741"/>
    <w:rsid w:val="00986A0F"/>
    <w:rsid w:val="00995C86"/>
    <w:rsid w:val="00997DE9"/>
    <w:rsid w:val="009A3904"/>
    <w:rsid w:val="009A7732"/>
    <w:rsid w:val="009B2561"/>
    <w:rsid w:val="009B345B"/>
    <w:rsid w:val="009B79D4"/>
    <w:rsid w:val="009B7C33"/>
    <w:rsid w:val="009C2069"/>
    <w:rsid w:val="009D12C1"/>
    <w:rsid w:val="009D55E9"/>
    <w:rsid w:val="009D6276"/>
    <w:rsid w:val="00A105E0"/>
    <w:rsid w:val="00A10D47"/>
    <w:rsid w:val="00A16E0F"/>
    <w:rsid w:val="00A2484D"/>
    <w:rsid w:val="00A2657D"/>
    <w:rsid w:val="00A41338"/>
    <w:rsid w:val="00A44D29"/>
    <w:rsid w:val="00A455AC"/>
    <w:rsid w:val="00A474AC"/>
    <w:rsid w:val="00A51EBC"/>
    <w:rsid w:val="00A53603"/>
    <w:rsid w:val="00A53649"/>
    <w:rsid w:val="00A55F04"/>
    <w:rsid w:val="00A64EE7"/>
    <w:rsid w:val="00A67457"/>
    <w:rsid w:val="00A71989"/>
    <w:rsid w:val="00A73F58"/>
    <w:rsid w:val="00A75556"/>
    <w:rsid w:val="00A80E63"/>
    <w:rsid w:val="00A846E6"/>
    <w:rsid w:val="00A84762"/>
    <w:rsid w:val="00A87352"/>
    <w:rsid w:val="00A96956"/>
    <w:rsid w:val="00A97E42"/>
    <w:rsid w:val="00AA0053"/>
    <w:rsid w:val="00AA53FB"/>
    <w:rsid w:val="00AA5898"/>
    <w:rsid w:val="00AB05F1"/>
    <w:rsid w:val="00AB2BDB"/>
    <w:rsid w:val="00AB2CC5"/>
    <w:rsid w:val="00AB6932"/>
    <w:rsid w:val="00AC113F"/>
    <w:rsid w:val="00AC13F1"/>
    <w:rsid w:val="00AC4447"/>
    <w:rsid w:val="00AC6B01"/>
    <w:rsid w:val="00AC7D23"/>
    <w:rsid w:val="00AE15D5"/>
    <w:rsid w:val="00AE4F4D"/>
    <w:rsid w:val="00AF5F7E"/>
    <w:rsid w:val="00B013EF"/>
    <w:rsid w:val="00B143CD"/>
    <w:rsid w:val="00B165DA"/>
    <w:rsid w:val="00B21BE5"/>
    <w:rsid w:val="00B300CD"/>
    <w:rsid w:val="00B3291F"/>
    <w:rsid w:val="00B33110"/>
    <w:rsid w:val="00B439BB"/>
    <w:rsid w:val="00B526E2"/>
    <w:rsid w:val="00B551CE"/>
    <w:rsid w:val="00B561F2"/>
    <w:rsid w:val="00B61291"/>
    <w:rsid w:val="00B67D42"/>
    <w:rsid w:val="00B84062"/>
    <w:rsid w:val="00B91963"/>
    <w:rsid w:val="00B9706B"/>
    <w:rsid w:val="00BA0A28"/>
    <w:rsid w:val="00BA1811"/>
    <w:rsid w:val="00BB0450"/>
    <w:rsid w:val="00BC072E"/>
    <w:rsid w:val="00BC791D"/>
    <w:rsid w:val="00BD1C95"/>
    <w:rsid w:val="00BD5D28"/>
    <w:rsid w:val="00BE144E"/>
    <w:rsid w:val="00BE1E80"/>
    <w:rsid w:val="00BE4D72"/>
    <w:rsid w:val="00BF1AB0"/>
    <w:rsid w:val="00BF6EB0"/>
    <w:rsid w:val="00C03EF6"/>
    <w:rsid w:val="00C0482E"/>
    <w:rsid w:val="00C0542E"/>
    <w:rsid w:val="00C1258C"/>
    <w:rsid w:val="00C12F75"/>
    <w:rsid w:val="00C149C5"/>
    <w:rsid w:val="00C166AD"/>
    <w:rsid w:val="00C16A9A"/>
    <w:rsid w:val="00C21710"/>
    <w:rsid w:val="00C25DE5"/>
    <w:rsid w:val="00C32923"/>
    <w:rsid w:val="00C33F20"/>
    <w:rsid w:val="00C4028D"/>
    <w:rsid w:val="00C416AE"/>
    <w:rsid w:val="00C41F0B"/>
    <w:rsid w:val="00C43172"/>
    <w:rsid w:val="00C53215"/>
    <w:rsid w:val="00C54952"/>
    <w:rsid w:val="00C5607B"/>
    <w:rsid w:val="00C608AF"/>
    <w:rsid w:val="00C667F1"/>
    <w:rsid w:val="00C7015F"/>
    <w:rsid w:val="00C70282"/>
    <w:rsid w:val="00C70708"/>
    <w:rsid w:val="00C7267B"/>
    <w:rsid w:val="00C77413"/>
    <w:rsid w:val="00C87C05"/>
    <w:rsid w:val="00C93B71"/>
    <w:rsid w:val="00C941A1"/>
    <w:rsid w:val="00CA0318"/>
    <w:rsid w:val="00CA3635"/>
    <w:rsid w:val="00CB14A0"/>
    <w:rsid w:val="00CC12DC"/>
    <w:rsid w:val="00CD53BB"/>
    <w:rsid w:val="00CD5995"/>
    <w:rsid w:val="00CE073C"/>
    <w:rsid w:val="00CE6394"/>
    <w:rsid w:val="00CF0BB0"/>
    <w:rsid w:val="00CF35D9"/>
    <w:rsid w:val="00CF513B"/>
    <w:rsid w:val="00D03281"/>
    <w:rsid w:val="00D03624"/>
    <w:rsid w:val="00D05884"/>
    <w:rsid w:val="00D114A8"/>
    <w:rsid w:val="00D123C8"/>
    <w:rsid w:val="00D20A12"/>
    <w:rsid w:val="00D22FA1"/>
    <w:rsid w:val="00D24F9E"/>
    <w:rsid w:val="00D25D03"/>
    <w:rsid w:val="00D32B8F"/>
    <w:rsid w:val="00D37611"/>
    <w:rsid w:val="00D42351"/>
    <w:rsid w:val="00D44215"/>
    <w:rsid w:val="00D45C65"/>
    <w:rsid w:val="00D47DF4"/>
    <w:rsid w:val="00D52CED"/>
    <w:rsid w:val="00D65344"/>
    <w:rsid w:val="00D676D6"/>
    <w:rsid w:val="00D805FA"/>
    <w:rsid w:val="00D83153"/>
    <w:rsid w:val="00D833EB"/>
    <w:rsid w:val="00D87A0B"/>
    <w:rsid w:val="00D9277C"/>
    <w:rsid w:val="00D95A01"/>
    <w:rsid w:val="00D96494"/>
    <w:rsid w:val="00DA45B9"/>
    <w:rsid w:val="00DA7D87"/>
    <w:rsid w:val="00DB2C70"/>
    <w:rsid w:val="00DB37ED"/>
    <w:rsid w:val="00DC1021"/>
    <w:rsid w:val="00DE1D85"/>
    <w:rsid w:val="00DE24FB"/>
    <w:rsid w:val="00DF0126"/>
    <w:rsid w:val="00DF2F66"/>
    <w:rsid w:val="00DF3BCF"/>
    <w:rsid w:val="00E1036D"/>
    <w:rsid w:val="00E12717"/>
    <w:rsid w:val="00E12B99"/>
    <w:rsid w:val="00E16980"/>
    <w:rsid w:val="00E17225"/>
    <w:rsid w:val="00E44BF4"/>
    <w:rsid w:val="00E51D9E"/>
    <w:rsid w:val="00E52B2A"/>
    <w:rsid w:val="00E54340"/>
    <w:rsid w:val="00E54E51"/>
    <w:rsid w:val="00E60667"/>
    <w:rsid w:val="00E66E32"/>
    <w:rsid w:val="00E74A72"/>
    <w:rsid w:val="00E838DC"/>
    <w:rsid w:val="00E86119"/>
    <w:rsid w:val="00E90B24"/>
    <w:rsid w:val="00E93C8A"/>
    <w:rsid w:val="00E94933"/>
    <w:rsid w:val="00EA050D"/>
    <w:rsid w:val="00EB0516"/>
    <w:rsid w:val="00EB38F5"/>
    <w:rsid w:val="00EB4535"/>
    <w:rsid w:val="00EB608D"/>
    <w:rsid w:val="00EC5084"/>
    <w:rsid w:val="00EC62AD"/>
    <w:rsid w:val="00ED0472"/>
    <w:rsid w:val="00ED1E4E"/>
    <w:rsid w:val="00EE3B0C"/>
    <w:rsid w:val="00EF445D"/>
    <w:rsid w:val="00EF679F"/>
    <w:rsid w:val="00F03FE3"/>
    <w:rsid w:val="00F0779F"/>
    <w:rsid w:val="00F10C1C"/>
    <w:rsid w:val="00F12C50"/>
    <w:rsid w:val="00F15B96"/>
    <w:rsid w:val="00F26A88"/>
    <w:rsid w:val="00F357F2"/>
    <w:rsid w:val="00F35A0A"/>
    <w:rsid w:val="00F35E27"/>
    <w:rsid w:val="00F428F9"/>
    <w:rsid w:val="00F43794"/>
    <w:rsid w:val="00F44D5D"/>
    <w:rsid w:val="00F56CFF"/>
    <w:rsid w:val="00F646CA"/>
    <w:rsid w:val="00F67FAF"/>
    <w:rsid w:val="00F73C17"/>
    <w:rsid w:val="00F74442"/>
    <w:rsid w:val="00F757AF"/>
    <w:rsid w:val="00F87BDA"/>
    <w:rsid w:val="00F90D1F"/>
    <w:rsid w:val="00FA03F6"/>
    <w:rsid w:val="00FA32B0"/>
    <w:rsid w:val="00FA7479"/>
    <w:rsid w:val="00FB004F"/>
    <w:rsid w:val="00FB1F4F"/>
    <w:rsid w:val="00FC0CD2"/>
    <w:rsid w:val="00FC63F6"/>
    <w:rsid w:val="00FD2B34"/>
    <w:rsid w:val="00FE0C58"/>
    <w:rsid w:val="00FE2D8C"/>
    <w:rsid w:val="00FF2093"/>
    <w:rsid w:val="00FF219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996DFA1"/>
  <w15:chartTrackingRefBased/>
  <w15:docId w15:val="{F9ED5BA9-56F5-469C-9619-3D7215385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1989"/>
    <w:pPr>
      <w:spacing w:after="6" w:line="271" w:lineRule="auto"/>
      <w:ind w:left="10" w:hanging="10"/>
    </w:pPr>
    <w:rPr>
      <w:rFonts w:ascii="Calibri" w:eastAsia="Calibri" w:hAnsi="Calibri" w:cs="Calibri"/>
      <w:color w:val="000000"/>
      <w:lang w:eastAsia="en-IE"/>
    </w:rPr>
  </w:style>
  <w:style w:type="paragraph" w:styleId="Heading1">
    <w:name w:val="heading 1"/>
    <w:next w:val="Normal"/>
    <w:link w:val="Heading1Char"/>
    <w:uiPriority w:val="9"/>
    <w:qFormat/>
    <w:rsid w:val="00A71989"/>
    <w:pPr>
      <w:keepNext/>
      <w:keepLines/>
      <w:spacing w:after="1"/>
      <w:ind w:left="10" w:hanging="10"/>
      <w:outlineLvl w:val="0"/>
    </w:pPr>
    <w:rPr>
      <w:rFonts w:ascii="Cambria" w:eastAsia="Cambria" w:hAnsi="Cambria" w:cs="Cambria"/>
      <w:color w:val="243F60"/>
      <w:sz w:val="24"/>
      <w:lang w:eastAsia="en-IE"/>
    </w:rPr>
  </w:style>
  <w:style w:type="paragraph" w:styleId="Heading2">
    <w:name w:val="heading 2"/>
    <w:basedOn w:val="Normal"/>
    <w:next w:val="Normal"/>
    <w:link w:val="Heading2Char"/>
    <w:uiPriority w:val="9"/>
    <w:unhideWhenUsed/>
    <w:qFormat/>
    <w:rsid w:val="00DF012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67D4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B67D4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1989"/>
    <w:rPr>
      <w:rFonts w:ascii="Cambria" w:eastAsia="Cambria" w:hAnsi="Cambria" w:cs="Cambria"/>
      <w:color w:val="243F60"/>
      <w:sz w:val="24"/>
      <w:lang w:eastAsia="en-IE"/>
    </w:rPr>
  </w:style>
  <w:style w:type="paragraph" w:styleId="FootnoteText">
    <w:name w:val="footnote text"/>
    <w:basedOn w:val="Normal"/>
    <w:link w:val="FootnoteTextChar"/>
    <w:uiPriority w:val="99"/>
    <w:semiHidden/>
    <w:unhideWhenUsed/>
    <w:rsid w:val="00EF445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F445D"/>
    <w:rPr>
      <w:rFonts w:ascii="Calibri" w:eastAsia="Calibri" w:hAnsi="Calibri" w:cs="Calibri"/>
      <w:color w:val="000000"/>
      <w:sz w:val="20"/>
      <w:szCs w:val="20"/>
      <w:lang w:eastAsia="en-IE"/>
    </w:rPr>
  </w:style>
  <w:style w:type="character" w:styleId="FootnoteReference">
    <w:name w:val="footnote reference"/>
    <w:basedOn w:val="DefaultParagraphFont"/>
    <w:uiPriority w:val="99"/>
    <w:semiHidden/>
    <w:unhideWhenUsed/>
    <w:rsid w:val="00EF445D"/>
    <w:rPr>
      <w:vertAlign w:val="superscript"/>
    </w:rPr>
  </w:style>
  <w:style w:type="paragraph" w:styleId="ListParagraph">
    <w:name w:val="List Paragraph"/>
    <w:basedOn w:val="Normal"/>
    <w:uiPriority w:val="34"/>
    <w:qFormat/>
    <w:rsid w:val="003662F4"/>
    <w:pPr>
      <w:ind w:left="720"/>
      <w:contextualSpacing/>
    </w:pPr>
  </w:style>
  <w:style w:type="character" w:styleId="Hyperlink">
    <w:name w:val="Hyperlink"/>
    <w:basedOn w:val="DefaultParagraphFont"/>
    <w:uiPriority w:val="99"/>
    <w:unhideWhenUsed/>
    <w:rsid w:val="007B7EB7"/>
    <w:rPr>
      <w:color w:val="0563C1" w:themeColor="hyperlink"/>
      <w:u w:val="single"/>
    </w:rPr>
  </w:style>
  <w:style w:type="character" w:customStyle="1" w:styleId="UnresolvedMention">
    <w:name w:val="Unresolved Mention"/>
    <w:basedOn w:val="DefaultParagraphFont"/>
    <w:uiPriority w:val="99"/>
    <w:semiHidden/>
    <w:unhideWhenUsed/>
    <w:rsid w:val="007B7EB7"/>
    <w:rPr>
      <w:color w:val="605E5C"/>
      <w:shd w:val="clear" w:color="auto" w:fill="E1DFDD"/>
    </w:rPr>
  </w:style>
  <w:style w:type="paragraph" w:styleId="Header">
    <w:name w:val="header"/>
    <w:basedOn w:val="Normal"/>
    <w:link w:val="HeaderChar"/>
    <w:uiPriority w:val="99"/>
    <w:unhideWhenUsed/>
    <w:rsid w:val="00192B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2BD1"/>
    <w:rPr>
      <w:rFonts w:ascii="Calibri" w:eastAsia="Calibri" w:hAnsi="Calibri" w:cs="Calibri"/>
      <w:color w:val="000000"/>
      <w:lang w:eastAsia="en-IE"/>
    </w:rPr>
  </w:style>
  <w:style w:type="paragraph" w:styleId="Footer">
    <w:name w:val="footer"/>
    <w:basedOn w:val="Normal"/>
    <w:link w:val="FooterChar"/>
    <w:uiPriority w:val="99"/>
    <w:unhideWhenUsed/>
    <w:rsid w:val="00192B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2BD1"/>
    <w:rPr>
      <w:rFonts w:ascii="Calibri" w:eastAsia="Calibri" w:hAnsi="Calibri" w:cs="Calibri"/>
      <w:color w:val="000000"/>
      <w:lang w:eastAsia="en-IE"/>
    </w:rPr>
  </w:style>
  <w:style w:type="paragraph" w:styleId="BalloonText">
    <w:name w:val="Balloon Text"/>
    <w:basedOn w:val="Normal"/>
    <w:link w:val="BalloonTextChar"/>
    <w:uiPriority w:val="99"/>
    <w:semiHidden/>
    <w:unhideWhenUsed/>
    <w:rsid w:val="00665F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5F0F"/>
    <w:rPr>
      <w:rFonts w:ascii="Segoe UI" w:eastAsia="Calibri" w:hAnsi="Segoe UI" w:cs="Segoe UI"/>
      <w:color w:val="000000"/>
      <w:sz w:val="18"/>
      <w:szCs w:val="18"/>
      <w:lang w:eastAsia="en-IE"/>
    </w:rPr>
  </w:style>
  <w:style w:type="character" w:customStyle="1" w:styleId="Heading2Char">
    <w:name w:val="Heading 2 Char"/>
    <w:basedOn w:val="DefaultParagraphFont"/>
    <w:link w:val="Heading2"/>
    <w:uiPriority w:val="9"/>
    <w:rsid w:val="00DF0126"/>
    <w:rPr>
      <w:rFonts w:asciiTheme="majorHAnsi" w:eastAsiaTheme="majorEastAsia" w:hAnsiTheme="majorHAnsi" w:cstheme="majorBidi"/>
      <w:color w:val="2F5496" w:themeColor="accent1" w:themeShade="BF"/>
      <w:sz w:val="26"/>
      <w:szCs w:val="26"/>
      <w:lang w:eastAsia="en-IE"/>
    </w:rPr>
  </w:style>
  <w:style w:type="character" w:styleId="FollowedHyperlink">
    <w:name w:val="FollowedHyperlink"/>
    <w:basedOn w:val="DefaultParagraphFont"/>
    <w:uiPriority w:val="99"/>
    <w:semiHidden/>
    <w:unhideWhenUsed/>
    <w:rsid w:val="005B3DFE"/>
    <w:rPr>
      <w:color w:val="954F72" w:themeColor="followedHyperlink"/>
      <w:u w:val="single"/>
    </w:rPr>
  </w:style>
  <w:style w:type="character" w:customStyle="1" w:styleId="field">
    <w:name w:val="field"/>
    <w:basedOn w:val="DefaultParagraphFont"/>
    <w:rsid w:val="005B3DFE"/>
  </w:style>
  <w:style w:type="character" w:styleId="Emphasis">
    <w:name w:val="Emphasis"/>
    <w:basedOn w:val="DefaultParagraphFont"/>
    <w:uiPriority w:val="20"/>
    <w:qFormat/>
    <w:rsid w:val="00F646CA"/>
    <w:rPr>
      <w:i/>
      <w:iCs/>
    </w:rPr>
  </w:style>
  <w:style w:type="character" w:customStyle="1" w:styleId="Heading3Char">
    <w:name w:val="Heading 3 Char"/>
    <w:basedOn w:val="DefaultParagraphFont"/>
    <w:link w:val="Heading3"/>
    <w:uiPriority w:val="9"/>
    <w:rsid w:val="00B67D42"/>
    <w:rPr>
      <w:rFonts w:asciiTheme="majorHAnsi" w:eastAsiaTheme="majorEastAsia" w:hAnsiTheme="majorHAnsi" w:cstheme="majorBidi"/>
      <w:color w:val="1F3763" w:themeColor="accent1" w:themeShade="7F"/>
      <w:sz w:val="24"/>
      <w:szCs w:val="24"/>
      <w:lang w:eastAsia="en-IE"/>
    </w:rPr>
  </w:style>
  <w:style w:type="character" w:customStyle="1" w:styleId="Heading4Char">
    <w:name w:val="Heading 4 Char"/>
    <w:basedOn w:val="DefaultParagraphFont"/>
    <w:link w:val="Heading4"/>
    <w:uiPriority w:val="9"/>
    <w:rsid w:val="00B67D42"/>
    <w:rPr>
      <w:rFonts w:asciiTheme="majorHAnsi" w:eastAsiaTheme="majorEastAsia" w:hAnsiTheme="majorHAnsi" w:cstheme="majorBidi"/>
      <w:i/>
      <w:iCs/>
      <w:color w:val="2F5496" w:themeColor="accent1" w:themeShade="BF"/>
      <w:lang w:eastAsia="en-IE"/>
    </w:rPr>
  </w:style>
  <w:style w:type="paragraph" w:styleId="NormalWeb">
    <w:name w:val="Normal (Web)"/>
    <w:basedOn w:val="Normal"/>
    <w:uiPriority w:val="99"/>
    <w:semiHidden/>
    <w:unhideWhenUsed/>
    <w:rsid w:val="007F135E"/>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styleId="Strong">
    <w:name w:val="Strong"/>
    <w:basedOn w:val="DefaultParagraphFont"/>
    <w:uiPriority w:val="22"/>
    <w:qFormat/>
    <w:rsid w:val="007F135E"/>
    <w:rPr>
      <w:b/>
      <w:bCs/>
    </w:rPr>
  </w:style>
  <w:style w:type="paragraph" w:styleId="NoSpacing">
    <w:name w:val="No Spacing"/>
    <w:uiPriority w:val="1"/>
    <w:qFormat/>
    <w:rsid w:val="00511452"/>
    <w:pPr>
      <w:spacing w:after="0" w:line="240" w:lineRule="auto"/>
      <w:ind w:left="10" w:hanging="10"/>
    </w:pPr>
    <w:rPr>
      <w:rFonts w:ascii="Calibri" w:eastAsia="Calibri" w:hAnsi="Calibri" w:cs="Calibri"/>
      <w:color w:val="000000"/>
      <w:lang w:eastAsia="en-IE"/>
    </w:rPr>
  </w:style>
  <w:style w:type="character" w:styleId="CommentReference">
    <w:name w:val="annotation reference"/>
    <w:basedOn w:val="DefaultParagraphFont"/>
    <w:uiPriority w:val="99"/>
    <w:semiHidden/>
    <w:unhideWhenUsed/>
    <w:rsid w:val="006A0257"/>
    <w:rPr>
      <w:sz w:val="16"/>
      <w:szCs w:val="16"/>
    </w:rPr>
  </w:style>
  <w:style w:type="paragraph" w:styleId="CommentText">
    <w:name w:val="annotation text"/>
    <w:basedOn w:val="Normal"/>
    <w:link w:val="CommentTextChar"/>
    <w:uiPriority w:val="99"/>
    <w:unhideWhenUsed/>
    <w:rsid w:val="006A0257"/>
    <w:pPr>
      <w:spacing w:line="240" w:lineRule="auto"/>
    </w:pPr>
    <w:rPr>
      <w:sz w:val="20"/>
      <w:szCs w:val="20"/>
    </w:rPr>
  </w:style>
  <w:style w:type="character" w:customStyle="1" w:styleId="CommentTextChar">
    <w:name w:val="Comment Text Char"/>
    <w:basedOn w:val="DefaultParagraphFont"/>
    <w:link w:val="CommentText"/>
    <w:uiPriority w:val="99"/>
    <w:rsid w:val="006A0257"/>
    <w:rPr>
      <w:rFonts w:ascii="Calibri" w:eastAsia="Calibri" w:hAnsi="Calibri" w:cs="Calibri"/>
      <w:color w:val="000000"/>
      <w:sz w:val="20"/>
      <w:szCs w:val="20"/>
      <w:lang w:eastAsia="en-IE"/>
    </w:rPr>
  </w:style>
  <w:style w:type="paragraph" w:styleId="CommentSubject">
    <w:name w:val="annotation subject"/>
    <w:basedOn w:val="CommentText"/>
    <w:next w:val="CommentText"/>
    <w:link w:val="CommentSubjectChar"/>
    <w:uiPriority w:val="99"/>
    <w:semiHidden/>
    <w:unhideWhenUsed/>
    <w:rsid w:val="006A0257"/>
    <w:rPr>
      <w:b/>
      <w:bCs/>
    </w:rPr>
  </w:style>
  <w:style w:type="character" w:customStyle="1" w:styleId="CommentSubjectChar">
    <w:name w:val="Comment Subject Char"/>
    <w:basedOn w:val="CommentTextChar"/>
    <w:link w:val="CommentSubject"/>
    <w:uiPriority w:val="99"/>
    <w:semiHidden/>
    <w:rsid w:val="006A0257"/>
    <w:rPr>
      <w:rFonts w:ascii="Calibri" w:eastAsia="Calibri" w:hAnsi="Calibri" w:cs="Calibri"/>
      <w:b/>
      <w:bCs/>
      <w:color w:val="000000"/>
      <w:sz w:val="20"/>
      <w:szCs w:val="20"/>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685699">
      <w:bodyDiv w:val="1"/>
      <w:marLeft w:val="0"/>
      <w:marRight w:val="0"/>
      <w:marTop w:val="0"/>
      <w:marBottom w:val="0"/>
      <w:divBdr>
        <w:top w:val="none" w:sz="0" w:space="0" w:color="auto"/>
        <w:left w:val="none" w:sz="0" w:space="0" w:color="auto"/>
        <w:bottom w:val="none" w:sz="0" w:space="0" w:color="auto"/>
        <w:right w:val="none" w:sz="0" w:space="0" w:color="auto"/>
      </w:divBdr>
    </w:div>
    <w:div w:id="147943631">
      <w:bodyDiv w:val="1"/>
      <w:marLeft w:val="0"/>
      <w:marRight w:val="0"/>
      <w:marTop w:val="0"/>
      <w:marBottom w:val="0"/>
      <w:divBdr>
        <w:top w:val="none" w:sz="0" w:space="0" w:color="auto"/>
        <w:left w:val="none" w:sz="0" w:space="0" w:color="auto"/>
        <w:bottom w:val="none" w:sz="0" w:space="0" w:color="auto"/>
        <w:right w:val="none" w:sz="0" w:space="0" w:color="auto"/>
      </w:divBdr>
    </w:div>
    <w:div w:id="168914532">
      <w:bodyDiv w:val="1"/>
      <w:marLeft w:val="0"/>
      <w:marRight w:val="0"/>
      <w:marTop w:val="0"/>
      <w:marBottom w:val="0"/>
      <w:divBdr>
        <w:top w:val="none" w:sz="0" w:space="0" w:color="auto"/>
        <w:left w:val="none" w:sz="0" w:space="0" w:color="auto"/>
        <w:bottom w:val="none" w:sz="0" w:space="0" w:color="auto"/>
        <w:right w:val="none" w:sz="0" w:space="0" w:color="auto"/>
      </w:divBdr>
    </w:div>
    <w:div w:id="229846973">
      <w:bodyDiv w:val="1"/>
      <w:marLeft w:val="0"/>
      <w:marRight w:val="0"/>
      <w:marTop w:val="0"/>
      <w:marBottom w:val="0"/>
      <w:divBdr>
        <w:top w:val="none" w:sz="0" w:space="0" w:color="auto"/>
        <w:left w:val="none" w:sz="0" w:space="0" w:color="auto"/>
        <w:bottom w:val="none" w:sz="0" w:space="0" w:color="auto"/>
        <w:right w:val="none" w:sz="0" w:space="0" w:color="auto"/>
      </w:divBdr>
    </w:div>
    <w:div w:id="241451856">
      <w:bodyDiv w:val="1"/>
      <w:marLeft w:val="0"/>
      <w:marRight w:val="0"/>
      <w:marTop w:val="0"/>
      <w:marBottom w:val="0"/>
      <w:divBdr>
        <w:top w:val="none" w:sz="0" w:space="0" w:color="auto"/>
        <w:left w:val="none" w:sz="0" w:space="0" w:color="auto"/>
        <w:bottom w:val="none" w:sz="0" w:space="0" w:color="auto"/>
        <w:right w:val="none" w:sz="0" w:space="0" w:color="auto"/>
      </w:divBdr>
    </w:div>
    <w:div w:id="253905104">
      <w:bodyDiv w:val="1"/>
      <w:marLeft w:val="0"/>
      <w:marRight w:val="0"/>
      <w:marTop w:val="0"/>
      <w:marBottom w:val="0"/>
      <w:divBdr>
        <w:top w:val="none" w:sz="0" w:space="0" w:color="auto"/>
        <w:left w:val="none" w:sz="0" w:space="0" w:color="auto"/>
        <w:bottom w:val="none" w:sz="0" w:space="0" w:color="auto"/>
        <w:right w:val="none" w:sz="0" w:space="0" w:color="auto"/>
      </w:divBdr>
    </w:div>
    <w:div w:id="305277512">
      <w:bodyDiv w:val="1"/>
      <w:marLeft w:val="0"/>
      <w:marRight w:val="0"/>
      <w:marTop w:val="0"/>
      <w:marBottom w:val="0"/>
      <w:divBdr>
        <w:top w:val="none" w:sz="0" w:space="0" w:color="auto"/>
        <w:left w:val="none" w:sz="0" w:space="0" w:color="auto"/>
        <w:bottom w:val="none" w:sz="0" w:space="0" w:color="auto"/>
        <w:right w:val="none" w:sz="0" w:space="0" w:color="auto"/>
      </w:divBdr>
    </w:div>
    <w:div w:id="400833879">
      <w:bodyDiv w:val="1"/>
      <w:marLeft w:val="0"/>
      <w:marRight w:val="0"/>
      <w:marTop w:val="0"/>
      <w:marBottom w:val="0"/>
      <w:divBdr>
        <w:top w:val="none" w:sz="0" w:space="0" w:color="auto"/>
        <w:left w:val="none" w:sz="0" w:space="0" w:color="auto"/>
        <w:bottom w:val="none" w:sz="0" w:space="0" w:color="auto"/>
        <w:right w:val="none" w:sz="0" w:space="0" w:color="auto"/>
      </w:divBdr>
    </w:div>
    <w:div w:id="500588272">
      <w:bodyDiv w:val="1"/>
      <w:marLeft w:val="0"/>
      <w:marRight w:val="0"/>
      <w:marTop w:val="0"/>
      <w:marBottom w:val="0"/>
      <w:divBdr>
        <w:top w:val="none" w:sz="0" w:space="0" w:color="auto"/>
        <w:left w:val="none" w:sz="0" w:space="0" w:color="auto"/>
        <w:bottom w:val="none" w:sz="0" w:space="0" w:color="auto"/>
        <w:right w:val="none" w:sz="0" w:space="0" w:color="auto"/>
      </w:divBdr>
    </w:div>
    <w:div w:id="502672243">
      <w:bodyDiv w:val="1"/>
      <w:marLeft w:val="0"/>
      <w:marRight w:val="0"/>
      <w:marTop w:val="0"/>
      <w:marBottom w:val="0"/>
      <w:divBdr>
        <w:top w:val="none" w:sz="0" w:space="0" w:color="auto"/>
        <w:left w:val="none" w:sz="0" w:space="0" w:color="auto"/>
        <w:bottom w:val="none" w:sz="0" w:space="0" w:color="auto"/>
        <w:right w:val="none" w:sz="0" w:space="0" w:color="auto"/>
      </w:divBdr>
    </w:div>
    <w:div w:id="565451888">
      <w:bodyDiv w:val="1"/>
      <w:marLeft w:val="0"/>
      <w:marRight w:val="0"/>
      <w:marTop w:val="0"/>
      <w:marBottom w:val="0"/>
      <w:divBdr>
        <w:top w:val="none" w:sz="0" w:space="0" w:color="auto"/>
        <w:left w:val="none" w:sz="0" w:space="0" w:color="auto"/>
        <w:bottom w:val="none" w:sz="0" w:space="0" w:color="auto"/>
        <w:right w:val="none" w:sz="0" w:space="0" w:color="auto"/>
      </w:divBdr>
    </w:div>
    <w:div w:id="722560804">
      <w:bodyDiv w:val="1"/>
      <w:marLeft w:val="0"/>
      <w:marRight w:val="0"/>
      <w:marTop w:val="0"/>
      <w:marBottom w:val="0"/>
      <w:divBdr>
        <w:top w:val="none" w:sz="0" w:space="0" w:color="auto"/>
        <w:left w:val="none" w:sz="0" w:space="0" w:color="auto"/>
        <w:bottom w:val="none" w:sz="0" w:space="0" w:color="auto"/>
        <w:right w:val="none" w:sz="0" w:space="0" w:color="auto"/>
      </w:divBdr>
    </w:div>
    <w:div w:id="809907531">
      <w:bodyDiv w:val="1"/>
      <w:marLeft w:val="0"/>
      <w:marRight w:val="0"/>
      <w:marTop w:val="0"/>
      <w:marBottom w:val="0"/>
      <w:divBdr>
        <w:top w:val="none" w:sz="0" w:space="0" w:color="auto"/>
        <w:left w:val="none" w:sz="0" w:space="0" w:color="auto"/>
        <w:bottom w:val="none" w:sz="0" w:space="0" w:color="auto"/>
        <w:right w:val="none" w:sz="0" w:space="0" w:color="auto"/>
      </w:divBdr>
    </w:div>
    <w:div w:id="1043751744">
      <w:bodyDiv w:val="1"/>
      <w:marLeft w:val="0"/>
      <w:marRight w:val="0"/>
      <w:marTop w:val="0"/>
      <w:marBottom w:val="0"/>
      <w:divBdr>
        <w:top w:val="none" w:sz="0" w:space="0" w:color="auto"/>
        <w:left w:val="none" w:sz="0" w:space="0" w:color="auto"/>
        <w:bottom w:val="none" w:sz="0" w:space="0" w:color="auto"/>
        <w:right w:val="none" w:sz="0" w:space="0" w:color="auto"/>
      </w:divBdr>
    </w:div>
    <w:div w:id="1054962306">
      <w:bodyDiv w:val="1"/>
      <w:marLeft w:val="0"/>
      <w:marRight w:val="0"/>
      <w:marTop w:val="0"/>
      <w:marBottom w:val="0"/>
      <w:divBdr>
        <w:top w:val="none" w:sz="0" w:space="0" w:color="auto"/>
        <w:left w:val="none" w:sz="0" w:space="0" w:color="auto"/>
        <w:bottom w:val="none" w:sz="0" w:space="0" w:color="auto"/>
        <w:right w:val="none" w:sz="0" w:space="0" w:color="auto"/>
      </w:divBdr>
    </w:div>
    <w:div w:id="1116948517">
      <w:bodyDiv w:val="1"/>
      <w:marLeft w:val="0"/>
      <w:marRight w:val="0"/>
      <w:marTop w:val="0"/>
      <w:marBottom w:val="0"/>
      <w:divBdr>
        <w:top w:val="none" w:sz="0" w:space="0" w:color="auto"/>
        <w:left w:val="none" w:sz="0" w:space="0" w:color="auto"/>
        <w:bottom w:val="none" w:sz="0" w:space="0" w:color="auto"/>
        <w:right w:val="none" w:sz="0" w:space="0" w:color="auto"/>
      </w:divBdr>
    </w:div>
    <w:div w:id="1137449437">
      <w:bodyDiv w:val="1"/>
      <w:marLeft w:val="0"/>
      <w:marRight w:val="0"/>
      <w:marTop w:val="0"/>
      <w:marBottom w:val="0"/>
      <w:divBdr>
        <w:top w:val="none" w:sz="0" w:space="0" w:color="auto"/>
        <w:left w:val="none" w:sz="0" w:space="0" w:color="auto"/>
        <w:bottom w:val="none" w:sz="0" w:space="0" w:color="auto"/>
        <w:right w:val="none" w:sz="0" w:space="0" w:color="auto"/>
      </w:divBdr>
    </w:div>
    <w:div w:id="1199929057">
      <w:bodyDiv w:val="1"/>
      <w:marLeft w:val="0"/>
      <w:marRight w:val="0"/>
      <w:marTop w:val="0"/>
      <w:marBottom w:val="0"/>
      <w:divBdr>
        <w:top w:val="none" w:sz="0" w:space="0" w:color="auto"/>
        <w:left w:val="none" w:sz="0" w:space="0" w:color="auto"/>
        <w:bottom w:val="none" w:sz="0" w:space="0" w:color="auto"/>
        <w:right w:val="none" w:sz="0" w:space="0" w:color="auto"/>
      </w:divBdr>
    </w:div>
    <w:div w:id="1238051935">
      <w:bodyDiv w:val="1"/>
      <w:marLeft w:val="0"/>
      <w:marRight w:val="0"/>
      <w:marTop w:val="0"/>
      <w:marBottom w:val="0"/>
      <w:divBdr>
        <w:top w:val="none" w:sz="0" w:space="0" w:color="auto"/>
        <w:left w:val="none" w:sz="0" w:space="0" w:color="auto"/>
        <w:bottom w:val="none" w:sz="0" w:space="0" w:color="auto"/>
        <w:right w:val="none" w:sz="0" w:space="0" w:color="auto"/>
      </w:divBdr>
    </w:div>
    <w:div w:id="1286621753">
      <w:bodyDiv w:val="1"/>
      <w:marLeft w:val="0"/>
      <w:marRight w:val="0"/>
      <w:marTop w:val="0"/>
      <w:marBottom w:val="0"/>
      <w:divBdr>
        <w:top w:val="none" w:sz="0" w:space="0" w:color="auto"/>
        <w:left w:val="none" w:sz="0" w:space="0" w:color="auto"/>
        <w:bottom w:val="none" w:sz="0" w:space="0" w:color="auto"/>
        <w:right w:val="none" w:sz="0" w:space="0" w:color="auto"/>
      </w:divBdr>
    </w:div>
    <w:div w:id="1346831949">
      <w:bodyDiv w:val="1"/>
      <w:marLeft w:val="0"/>
      <w:marRight w:val="0"/>
      <w:marTop w:val="0"/>
      <w:marBottom w:val="0"/>
      <w:divBdr>
        <w:top w:val="none" w:sz="0" w:space="0" w:color="auto"/>
        <w:left w:val="none" w:sz="0" w:space="0" w:color="auto"/>
        <w:bottom w:val="none" w:sz="0" w:space="0" w:color="auto"/>
        <w:right w:val="none" w:sz="0" w:space="0" w:color="auto"/>
      </w:divBdr>
    </w:div>
    <w:div w:id="1475949416">
      <w:bodyDiv w:val="1"/>
      <w:marLeft w:val="0"/>
      <w:marRight w:val="0"/>
      <w:marTop w:val="0"/>
      <w:marBottom w:val="0"/>
      <w:divBdr>
        <w:top w:val="none" w:sz="0" w:space="0" w:color="auto"/>
        <w:left w:val="none" w:sz="0" w:space="0" w:color="auto"/>
        <w:bottom w:val="none" w:sz="0" w:space="0" w:color="auto"/>
        <w:right w:val="none" w:sz="0" w:space="0" w:color="auto"/>
      </w:divBdr>
    </w:div>
    <w:div w:id="1549686486">
      <w:bodyDiv w:val="1"/>
      <w:marLeft w:val="0"/>
      <w:marRight w:val="0"/>
      <w:marTop w:val="0"/>
      <w:marBottom w:val="0"/>
      <w:divBdr>
        <w:top w:val="none" w:sz="0" w:space="0" w:color="auto"/>
        <w:left w:val="none" w:sz="0" w:space="0" w:color="auto"/>
        <w:bottom w:val="none" w:sz="0" w:space="0" w:color="auto"/>
        <w:right w:val="none" w:sz="0" w:space="0" w:color="auto"/>
      </w:divBdr>
    </w:div>
    <w:div w:id="1560284374">
      <w:bodyDiv w:val="1"/>
      <w:marLeft w:val="0"/>
      <w:marRight w:val="0"/>
      <w:marTop w:val="0"/>
      <w:marBottom w:val="0"/>
      <w:divBdr>
        <w:top w:val="none" w:sz="0" w:space="0" w:color="auto"/>
        <w:left w:val="none" w:sz="0" w:space="0" w:color="auto"/>
        <w:bottom w:val="none" w:sz="0" w:space="0" w:color="auto"/>
        <w:right w:val="none" w:sz="0" w:space="0" w:color="auto"/>
      </w:divBdr>
    </w:div>
    <w:div w:id="1615475582">
      <w:bodyDiv w:val="1"/>
      <w:marLeft w:val="0"/>
      <w:marRight w:val="0"/>
      <w:marTop w:val="0"/>
      <w:marBottom w:val="0"/>
      <w:divBdr>
        <w:top w:val="none" w:sz="0" w:space="0" w:color="auto"/>
        <w:left w:val="none" w:sz="0" w:space="0" w:color="auto"/>
        <w:bottom w:val="none" w:sz="0" w:space="0" w:color="auto"/>
        <w:right w:val="none" w:sz="0" w:space="0" w:color="auto"/>
      </w:divBdr>
    </w:div>
    <w:div w:id="1626735430">
      <w:bodyDiv w:val="1"/>
      <w:marLeft w:val="0"/>
      <w:marRight w:val="0"/>
      <w:marTop w:val="0"/>
      <w:marBottom w:val="0"/>
      <w:divBdr>
        <w:top w:val="none" w:sz="0" w:space="0" w:color="auto"/>
        <w:left w:val="none" w:sz="0" w:space="0" w:color="auto"/>
        <w:bottom w:val="none" w:sz="0" w:space="0" w:color="auto"/>
        <w:right w:val="none" w:sz="0" w:space="0" w:color="auto"/>
      </w:divBdr>
    </w:div>
    <w:div w:id="1641350344">
      <w:bodyDiv w:val="1"/>
      <w:marLeft w:val="0"/>
      <w:marRight w:val="0"/>
      <w:marTop w:val="0"/>
      <w:marBottom w:val="0"/>
      <w:divBdr>
        <w:top w:val="none" w:sz="0" w:space="0" w:color="auto"/>
        <w:left w:val="none" w:sz="0" w:space="0" w:color="auto"/>
        <w:bottom w:val="none" w:sz="0" w:space="0" w:color="auto"/>
        <w:right w:val="none" w:sz="0" w:space="0" w:color="auto"/>
      </w:divBdr>
    </w:div>
    <w:div w:id="1688167786">
      <w:bodyDiv w:val="1"/>
      <w:marLeft w:val="0"/>
      <w:marRight w:val="0"/>
      <w:marTop w:val="0"/>
      <w:marBottom w:val="0"/>
      <w:divBdr>
        <w:top w:val="none" w:sz="0" w:space="0" w:color="auto"/>
        <w:left w:val="none" w:sz="0" w:space="0" w:color="auto"/>
        <w:bottom w:val="none" w:sz="0" w:space="0" w:color="auto"/>
        <w:right w:val="none" w:sz="0" w:space="0" w:color="auto"/>
      </w:divBdr>
    </w:div>
    <w:div w:id="1713922194">
      <w:bodyDiv w:val="1"/>
      <w:marLeft w:val="0"/>
      <w:marRight w:val="0"/>
      <w:marTop w:val="0"/>
      <w:marBottom w:val="0"/>
      <w:divBdr>
        <w:top w:val="none" w:sz="0" w:space="0" w:color="auto"/>
        <w:left w:val="none" w:sz="0" w:space="0" w:color="auto"/>
        <w:bottom w:val="none" w:sz="0" w:space="0" w:color="auto"/>
        <w:right w:val="none" w:sz="0" w:space="0" w:color="auto"/>
      </w:divBdr>
    </w:div>
    <w:div w:id="1798405812">
      <w:bodyDiv w:val="1"/>
      <w:marLeft w:val="0"/>
      <w:marRight w:val="0"/>
      <w:marTop w:val="0"/>
      <w:marBottom w:val="0"/>
      <w:divBdr>
        <w:top w:val="none" w:sz="0" w:space="0" w:color="auto"/>
        <w:left w:val="none" w:sz="0" w:space="0" w:color="auto"/>
        <w:bottom w:val="none" w:sz="0" w:space="0" w:color="auto"/>
        <w:right w:val="none" w:sz="0" w:space="0" w:color="auto"/>
      </w:divBdr>
    </w:div>
    <w:div w:id="1897012493">
      <w:bodyDiv w:val="1"/>
      <w:marLeft w:val="0"/>
      <w:marRight w:val="0"/>
      <w:marTop w:val="0"/>
      <w:marBottom w:val="0"/>
      <w:divBdr>
        <w:top w:val="none" w:sz="0" w:space="0" w:color="auto"/>
        <w:left w:val="none" w:sz="0" w:space="0" w:color="auto"/>
        <w:bottom w:val="none" w:sz="0" w:space="0" w:color="auto"/>
        <w:right w:val="none" w:sz="0" w:space="0" w:color="auto"/>
      </w:divBdr>
    </w:div>
    <w:div w:id="1910918750">
      <w:bodyDiv w:val="1"/>
      <w:marLeft w:val="0"/>
      <w:marRight w:val="0"/>
      <w:marTop w:val="0"/>
      <w:marBottom w:val="0"/>
      <w:divBdr>
        <w:top w:val="none" w:sz="0" w:space="0" w:color="auto"/>
        <w:left w:val="none" w:sz="0" w:space="0" w:color="auto"/>
        <w:bottom w:val="none" w:sz="0" w:space="0" w:color="auto"/>
        <w:right w:val="none" w:sz="0" w:space="0" w:color="auto"/>
      </w:divBdr>
    </w:div>
    <w:div w:id="1937594837">
      <w:bodyDiv w:val="1"/>
      <w:marLeft w:val="0"/>
      <w:marRight w:val="0"/>
      <w:marTop w:val="0"/>
      <w:marBottom w:val="0"/>
      <w:divBdr>
        <w:top w:val="none" w:sz="0" w:space="0" w:color="auto"/>
        <w:left w:val="none" w:sz="0" w:space="0" w:color="auto"/>
        <w:bottom w:val="none" w:sz="0" w:space="0" w:color="auto"/>
        <w:right w:val="none" w:sz="0" w:space="0" w:color="auto"/>
      </w:divBdr>
    </w:div>
    <w:div w:id="2011523453">
      <w:bodyDiv w:val="1"/>
      <w:marLeft w:val="0"/>
      <w:marRight w:val="0"/>
      <w:marTop w:val="0"/>
      <w:marBottom w:val="0"/>
      <w:divBdr>
        <w:top w:val="none" w:sz="0" w:space="0" w:color="auto"/>
        <w:left w:val="none" w:sz="0" w:space="0" w:color="auto"/>
        <w:bottom w:val="none" w:sz="0" w:space="0" w:color="auto"/>
        <w:right w:val="none" w:sz="0" w:space="0" w:color="auto"/>
      </w:divBdr>
    </w:div>
    <w:div w:id="2067562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mandate.ie/app/uploads/2023/02/15952_smokemirrors_report_interior.pdf" TargetMode="External"/><Relationship Id="rId3" Type="http://schemas.openxmlformats.org/officeDocument/2006/relationships/hyperlink" Target="http://files.nesc.ie/nesc_reports/en/151_Future_Social_Welfare.pdf" TargetMode="External"/><Relationship Id="rId7" Type="http://schemas.openxmlformats.org/officeDocument/2006/relationships/hyperlink" Target="https://www.esri.ie/publications/earnings-related-benefits-in-ireland-rationale-costs-and-work-incentives" TargetMode="External"/><Relationship Id="rId2" Type="http://schemas.openxmlformats.org/officeDocument/2006/relationships/hyperlink" Target="http://files.nesc.ie/nesc_background_papers/151_background_paper_1.pdf" TargetMode="External"/><Relationship Id="rId1" Type="http://schemas.openxmlformats.org/officeDocument/2006/relationships/hyperlink" Target="https://www.citizensinformationboard.ie/en/data-hub/" TargetMode="External"/><Relationship Id="rId6" Type="http://schemas.openxmlformats.org/officeDocument/2006/relationships/hyperlink" Target="https://www.esri.ie/publications/earnings-related-benefits-in-ireland-rationale-costs-and-work-incentives" TargetMode="External"/><Relationship Id="rId11" Type="http://schemas.openxmlformats.org/officeDocument/2006/relationships/hyperlink" Target="https://assets.gov.ie/234316/b4db38b0-1daa-4f7a-a309-fcce4811828c.pdf" TargetMode="External"/><Relationship Id="rId5" Type="http://schemas.openxmlformats.org/officeDocument/2006/relationships/hyperlink" Target="http://files.nesc.ie/nesc_reports/en/NESC_113.pdf" TargetMode="External"/><Relationship Id="rId10" Type="http://schemas.openxmlformats.org/officeDocument/2006/relationships/hyperlink" Target="https://www.esri.ie/system/files/publications/BP201702.pdf" TargetMode="External"/><Relationship Id="rId4" Type="http://schemas.openxmlformats.org/officeDocument/2006/relationships/hyperlink" Target="http://files.nesc.ie/nesc_reports/en/151_Future_Social_Welfare.pdf" TargetMode="External"/><Relationship Id="rId9" Type="http://schemas.openxmlformats.org/officeDocument/2006/relationships/hyperlink" Target="https://www.cso.ie/en/releasesandpublications/ep/p-silc/surveyonincomeandlivingconditionssilc2021/povertyanddepriv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0BC94875665D404BB1351B53C41FD2C000B177192AEC4B384B8E80EC3AB33A30A2" ma:contentTypeVersion="15" ma:contentTypeDescription="Create a new document for eDocs" ma:contentTypeScope="" ma:versionID="8e7a96a7fa6389ba0f4445ea2402fa82">
  <xsd:schema xmlns:xsd="http://www.w3.org/2001/XMLSchema" xmlns:xs="http://www.w3.org/2001/XMLSchema" xmlns:p="http://schemas.microsoft.com/office/2006/metadata/properties" xmlns:ns1="http://schemas.microsoft.com/sharepoint/v3" xmlns:ns2="f534d041-ad79-4a52-b780-410adfd0608f" xmlns:ns3="0e2210f3-d997-4b15-abf5-2f9c566fe8e8" targetNamespace="http://schemas.microsoft.com/office/2006/metadata/properties" ma:root="true" ma:fieldsID="327af8d8ac6a15da1ed4d392d07900d7" ns1:_="" ns2:_="" ns3:_="">
    <xsd:import namespace="http://schemas.microsoft.com/sharepoint/v3"/>
    <xsd:import namespace="f534d041-ad79-4a52-b780-410adfd0608f"/>
    <xsd:import namespace="0e2210f3-d997-4b15-abf5-2f9c566fe8e8"/>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YearTaxHTField0" minOccurs="0"/>
                <xsd:element ref="ns1:eDocs_FileName" minOccurs="0"/>
                <xsd:element ref="ns1:eDocs_FileStatus"/>
                <xsd:element ref="ns2:eDocs_FileTopicsTaxHTField0" minOccurs="0"/>
                <xsd:element ref="ns2:eDocs_SecurityClassification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100"/>
        </xsd:restriction>
      </xsd:simpleType>
    </xsd:element>
    <xsd:element name="eDocs_FileStatus" ma:index="20"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schema>
  <xsd:schema xmlns:xsd="http://www.w3.org/2001/XMLSchema" xmlns:xs="http://www.w3.org/2001/XMLSchema" xmlns:dms="http://schemas.microsoft.com/office/2006/documentManagement/types" xmlns:pc="http://schemas.microsoft.com/office/infopath/2007/PartnerControls" targetNamespace="f534d041-ad79-4a52-b780-410adfd0608f"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fieldId="{fbaa881f-c4ae-443f-9fda-fbdd527793d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d0d6d11a-6141-46f1-a85a-6babb2177756" ma:termSetId="938f80c7-ed98-43b0-9399-7f1c25ecd012" ma:anchorId="00000000-0000-0000-0000-000000000000" ma:open="false" ma:isKeyword="false">
      <xsd:complexType>
        <xsd:sequence>
          <xsd:element ref="pc:Terms" minOccurs="0" maxOccurs="1"/>
        </xsd:sequence>
      </xsd:complexType>
    </xsd:element>
    <xsd:element name="eDocs_YearTaxHTField0" ma:index="17" nillable="true" ma:taxonomy="true" ma:internalName="eDocs_YearTaxHTField0" ma:taxonomyFieldName="eDocs_Year" ma:displayName="Year" ma:indexed="true" ma:fieldId="{7b1b8a72-8553-41e1-8dd7-5ce464e281f2}" ma:sspId="d0d6d11a-6141-46f1-a85a-6babb2177756" ma:termSetId="2d33cfe6-45a2-4acf-9ecf-d4d855335e53" ma:anchorId="00000000-0000-0000-0000-000000000000" ma:open="false" ma:isKeyword="false">
      <xsd:complexType>
        <xsd:sequence>
          <xsd:element ref="pc:Terms" minOccurs="0" maxOccurs="1"/>
        </xsd:sequence>
      </xsd:complexType>
    </xsd:element>
    <xsd:element name="eDocs_FileTopicsTaxHTField0" ma:index="21" nillable="true" ma:taxonomy="true" ma:internalName="eDocs_FileTopicsTaxHTField0" ma:taxonomyFieldName="eDocs_FileTopics" ma:displayName="File Topics" ma:default="" ma:fieldId="{602c691f-3efa-402d-ab5c-baa8c240a9e7}" ma:taxonomyMulti="true" ma:sspId="d0d6d11a-6141-46f1-a85a-6babb2177756" ma:termSetId="7d9b8efb-0f48-41ee-bf10-86097e6fe16f" ma:anchorId="00000000-0000-0000-0000-000000000000" ma:open="false" ma:isKeyword="false">
      <xsd:complexType>
        <xsd:sequence>
          <xsd:element ref="pc:Terms" minOccurs="0" maxOccurs="1"/>
        </xsd:sequence>
      </xsd:complexType>
    </xsd:element>
    <xsd:element name="eDocs_SecurityClassificationTaxHTField0" ma:index="23" nillable="true" ma:taxonomy="true" ma:internalName="eDocs_SecurityClassificationTaxHTField0" ma:taxonomyFieldName="eDocs_SecurityClassification" ma:displayName="Security Classification" ma:default="1;#Unclassified|13b0a387-28e5-4d0e-ba93-bfbfb7bc32d7" ma:fieldId="{6bbd3faf-a5ab-4e5e-b8a6-a5e099cef439}" ma:sspId="d0d6d11a-6141-46f1-a85a-6babb2177756" ma:termSetId="db6ecfed-f642-4316-baf3-3abe4cabc45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e2210f3-d997-4b15-abf5-2f9c566fe8e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b13aece-1217-4d7e-8f5e-ac0c90feb4db}" ma:internalName="TaxCatchAll" ma:showField="CatchAllData" ma:web="0e2210f3-d997-4b15-abf5-2f9c566fe8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3.xml><?xml version="1.0" encoding="utf-8"?>
<?mso-contentType ?>
<p:Policy xmlns:p="office.server.policy" id="" local="true">
  <p:Name>eDocument</p:Name>
  <p:Description/>
  <p:Statement/>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eDocs_FileTopicsTaxHTField0 xmlns="f534d041-ad79-4a52-b780-410adfd0608f">
      <Terms xmlns="http://schemas.microsoft.com/office/infopath/2007/PartnerControls">
        <TermInfo xmlns="http://schemas.microsoft.com/office/infopath/2007/PartnerControls">
          <TermName xmlns="http://schemas.microsoft.com/office/infopath/2007/PartnerControls">Corporate</TermName>
          <TermId xmlns="http://schemas.microsoft.com/office/infopath/2007/PartnerControls">32e37c74-0cb0-48bf-b309-c6e237880be4</TermId>
        </TermInfo>
      </Terms>
    </eDocs_FileTopicsTaxHTField0>
    <eDocs_SecurityClassificationTaxHTField0 xmlns="f534d041-ad79-4a52-b780-410adfd0608f">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13b0a387-28e5-4d0e-ba93-bfbfb7bc32d7</TermId>
        </TermInfo>
      </Terms>
    </eDocs_SecurityClassificationTaxHTField0>
    <eDocs_DocumentTopicsTaxHTField0 xmlns="f534d041-ad79-4a52-b780-410adfd0608f">
      <Terms xmlns="http://schemas.microsoft.com/office/infopath/2007/PartnerControls"/>
    </eDocs_DocumentTopicsTaxHTField0>
    <eDocs_FileStatus xmlns="http://schemas.microsoft.com/sharepoint/v3">Live</eDocs_FileStatus>
    <eDocs_SeriesSubSeriesTaxHTField0 xmlns="f534d041-ad79-4a52-b780-410adfd0608f">
      <Terms xmlns="http://schemas.microsoft.com/office/infopath/2007/PartnerControls">
        <TermInfo xmlns="http://schemas.microsoft.com/office/infopath/2007/PartnerControls">
          <TermName xmlns="http://schemas.microsoft.com/office/infopath/2007/PartnerControls">044</TermName>
          <TermId xmlns="http://schemas.microsoft.com/office/infopath/2007/PartnerControls">d3c4c38a-c908-41df-b6c6-0fe119a40293</TermId>
        </TermInfo>
      </Terms>
    </eDocs_SeriesSubSeriesTaxHTField0>
    <TaxCatchAll xmlns="0e2210f3-d997-4b15-abf5-2f9c566fe8e8">
      <Value>8</Value>
      <Value>1</Value>
      <Value>15</Value>
      <Value>7</Value>
    </TaxCatchAll>
    <eDocs_FileName xmlns="http://schemas.microsoft.com/sharepoint/v3">CIB044-005-2023</eDocs_FileName>
    <eDocs_YearTaxHTField0 xmlns="f534d041-ad79-4a52-b780-410adfd0608f">
      <Terms xmlns="http://schemas.microsoft.com/office/infopath/2007/PartnerControls">
        <TermInfo xmlns="http://schemas.microsoft.com/office/infopath/2007/PartnerControls">
          <TermName xmlns="http://schemas.microsoft.com/office/infopath/2007/PartnerControls">2023</TermName>
          <TermId xmlns="http://schemas.microsoft.com/office/infopath/2007/PartnerControls">74a2641e-fbeb-46ca-9ff1-c4fa9880aa6c</TermId>
        </TermInfo>
      </Terms>
    </eDocs_YearTaxHTField0>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DA0737-EE5D-4830-9D56-C28AF4BC65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34d041-ad79-4a52-b780-410adfd0608f"/>
    <ds:schemaRef ds:uri="0e2210f3-d997-4b15-abf5-2f9c566fe8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8631E3-2DEC-4638-9E0A-88E492552AFA}">
  <ds:schemaRefs>
    <ds:schemaRef ds:uri="http://schemas.microsoft.com/sharepoint/events"/>
  </ds:schemaRefs>
</ds:datastoreItem>
</file>

<file path=customXml/itemProps3.xml><?xml version="1.0" encoding="utf-8"?>
<ds:datastoreItem xmlns:ds="http://schemas.openxmlformats.org/officeDocument/2006/customXml" ds:itemID="{3066F62F-9F61-46F5-89CB-91D4B116F1E2}">
  <ds:schemaRefs>
    <ds:schemaRef ds:uri="office.server.policy"/>
  </ds:schemaRefs>
</ds:datastoreItem>
</file>

<file path=customXml/itemProps4.xml><?xml version="1.0" encoding="utf-8"?>
<ds:datastoreItem xmlns:ds="http://schemas.openxmlformats.org/officeDocument/2006/customXml" ds:itemID="{1E4387CF-FEC9-46B3-AAC3-BDDAE0127BBD}">
  <ds:schemaRefs>
    <ds:schemaRef ds:uri="http://schemas.microsoft.com/sharepoint/v3/contenttype/forms"/>
  </ds:schemaRefs>
</ds:datastoreItem>
</file>

<file path=customXml/itemProps5.xml><?xml version="1.0" encoding="utf-8"?>
<ds:datastoreItem xmlns:ds="http://schemas.openxmlformats.org/officeDocument/2006/customXml" ds:itemID="{FBB13746-090A-4E97-9912-E94BAA40F4CA}">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0e2210f3-d997-4b15-abf5-2f9c566fe8e8"/>
    <ds:schemaRef ds:uri="f534d041-ad79-4a52-b780-410adfd0608f"/>
    <ds:schemaRef ds:uri="http://www.w3.org/XML/1998/namespace"/>
    <ds:schemaRef ds:uri="http://purl.org/dc/dcmitype/"/>
  </ds:schemaRefs>
</ds:datastoreItem>
</file>

<file path=customXml/itemProps6.xml><?xml version="1.0" encoding="utf-8"?>
<ds:datastoreItem xmlns:ds="http://schemas.openxmlformats.org/officeDocument/2006/customXml" ds:itemID="{68788458-E419-4209-89CD-CDA7B3429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3999</Words>
  <Characters>22800</Characters>
  <Application>Microsoft Office Word</Application>
  <DocSecurity>4</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Geralyn McGarry</dc:creator>
  <cp:keywords/>
  <dc:description/>
  <cp:lastModifiedBy>Geralyn McGarry</cp:lastModifiedBy>
  <cp:revision>2</cp:revision>
  <dcterms:created xsi:type="dcterms:W3CDTF">2023-02-28T15:25:00Z</dcterms:created>
  <dcterms:modified xsi:type="dcterms:W3CDTF">2023-02-28T15:25:00Z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0x0101000BC94875665D404BB1351B53C41FD2C000B177192AEC4B384B8E80EC3AB33A30A2</vt:lpwstr>
  </property>
  <property fmtid="{D5CDD505-2E9C-101B-9397-08002B2CF9AE}" pid="3" name="eDocs_FileTopics">
    <vt:lpwstr>8;#Corporate|32e37c74-0cb0-48bf-b309-c6e237880be4</vt:lpwstr>
  </property>
  <property fmtid="{D5CDD505-2E9C-101B-9397-08002B2CF9AE}" pid="4" name="eDocs_SecurityClassification">
    <vt:lpwstr>1;#Unclassified|13b0a387-28e5-4d0e-ba93-bfbfb7bc32d7</vt:lpwstr>
  </property>
  <property fmtid="{D5CDD505-2E9C-101B-9397-08002B2CF9AE}" pid="5" name="eDocs_DocumentTopics">
    <vt:lpwstr/>
  </property>
  <property fmtid="{D5CDD505-2E9C-101B-9397-08002B2CF9AE}" pid="6" name="eDocs_Year">
    <vt:lpwstr>15;#2023|74a2641e-fbeb-46ca-9ff1-c4fa9880aa6c</vt:lpwstr>
  </property>
  <property fmtid="{D5CDD505-2E9C-101B-9397-08002B2CF9AE}" pid="7" name="eDocs_SeriesSubSeries">
    <vt:lpwstr>7;#044|d3c4c38a-c908-41df-b6c6-0fe119a40293</vt:lpwstr>
  </property>
  <property fmtid="{D5CDD505-2E9C-101B-9397-08002B2CF9AE}" pid="8" name="_dlc_policyId">
    <vt:lpwstr/>
  </property>
  <property fmtid="{D5CDD505-2E9C-101B-9397-08002B2CF9AE}" pid="9" name="ItemRetentionFormula">
    <vt:lpwstr/>
  </property>
  <property fmtid="{D5CDD505-2E9C-101B-9397-08002B2CF9AE}" pid="10" name="_docset_NoMedatataSyncRequired">
    <vt:lpwstr>False</vt:lpwstr>
  </property>
</Properties>
</file>