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ACB1F" w14:textId="77777777" w:rsidR="00B043B4" w:rsidRDefault="00B043B4" w:rsidP="00B043B4">
      <w:pPr>
        <w:pStyle w:val="Heading1"/>
        <w:jc w:val="center"/>
      </w:pPr>
      <w:bookmarkStart w:id="0" w:name="_GoBack"/>
      <w:bookmarkEnd w:id="0"/>
      <w:r>
        <w:rPr>
          <w:noProof/>
          <w:lang w:eastAsia="en-IE"/>
        </w:rPr>
        <w:drawing>
          <wp:inline distT="0" distB="0" distL="0" distR="0" wp14:anchorId="35278CBC" wp14:editId="494EE475">
            <wp:extent cx="3524250" cy="1492250"/>
            <wp:effectExtent l="0" t="0" r="0" b="0"/>
            <wp:docPr id="2" name="Picture 2" descr="This is the Citizen's Information logo"/>
            <wp:cNvGraphicFramePr/>
            <a:graphic xmlns:a="http://schemas.openxmlformats.org/drawingml/2006/main">
              <a:graphicData uri="http://schemas.openxmlformats.org/drawingml/2006/picture">
                <pic:pic xmlns:pic="http://schemas.openxmlformats.org/drawingml/2006/picture">
                  <pic:nvPicPr>
                    <pic:cNvPr id="2" name="Picture 2" descr="This is the Citizen's Information logo"/>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24250" cy="1492250"/>
                    </a:xfrm>
                    <a:prstGeom prst="rect">
                      <a:avLst/>
                    </a:prstGeom>
                    <a:noFill/>
                    <a:ln>
                      <a:noFill/>
                    </a:ln>
                  </pic:spPr>
                </pic:pic>
              </a:graphicData>
            </a:graphic>
          </wp:inline>
        </w:drawing>
      </w:r>
    </w:p>
    <w:p w14:paraId="2FE5750F" w14:textId="44464AA7" w:rsidR="006F07BC" w:rsidRPr="001A44C2" w:rsidRDefault="00397D48" w:rsidP="00B043B4">
      <w:pPr>
        <w:pStyle w:val="Heading1"/>
        <w:jc w:val="center"/>
      </w:pPr>
      <w:r w:rsidRPr="001A44C2">
        <w:t>Consul</w:t>
      </w:r>
      <w:r w:rsidR="006F07BC" w:rsidRPr="001A44C2">
        <w:t>tation on the Review of the Equality Acts</w:t>
      </w:r>
      <w:r w:rsidR="00625681" w:rsidRPr="001A44C2">
        <w:t>.</w:t>
      </w:r>
    </w:p>
    <w:p w14:paraId="6D4823AF" w14:textId="362F4F0B" w:rsidR="008F7929" w:rsidRPr="00E53FB1" w:rsidRDefault="008F7929" w:rsidP="00B043B4">
      <w:pPr>
        <w:pStyle w:val="Heading1"/>
        <w:jc w:val="center"/>
      </w:pPr>
      <w:r w:rsidRPr="00E53FB1">
        <w:t xml:space="preserve">Submission </w:t>
      </w:r>
      <w:r w:rsidR="003E78FA" w:rsidRPr="00E53FB1">
        <w:t>by the Citizens Information Board</w:t>
      </w:r>
    </w:p>
    <w:p w14:paraId="618B147D" w14:textId="5DC68A60" w:rsidR="008914BA" w:rsidRPr="008914BA" w:rsidRDefault="008914BA" w:rsidP="00B043B4">
      <w:pPr>
        <w:pStyle w:val="Heading1"/>
        <w:jc w:val="center"/>
      </w:pPr>
      <w:r>
        <w:t>November 2021</w:t>
      </w:r>
    </w:p>
    <w:p w14:paraId="2140DDEF" w14:textId="26DE7767" w:rsidR="009C1458" w:rsidRPr="001A44C2" w:rsidRDefault="009C1458" w:rsidP="00527A80">
      <w:pPr>
        <w:pStyle w:val="Heading1"/>
      </w:pPr>
      <w:r w:rsidRPr="001A44C2">
        <w:t>Introduction</w:t>
      </w:r>
    </w:p>
    <w:p w14:paraId="704C7601" w14:textId="39BDD839" w:rsidR="00515376" w:rsidRDefault="0052158C" w:rsidP="00515376">
      <w:pPr>
        <w:spacing w:after="150" w:line="240" w:lineRule="auto"/>
        <w:rPr>
          <w:rFonts w:eastAsia="Times New Roman" w:cstheme="minorHAnsi"/>
          <w:color w:val="000000"/>
          <w:sz w:val="24"/>
          <w:szCs w:val="24"/>
          <w:lang w:eastAsia="en-IE"/>
        </w:rPr>
      </w:pPr>
      <w:r w:rsidRPr="001A44C2">
        <w:rPr>
          <w:sz w:val="24"/>
          <w:szCs w:val="24"/>
        </w:rPr>
        <w:t>The Citize</w:t>
      </w:r>
      <w:r w:rsidR="003B0350" w:rsidRPr="001A44C2">
        <w:rPr>
          <w:sz w:val="24"/>
          <w:szCs w:val="24"/>
        </w:rPr>
        <w:t>ns Information Board</w:t>
      </w:r>
      <w:r w:rsidR="00515376" w:rsidRPr="001A44C2">
        <w:rPr>
          <w:sz w:val="24"/>
          <w:szCs w:val="24"/>
        </w:rPr>
        <w:t xml:space="preserve"> (CIB)</w:t>
      </w:r>
      <w:r w:rsidR="003B0350" w:rsidRPr="001A44C2">
        <w:rPr>
          <w:sz w:val="24"/>
          <w:szCs w:val="24"/>
        </w:rPr>
        <w:t xml:space="preserve"> welcomes the opportunity to contribute to the </w:t>
      </w:r>
      <w:r w:rsidR="008319BB" w:rsidRPr="001A44C2">
        <w:rPr>
          <w:sz w:val="24"/>
          <w:szCs w:val="24"/>
        </w:rPr>
        <w:t xml:space="preserve">review of the </w:t>
      </w:r>
      <w:r w:rsidR="008319BB" w:rsidRPr="001A44C2">
        <w:rPr>
          <w:rFonts w:cstheme="minorHAnsi"/>
          <w:sz w:val="24"/>
          <w:szCs w:val="24"/>
        </w:rPr>
        <w:t>Equality Acts</w:t>
      </w:r>
      <w:r w:rsidR="006169F3" w:rsidRPr="001A44C2">
        <w:rPr>
          <w:rFonts w:cstheme="minorHAnsi"/>
          <w:sz w:val="24"/>
          <w:szCs w:val="24"/>
        </w:rPr>
        <w:t>.</w:t>
      </w:r>
      <w:r w:rsidR="00515376" w:rsidRPr="001A44C2">
        <w:rPr>
          <w:rFonts w:cstheme="minorHAnsi"/>
          <w:sz w:val="24"/>
          <w:szCs w:val="24"/>
        </w:rPr>
        <w:t xml:space="preserve"> </w:t>
      </w:r>
      <w:r w:rsidR="009C1458" w:rsidRPr="001A44C2">
        <w:rPr>
          <w:rFonts w:cstheme="minorHAnsi"/>
          <w:sz w:val="24"/>
          <w:szCs w:val="24"/>
        </w:rPr>
        <w:t xml:space="preserve">The </w:t>
      </w:r>
      <w:r w:rsidR="00515376" w:rsidRPr="001A44C2">
        <w:rPr>
          <w:rFonts w:cstheme="minorHAnsi"/>
          <w:sz w:val="24"/>
          <w:szCs w:val="24"/>
        </w:rPr>
        <w:t xml:space="preserve">fact that </w:t>
      </w:r>
      <w:r w:rsidR="00515376" w:rsidRPr="001A44C2">
        <w:rPr>
          <w:rFonts w:eastAsia="Times New Roman" w:cstheme="minorHAnsi"/>
          <w:color w:val="000000"/>
          <w:sz w:val="24"/>
          <w:szCs w:val="24"/>
          <w:lang w:eastAsia="en-IE"/>
        </w:rPr>
        <w:t>the review will examine the operation of the Acts from the perspective of the person taking a claim under its redress mechanisms</w:t>
      </w:r>
      <w:r w:rsidR="009C1458" w:rsidRPr="001A44C2">
        <w:rPr>
          <w:rFonts w:eastAsia="Times New Roman" w:cstheme="minorHAnsi"/>
          <w:color w:val="000000"/>
          <w:sz w:val="24"/>
          <w:szCs w:val="24"/>
          <w:lang w:eastAsia="en-IE"/>
        </w:rPr>
        <w:t xml:space="preserve"> is highly important. The intention to </w:t>
      </w:r>
      <w:r w:rsidR="00FE7F21">
        <w:rPr>
          <w:rFonts w:eastAsia="Times New Roman" w:cstheme="minorHAnsi"/>
          <w:color w:val="000000"/>
          <w:sz w:val="24"/>
          <w:szCs w:val="24"/>
          <w:lang w:eastAsia="en-IE"/>
        </w:rPr>
        <w:t xml:space="preserve">consider </w:t>
      </w:r>
      <w:r w:rsidR="00515376" w:rsidRPr="001A44C2">
        <w:rPr>
          <w:rFonts w:eastAsia="Times New Roman" w:cstheme="minorHAnsi"/>
          <w:color w:val="000000"/>
          <w:sz w:val="24"/>
          <w:szCs w:val="24"/>
          <w:lang w:eastAsia="en-IE"/>
        </w:rPr>
        <w:t>the degree to which those experiencing discrimination are aware of the legislation and whether there are practical or other obstacles which preclude or deter them from taking an action</w:t>
      </w:r>
      <w:r w:rsidR="009C1458" w:rsidRPr="001A44C2">
        <w:rPr>
          <w:rFonts w:eastAsia="Times New Roman" w:cstheme="minorHAnsi"/>
          <w:color w:val="000000"/>
          <w:sz w:val="24"/>
          <w:szCs w:val="24"/>
          <w:lang w:eastAsia="en-IE"/>
        </w:rPr>
        <w:t xml:space="preserve"> is welcome</w:t>
      </w:r>
      <w:r w:rsidR="00515376" w:rsidRPr="001A44C2">
        <w:rPr>
          <w:rFonts w:eastAsia="Times New Roman" w:cstheme="minorHAnsi"/>
          <w:color w:val="000000"/>
          <w:sz w:val="24"/>
          <w:szCs w:val="24"/>
          <w:lang w:eastAsia="en-IE"/>
        </w:rPr>
        <w:t>.</w:t>
      </w:r>
    </w:p>
    <w:p w14:paraId="23AA69D0" w14:textId="41020063" w:rsidR="0029728E" w:rsidRPr="0029728E" w:rsidRDefault="0029728E" w:rsidP="0029728E">
      <w:pPr>
        <w:spacing w:after="150" w:line="240" w:lineRule="auto"/>
        <w:rPr>
          <w:rFonts w:eastAsia="Times New Roman" w:cstheme="minorHAnsi"/>
          <w:color w:val="000000"/>
          <w:sz w:val="24"/>
          <w:szCs w:val="24"/>
          <w:lang w:eastAsia="en-IE"/>
        </w:rPr>
      </w:pPr>
      <w:r>
        <w:rPr>
          <w:rFonts w:eastAsia="Times New Roman" w:cstheme="minorHAnsi"/>
          <w:color w:val="000000"/>
          <w:sz w:val="24"/>
          <w:szCs w:val="24"/>
          <w:lang w:eastAsia="en-IE"/>
        </w:rPr>
        <w:t>The</w:t>
      </w:r>
      <w:r w:rsidRPr="0029728E">
        <w:rPr>
          <w:rFonts w:eastAsia="Times New Roman" w:cstheme="minorHAnsi"/>
          <w:color w:val="000000"/>
          <w:sz w:val="24"/>
          <w:szCs w:val="24"/>
          <w:lang w:eastAsia="en-IE"/>
        </w:rPr>
        <w:t xml:space="preserve"> Programme for Government commits to an examination of “the introduction of a new ground of discrimination, based on socio-economic disadvantaged status to the Employment Equality and Equal Status Acts”. It also commits to “amend the gender ground in equality legislation, to ensure that someone discriminated against on the basis of their gender identity is able to avail of this legislation”. The Review will also include “a review of current definitions, including in relation to disability”. </w:t>
      </w:r>
    </w:p>
    <w:p w14:paraId="71A7FDAC" w14:textId="032E1FA6" w:rsidR="006169F3" w:rsidRPr="001A44C2" w:rsidRDefault="009C1458" w:rsidP="001346C3">
      <w:pPr>
        <w:rPr>
          <w:rFonts w:cstheme="minorHAnsi"/>
          <w:sz w:val="24"/>
          <w:szCs w:val="24"/>
        </w:rPr>
      </w:pPr>
      <w:r w:rsidRPr="001A44C2">
        <w:rPr>
          <w:sz w:val="24"/>
          <w:szCs w:val="24"/>
        </w:rPr>
        <w:t>CIB</w:t>
      </w:r>
      <w:r w:rsidR="006169F3" w:rsidRPr="001A44C2">
        <w:rPr>
          <w:sz w:val="24"/>
          <w:szCs w:val="24"/>
        </w:rPr>
        <w:t xml:space="preserve"> assists and supports people in identifying their needs and options and in accessing their entitlements. This role is carried out mainly through </w:t>
      </w:r>
      <w:r w:rsidRPr="001A44C2">
        <w:rPr>
          <w:sz w:val="24"/>
          <w:szCs w:val="24"/>
        </w:rPr>
        <w:t xml:space="preserve">our </w:t>
      </w:r>
      <w:r w:rsidR="006169F3" w:rsidRPr="001A44C2">
        <w:rPr>
          <w:sz w:val="24"/>
          <w:szCs w:val="24"/>
        </w:rPr>
        <w:t xml:space="preserve">delivery services </w:t>
      </w:r>
      <w:r w:rsidRPr="001A44C2">
        <w:rPr>
          <w:sz w:val="24"/>
          <w:szCs w:val="24"/>
        </w:rPr>
        <w:t xml:space="preserve">– </w:t>
      </w:r>
      <w:r w:rsidR="006169F3" w:rsidRPr="001A44C2">
        <w:rPr>
          <w:sz w:val="24"/>
          <w:szCs w:val="24"/>
        </w:rPr>
        <w:t>Citizens Information Services (CISs), the Citizens I</w:t>
      </w:r>
      <w:r w:rsidRPr="001A44C2">
        <w:rPr>
          <w:sz w:val="24"/>
          <w:szCs w:val="24"/>
        </w:rPr>
        <w:t xml:space="preserve">nformation Phone Service (CIPS), the </w:t>
      </w:r>
      <w:r w:rsidR="006169F3" w:rsidRPr="001A44C2">
        <w:rPr>
          <w:sz w:val="24"/>
          <w:szCs w:val="24"/>
        </w:rPr>
        <w:t>Money Advice and Budgeting Service (MABS)</w:t>
      </w:r>
      <w:r w:rsidRPr="001A44C2">
        <w:rPr>
          <w:sz w:val="24"/>
          <w:szCs w:val="24"/>
        </w:rPr>
        <w:t xml:space="preserve"> (</w:t>
      </w:r>
      <w:r w:rsidR="00933EA3" w:rsidRPr="001A44C2">
        <w:rPr>
          <w:sz w:val="24"/>
          <w:szCs w:val="24"/>
        </w:rPr>
        <w:t xml:space="preserve">including National Traveller MABS), </w:t>
      </w:r>
      <w:r w:rsidR="00E53FB1">
        <w:rPr>
          <w:sz w:val="24"/>
          <w:szCs w:val="24"/>
        </w:rPr>
        <w:t xml:space="preserve">and </w:t>
      </w:r>
      <w:r w:rsidR="00933EA3" w:rsidRPr="001A44C2">
        <w:rPr>
          <w:sz w:val="24"/>
          <w:szCs w:val="24"/>
        </w:rPr>
        <w:t xml:space="preserve">the </w:t>
      </w:r>
      <w:r w:rsidR="006169F3" w:rsidRPr="001A44C2">
        <w:rPr>
          <w:sz w:val="24"/>
          <w:szCs w:val="24"/>
        </w:rPr>
        <w:t>National Advocacy Service (NAS) for people with disabilities</w:t>
      </w:r>
      <w:r w:rsidR="00933EA3" w:rsidRPr="001A44C2">
        <w:rPr>
          <w:sz w:val="24"/>
          <w:szCs w:val="24"/>
        </w:rPr>
        <w:t xml:space="preserve">. CIB also supports the </w:t>
      </w:r>
      <w:r w:rsidR="006F01D4" w:rsidRPr="001A44C2">
        <w:rPr>
          <w:rFonts w:cstheme="minorHAnsi"/>
          <w:spacing w:val="3"/>
          <w:sz w:val="24"/>
          <w:szCs w:val="24"/>
          <w:shd w:val="clear" w:color="auto" w:fill="FFFFFF"/>
        </w:rPr>
        <w:t>Sign Langu</w:t>
      </w:r>
      <w:r w:rsidR="00E80E4C">
        <w:rPr>
          <w:rFonts w:cstheme="minorHAnsi"/>
          <w:spacing w:val="3"/>
          <w:sz w:val="24"/>
          <w:szCs w:val="24"/>
          <w:shd w:val="clear" w:color="auto" w:fill="FFFFFF"/>
        </w:rPr>
        <w:t>age Interpreting Service (SLIS).</w:t>
      </w:r>
    </w:p>
    <w:p w14:paraId="54BB9683" w14:textId="7D5F085C" w:rsidR="006169F3" w:rsidRPr="001A44C2" w:rsidRDefault="006169F3" w:rsidP="001346C3">
      <w:pPr>
        <w:rPr>
          <w:sz w:val="24"/>
          <w:szCs w:val="24"/>
        </w:rPr>
      </w:pPr>
      <w:r w:rsidRPr="001A44C2">
        <w:rPr>
          <w:sz w:val="24"/>
          <w:szCs w:val="24"/>
        </w:rPr>
        <w:t xml:space="preserve">Each year CISs and CIPS receive </w:t>
      </w:r>
      <w:r w:rsidR="00636BD3">
        <w:rPr>
          <w:sz w:val="24"/>
          <w:szCs w:val="24"/>
        </w:rPr>
        <w:t xml:space="preserve">almost a </w:t>
      </w:r>
      <w:r w:rsidRPr="001A44C2">
        <w:rPr>
          <w:sz w:val="24"/>
          <w:szCs w:val="24"/>
        </w:rPr>
        <w:t xml:space="preserve">million queries from </w:t>
      </w:r>
      <w:r w:rsidR="007529DF" w:rsidRPr="001A44C2">
        <w:rPr>
          <w:sz w:val="24"/>
          <w:szCs w:val="24"/>
        </w:rPr>
        <w:t xml:space="preserve">over half a million </w:t>
      </w:r>
      <w:r w:rsidRPr="001A44C2">
        <w:rPr>
          <w:sz w:val="24"/>
          <w:szCs w:val="24"/>
        </w:rPr>
        <w:t xml:space="preserve">people on all aspects of rights and entitlements to public and social services. </w:t>
      </w:r>
      <w:r w:rsidR="0020779B" w:rsidRPr="001A44C2">
        <w:rPr>
          <w:sz w:val="24"/>
          <w:szCs w:val="24"/>
        </w:rPr>
        <w:t>A significant proportion of these queries</w:t>
      </w:r>
      <w:r w:rsidR="00F077CE" w:rsidRPr="001A44C2">
        <w:rPr>
          <w:sz w:val="24"/>
          <w:szCs w:val="24"/>
        </w:rPr>
        <w:t xml:space="preserve"> are </w:t>
      </w:r>
      <w:r w:rsidR="007529DF" w:rsidRPr="001A44C2">
        <w:rPr>
          <w:sz w:val="24"/>
          <w:szCs w:val="24"/>
        </w:rPr>
        <w:t xml:space="preserve">broadly </w:t>
      </w:r>
      <w:r w:rsidR="00F077CE" w:rsidRPr="001A44C2">
        <w:rPr>
          <w:sz w:val="24"/>
          <w:szCs w:val="24"/>
        </w:rPr>
        <w:t>equality rights</w:t>
      </w:r>
      <w:r w:rsidR="008A436B" w:rsidRPr="001A44C2">
        <w:rPr>
          <w:sz w:val="24"/>
          <w:szCs w:val="24"/>
        </w:rPr>
        <w:t xml:space="preserve"> </w:t>
      </w:r>
      <w:r w:rsidR="00F077CE" w:rsidRPr="001A44C2">
        <w:rPr>
          <w:sz w:val="24"/>
          <w:szCs w:val="24"/>
        </w:rPr>
        <w:t>related.</w:t>
      </w:r>
      <w:r w:rsidRPr="001A44C2">
        <w:rPr>
          <w:sz w:val="24"/>
          <w:szCs w:val="24"/>
        </w:rPr>
        <w:t xml:space="preserve"> </w:t>
      </w:r>
    </w:p>
    <w:p w14:paraId="5BE11856" w14:textId="1F1EF0E1" w:rsidR="0085506A" w:rsidRDefault="00B57C0A" w:rsidP="00B57C0A">
      <w:pPr>
        <w:rPr>
          <w:sz w:val="24"/>
          <w:szCs w:val="24"/>
        </w:rPr>
      </w:pPr>
      <w:r w:rsidRPr="001A44C2">
        <w:rPr>
          <w:rFonts w:cstheme="minorHAnsi"/>
          <w:color w:val="333333"/>
          <w:sz w:val="24"/>
          <w:szCs w:val="24"/>
        </w:rPr>
        <w:t>Ireland’s equality laws</w:t>
      </w:r>
      <w:r w:rsidR="009C1458" w:rsidRPr="001A44C2">
        <w:rPr>
          <w:rFonts w:cstheme="minorHAnsi"/>
          <w:color w:val="333333"/>
          <w:sz w:val="24"/>
          <w:szCs w:val="24"/>
        </w:rPr>
        <w:t xml:space="preserve"> (</w:t>
      </w:r>
      <w:r w:rsidR="009C1458" w:rsidRPr="001A44C2">
        <w:rPr>
          <w:rStyle w:val="Emphasis"/>
          <w:rFonts w:cstheme="minorHAnsi"/>
          <w:color w:val="333333"/>
          <w:sz w:val="24"/>
          <w:szCs w:val="24"/>
        </w:rPr>
        <w:t>Employment Equality Acts</w:t>
      </w:r>
      <w:r w:rsidR="009C1458" w:rsidRPr="001A44C2">
        <w:rPr>
          <w:rFonts w:cstheme="minorHAnsi"/>
          <w:color w:val="333333"/>
          <w:sz w:val="24"/>
          <w:szCs w:val="24"/>
        </w:rPr>
        <w:t> </w:t>
      </w:r>
      <w:r w:rsidR="008F5D9B">
        <w:rPr>
          <w:rFonts w:cstheme="minorHAnsi"/>
          <w:color w:val="333333"/>
          <w:sz w:val="24"/>
          <w:szCs w:val="24"/>
        </w:rPr>
        <w:t xml:space="preserve">(EEA) </w:t>
      </w:r>
      <w:r w:rsidR="009C1458" w:rsidRPr="001A44C2">
        <w:rPr>
          <w:rFonts w:cstheme="minorHAnsi"/>
          <w:color w:val="333333"/>
          <w:sz w:val="24"/>
          <w:szCs w:val="24"/>
        </w:rPr>
        <w:t>and </w:t>
      </w:r>
      <w:r w:rsidR="009C1458" w:rsidRPr="001A44C2">
        <w:rPr>
          <w:rStyle w:val="Emphasis"/>
          <w:rFonts w:cstheme="minorHAnsi"/>
          <w:color w:val="333333"/>
          <w:sz w:val="24"/>
          <w:szCs w:val="24"/>
        </w:rPr>
        <w:t>Equal Status Acts</w:t>
      </w:r>
      <w:r w:rsidR="008F5D9B">
        <w:rPr>
          <w:rStyle w:val="Emphasis"/>
          <w:rFonts w:cstheme="minorHAnsi"/>
          <w:color w:val="333333"/>
          <w:sz w:val="24"/>
          <w:szCs w:val="24"/>
        </w:rPr>
        <w:t xml:space="preserve"> (ESA)</w:t>
      </w:r>
      <w:r w:rsidR="009C1458" w:rsidRPr="001A44C2">
        <w:rPr>
          <w:rStyle w:val="Emphasis"/>
          <w:rFonts w:cstheme="minorHAnsi"/>
          <w:i w:val="0"/>
          <w:color w:val="333333"/>
          <w:sz w:val="24"/>
          <w:szCs w:val="24"/>
        </w:rPr>
        <w:t>)</w:t>
      </w:r>
      <w:r w:rsidRPr="001A44C2">
        <w:rPr>
          <w:rFonts w:cstheme="minorHAnsi"/>
          <w:color w:val="333333"/>
          <w:sz w:val="24"/>
          <w:szCs w:val="24"/>
        </w:rPr>
        <w:t> </w:t>
      </w:r>
      <w:r w:rsidR="009C1458" w:rsidRPr="001A44C2">
        <w:rPr>
          <w:rFonts w:cstheme="minorHAnsi"/>
          <w:color w:val="333333"/>
          <w:sz w:val="24"/>
          <w:szCs w:val="24"/>
        </w:rPr>
        <w:t xml:space="preserve">prohibit discrimination on specific grounds and </w:t>
      </w:r>
      <w:r w:rsidRPr="001A44C2">
        <w:rPr>
          <w:rFonts w:cstheme="minorHAnsi"/>
          <w:color w:val="333333"/>
          <w:sz w:val="24"/>
          <w:szCs w:val="24"/>
        </w:rPr>
        <w:t>aim</w:t>
      </w:r>
      <w:r w:rsidR="009C1458" w:rsidRPr="001A44C2">
        <w:rPr>
          <w:rFonts w:cstheme="minorHAnsi"/>
          <w:color w:val="333333"/>
          <w:sz w:val="24"/>
          <w:szCs w:val="24"/>
        </w:rPr>
        <w:t xml:space="preserve"> to promote e</w:t>
      </w:r>
      <w:r w:rsidRPr="001A44C2">
        <w:rPr>
          <w:rStyle w:val="Strong"/>
          <w:rFonts w:cstheme="minorHAnsi"/>
          <w:b w:val="0"/>
          <w:color w:val="333333"/>
          <w:sz w:val="24"/>
          <w:szCs w:val="24"/>
        </w:rPr>
        <w:t>qual work opportunities</w:t>
      </w:r>
      <w:r w:rsidR="009C1458" w:rsidRPr="001A44C2">
        <w:rPr>
          <w:rStyle w:val="Strong"/>
          <w:rFonts w:cstheme="minorHAnsi"/>
          <w:b w:val="0"/>
          <w:color w:val="333333"/>
          <w:sz w:val="24"/>
          <w:szCs w:val="24"/>
        </w:rPr>
        <w:t xml:space="preserve"> and e</w:t>
      </w:r>
      <w:r w:rsidRPr="001A44C2">
        <w:rPr>
          <w:rStyle w:val="Strong"/>
          <w:rFonts w:cstheme="minorHAnsi"/>
          <w:b w:val="0"/>
          <w:color w:val="333333"/>
          <w:sz w:val="24"/>
          <w:szCs w:val="24"/>
        </w:rPr>
        <w:t>qual treatment when accessing goods, services, facilities and accommodation,</w:t>
      </w:r>
      <w:r w:rsidR="009C1458" w:rsidRPr="001A44C2">
        <w:rPr>
          <w:rStyle w:val="Strong"/>
          <w:rFonts w:cstheme="minorHAnsi"/>
          <w:b w:val="0"/>
          <w:color w:val="333333"/>
          <w:sz w:val="24"/>
          <w:szCs w:val="24"/>
        </w:rPr>
        <w:t xml:space="preserve"> including access to public services (social housing, income supports and health care)</w:t>
      </w:r>
      <w:r w:rsidRPr="001A44C2">
        <w:rPr>
          <w:rFonts w:cstheme="minorHAnsi"/>
          <w:color w:val="333333"/>
          <w:sz w:val="24"/>
          <w:szCs w:val="24"/>
        </w:rPr>
        <w:t>.</w:t>
      </w:r>
      <w:r w:rsidR="00E149F0" w:rsidRPr="001A44C2">
        <w:rPr>
          <w:rFonts w:cstheme="minorHAnsi"/>
          <w:color w:val="333333"/>
          <w:sz w:val="24"/>
          <w:szCs w:val="24"/>
        </w:rPr>
        <w:t xml:space="preserve"> </w:t>
      </w:r>
      <w:r w:rsidR="0085506A" w:rsidRPr="001A44C2">
        <w:rPr>
          <w:sz w:val="24"/>
          <w:szCs w:val="24"/>
        </w:rPr>
        <w:t>Evidence from C</w:t>
      </w:r>
      <w:r w:rsidRPr="001A44C2">
        <w:rPr>
          <w:sz w:val="24"/>
          <w:szCs w:val="24"/>
        </w:rPr>
        <w:t xml:space="preserve">IB services </w:t>
      </w:r>
      <w:r w:rsidR="00F451DF">
        <w:rPr>
          <w:sz w:val="24"/>
          <w:szCs w:val="24"/>
        </w:rPr>
        <w:lastRenderedPageBreak/>
        <w:t xml:space="preserve">clearly </w:t>
      </w:r>
      <w:r w:rsidRPr="001A44C2">
        <w:rPr>
          <w:sz w:val="24"/>
          <w:szCs w:val="24"/>
        </w:rPr>
        <w:t>i</w:t>
      </w:r>
      <w:r w:rsidR="000E0A1F" w:rsidRPr="001A44C2">
        <w:rPr>
          <w:sz w:val="24"/>
          <w:szCs w:val="24"/>
        </w:rPr>
        <w:t>ndicates an ongoing need for protection of the rights of disadvantaged</w:t>
      </w:r>
      <w:r w:rsidR="00040E8D" w:rsidRPr="001A44C2">
        <w:rPr>
          <w:sz w:val="24"/>
          <w:szCs w:val="24"/>
        </w:rPr>
        <w:t xml:space="preserve"> groups across all </w:t>
      </w:r>
      <w:r w:rsidR="00661D15" w:rsidRPr="001A44C2">
        <w:rPr>
          <w:sz w:val="24"/>
          <w:szCs w:val="24"/>
        </w:rPr>
        <w:t xml:space="preserve">of the </w:t>
      </w:r>
      <w:r w:rsidR="00040E8D" w:rsidRPr="001A44C2">
        <w:rPr>
          <w:sz w:val="24"/>
          <w:szCs w:val="24"/>
        </w:rPr>
        <w:t>equality grounds</w:t>
      </w:r>
      <w:r w:rsidR="00326AC8" w:rsidRPr="001A44C2">
        <w:rPr>
          <w:sz w:val="24"/>
          <w:szCs w:val="24"/>
        </w:rPr>
        <w:t>.</w:t>
      </w:r>
    </w:p>
    <w:p w14:paraId="514FA58E" w14:textId="0E7607B9" w:rsidR="00F718E4" w:rsidRDefault="00F718E4" w:rsidP="00B57C0A">
      <w:pPr>
        <w:rPr>
          <w:sz w:val="24"/>
          <w:szCs w:val="24"/>
        </w:rPr>
      </w:pPr>
    </w:p>
    <w:p w14:paraId="61130EFC" w14:textId="141016DF" w:rsidR="00F718E4" w:rsidRPr="00F718E4" w:rsidRDefault="00F718E4" w:rsidP="00CD2D1A">
      <w:pPr>
        <w:pStyle w:val="Heading1"/>
        <w:numPr>
          <w:ilvl w:val="0"/>
          <w:numId w:val="15"/>
        </w:numPr>
        <w:rPr>
          <w:rFonts w:cstheme="minorHAnsi"/>
          <w:color w:val="333333"/>
        </w:rPr>
      </w:pPr>
      <w:r w:rsidRPr="00F718E4">
        <w:t>Functioning of the Acts and their effectiveness in combatting discrimination and promoting equality</w:t>
      </w:r>
    </w:p>
    <w:p w14:paraId="4128A80E" w14:textId="77777777" w:rsidR="00C70053" w:rsidRDefault="00C70053" w:rsidP="00C903EE">
      <w:pPr>
        <w:pStyle w:val="Heading3"/>
        <w:rPr>
          <w:color w:val="002060"/>
        </w:rPr>
      </w:pPr>
    </w:p>
    <w:p w14:paraId="2CDF2A58" w14:textId="721F9875" w:rsidR="00DB0488" w:rsidRPr="001A44C2" w:rsidRDefault="00DB0488" w:rsidP="00CD2D1A">
      <w:pPr>
        <w:pStyle w:val="Heading2"/>
      </w:pPr>
      <w:r w:rsidRPr="001A44C2">
        <w:t xml:space="preserve">Employment </w:t>
      </w:r>
      <w:r w:rsidR="00425CEB" w:rsidRPr="001A44C2">
        <w:t>and e</w:t>
      </w:r>
      <w:r w:rsidRPr="001A44C2">
        <w:t>quality</w:t>
      </w:r>
    </w:p>
    <w:p w14:paraId="57E6685A" w14:textId="1033F329" w:rsidR="005B7018" w:rsidRDefault="00CD2D1A" w:rsidP="00EA42AB">
      <w:pPr>
        <w:rPr>
          <w:sz w:val="24"/>
          <w:szCs w:val="24"/>
        </w:rPr>
      </w:pPr>
      <w:r w:rsidRPr="001A44C2">
        <w:rPr>
          <w:sz w:val="24"/>
          <w:szCs w:val="24"/>
        </w:rPr>
        <w:t xml:space="preserve">In 2020, </w:t>
      </w:r>
      <w:r>
        <w:rPr>
          <w:sz w:val="24"/>
          <w:szCs w:val="24"/>
        </w:rPr>
        <w:t xml:space="preserve">there were over 44,000 employment rights and conditions queries to CISs, over 60 per cent of all employment queries. </w:t>
      </w:r>
      <w:r w:rsidR="00190F83" w:rsidRPr="001A44C2">
        <w:rPr>
          <w:sz w:val="24"/>
          <w:szCs w:val="24"/>
        </w:rPr>
        <w:t xml:space="preserve">A proportion of </w:t>
      </w:r>
      <w:r w:rsidR="004C6019" w:rsidRPr="001A44C2">
        <w:rPr>
          <w:sz w:val="24"/>
          <w:szCs w:val="24"/>
        </w:rPr>
        <w:t xml:space="preserve">rights-related queries </w:t>
      </w:r>
      <w:r w:rsidR="00DD33C1" w:rsidRPr="001A44C2">
        <w:rPr>
          <w:sz w:val="24"/>
          <w:szCs w:val="24"/>
        </w:rPr>
        <w:t>received by CISs and CIPS concern</w:t>
      </w:r>
      <w:r w:rsidR="00736878" w:rsidRPr="001A44C2">
        <w:rPr>
          <w:sz w:val="24"/>
          <w:szCs w:val="24"/>
        </w:rPr>
        <w:t xml:space="preserve"> employment equality issues</w:t>
      </w:r>
      <w:r w:rsidR="005B616F" w:rsidRPr="001A44C2">
        <w:rPr>
          <w:sz w:val="24"/>
          <w:szCs w:val="24"/>
        </w:rPr>
        <w:t>, averaging just under 2,000 per annum</w:t>
      </w:r>
      <w:r w:rsidR="009604EA" w:rsidRPr="001A44C2">
        <w:rPr>
          <w:sz w:val="24"/>
          <w:szCs w:val="24"/>
        </w:rPr>
        <w:t xml:space="preserve"> over the past five years.</w:t>
      </w:r>
      <w:r w:rsidR="00661D15" w:rsidRPr="001A44C2">
        <w:rPr>
          <w:sz w:val="24"/>
          <w:szCs w:val="24"/>
        </w:rPr>
        <w:t xml:space="preserve"> </w:t>
      </w:r>
      <w:r w:rsidR="007E159C">
        <w:rPr>
          <w:sz w:val="24"/>
          <w:szCs w:val="24"/>
        </w:rPr>
        <w:t>There</w:t>
      </w:r>
      <w:r w:rsidR="00C16D00">
        <w:rPr>
          <w:sz w:val="24"/>
          <w:szCs w:val="24"/>
        </w:rPr>
        <w:t xml:space="preserve"> were 1,227 queries relating specifically to equality in work</w:t>
      </w:r>
      <w:r w:rsidR="007E159C">
        <w:rPr>
          <w:sz w:val="24"/>
          <w:szCs w:val="24"/>
        </w:rPr>
        <w:t xml:space="preserve">, and of these </w:t>
      </w:r>
      <w:r w:rsidR="00956D58">
        <w:rPr>
          <w:sz w:val="24"/>
          <w:szCs w:val="24"/>
        </w:rPr>
        <w:t xml:space="preserve">two thirds related to </w:t>
      </w:r>
      <w:r w:rsidR="007E159C">
        <w:rPr>
          <w:sz w:val="24"/>
          <w:szCs w:val="24"/>
        </w:rPr>
        <w:t xml:space="preserve">bullying and harassment, </w:t>
      </w:r>
      <w:r w:rsidR="00956D58">
        <w:rPr>
          <w:sz w:val="24"/>
          <w:szCs w:val="24"/>
        </w:rPr>
        <w:t xml:space="preserve">and </w:t>
      </w:r>
      <w:r w:rsidR="007E159C">
        <w:rPr>
          <w:sz w:val="24"/>
          <w:szCs w:val="24"/>
        </w:rPr>
        <w:t xml:space="preserve">discrimination, </w:t>
      </w:r>
      <w:r w:rsidR="00956D58">
        <w:rPr>
          <w:sz w:val="24"/>
          <w:szCs w:val="24"/>
        </w:rPr>
        <w:t xml:space="preserve">and the </w:t>
      </w:r>
      <w:r w:rsidR="00FE7F21">
        <w:rPr>
          <w:sz w:val="24"/>
          <w:szCs w:val="24"/>
        </w:rPr>
        <w:t>remainder related</w:t>
      </w:r>
      <w:r w:rsidR="007E159C">
        <w:rPr>
          <w:sz w:val="24"/>
          <w:szCs w:val="24"/>
        </w:rPr>
        <w:t xml:space="preserve"> to pay and conditions, </w:t>
      </w:r>
      <w:r w:rsidR="00897910">
        <w:rPr>
          <w:sz w:val="24"/>
          <w:szCs w:val="24"/>
        </w:rPr>
        <w:t xml:space="preserve">victimisation, and other queries. </w:t>
      </w:r>
      <w:r w:rsidR="00C16D00">
        <w:rPr>
          <w:sz w:val="24"/>
          <w:szCs w:val="24"/>
        </w:rPr>
        <w:t xml:space="preserve"> </w:t>
      </w:r>
      <w:r w:rsidR="009604EA" w:rsidRPr="001A44C2">
        <w:rPr>
          <w:sz w:val="24"/>
          <w:szCs w:val="24"/>
        </w:rPr>
        <w:t>While a</w:t>
      </w:r>
      <w:r w:rsidR="008A6227" w:rsidRPr="001A44C2">
        <w:rPr>
          <w:sz w:val="24"/>
          <w:szCs w:val="24"/>
        </w:rPr>
        <w:t xml:space="preserve"> small percentage of </w:t>
      </w:r>
      <w:r w:rsidR="00ED3631">
        <w:rPr>
          <w:sz w:val="24"/>
          <w:szCs w:val="24"/>
        </w:rPr>
        <w:t xml:space="preserve">overall </w:t>
      </w:r>
      <w:r w:rsidR="008A6227" w:rsidRPr="001A44C2">
        <w:rPr>
          <w:sz w:val="24"/>
          <w:szCs w:val="24"/>
        </w:rPr>
        <w:t>queries require only the provision of information</w:t>
      </w:r>
      <w:r w:rsidR="006606FA" w:rsidRPr="001A44C2">
        <w:rPr>
          <w:sz w:val="24"/>
          <w:szCs w:val="24"/>
        </w:rPr>
        <w:t>, a substantial proportion</w:t>
      </w:r>
      <w:r w:rsidR="00694902">
        <w:rPr>
          <w:sz w:val="24"/>
          <w:szCs w:val="24"/>
        </w:rPr>
        <w:t>, 75</w:t>
      </w:r>
      <w:r w:rsidR="00FE7F21">
        <w:rPr>
          <w:sz w:val="24"/>
          <w:szCs w:val="24"/>
        </w:rPr>
        <w:t xml:space="preserve">% </w:t>
      </w:r>
      <w:r w:rsidR="00636BD3">
        <w:rPr>
          <w:sz w:val="24"/>
          <w:szCs w:val="24"/>
        </w:rPr>
        <w:t xml:space="preserve">are deemed to be </w:t>
      </w:r>
      <w:r w:rsidR="00425CEB" w:rsidRPr="001A44C2">
        <w:rPr>
          <w:sz w:val="24"/>
          <w:szCs w:val="24"/>
        </w:rPr>
        <w:t>complex</w:t>
      </w:r>
      <w:r w:rsidR="00D06341" w:rsidRPr="001A44C2">
        <w:rPr>
          <w:sz w:val="24"/>
          <w:szCs w:val="24"/>
        </w:rPr>
        <w:t xml:space="preserve">, often </w:t>
      </w:r>
      <w:r w:rsidR="00514CEE" w:rsidRPr="001A44C2">
        <w:rPr>
          <w:sz w:val="24"/>
          <w:szCs w:val="24"/>
        </w:rPr>
        <w:t xml:space="preserve">necessitating </w:t>
      </w:r>
      <w:r w:rsidR="00935C7F" w:rsidRPr="001A44C2">
        <w:rPr>
          <w:sz w:val="24"/>
          <w:szCs w:val="24"/>
        </w:rPr>
        <w:t xml:space="preserve">the provision of </w:t>
      </w:r>
      <w:r w:rsidR="00514CEE" w:rsidRPr="001A44C2">
        <w:rPr>
          <w:sz w:val="24"/>
          <w:szCs w:val="24"/>
        </w:rPr>
        <w:t xml:space="preserve">considerable </w:t>
      </w:r>
      <w:r w:rsidR="00694902">
        <w:rPr>
          <w:sz w:val="24"/>
          <w:szCs w:val="24"/>
        </w:rPr>
        <w:t xml:space="preserve">advice and </w:t>
      </w:r>
      <w:r w:rsidR="00514CEE" w:rsidRPr="001A44C2">
        <w:rPr>
          <w:sz w:val="24"/>
          <w:szCs w:val="24"/>
        </w:rPr>
        <w:t>assistance</w:t>
      </w:r>
      <w:r w:rsidR="00935C7F" w:rsidRPr="001A44C2">
        <w:rPr>
          <w:sz w:val="24"/>
          <w:szCs w:val="24"/>
        </w:rPr>
        <w:t xml:space="preserve"> by </w:t>
      </w:r>
      <w:r w:rsidR="00425CEB" w:rsidRPr="001A44C2">
        <w:rPr>
          <w:sz w:val="24"/>
          <w:szCs w:val="24"/>
        </w:rPr>
        <w:t>CIS</w:t>
      </w:r>
      <w:r w:rsidR="00517611" w:rsidRPr="001A44C2">
        <w:rPr>
          <w:sz w:val="24"/>
          <w:szCs w:val="24"/>
        </w:rPr>
        <w:t xml:space="preserve"> staff.</w:t>
      </w:r>
      <w:r w:rsidR="00781AE3" w:rsidRPr="001A44C2">
        <w:rPr>
          <w:sz w:val="24"/>
          <w:szCs w:val="24"/>
        </w:rPr>
        <w:t xml:space="preserve"> </w:t>
      </w:r>
      <w:r w:rsidR="005B7018">
        <w:rPr>
          <w:sz w:val="24"/>
          <w:szCs w:val="24"/>
        </w:rPr>
        <w:t xml:space="preserve">In terms of CIS advocacy </w:t>
      </w:r>
      <w:r w:rsidR="00694902">
        <w:rPr>
          <w:sz w:val="24"/>
          <w:szCs w:val="24"/>
        </w:rPr>
        <w:t xml:space="preserve">case </w:t>
      </w:r>
      <w:r w:rsidR="005B7018">
        <w:rPr>
          <w:sz w:val="24"/>
          <w:szCs w:val="24"/>
        </w:rPr>
        <w:t>work, in 2020, there were 305 employment cases requiring advocacy</w:t>
      </w:r>
      <w:r w:rsidR="00636BD3">
        <w:rPr>
          <w:sz w:val="24"/>
          <w:szCs w:val="24"/>
        </w:rPr>
        <w:t xml:space="preserve"> casework and representation</w:t>
      </w:r>
      <w:r w:rsidR="005B7018">
        <w:rPr>
          <w:sz w:val="24"/>
          <w:szCs w:val="24"/>
        </w:rPr>
        <w:t xml:space="preserve">, </w:t>
      </w:r>
      <w:r w:rsidR="00694902">
        <w:rPr>
          <w:sz w:val="24"/>
          <w:szCs w:val="24"/>
        </w:rPr>
        <w:t>t</w:t>
      </w:r>
      <w:r w:rsidR="005B7018">
        <w:rPr>
          <w:sz w:val="24"/>
          <w:szCs w:val="24"/>
        </w:rPr>
        <w:t xml:space="preserve">he majority of these involved a Workplace Relations Commission hearing (77%). </w:t>
      </w:r>
    </w:p>
    <w:p w14:paraId="4595FEC4" w14:textId="2936A4B7" w:rsidR="00C43F49" w:rsidRDefault="00C43F49" w:rsidP="00C43F49">
      <w:pPr>
        <w:rPr>
          <w:sz w:val="24"/>
          <w:szCs w:val="24"/>
        </w:rPr>
      </w:pPr>
      <w:r>
        <w:rPr>
          <w:sz w:val="24"/>
          <w:szCs w:val="24"/>
        </w:rPr>
        <w:t xml:space="preserve">As noted in CIB’s </w:t>
      </w:r>
      <w:r w:rsidR="00694902">
        <w:rPr>
          <w:sz w:val="24"/>
          <w:szCs w:val="24"/>
        </w:rPr>
        <w:t>social policy report “</w:t>
      </w:r>
      <w:r>
        <w:rPr>
          <w:sz w:val="24"/>
          <w:szCs w:val="24"/>
        </w:rPr>
        <w:t>Employment Rights that Work for All</w:t>
      </w:r>
      <w:r w:rsidR="00694902">
        <w:rPr>
          <w:sz w:val="24"/>
          <w:szCs w:val="24"/>
        </w:rPr>
        <w:t>”</w:t>
      </w:r>
      <w:r>
        <w:rPr>
          <w:sz w:val="24"/>
          <w:szCs w:val="24"/>
        </w:rPr>
        <w:t xml:space="preserve"> (2020), </w:t>
      </w:r>
      <w:r w:rsidRPr="00C43F49">
        <w:rPr>
          <w:sz w:val="24"/>
          <w:szCs w:val="24"/>
        </w:rPr>
        <w:t>CISs continue</w:t>
      </w:r>
      <w:r>
        <w:rPr>
          <w:sz w:val="24"/>
          <w:szCs w:val="24"/>
        </w:rPr>
        <w:t xml:space="preserve">d to report on-going issues </w:t>
      </w:r>
      <w:r w:rsidRPr="00C43F49">
        <w:rPr>
          <w:sz w:val="24"/>
          <w:szCs w:val="24"/>
        </w:rPr>
        <w:t>regarding dismis</w:t>
      </w:r>
      <w:r>
        <w:rPr>
          <w:sz w:val="24"/>
          <w:szCs w:val="24"/>
        </w:rPr>
        <w:t xml:space="preserve">sal of people employed for less </w:t>
      </w:r>
      <w:r w:rsidRPr="00C43F49">
        <w:rPr>
          <w:sz w:val="24"/>
          <w:szCs w:val="24"/>
        </w:rPr>
        <w:t>than 12 months,</w:t>
      </w:r>
      <w:r>
        <w:rPr>
          <w:sz w:val="24"/>
          <w:szCs w:val="24"/>
        </w:rPr>
        <w:t xml:space="preserve"> as this group is not protected by legislation. </w:t>
      </w:r>
      <w:r w:rsidRPr="00C43F49">
        <w:rPr>
          <w:sz w:val="24"/>
          <w:szCs w:val="24"/>
        </w:rPr>
        <w:t>CISs received co</w:t>
      </w:r>
      <w:r>
        <w:rPr>
          <w:sz w:val="24"/>
          <w:szCs w:val="24"/>
        </w:rPr>
        <w:t xml:space="preserve">mplaints from clients that have </w:t>
      </w:r>
      <w:r w:rsidRPr="00C43F49">
        <w:rPr>
          <w:sz w:val="24"/>
          <w:szCs w:val="24"/>
        </w:rPr>
        <w:t>been penal</w:t>
      </w:r>
      <w:r>
        <w:rPr>
          <w:sz w:val="24"/>
          <w:szCs w:val="24"/>
        </w:rPr>
        <w:t xml:space="preserve">ised because of maternity leave </w:t>
      </w:r>
      <w:r w:rsidRPr="00C43F49">
        <w:rPr>
          <w:sz w:val="24"/>
          <w:szCs w:val="24"/>
        </w:rPr>
        <w:t>as well as e</w:t>
      </w:r>
      <w:r>
        <w:rPr>
          <w:sz w:val="24"/>
          <w:szCs w:val="24"/>
        </w:rPr>
        <w:t xml:space="preserve">quality issues in the workplace </w:t>
      </w:r>
      <w:r w:rsidRPr="00C43F49">
        <w:rPr>
          <w:sz w:val="24"/>
          <w:szCs w:val="24"/>
        </w:rPr>
        <w:t>regarding disability, gender, age and race.</w:t>
      </w:r>
    </w:p>
    <w:p w14:paraId="20029281" w14:textId="11B813AD" w:rsidR="00EA42AB" w:rsidRDefault="00781AE3" w:rsidP="00EA42AB">
      <w:pPr>
        <w:rPr>
          <w:sz w:val="24"/>
          <w:szCs w:val="24"/>
        </w:rPr>
      </w:pPr>
      <w:r w:rsidRPr="001A44C2">
        <w:rPr>
          <w:sz w:val="24"/>
          <w:szCs w:val="24"/>
        </w:rPr>
        <w:t xml:space="preserve">Despite the intention </w:t>
      </w:r>
      <w:r w:rsidR="00F74E65" w:rsidRPr="001A44C2">
        <w:rPr>
          <w:sz w:val="24"/>
          <w:szCs w:val="24"/>
        </w:rPr>
        <w:t>that the</w:t>
      </w:r>
      <w:r w:rsidR="002427BB" w:rsidRPr="001A44C2">
        <w:rPr>
          <w:sz w:val="24"/>
          <w:szCs w:val="24"/>
        </w:rPr>
        <w:t xml:space="preserve"> systems and processes involved in dealing with </w:t>
      </w:r>
      <w:r w:rsidR="00EA42AB" w:rsidRPr="001A44C2">
        <w:rPr>
          <w:sz w:val="24"/>
          <w:szCs w:val="24"/>
        </w:rPr>
        <w:t xml:space="preserve">employment </w:t>
      </w:r>
      <w:r w:rsidR="00425CEB" w:rsidRPr="001A44C2">
        <w:rPr>
          <w:sz w:val="24"/>
          <w:szCs w:val="24"/>
        </w:rPr>
        <w:t xml:space="preserve">rights </w:t>
      </w:r>
      <w:r w:rsidR="00EA42AB" w:rsidRPr="001A44C2">
        <w:rPr>
          <w:sz w:val="24"/>
          <w:szCs w:val="24"/>
        </w:rPr>
        <w:t xml:space="preserve">issues should be </w:t>
      </w:r>
      <w:r w:rsidR="00CA5D66" w:rsidRPr="001A44C2">
        <w:rPr>
          <w:sz w:val="24"/>
          <w:szCs w:val="24"/>
        </w:rPr>
        <w:t>easily accessed, the experience in practice</w:t>
      </w:r>
      <w:r w:rsidR="00F60B6E" w:rsidRPr="001A44C2">
        <w:rPr>
          <w:sz w:val="24"/>
          <w:szCs w:val="24"/>
        </w:rPr>
        <w:t xml:space="preserve"> suggests that it is</w:t>
      </w:r>
      <w:r w:rsidR="00C11625" w:rsidRPr="001A44C2">
        <w:rPr>
          <w:sz w:val="24"/>
          <w:szCs w:val="24"/>
        </w:rPr>
        <w:t xml:space="preserve"> increasingly difficul</w:t>
      </w:r>
      <w:r w:rsidR="0053450E" w:rsidRPr="001A44C2">
        <w:rPr>
          <w:sz w:val="24"/>
          <w:szCs w:val="24"/>
        </w:rPr>
        <w:t xml:space="preserve">t </w:t>
      </w:r>
      <w:r w:rsidR="00C11625" w:rsidRPr="001A44C2">
        <w:rPr>
          <w:sz w:val="24"/>
          <w:szCs w:val="24"/>
        </w:rPr>
        <w:t xml:space="preserve">for </w:t>
      </w:r>
      <w:r w:rsidR="00E149F0" w:rsidRPr="001A44C2">
        <w:rPr>
          <w:sz w:val="24"/>
          <w:szCs w:val="24"/>
        </w:rPr>
        <w:t xml:space="preserve">people </w:t>
      </w:r>
      <w:r w:rsidR="00C11625" w:rsidRPr="001A44C2">
        <w:rPr>
          <w:sz w:val="24"/>
          <w:szCs w:val="24"/>
        </w:rPr>
        <w:t>to</w:t>
      </w:r>
      <w:r w:rsidR="0053450E" w:rsidRPr="001A44C2">
        <w:rPr>
          <w:sz w:val="24"/>
          <w:szCs w:val="24"/>
        </w:rPr>
        <w:t xml:space="preserve"> effectively navigate the system</w:t>
      </w:r>
      <w:r w:rsidR="00E149F0" w:rsidRPr="001A44C2">
        <w:rPr>
          <w:sz w:val="24"/>
          <w:szCs w:val="24"/>
        </w:rPr>
        <w:t xml:space="preserve"> without support</w:t>
      </w:r>
      <w:r w:rsidR="0053450E" w:rsidRPr="001A44C2">
        <w:rPr>
          <w:sz w:val="24"/>
          <w:szCs w:val="24"/>
        </w:rPr>
        <w:t>.</w:t>
      </w:r>
      <w:r w:rsidR="008A3498" w:rsidRPr="001A44C2">
        <w:rPr>
          <w:rStyle w:val="FootnoteReference"/>
          <w:sz w:val="24"/>
          <w:szCs w:val="24"/>
        </w:rPr>
        <w:footnoteReference w:id="1"/>
      </w:r>
      <w:r w:rsidR="00785F9C" w:rsidRPr="001A44C2">
        <w:rPr>
          <w:sz w:val="24"/>
          <w:szCs w:val="24"/>
        </w:rPr>
        <w:t xml:space="preserve"> In some instances</w:t>
      </w:r>
      <w:r w:rsidR="002B1E47" w:rsidRPr="001A44C2">
        <w:rPr>
          <w:sz w:val="24"/>
          <w:szCs w:val="24"/>
        </w:rPr>
        <w:t>,</w:t>
      </w:r>
      <w:r w:rsidR="00785F9C" w:rsidRPr="001A44C2">
        <w:rPr>
          <w:sz w:val="24"/>
          <w:szCs w:val="24"/>
        </w:rPr>
        <w:t xml:space="preserve"> </w:t>
      </w:r>
      <w:r w:rsidR="001A1CCF" w:rsidRPr="001A44C2">
        <w:rPr>
          <w:sz w:val="24"/>
          <w:szCs w:val="24"/>
        </w:rPr>
        <w:t xml:space="preserve">the </w:t>
      </w:r>
      <w:r w:rsidR="0025728E" w:rsidRPr="001A44C2">
        <w:rPr>
          <w:sz w:val="24"/>
          <w:szCs w:val="24"/>
        </w:rPr>
        <w:t xml:space="preserve">system </w:t>
      </w:r>
      <w:r w:rsidR="00785F9C" w:rsidRPr="001A44C2">
        <w:rPr>
          <w:sz w:val="24"/>
          <w:szCs w:val="24"/>
        </w:rPr>
        <w:t xml:space="preserve">can be </w:t>
      </w:r>
      <w:r w:rsidR="00EA42AB" w:rsidRPr="001A44C2">
        <w:rPr>
          <w:sz w:val="24"/>
          <w:szCs w:val="24"/>
        </w:rPr>
        <w:t>unduly</w:t>
      </w:r>
      <w:r w:rsidR="00E149F0" w:rsidRPr="001A44C2">
        <w:rPr>
          <w:sz w:val="24"/>
          <w:szCs w:val="24"/>
        </w:rPr>
        <w:t xml:space="preserve"> </w:t>
      </w:r>
      <w:r w:rsidR="00EA42AB" w:rsidRPr="001A44C2">
        <w:rPr>
          <w:sz w:val="24"/>
          <w:szCs w:val="24"/>
        </w:rPr>
        <w:t xml:space="preserve">difficult </w:t>
      </w:r>
      <w:r w:rsidR="00E149F0" w:rsidRPr="001A44C2">
        <w:rPr>
          <w:sz w:val="24"/>
          <w:szCs w:val="24"/>
        </w:rPr>
        <w:t>in enabling an individual to seek redress under employment equality legislation</w:t>
      </w:r>
      <w:r w:rsidR="008127F9">
        <w:rPr>
          <w:sz w:val="24"/>
          <w:szCs w:val="24"/>
        </w:rPr>
        <w:t>.</w:t>
      </w:r>
      <w:r w:rsidR="007E159C">
        <w:rPr>
          <w:sz w:val="24"/>
          <w:szCs w:val="24"/>
        </w:rPr>
        <w:t xml:space="preserve"> </w:t>
      </w:r>
      <w:r w:rsidR="00543922">
        <w:rPr>
          <w:sz w:val="24"/>
          <w:szCs w:val="24"/>
        </w:rPr>
        <w:t xml:space="preserve">CIS Advocacy Support Workers have pointed to some of the main barriers in this regard as: </w:t>
      </w:r>
    </w:p>
    <w:p w14:paraId="52900DD8" w14:textId="40F0DC43" w:rsidR="00543922" w:rsidRDefault="00543922" w:rsidP="0072712A">
      <w:pPr>
        <w:pStyle w:val="ListParagraph"/>
        <w:numPr>
          <w:ilvl w:val="0"/>
          <w:numId w:val="16"/>
        </w:numPr>
        <w:rPr>
          <w:sz w:val="24"/>
          <w:szCs w:val="24"/>
        </w:rPr>
      </w:pPr>
      <w:r>
        <w:rPr>
          <w:sz w:val="24"/>
          <w:szCs w:val="24"/>
        </w:rPr>
        <w:t>Applicants still needing a degree of legal knowledge in order to take a case</w:t>
      </w:r>
    </w:p>
    <w:p w14:paraId="733ECF47" w14:textId="19F5EBC2" w:rsidR="00543922" w:rsidRDefault="00543922" w:rsidP="0072712A">
      <w:pPr>
        <w:pStyle w:val="ListParagraph"/>
        <w:numPr>
          <w:ilvl w:val="0"/>
          <w:numId w:val="16"/>
        </w:numPr>
        <w:rPr>
          <w:sz w:val="24"/>
          <w:szCs w:val="24"/>
        </w:rPr>
      </w:pPr>
      <w:r>
        <w:rPr>
          <w:sz w:val="24"/>
          <w:szCs w:val="24"/>
        </w:rPr>
        <w:t xml:space="preserve">Employers being represented by barristers and solicitors, </w:t>
      </w:r>
      <w:r w:rsidR="00897910">
        <w:rPr>
          <w:sz w:val="24"/>
          <w:szCs w:val="24"/>
        </w:rPr>
        <w:t>whereas many employees do not have legal</w:t>
      </w:r>
      <w:r>
        <w:rPr>
          <w:sz w:val="24"/>
          <w:szCs w:val="24"/>
        </w:rPr>
        <w:t xml:space="preserve"> representation </w:t>
      </w:r>
    </w:p>
    <w:p w14:paraId="4A2902C3" w14:textId="6F58DB0F" w:rsidR="00543922" w:rsidRPr="00636BD3" w:rsidRDefault="00543922" w:rsidP="00636BD3">
      <w:pPr>
        <w:pStyle w:val="ListParagraph"/>
        <w:numPr>
          <w:ilvl w:val="0"/>
          <w:numId w:val="16"/>
        </w:numPr>
        <w:rPr>
          <w:sz w:val="24"/>
          <w:szCs w:val="24"/>
        </w:rPr>
      </w:pPr>
      <w:r>
        <w:rPr>
          <w:sz w:val="24"/>
          <w:szCs w:val="24"/>
        </w:rPr>
        <w:t>W</w:t>
      </w:r>
      <w:r w:rsidR="00897910">
        <w:rPr>
          <w:sz w:val="24"/>
          <w:szCs w:val="24"/>
        </w:rPr>
        <w:t xml:space="preserve">orkplace </w:t>
      </w:r>
      <w:r>
        <w:rPr>
          <w:sz w:val="24"/>
          <w:szCs w:val="24"/>
        </w:rPr>
        <w:t>R</w:t>
      </w:r>
      <w:r w:rsidR="00897910">
        <w:rPr>
          <w:sz w:val="24"/>
          <w:szCs w:val="24"/>
        </w:rPr>
        <w:t xml:space="preserve">elations </w:t>
      </w:r>
      <w:r>
        <w:rPr>
          <w:sz w:val="24"/>
          <w:szCs w:val="24"/>
        </w:rPr>
        <w:t>C</w:t>
      </w:r>
      <w:r w:rsidR="00897910">
        <w:rPr>
          <w:sz w:val="24"/>
          <w:szCs w:val="24"/>
        </w:rPr>
        <w:t>ommission</w:t>
      </w:r>
      <w:r>
        <w:rPr>
          <w:sz w:val="24"/>
          <w:szCs w:val="24"/>
        </w:rPr>
        <w:t xml:space="preserve"> </w:t>
      </w:r>
      <w:r w:rsidR="001D10CD">
        <w:rPr>
          <w:sz w:val="24"/>
          <w:szCs w:val="24"/>
        </w:rPr>
        <w:t xml:space="preserve">(WRC) </w:t>
      </w:r>
      <w:r>
        <w:rPr>
          <w:sz w:val="24"/>
          <w:szCs w:val="24"/>
        </w:rPr>
        <w:t>adjudicators not having legal training</w:t>
      </w:r>
    </w:p>
    <w:p w14:paraId="1C9F47E3" w14:textId="6FD025A2" w:rsidR="00B7766F" w:rsidRPr="001A44C2" w:rsidRDefault="00543922" w:rsidP="0042147A">
      <w:pPr>
        <w:ind w:left="720"/>
        <w:rPr>
          <w:sz w:val="24"/>
          <w:szCs w:val="24"/>
        </w:rPr>
      </w:pPr>
      <w:r>
        <w:rPr>
          <w:sz w:val="24"/>
          <w:szCs w:val="24"/>
        </w:rPr>
        <w:t>“</w:t>
      </w:r>
      <w:r w:rsidR="00387603" w:rsidRPr="001A44C2">
        <w:rPr>
          <w:sz w:val="24"/>
          <w:szCs w:val="24"/>
        </w:rPr>
        <w:t xml:space="preserve">It is asking a lot for employees to </w:t>
      </w:r>
      <w:r w:rsidR="000C76D4">
        <w:rPr>
          <w:sz w:val="24"/>
          <w:szCs w:val="24"/>
        </w:rPr>
        <w:t xml:space="preserve">engage </w:t>
      </w:r>
      <w:r w:rsidR="00387603" w:rsidRPr="001A44C2">
        <w:rPr>
          <w:sz w:val="24"/>
          <w:szCs w:val="24"/>
        </w:rPr>
        <w:t xml:space="preserve">with legal professionals in a forum that is not designed for lay people. Very quickly hearings become legalistic and difficult to follow for our clients. Clients can choose to be legally represented but only at their </w:t>
      </w:r>
      <w:r w:rsidR="00387603" w:rsidRPr="001A44C2">
        <w:rPr>
          <w:sz w:val="24"/>
          <w:szCs w:val="24"/>
        </w:rPr>
        <w:lastRenderedPageBreak/>
        <w:t>own cost. And when they are represented by the CIS, or another lay advocacy service, there is still a distinct disadvantage between them and their employers.’ [CIS Advocacy Support Worker]</w:t>
      </w:r>
      <w:r w:rsidR="00957F6F" w:rsidRPr="001A44C2">
        <w:rPr>
          <w:rStyle w:val="FootnoteReference"/>
          <w:sz w:val="24"/>
          <w:szCs w:val="24"/>
        </w:rPr>
        <w:footnoteReference w:id="2"/>
      </w:r>
      <w:r w:rsidR="00636BD3">
        <w:rPr>
          <w:sz w:val="24"/>
          <w:szCs w:val="24"/>
        </w:rPr>
        <w:t>.</w:t>
      </w:r>
    </w:p>
    <w:p w14:paraId="227D8271" w14:textId="59FCF238" w:rsidR="00400305" w:rsidRDefault="00400305" w:rsidP="009C5AA9">
      <w:pPr>
        <w:rPr>
          <w:sz w:val="24"/>
          <w:szCs w:val="24"/>
        </w:rPr>
      </w:pPr>
      <w:r w:rsidRPr="00400305">
        <w:rPr>
          <w:sz w:val="24"/>
          <w:szCs w:val="24"/>
        </w:rPr>
        <w:t>Even with advocacy support, the absence of free legal aid for employment cases can mean that employees cannot afford the cost of pursuing an employer through the courts for enforcement of a complaint made in their favour</w:t>
      </w:r>
      <w:r>
        <w:rPr>
          <w:rStyle w:val="FootnoteReference"/>
          <w:sz w:val="24"/>
          <w:szCs w:val="24"/>
        </w:rPr>
        <w:footnoteReference w:id="3"/>
      </w:r>
      <w:r>
        <w:rPr>
          <w:sz w:val="24"/>
          <w:szCs w:val="24"/>
        </w:rPr>
        <w:t>.</w:t>
      </w:r>
    </w:p>
    <w:p w14:paraId="483E5BDA" w14:textId="01E68660" w:rsidR="008E4051" w:rsidRPr="001A44C2" w:rsidRDefault="00543922" w:rsidP="009C5AA9">
      <w:pPr>
        <w:rPr>
          <w:sz w:val="24"/>
          <w:szCs w:val="24"/>
        </w:rPr>
      </w:pPr>
      <w:r>
        <w:rPr>
          <w:sz w:val="24"/>
          <w:szCs w:val="24"/>
        </w:rPr>
        <w:t xml:space="preserve">Another issue highlighted in </w:t>
      </w:r>
      <w:r w:rsidR="001D10CD">
        <w:rPr>
          <w:sz w:val="24"/>
          <w:szCs w:val="24"/>
        </w:rPr>
        <w:t xml:space="preserve">CIB’s </w:t>
      </w:r>
      <w:r>
        <w:rPr>
          <w:sz w:val="24"/>
          <w:szCs w:val="24"/>
        </w:rPr>
        <w:t>report, is</w:t>
      </w:r>
      <w:r w:rsidR="00897910">
        <w:rPr>
          <w:sz w:val="24"/>
          <w:szCs w:val="24"/>
        </w:rPr>
        <w:t xml:space="preserve"> that of</w:t>
      </w:r>
      <w:r w:rsidR="00E149F0" w:rsidRPr="001A44C2">
        <w:rPr>
          <w:sz w:val="24"/>
          <w:szCs w:val="24"/>
        </w:rPr>
        <w:t xml:space="preserve"> </w:t>
      </w:r>
      <w:r w:rsidR="00897910">
        <w:rPr>
          <w:sz w:val="24"/>
          <w:szCs w:val="24"/>
        </w:rPr>
        <w:t>technological discrimination. P</w:t>
      </w:r>
      <w:r w:rsidR="00897910" w:rsidRPr="001A44C2">
        <w:rPr>
          <w:sz w:val="24"/>
          <w:szCs w:val="24"/>
        </w:rPr>
        <w:t xml:space="preserve">eople </w:t>
      </w:r>
      <w:r w:rsidR="008E4051" w:rsidRPr="001A44C2">
        <w:rPr>
          <w:sz w:val="24"/>
          <w:szCs w:val="24"/>
        </w:rPr>
        <w:t xml:space="preserve">with </w:t>
      </w:r>
      <w:r w:rsidR="00661D15" w:rsidRPr="001A44C2">
        <w:rPr>
          <w:sz w:val="24"/>
          <w:szCs w:val="24"/>
        </w:rPr>
        <w:t xml:space="preserve">underdeveloped </w:t>
      </w:r>
      <w:r w:rsidR="008E4051" w:rsidRPr="001A44C2">
        <w:rPr>
          <w:sz w:val="24"/>
          <w:szCs w:val="24"/>
        </w:rPr>
        <w:t>IT skills experience</w:t>
      </w:r>
      <w:r w:rsidR="00897910">
        <w:rPr>
          <w:sz w:val="24"/>
          <w:szCs w:val="24"/>
        </w:rPr>
        <w:t>d</w:t>
      </w:r>
      <w:r w:rsidR="008E4051" w:rsidRPr="001A44C2">
        <w:rPr>
          <w:sz w:val="24"/>
          <w:szCs w:val="24"/>
        </w:rPr>
        <w:t xml:space="preserve"> difficulties with job application processes</w:t>
      </w:r>
      <w:r>
        <w:rPr>
          <w:sz w:val="24"/>
          <w:szCs w:val="24"/>
        </w:rPr>
        <w:t xml:space="preserve"> that are exclusively online</w:t>
      </w:r>
      <w:r w:rsidR="008E4051" w:rsidRPr="001A44C2">
        <w:rPr>
          <w:sz w:val="24"/>
          <w:szCs w:val="24"/>
        </w:rPr>
        <w:t xml:space="preserve">. Examples include job advertisements on social media platforms that overtly or subtly discriminate on the basis of age, gender, race, </w:t>
      </w:r>
      <w:r w:rsidR="00897910">
        <w:rPr>
          <w:sz w:val="24"/>
          <w:szCs w:val="24"/>
        </w:rPr>
        <w:t xml:space="preserve">disability </w:t>
      </w:r>
      <w:r w:rsidR="008E4051" w:rsidRPr="001A44C2">
        <w:rPr>
          <w:sz w:val="24"/>
          <w:szCs w:val="24"/>
        </w:rPr>
        <w:t xml:space="preserve">etc. New sourcing software and use of the internet to </w:t>
      </w:r>
      <w:r w:rsidR="00A67D90" w:rsidRPr="001A44C2">
        <w:rPr>
          <w:sz w:val="24"/>
          <w:szCs w:val="24"/>
        </w:rPr>
        <w:t xml:space="preserve">establish </w:t>
      </w:r>
      <w:r w:rsidR="00897910">
        <w:rPr>
          <w:sz w:val="24"/>
          <w:szCs w:val="24"/>
        </w:rPr>
        <w:t>j</w:t>
      </w:r>
      <w:r w:rsidR="00897910" w:rsidRPr="001A44C2">
        <w:rPr>
          <w:sz w:val="24"/>
          <w:szCs w:val="24"/>
        </w:rPr>
        <w:t xml:space="preserve">obs </w:t>
      </w:r>
      <w:r w:rsidR="00897910">
        <w:rPr>
          <w:sz w:val="24"/>
          <w:szCs w:val="24"/>
        </w:rPr>
        <w:t>b</w:t>
      </w:r>
      <w:r w:rsidR="00897910" w:rsidRPr="001A44C2">
        <w:rPr>
          <w:sz w:val="24"/>
          <w:szCs w:val="24"/>
        </w:rPr>
        <w:t xml:space="preserve">oards </w:t>
      </w:r>
      <w:r w:rsidR="008E4051" w:rsidRPr="001A44C2">
        <w:rPr>
          <w:sz w:val="24"/>
          <w:szCs w:val="24"/>
        </w:rPr>
        <w:t>also has the potential to incentivise employers to use pre-screening tools</w:t>
      </w:r>
      <w:r w:rsidR="00897910">
        <w:rPr>
          <w:sz w:val="24"/>
          <w:szCs w:val="24"/>
        </w:rPr>
        <w:t>.</w:t>
      </w:r>
      <w:r w:rsidR="008E4051" w:rsidRPr="001A44C2">
        <w:rPr>
          <w:sz w:val="24"/>
          <w:szCs w:val="24"/>
        </w:rPr>
        <w:t xml:space="preserve"> </w:t>
      </w:r>
      <w:r w:rsidR="00897910">
        <w:rPr>
          <w:sz w:val="24"/>
          <w:szCs w:val="24"/>
        </w:rPr>
        <w:t xml:space="preserve">These can </w:t>
      </w:r>
      <w:r w:rsidR="008E4051" w:rsidRPr="001A44C2">
        <w:rPr>
          <w:sz w:val="24"/>
          <w:szCs w:val="24"/>
        </w:rPr>
        <w:t>limit</w:t>
      </w:r>
      <w:r w:rsidR="00897910">
        <w:rPr>
          <w:sz w:val="24"/>
          <w:szCs w:val="24"/>
        </w:rPr>
        <w:t>,</w:t>
      </w:r>
      <w:r w:rsidR="008E4051" w:rsidRPr="001A44C2">
        <w:rPr>
          <w:sz w:val="24"/>
          <w:szCs w:val="24"/>
        </w:rPr>
        <w:t xml:space="preserve"> and profile the pool of potential candidates for any given job, before any formal recruitment screening begins, effectively determining who learns about open job opportunities and who can apply for a job. </w:t>
      </w:r>
    </w:p>
    <w:p w14:paraId="7ADF88A9" w14:textId="25536D1C" w:rsidR="00C25B6E" w:rsidRPr="001A44C2" w:rsidRDefault="008E4051" w:rsidP="009C5AA9">
      <w:pPr>
        <w:rPr>
          <w:sz w:val="24"/>
          <w:szCs w:val="24"/>
        </w:rPr>
      </w:pPr>
      <w:r w:rsidRPr="001A44C2">
        <w:rPr>
          <w:sz w:val="24"/>
          <w:szCs w:val="24"/>
        </w:rPr>
        <w:t xml:space="preserve">The introduction of artificial intelligence and predictive hiring tools was </w:t>
      </w:r>
      <w:r w:rsidR="00E149F0" w:rsidRPr="001A44C2">
        <w:rPr>
          <w:sz w:val="24"/>
          <w:szCs w:val="24"/>
        </w:rPr>
        <w:t xml:space="preserve">intended </w:t>
      </w:r>
      <w:r w:rsidRPr="001A44C2">
        <w:rPr>
          <w:sz w:val="24"/>
          <w:szCs w:val="24"/>
        </w:rPr>
        <w:t>to overcome human biases in recruitment</w:t>
      </w:r>
      <w:r w:rsidR="00C608D2" w:rsidRPr="001A44C2">
        <w:rPr>
          <w:sz w:val="24"/>
          <w:szCs w:val="24"/>
        </w:rPr>
        <w:t>,</w:t>
      </w:r>
      <w:r w:rsidRPr="001A44C2">
        <w:rPr>
          <w:sz w:val="24"/>
          <w:szCs w:val="24"/>
        </w:rPr>
        <w:t xml:space="preserve"> but the reality appears to be that these tools </w:t>
      </w:r>
      <w:r w:rsidR="00CD2D1A">
        <w:rPr>
          <w:sz w:val="24"/>
          <w:szCs w:val="24"/>
        </w:rPr>
        <w:t xml:space="preserve">can </w:t>
      </w:r>
      <w:r w:rsidRPr="001A44C2">
        <w:rPr>
          <w:sz w:val="24"/>
          <w:szCs w:val="24"/>
        </w:rPr>
        <w:t>mirror underlying systemic and societal biases. Concerns have been raised that the growth of these technologies are outpacing employers’ and regulators’ capacity to understand and respond to them</w:t>
      </w:r>
      <w:r w:rsidR="008104A8">
        <w:rPr>
          <w:rStyle w:val="FootnoteReference"/>
          <w:sz w:val="24"/>
          <w:szCs w:val="24"/>
        </w:rPr>
        <w:footnoteReference w:id="4"/>
      </w:r>
      <w:r w:rsidRPr="001A44C2">
        <w:rPr>
          <w:sz w:val="24"/>
          <w:szCs w:val="24"/>
        </w:rPr>
        <w:t>.</w:t>
      </w:r>
    </w:p>
    <w:p w14:paraId="218A1A2A" w14:textId="6EEB3811" w:rsidR="005D5E32" w:rsidRPr="001A44C2" w:rsidRDefault="005D5E32" w:rsidP="0072712A">
      <w:pPr>
        <w:pStyle w:val="Heading2"/>
      </w:pPr>
      <w:r w:rsidRPr="001A44C2">
        <w:t>Discrimination in housing</w:t>
      </w:r>
    </w:p>
    <w:p w14:paraId="57CC1924" w14:textId="73CEAF12" w:rsidR="008F5D9B" w:rsidRDefault="005A0C83" w:rsidP="00D26574">
      <w:pPr>
        <w:rPr>
          <w:rFonts w:cstheme="minorHAnsi"/>
          <w:sz w:val="24"/>
          <w:szCs w:val="24"/>
        </w:rPr>
      </w:pPr>
      <w:r w:rsidRPr="001A44C2">
        <w:rPr>
          <w:rFonts w:cstheme="minorHAnsi"/>
          <w:sz w:val="24"/>
          <w:szCs w:val="24"/>
        </w:rPr>
        <w:t xml:space="preserve">There is clear evidence of inequality of access to housing with particular reference to people with disabilities, lone parents and Travellers. The provision of private rented accommodation is a service under the Equal Status Acts 2000-2015. The Act prohibits discrimination against both actual and potential tenants. </w:t>
      </w:r>
      <w:r w:rsidR="008F5D9B" w:rsidRPr="008F5D9B">
        <w:rPr>
          <w:rFonts w:cstheme="minorHAnsi"/>
          <w:sz w:val="24"/>
          <w:szCs w:val="24"/>
        </w:rPr>
        <w:t xml:space="preserve">The Equality (Miscellaneous Provisions) Act 2015 </w:t>
      </w:r>
      <w:r w:rsidR="00D26574">
        <w:rPr>
          <w:rFonts w:cstheme="minorHAnsi"/>
          <w:sz w:val="24"/>
          <w:szCs w:val="24"/>
        </w:rPr>
        <w:t>inserted a tenth ground, the “housing assistance” ground. This ground</w:t>
      </w:r>
      <w:r w:rsidR="00D26574" w:rsidRPr="00D26574">
        <w:rPr>
          <w:rFonts w:cstheme="minorHAnsi"/>
          <w:sz w:val="24"/>
          <w:szCs w:val="24"/>
        </w:rPr>
        <w:t xml:space="preserve"> a</w:t>
      </w:r>
      <w:r w:rsidR="00D26574">
        <w:rPr>
          <w:rFonts w:cstheme="minorHAnsi"/>
          <w:sz w:val="24"/>
          <w:szCs w:val="24"/>
        </w:rPr>
        <w:t xml:space="preserve">pplies only to the provision of </w:t>
      </w:r>
      <w:r w:rsidR="00D26574" w:rsidRPr="00D26574">
        <w:rPr>
          <w:rFonts w:cstheme="minorHAnsi"/>
          <w:sz w:val="24"/>
          <w:szCs w:val="24"/>
        </w:rPr>
        <w:t>accommodation and protects anyone who has applied for and is</w:t>
      </w:r>
      <w:r w:rsidR="00D26574">
        <w:rPr>
          <w:rFonts w:cstheme="minorHAnsi"/>
          <w:sz w:val="24"/>
          <w:szCs w:val="24"/>
        </w:rPr>
        <w:t xml:space="preserve"> </w:t>
      </w:r>
      <w:r w:rsidR="00D26574" w:rsidRPr="00D26574">
        <w:rPr>
          <w:rFonts w:cstheme="minorHAnsi"/>
          <w:sz w:val="24"/>
          <w:szCs w:val="24"/>
        </w:rPr>
        <w:t>eligible to receive rent supplement, housing assistance payments and</w:t>
      </w:r>
      <w:r w:rsidR="00D26574">
        <w:rPr>
          <w:rFonts w:cstheme="minorHAnsi"/>
          <w:sz w:val="24"/>
          <w:szCs w:val="24"/>
        </w:rPr>
        <w:t xml:space="preserve"> </w:t>
      </w:r>
      <w:r w:rsidR="00D26574" w:rsidRPr="00D26574">
        <w:rPr>
          <w:rFonts w:cstheme="minorHAnsi"/>
          <w:sz w:val="24"/>
          <w:szCs w:val="24"/>
        </w:rPr>
        <w:t>other social welfare payments. It applies both to existing tenants and</w:t>
      </w:r>
      <w:r w:rsidR="00D26574">
        <w:rPr>
          <w:rFonts w:cstheme="minorHAnsi"/>
          <w:sz w:val="24"/>
          <w:szCs w:val="24"/>
        </w:rPr>
        <w:t xml:space="preserve"> </w:t>
      </w:r>
      <w:r w:rsidR="00D26574" w:rsidRPr="00D26574">
        <w:rPr>
          <w:rFonts w:cstheme="minorHAnsi"/>
          <w:sz w:val="24"/>
          <w:szCs w:val="24"/>
        </w:rPr>
        <w:t>to those wh</w:t>
      </w:r>
      <w:r w:rsidR="00636BD3">
        <w:rPr>
          <w:rFonts w:cstheme="minorHAnsi"/>
          <w:sz w:val="24"/>
          <w:szCs w:val="24"/>
        </w:rPr>
        <w:t>o are looking for accommodation</w:t>
      </w:r>
      <w:r w:rsidR="00D26574" w:rsidRPr="00D26574">
        <w:rPr>
          <w:rFonts w:cstheme="minorHAnsi"/>
          <w:sz w:val="24"/>
          <w:szCs w:val="24"/>
        </w:rPr>
        <w:t>.</w:t>
      </w:r>
    </w:p>
    <w:p w14:paraId="3D23B43F" w14:textId="1828297B" w:rsidR="005A0C83" w:rsidRPr="001A44C2" w:rsidRDefault="005A0C83" w:rsidP="005A0C83">
      <w:pPr>
        <w:rPr>
          <w:rFonts w:eastAsia="Times New Roman" w:cstheme="minorHAnsi"/>
          <w:color w:val="333333"/>
          <w:sz w:val="24"/>
          <w:szCs w:val="24"/>
        </w:rPr>
      </w:pPr>
      <w:r w:rsidRPr="001A44C2">
        <w:rPr>
          <w:rFonts w:cstheme="minorHAnsi"/>
          <w:sz w:val="24"/>
          <w:szCs w:val="24"/>
        </w:rPr>
        <w:t>Forms of discrimination typically experienced by users of CIB services include</w:t>
      </w:r>
      <w:r w:rsidRPr="001A44C2">
        <w:rPr>
          <w:rStyle w:val="FootnoteReference"/>
          <w:rFonts w:cstheme="minorHAnsi"/>
          <w:sz w:val="24"/>
          <w:szCs w:val="24"/>
        </w:rPr>
        <w:footnoteReference w:id="5"/>
      </w:r>
      <w:r w:rsidRPr="001A44C2">
        <w:rPr>
          <w:rFonts w:cstheme="minorHAnsi"/>
          <w:sz w:val="24"/>
          <w:szCs w:val="24"/>
        </w:rPr>
        <w:t>:</w:t>
      </w:r>
    </w:p>
    <w:p w14:paraId="1DC69BFF" w14:textId="74736ED6" w:rsidR="005A0C83" w:rsidRPr="001A44C2" w:rsidRDefault="005A0C83" w:rsidP="005A0C83">
      <w:pPr>
        <w:pStyle w:val="ListParagraph"/>
        <w:numPr>
          <w:ilvl w:val="0"/>
          <w:numId w:val="6"/>
        </w:numPr>
        <w:spacing w:line="256" w:lineRule="auto"/>
        <w:rPr>
          <w:rFonts w:eastAsia="Times New Roman" w:cstheme="minorHAnsi"/>
          <w:color w:val="333333"/>
          <w:sz w:val="24"/>
          <w:szCs w:val="24"/>
        </w:rPr>
      </w:pPr>
      <w:r w:rsidRPr="001A44C2">
        <w:rPr>
          <w:rFonts w:cstheme="minorHAnsi"/>
          <w:color w:val="333333"/>
          <w:sz w:val="24"/>
          <w:szCs w:val="24"/>
        </w:rPr>
        <w:t>Landlords r</w:t>
      </w:r>
      <w:r w:rsidRPr="001A44C2">
        <w:rPr>
          <w:rFonts w:eastAsia="Times New Roman" w:cstheme="minorHAnsi"/>
          <w:color w:val="333333"/>
          <w:sz w:val="24"/>
          <w:szCs w:val="24"/>
        </w:rPr>
        <w:t>efusing to rent a property based on one of the nine grounds, including, in particular, people</w:t>
      </w:r>
      <w:r w:rsidR="008127F9">
        <w:rPr>
          <w:rFonts w:eastAsia="Times New Roman" w:cstheme="minorHAnsi"/>
          <w:color w:val="333333"/>
          <w:sz w:val="24"/>
          <w:szCs w:val="24"/>
        </w:rPr>
        <w:t xml:space="preserve"> with disabilities</w:t>
      </w:r>
      <w:r w:rsidRPr="001A44C2">
        <w:rPr>
          <w:rFonts w:eastAsia="Times New Roman" w:cstheme="minorHAnsi"/>
          <w:color w:val="333333"/>
          <w:sz w:val="24"/>
          <w:szCs w:val="24"/>
        </w:rPr>
        <w:t xml:space="preserve"> and people with mental health difficulties</w:t>
      </w:r>
    </w:p>
    <w:p w14:paraId="675B4792" w14:textId="2AABF754" w:rsidR="005A0C83" w:rsidRPr="001A44C2" w:rsidRDefault="005A0C83" w:rsidP="005A0C83">
      <w:pPr>
        <w:pStyle w:val="ListParagraph"/>
        <w:numPr>
          <w:ilvl w:val="0"/>
          <w:numId w:val="6"/>
        </w:numPr>
        <w:spacing w:line="256" w:lineRule="auto"/>
        <w:rPr>
          <w:rFonts w:eastAsia="Times New Roman" w:cstheme="minorHAnsi"/>
          <w:color w:val="333333"/>
          <w:sz w:val="24"/>
          <w:szCs w:val="24"/>
        </w:rPr>
      </w:pPr>
      <w:r w:rsidRPr="001A44C2">
        <w:rPr>
          <w:rFonts w:eastAsia="Times New Roman" w:cstheme="minorHAnsi"/>
          <w:color w:val="333333"/>
          <w:sz w:val="24"/>
          <w:szCs w:val="24"/>
        </w:rPr>
        <w:lastRenderedPageBreak/>
        <w:t xml:space="preserve">Refusing to accept Housing Assistance Payment (HAP) or Rent Supplement </w:t>
      </w:r>
      <w:r w:rsidR="002C4713" w:rsidRPr="001A44C2">
        <w:rPr>
          <w:rFonts w:eastAsia="Times New Roman" w:cstheme="minorHAnsi"/>
          <w:color w:val="333333"/>
          <w:sz w:val="24"/>
          <w:szCs w:val="24"/>
        </w:rPr>
        <w:t xml:space="preserve">(RS) </w:t>
      </w:r>
      <w:r w:rsidRPr="001A44C2">
        <w:rPr>
          <w:rFonts w:eastAsia="Times New Roman" w:cstheme="minorHAnsi"/>
          <w:color w:val="333333"/>
          <w:sz w:val="24"/>
          <w:szCs w:val="24"/>
        </w:rPr>
        <w:t>tenants</w:t>
      </w:r>
    </w:p>
    <w:p w14:paraId="33D5A640" w14:textId="6ECA8A8C" w:rsidR="005A0C83" w:rsidRPr="001A44C2" w:rsidRDefault="005A0C83" w:rsidP="005A0C83">
      <w:pPr>
        <w:pStyle w:val="ListParagraph"/>
        <w:numPr>
          <w:ilvl w:val="0"/>
          <w:numId w:val="6"/>
        </w:numPr>
        <w:spacing w:line="256" w:lineRule="auto"/>
        <w:rPr>
          <w:rFonts w:eastAsia="Times New Roman" w:cstheme="minorHAnsi"/>
          <w:color w:val="333333"/>
          <w:sz w:val="24"/>
          <w:szCs w:val="24"/>
        </w:rPr>
      </w:pPr>
      <w:r w:rsidRPr="001A44C2">
        <w:rPr>
          <w:rFonts w:eastAsia="Times New Roman" w:cstheme="minorHAnsi"/>
          <w:color w:val="333333"/>
          <w:sz w:val="24"/>
          <w:szCs w:val="24"/>
        </w:rPr>
        <w:t>Refusing to complete the necessary forms to enable a tenant to receive HAP or RS</w:t>
      </w:r>
    </w:p>
    <w:p w14:paraId="2657A28B" w14:textId="0712E711" w:rsidR="005A0C83" w:rsidRPr="001A44C2" w:rsidRDefault="005A0C83" w:rsidP="005A0C83">
      <w:pPr>
        <w:pStyle w:val="ListParagraph"/>
        <w:numPr>
          <w:ilvl w:val="0"/>
          <w:numId w:val="6"/>
        </w:numPr>
        <w:spacing w:line="256" w:lineRule="auto"/>
        <w:rPr>
          <w:rFonts w:eastAsia="Times New Roman" w:cstheme="minorHAnsi"/>
          <w:sz w:val="24"/>
          <w:szCs w:val="24"/>
        </w:rPr>
      </w:pPr>
      <w:r w:rsidRPr="001A44C2">
        <w:rPr>
          <w:rFonts w:eastAsia="Times New Roman" w:cstheme="minorHAnsi"/>
          <w:sz w:val="24"/>
          <w:szCs w:val="24"/>
        </w:rPr>
        <w:t xml:space="preserve">Ending (or refusing to renew) a lease or other tenancy agreement where one of the grounds has been identified </w:t>
      </w:r>
      <w:r w:rsidR="002C4713" w:rsidRPr="001A44C2">
        <w:rPr>
          <w:rFonts w:eastAsia="Times New Roman" w:cstheme="minorHAnsi"/>
          <w:sz w:val="24"/>
          <w:szCs w:val="24"/>
        </w:rPr>
        <w:t xml:space="preserve">by the tenant </w:t>
      </w:r>
      <w:r w:rsidRPr="001A44C2">
        <w:rPr>
          <w:rFonts w:eastAsia="Times New Roman" w:cstheme="minorHAnsi"/>
          <w:sz w:val="24"/>
          <w:szCs w:val="24"/>
        </w:rPr>
        <w:t xml:space="preserve">as a </w:t>
      </w:r>
      <w:r w:rsidR="002C4713" w:rsidRPr="001A44C2">
        <w:rPr>
          <w:rFonts w:eastAsia="Times New Roman" w:cstheme="minorHAnsi"/>
          <w:sz w:val="24"/>
          <w:szCs w:val="24"/>
        </w:rPr>
        <w:t xml:space="preserve">likely </w:t>
      </w:r>
      <w:r w:rsidRPr="001A44C2">
        <w:rPr>
          <w:rFonts w:eastAsia="Times New Roman" w:cstheme="minorHAnsi"/>
          <w:sz w:val="24"/>
          <w:szCs w:val="24"/>
        </w:rPr>
        <w:t>contributory factor</w:t>
      </w:r>
    </w:p>
    <w:p w14:paraId="0070AE3B" w14:textId="72BD17C4" w:rsidR="002B6FE7" w:rsidRPr="001A44C2" w:rsidRDefault="005A0C83" w:rsidP="002B6FE7">
      <w:pPr>
        <w:rPr>
          <w:sz w:val="24"/>
          <w:szCs w:val="24"/>
        </w:rPr>
      </w:pPr>
      <w:r w:rsidRPr="001A44C2">
        <w:rPr>
          <w:sz w:val="24"/>
          <w:szCs w:val="24"/>
        </w:rPr>
        <w:t>R</w:t>
      </w:r>
      <w:r w:rsidR="002B6FE7" w:rsidRPr="001A44C2">
        <w:rPr>
          <w:sz w:val="24"/>
          <w:szCs w:val="24"/>
        </w:rPr>
        <w:t xml:space="preserve">ecent (2021) IHREC/ESRI research, </w:t>
      </w:r>
      <w:r w:rsidR="002B6FE7" w:rsidRPr="001A44C2">
        <w:rPr>
          <w:i/>
          <w:iCs/>
          <w:sz w:val="24"/>
          <w:szCs w:val="24"/>
        </w:rPr>
        <w:t>Monitoring Adequate Housing in Ireland</w:t>
      </w:r>
      <w:r w:rsidR="002B6FE7" w:rsidRPr="001A44C2">
        <w:rPr>
          <w:rStyle w:val="FootnoteReference"/>
          <w:i/>
          <w:iCs/>
          <w:sz w:val="24"/>
          <w:szCs w:val="24"/>
        </w:rPr>
        <w:footnoteReference w:id="6"/>
      </w:r>
      <w:r w:rsidR="002B6FE7" w:rsidRPr="001A44C2">
        <w:rPr>
          <w:sz w:val="24"/>
          <w:szCs w:val="24"/>
        </w:rPr>
        <w:t>, emphasises the challenges facing people with disabilities</w:t>
      </w:r>
      <w:r w:rsidRPr="001A44C2">
        <w:rPr>
          <w:sz w:val="24"/>
          <w:szCs w:val="24"/>
        </w:rPr>
        <w:t xml:space="preserve"> related in part to </w:t>
      </w:r>
      <w:r w:rsidR="002B6FE7" w:rsidRPr="001A44C2">
        <w:rPr>
          <w:sz w:val="24"/>
          <w:szCs w:val="24"/>
        </w:rPr>
        <w:t>the significant shift in housing policy away from direct provision by the State and its agencies to an increased use of the private sector.</w:t>
      </w:r>
    </w:p>
    <w:p w14:paraId="0381C3F2" w14:textId="67C46F53" w:rsidR="002B6FE7" w:rsidRPr="001A44C2" w:rsidRDefault="002B6FE7" w:rsidP="002B6FE7">
      <w:pPr>
        <w:rPr>
          <w:sz w:val="24"/>
          <w:szCs w:val="24"/>
        </w:rPr>
      </w:pPr>
      <w:r w:rsidRPr="001A44C2">
        <w:rPr>
          <w:sz w:val="24"/>
          <w:szCs w:val="24"/>
        </w:rPr>
        <w:t>The research points to higher rates of affordability issues amongst people with disabilities when compared to those without a disability; significantly higher rates of reported poverty after housing costs; significantly higher chances of arrears; and significantly higher likelihood of experiencing poor quality of housing</w:t>
      </w:r>
      <w:r w:rsidR="001D10CD">
        <w:rPr>
          <w:sz w:val="24"/>
          <w:szCs w:val="24"/>
        </w:rPr>
        <w:t>.</w:t>
      </w:r>
    </w:p>
    <w:p w14:paraId="3BCBA4FB" w14:textId="75914365" w:rsidR="005A0C83" w:rsidRPr="001A44C2" w:rsidRDefault="00661D15" w:rsidP="005A0C83">
      <w:pPr>
        <w:spacing w:line="254" w:lineRule="auto"/>
        <w:rPr>
          <w:sz w:val="24"/>
          <w:szCs w:val="24"/>
        </w:rPr>
      </w:pPr>
      <w:r w:rsidRPr="001A44C2">
        <w:rPr>
          <w:sz w:val="24"/>
          <w:szCs w:val="24"/>
          <w:lang w:eastAsia="en-IE"/>
        </w:rPr>
        <w:t>Previous r</w:t>
      </w:r>
      <w:r w:rsidR="005A0C83" w:rsidRPr="001A44C2">
        <w:rPr>
          <w:sz w:val="24"/>
          <w:szCs w:val="24"/>
          <w:lang w:eastAsia="en-IE"/>
        </w:rPr>
        <w:t>esearch carried out by the Irish Human Rights and Equality Commission and the ESRI</w:t>
      </w:r>
      <w:r w:rsidR="005A0C83" w:rsidRPr="001A44C2">
        <w:rPr>
          <w:rStyle w:val="FootnoteReference"/>
          <w:sz w:val="24"/>
          <w:szCs w:val="24"/>
          <w:lang w:eastAsia="en-IE"/>
        </w:rPr>
        <w:footnoteReference w:id="7"/>
      </w:r>
      <w:r w:rsidR="005A0C83" w:rsidRPr="001A44C2">
        <w:rPr>
          <w:sz w:val="24"/>
          <w:szCs w:val="24"/>
          <w:lang w:eastAsia="en-IE"/>
        </w:rPr>
        <w:t xml:space="preserve"> shows that people with disabilities were over twice as likely as people without disabilities to experience discrimination in access to housing. For example, people with disabilities are overrepresented among homeless people (more than one-in-four homeless people have a disability) and are more likely to experience bad housing conditions, are more at risk of poverty and deprivation and they also are more likely to be discriminated against in a series of domains, including housing.</w:t>
      </w:r>
      <w:r w:rsidR="005A0C83" w:rsidRPr="001A44C2">
        <w:rPr>
          <w:sz w:val="24"/>
          <w:szCs w:val="24"/>
        </w:rPr>
        <w:t xml:space="preserve"> </w:t>
      </w:r>
    </w:p>
    <w:p w14:paraId="326E9020" w14:textId="552A9951" w:rsidR="005D5E32" w:rsidRPr="001A44C2" w:rsidRDefault="00521CBC" w:rsidP="00521CBC">
      <w:pPr>
        <w:rPr>
          <w:rFonts w:eastAsia="Times New Roman" w:cstheme="minorHAnsi"/>
          <w:sz w:val="24"/>
          <w:szCs w:val="24"/>
        </w:rPr>
      </w:pPr>
      <w:r w:rsidRPr="001A44C2">
        <w:rPr>
          <w:sz w:val="24"/>
          <w:szCs w:val="24"/>
        </w:rPr>
        <w:t>A forthcoming social policy report prepared jointly by CIB and Disability Federation of Ireland</w:t>
      </w:r>
      <w:r w:rsidR="00661D15" w:rsidRPr="001A44C2">
        <w:rPr>
          <w:sz w:val="24"/>
          <w:szCs w:val="24"/>
        </w:rPr>
        <w:t xml:space="preserve"> (DFI)</w:t>
      </w:r>
      <w:r w:rsidR="002F0531" w:rsidRPr="001A44C2">
        <w:rPr>
          <w:sz w:val="24"/>
          <w:szCs w:val="24"/>
        </w:rPr>
        <w:t xml:space="preserve"> </w:t>
      </w:r>
      <w:r w:rsidRPr="001A44C2">
        <w:rPr>
          <w:sz w:val="24"/>
          <w:szCs w:val="24"/>
        </w:rPr>
        <w:t xml:space="preserve">highlights the particular difficulties faced by disabled people </w:t>
      </w:r>
      <w:r w:rsidR="002F0531" w:rsidRPr="001A44C2">
        <w:rPr>
          <w:sz w:val="24"/>
          <w:szCs w:val="24"/>
        </w:rPr>
        <w:t xml:space="preserve">and people with mental health difficulties </w:t>
      </w:r>
      <w:r w:rsidRPr="001A44C2">
        <w:rPr>
          <w:sz w:val="24"/>
          <w:szCs w:val="24"/>
        </w:rPr>
        <w:t>in accessing social housing through the private rented sector (frequently the only option available</w:t>
      </w:r>
      <w:r w:rsidR="001D10CD" w:rsidRPr="001A44C2">
        <w:rPr>
          <w:sz w:val="24"/>
          <w:szCs w:val="24"/>
        </w:rPr>
        <w:t>)</w:t>
      </w:r>
      <w:r w:rsidR="001D10CD">
        <w:rPr>
          <w:sz w:val="24"/>
          <w:szCs w:val="24"/>
        </w:rPr>
        <w:t>. These</w:t>
      </w:r>
      <w:r w:rsidR="001D10CD" w:rsidRPr="001A44C2">
        <w:rPr>
          <w:sz w:val="24"/>
          <w:szCs w:val="24"/>
        </w:rPr>
        <w:t xml:space="preserve"> </w:t>
      </w:r>
      <w:r w:rsidR="002F0531" w:rsidRPr="001A44C2">
        <w:rPr>
          <w:sz w:val="24"/>
          <w:szCs w:val="24"/>
        </w:rPr>
        <w:t>includ</w:t>
      </w:r>
      <w:r w:rsidR="001D10CD">
        <w:rPr>
          <w:sz w:val="24"/>
          <w:szCs w:val="24"/>
        </w:rPr>
        <w:t xml:space="preserve">e </w:t>
      </w:r>
      <w:r w:rsidR="002F0531" w:rsidRPr="001A44C2">
        <w:rPr>
          <w:sz w:val="24"/>
          <w:szCs w:val="24"/>
        </w:rPr>
        <w:t xml:space="preserve">in particular, difficulties in getting accessible accommodation and </w:t>
      </w:r>
      <w:r w:rsidR="008F5D9B" w:rsidRPr="001A44C2">
        <w:rPr>
          <w:sz w:val="24"/>
          <w:szCs w:val="24"/>
        </w:rPr>
        <w:t>difficult</w:t>
      </w:r>
      <w:r w:rsidR="008F5D9B">
        <w:rPr>
          <w:sz w:val="24"/>
          <w:szCs w:val="24"/>
        </w:rPr>
        <w:t>ies</w:t>
      </w:r>
      <w:r w:rsidR="008F5D9B" w:rsidRPr="001A44C2">
        <w:rPr>
          <w:sz w:val="24"/>
          <w:szCs w:val="24"/>
        </w:rPr>
        <w:t xml:space="preserve"> </w:t>
      </w:r>
      <w:r w:rsidR="002F0531" w:rsidRPr="001A44C2">
        <w:rPr>
          <w:sz w:val="24"/>
          <w:szCs w:val="24"/>
        </w:rPr>
        <w:t xml:space="preserve">in accessing Housing Adaptation Grants following an acquired disability because landlords do not want to carry out adaptations to their property. This report notes that </w:t>
      </w:r>
      <w:r w:rsidR="002C4713" w:rsidRPr="001A44C2">
        <w:rPr>
          <w:sz w:val="24"/>
          <w:szCs w:val="24"/>
        </w:rPr>
        <w:t xml:space="preserve">the situation of a </w:t>
      </w:r>
      <w:r w:rsidR="002F0531" w:rsidRPr="001A44C2">
        <w:rPr>
          <w:sz w:val="24"/>
          <w:szCs w:val="24"/>
        </w:rPr>
        <w:t>person with a disability or a mental health difficulty</w:t>
      </w:r>
      <w:r w:rsidR="00364BC5" w:rsidRPr="001A44C2">
        <w:rPr>
          <w:sz w:val="24"/>
          <w:szCs w:val="24"/>
        </w:rPr>
        <w:t xml:space="preserve"> </w:t>
      </w:r>
      <w:r w:rsidR="002C4713" w:rsidRPr="001A44C2">
        <w:rPr>
          <w:sz w:val="24"/>
          <w:szCs w:val="24"/>
        </w:rPr>
        <w:t xml:space="preserve">that results from </w:t>
      </w:r>
      <w:r w:rsidR="002F0531" w:rsidRPr="001A44C2">
        <w:rPr>
          <w:sz w:val="24"/>
          <w:szCs w:val="24"/>
        </w:rPr>
        <w:t>ha</w:t>
      </w:r>
      <w:r w:rsidR="00364BC5" w:rsidRPr="001A44C2">
        <w:rPr>
          <w:sz w:val="24"/>
          <w:szCs w:val="24"/>
        </w:rPr>
        <w:t xml:space="preserve">ving </w:t>
      </w:r>
      <w:r w:rsidR="002F0531" w:rsidRPr="001A44C2">
        <w:rPr>
          <w:sz w:val="24"/>
          <w:szCs w:val="24"/>
        </w:rPr>
        <w:t>to rely on the private rented sector for social housing</w:t>
      </w:r>
      <w:r w:rsidR="00364BC5" w:rsidRPr="001A44C2">
        <w:rPr>
          <w:sz w:val="24"/>
          <w:szCs w:val="24"/>
        </w:rPr>
        <w:t xml:space="preserve"> is at odds with a human rights approach. It can also be </w:t>
      </w:r>
      <w:r w:rsidR="00661D15" w:rsidRPr="001A44C2">
        <w:rPr>
          <w:sz w:val="24"/>
          <w:szCs w:val="24"/>
        </w:rPr>
        <w:t xml:space="preserve">reasonably suggested </w:t>
      </w:r>
      <w:r w:rsidR="00364BC5" w:rsidRPr="001A44C2">
        <w:rPr>
          <w:sz w:val="24"/>
          <w:szCs w:val="24"/>
        </w:rPr>
        <w:t>that it undermines legislative provisions relating to equality of access to goods and services.</w:t>
      </w:r>
      <w:r w:rsidRPr="001A44C2">
        <w:rPr>
          <w:sz w:val="24"/>
          <w:szCs w:val="24"/>
        </w:rPr>
        <w:t xml:space="preserve"> </w:t>
      </w:r>
      <w:r w:rsidR="008B10EF" w:rsidRPr="001A44C2">
        <w:rPr>
          <w:sz w:val="24"/>
          <w:szCs w:val="24"/>
        </w:rPr>
        <w:t xml:space="preserve"> </w:t>
      </w:r>
    </w:p>
    <w:p w14:paraId="66607BB7" w14:textId="77777777" w:rsidR="002C4713" w:rsidRPr="001A44C2" w:rsidRDefault="005A0C83" w:rsidP="00AC448A">
      <w:pPr>
        <w:rPr>
          <w:sz w:val="24"/>
          <w:szCs w:val="24"/>
          <w:shd w:val="clear" w:color="auto" w:fill="FFFFFF"/>
        </w:rPr>
      </w:pPr>
      <w:r w:rsidRPr="001A44C2">
        <w:rPr>
          <w:sz w:val="24"/>
          <w:szCs w:val="24"/>
          <w:shd w:val="clear" w:color="auto" w:fill="FFFFFF"/>
        </w:rPr>
        <w:t xml:space="preserve">In relation to </w:t>
      </w:r>
      <w:r w:rsidR="00AC448A" w:rsidRPr="001A44C2">
        <w:rPr>
          <w:sz w:val="24"/>
          <w:szCs w:val="24"/>
          <w:shd w:val="clear" w:color="auto" w:fill="FFFFFF"/>
        </w:rPr>
        <w:t>T</w:t>
      </w:r>
      <w:r w:rsidRPr="001A44C2">
        <w:rPr>
          <w:sz w:val="24"/>
          <w:szCs w:val="24"/>
          <w:shd w:val="clear" w:color="auto" w:fill="FFFFFF"/>
        </w:rPr>
        <w:t>ravellers, the rates of energy poverty, conditions of mobiles/trailers, health and safety concerns and poverty and financial exclusion among Travellers have been regularly highlighted by CIB and MABS.</w:t>
      </w:r>
      <w:r w:rsidRPr="001A44C2">
        <w:rPr>
          <w:rStyle w:val="FootnoteReference"/>
          <w:sz w:val="24"/>
          <w:szCs w:val="24"/>
          <w:shd w:val="clear" w:color="auto" w:fill="FFFFFF"/>
        </w:rPr>
        <w:footnoteReference w:id="8"/>
      </w:r>
    </w:p>
    <w:p w14:paraId="07F6CA88" w14:textId="3608A747" w:rsidR="00E91FA1" w:rsidRPr="001A44C2" w:rsidRDefault="002C4713" w:rsidP="00E91FA1">
      <w:pPr>
        <w:rPr>
          <w:sz w:val="24"/>
          <w:szCs w:val="24"/>
        </w:rPr>
      </w:pPr>
      <w:r w:rsidRPr="001A44C2">
        <w:rPr>
          <w:sz w:val="24"/>
          <w:szCs w:val="24"/>
          <w:shd w:val="clear" w:color="auto" w:fill="FFFFFF"/>
        </w:rPr>
        <w:t>In the 2021 IHREC</w:t>
      </w:r>
      <w:r w:rsidR="00335A9A" w:rsidRPr="001A44C2">
        <w:rPr>
          <w:sz w:val="24"/>
          <w:szCs w:val="24"/>
          <w:shd w:val="clear" w:color="auto" w:fill="FFFFFF"/>
        </w:rPr>
        <w:t>/</w:t>
      </w:r>
      <w:r w:rsidRPr="001A44C2">
        <w:rPr>
          <w:sz w:val="24"/>
          <w:szCs w:val="24"/>
          <w:shd w:val="clear" w:color="auto" w:fill="FFFFFF"/>
        </w:rPr>
        <w:t>ESRI</w:t>
      </w:r>
      <w:r w:rsidR="00335A9A" w:rsidRPr="001A44C2">
        <w:rPr>
          <w:sz w:val="24"/>
          <w:szCs w:val="24"/>
          <w:shd w:val="clear" w:color="auto" w:fill="FFFFFF"/>
        </w:rPr>
        <w:t xml:space="preserve"> research referenced above, l</w:t>
      </w:r>
      <w:r w:rsidRPr="001A44C2">
        <w:rPr>
          <w:sz w:val="24"/>
          <w:szCs w:val="24"/>
          <w:shd w:val="clear" w:color="auto" w:fill="FFFFFF"/>
        </w:rPr>
        <w:t>one parents emerged as a disadvantaged group on several indicators</w:t>
      </w:r>
      <w:r w:rsidR="00335A9A" w:rsidRPr="001A44C2">
        <w:rPr>
          <w:sz w:val="24"/>
          <w:szCs w:val="24"/>
          <w:shd w:val="clear" w:color="auto" w:fill="FFFFFF"/>
        </w:rPr>
        <w:t xml:space="preserve">, being </w:t>
      </w:r>
      <w:r w:rsidRPr="001A44C2">
        <w:rPr>
          <w:sz w:val="24"/>
          <w:szCs w:val="24"/>
          <w:shd w:val="clear" w:color="auto" w:fill="FFFFFF"/>
        </w:rPr>
        <w:t xml:space="preserve">overrepresented on the housing waiting </w:t>
      </w:r>
      <w:r w:rsidRPr="001A44C2">
        <w:rPr>
          <w:sz w:val="24"/>
          <w:szCs w:val="24"/>
          <w:shd w:val="clear" w:color="auto" w:fill="FFFFFF"/>
        </w:rPr>
        <w:lastRenderedPageBreak/>
        <w:t xml:space="preserve">list, amongst homeless families, and </w:t>
      </w:r>
      <w:r w:rsidR="008F5D9B">
        <w:rPr>
          <w:sz w:val="24"/>
          <w:szCs w:val="24"/>
          <w:shd w:val="clear" w:color="auto" w:fill="FFFFFF"/>
        </w:rPr>
        <w:t xml:space="preserve">being </w:t>
      </w:r>
      <w:r w:rsidRPr="001A44C2">
        <w:rPr>
          <w:sz w:val="24"/>
          <w:szCs w:val="24"/>
          <w:shd w:val="clear" w:color="auto" w:fill="FFFFFF"/>
        </w:rPr>
        <w:t xml:space="preserve">much less likely to own their own home </w:t>
      </w:r>
      <w:r w:rsidR="008F5D9B">
        <w:rPr>
          <w:sz w:val="24"/>
          <w:szCs w:val="24"/>
          <w:shd w:val="clear" w:color="auto" w:fill="FFFFFF"/>
        </w:rPr>
        <w:t xml:space="preserve">compared to </w:t>
      </w:r>
      <w:r w:rsidRPr="001A44C2">
        <w:rPr>
          <w:sz w:val="24"/>
          <w:szCs w:val="24"/>
          <w:shd w:val="clear" w:color="auto" w:fill="FFFFFF"/>
        </w:rPr>
        <w:t>couples with children.</w:t>
      </w:r>
      <w:r w:rsidR="00AC448A" w:rsidRPr="001A44C2">
        <w:rPr>
          <w:sz w:val="24"/>
          <w:szCs w:val="24"/>
          <w:shd w:val="clear" w:color="auto" w:fill="FFFFFF"/>
        </w:rPr>
        <w:br/>
      </w:r>
      <w:r w:rsidR="00AC448A" w:rsidRPr="001A44C2">
        <w:rPr>
          <w:sz w:val="24"/>
          <w:szCs w:val="24"/>
          <w:shd w:val="clear" w:color="auto" w:fill="FFFFFF"/>
        </w:rPr>
        <w:br/>
        <w:t xml:space="preserve">It can be argued that the current approach to social housing provision in Ireland with a heavy reliance on the private rented sector, notwithstanding the role of the Housing Assistance Payment and Rent Supplement, </w:t>
      </w:r>
      <w:r w:rsidR="006A4412">
        <w:rPr>
          <w:sz w:val="24"/>
          <w:szCs w:val="24"/>
          <w:shd w:val="clear" w:color="auto" w:fill="FFFFFF"/>
        </w:rPr>
        <w:t xml:space="preserve">weakens </w:t>
      </w:r>
      <w:r w:rsidR="00AC448A" w:rsidRPr="001A44C2">
        <w:rPr>
          <w:sz w:val="24"/>
          <w:szCs w:val="24"/>
          <w:shd w:val="clear" w:color="auto" w:fill="FFFFFF"/>
        </w:rPr>
        <w:t xml:space="preserve">equality legislation relating to access to housing.  </w:t>
      </w:r>
    </w:p>
    <w:p w14:paraId="2C804F06" w14:textId="1CA2CE60" w:rsidR="00E91FA1" w:rsidRPr="001A44C2" w:rsidRDefault="00E91FA1" w:rsidP="0072712A">
      <w:pPr>
        <w:pStyle w:val="Heading2"/>
        <w:rPr>
          <w:rFonts w:cstheme="minorHAnsi"/>
          <w:color w:val="333333"/>
          <w:shd w:val="clear" w:color="auto" w:fill="FFFFFF"/>
        </w:rPr>
      </w:pPr>
      <w:r w:rsidRPr="001A44C2">
        <w:rPr>
          <w:shd w:val="clear" w:color="auto" w:fill="FFFFFF"/>
        </w:rPr>
        <w:t>Access to public services</w:t>
      </w:r>
    </w:p>
    <w:p w14:paraId="3C6DE788" w14:textId="32D0284D" w:rsidR="00BB0D4F" w:rsidRDefault="00AC448A" w:rsidP="00E91FA1">
      <w:pPr>
        <w:rPr>
          <w:rFonts w:cstheme="minorHAnsi"/>
          <w:sz w:val="24"/>
          <w:szCs w:val="24"/>
        </w:rPr>
      </w:pPr>
      <w:r w:rsidRPr="001A44C2">
        <w:rPr>
          <w:rFonts w:cstheme="minorHAnsi"/>
          <w:color w:val="333333"/>
          <w:sz w:val="24"/>
          <w:szCs w:val="24"/>
          <w:shd w:val="clear" w:color="auto" w:fill="FFFFFF"/>
        </w:rPr>
        <w:t>Section 42 of the </w:t>
      </w:r>
      <w:r w:rsidRPr="001A44C2">
        <w:rPr>
          <w:rStyle w:val="Emphasis"/>
          <w:rFonts w:cstheme="minorHAnsi"/>
          <w:color w:val="333333"/>
          <w:sz w:val="24"/>
          <w:szCs w:val="24"/>
          <w:shd w:val="clear" w:color="auto" w:fill="FFFFFF"/>
        </w:rPr>
        <w:t>Irish Human Rights and Equality Commission Act 2014</w:t>
      </w:r>
      <w:r w:rsidR="00A7240F">
        <w:rPr>
          <w:rFonts w:cstheme="minorHAnsi"/>
          <w:color w:val="333333"/>
          <w:sz w:val="24"/>
          <w:szCs w:val="24"/>
          <w:shd w:val="clear" w:color="auto" w:fill="FFFFFF"/>
        </w:rPr>
        <w:t xml:space="preserve"> - </w:t>
      </w:r>
      <w:r w:rsidRPr="001A44C2">
        <w:rPr>
          <w:rFonts w:cstheme="minorHAnsi"/>
          <w:color w:val="333333"/>
          <w:sz w:val="24"/>
          <w:szCs w:val="24"/>
          <w:shd w:val="clear" w:color="auto" w:fill="FFFFFF"/>
        </w:rPr>
        <w:t xml:space="preserve">Section 42(1) requires public bodies, in the performance of their functions, to have regard to the need to eliminate discrimination, promote equality and protect human rights of staff and people availing of their services. Section 42(2) requires public bodies to assess, address and report on progress in relation to equality and human rights in their strategic plan and annual reports in a manner that is accessible to </w:t>
      </w:r>
      <w:r w:rsidRPr="001A44C2">
        <w:rPr>
          <w:rFonts w:cstheme="minorHAnsi"/>
          <w:sz w:val="24"/>
          <w:szCs w:val="24"/>
        </w:rPr>
        <w:t>the public. N</w:t>
      </w:r>
      <w:r w:rsidR="009D59A5" w:rsidRPr="001A44C2">
        <w:rPr>
          <w:rFonts w:cstheme="minorHAnsi"/>
          <w:sz w:val="24"/>
          <w:szCs w:val="24"/>
        </w:rPr>
        <w:t>otwithstanding the</w:t>
      </w:r>
      <w:r w:rsidR="00661D15" w:rsidRPr="001A44C2">
        <w:rPr>
          <w:rFonts w:cstheme="minorHAnsi"/>
          <w:sz w:val="24"/>
          <w:szCs w:val="24"/>
        </w:rPr>
        <w:t>se</w:t>
      </w:r>
      <w:r w:rsidR="009D59A5" w:rsidRPr="001A44C2">
        <w:rPr>
          <w:rFonts w:cstheme="minorHAnsi"/>
          <w:sz w:val="24"/>
          <w:szCs w:val="24"/>
        </w:rPr>
        <w:t xml:space="preserve"> provisions, </w:t>
      </w:r>
      <w:r w:rsidR="00625CA0" w:rsidRPr="001A44C2">
        <w:rPr>
          <w:rFonts w:cstheme="minorHAnsi"/>
          <w:sz w:val="24"/>
          <w:szCs w:val="24"/>
        </w:rPr>
        <w:t>CIB has regularly drawn attention to the difficulties faced by people with disabilities</w:t>
      </w:r>
      <w:r w:rsidR="001D10CD">
        <w:rPr>
          <w:rFonts w:cstheme="minorHAnsi"/>
          <w:sz w:val="24"/>
          <w:szCs w:val="24"/>
        </w:rPr>
        <w:t>,</w:t>
      </w:r>
      <w:r w:rsidR="00625CA0" w:rsidRPr="001A44C2">
        <w:rPr>
          <w:rFonts w:cstheme="minorHAnsi"/>
          <w:sz w:val="24"/>
          <w:szCs w:val="24"/>
        </w:rPr>
        <w:t xml:space="preserve"> </w:t>
      </w:r>
      <w:r w:rsidR="00D26574">
        <w:rPr>
          <w:rFonts w:cstheme="minorHAnsi"/>
          <w:sz w:val="24"/>
          <w:szCs w:val="24"/>
        </w:rPr>
        <w:t>older people</w:t>
      </w:r>
      <w:r w:rsidR="001D10CD">
        <w:rPr>
          <w:rFonts w:cstheme="minorHAnsi"/>
          <w:sz w:val="24"/>
          <w:szCs w:val="24"/>
        </w:rPr>
        <w:t>, people with language difficulties, Travellers</w:t>
      </w:r>
      <w:r w:rsidR="00D26574">
        <w:rPr>
          <w:rFonts w:cstheme="minorHAnsi"/>
          <w:sz w:val="24"/>
          <w:szCs w:val="24"/>
        </w:rPr>
        <w:t xml:space="preserve"> </w:t>
      </w:r>
      <w:r w:rsidR="00625CA0" w:rsidRPr="001A44C2">
        <w:rPr>
          <w:rFonts w:cstheme="minorHAnsi"/>
          <w:sz w:val="24"/>
          <w:szCs w:val="24"/>
        </w:rPr>
        <w:t>in accessing public services.</w:t>
      </w:r>
      <w:r w:rsidR="009D59A5" w:rsidRPr="001A44C2">
        <w:rPr>
          <w:rFonts w:cstheme="minorHAnsi"/>
          <w:sz w:val="24"/>
          <w:szCs w:val="24"/>
        </w:rPr>
        <w:t xml:space="preserve"> Such </w:t>
      </w:r>
      <w:r w:rsidR="0072712A">
        <w:rPr>
          <w:rFonts w:cstheme="minorHAnsi"/>
          <w:sz w:val="24"/>
          <w:szCs w:val="24"/>
        </w:rPr>
        <w:t>problems</w:t>
      </w:r>
      <w:r w:rsidR="0072712A" w:rsidRPr="001A44C2">
        <w:rPr>
          <w:rFonts w:cstheme="minorHAnsi"/>
          <w:sz w:val="24"/>
          <w:szCs w:val="24"/>
        </w:rPr>
        <w:t xml:space="preserve"> </w:t>
      </w:r>
      <w:r w:rsidR="00625CA0" w:rsidRPr="001A44C2">
        <w:rPr>
          <w:rFonts w:cstheme="minorHAnsi"/>
          <w:sz w:val="24"/>
          <w:szCs w:val="24"/>
        </w:rPr>
        <w:t xml:space="preserve">relate </w:t>
      </w:r>
      <w:r w:rsidR="0072712A">
        <w:rPr>
          <w:rFonts w:cstheme="minorHAnsi"/>
          <w:sz w:val="24"/>
          <w:szCs w:val="24"/>
        </w:rPr>
        <w:t xml:space="preserve">for example, </w:t>
      </w:r>
      <w:r w:rsidR="00625CA0" w:rsidRPr="001A44C2">
        <w:rPr>
          <w:rFonts w:cstheme="minorHAnsi"/>
          <w:sz w:val="24"/>
          <w:szCs w:val="24"/>
        </w:rPr>
        <w:t xml:space="preserve">to difficulties with on-line applications, inadequate provision for </w:t>
      </w:r>
      <w:r w:rsidR="009D59A5" w:rsidRPr="001A44C2">
        <w:rPr>
          <w:rFonts w:cstheme="minorHAnsi"/>
          <w:sz w:val="24"/>
          <w:szCs w:val="24"/>
        </w:rPr>
        <w:t xml:space="preserve">Irish </w:t>
      </w:r>
      <w:r w:rsidR="00625CA0" w:rsidRPr="001A44C2">
        <w:rPr>
          <w:rFonts w:cstheme="minorHAnsi"/>
          <w:sz w:val="24"/>
          <w:szCs w:val="24"/>
        </w:rPr>
        <w:t>Sign</w:t>
      </w:r>
      <w:r w:rsidR="009D59A5" w:rsidRPr="001A44C2">
        <w:rPr>
          <w:rFonts w:cstheme="minorHAnsi"/>
          <w:sz w:val="24"/>
          <w:szCs w:val="24"/>
        </w:rPr>
        <w:t xml:space="preserve"> Language interpretation,</w:t>
      </w:r>
      <w:r w:rsidR="00685CDA" w:rsidRPr="001A44C2">
        <w:rPr>
          <w:rStyle w:val="FootnoteReference"/>
          <w:rFonts w:cstheme="minorHAnsi"/>
          <w:sz w:val="24"/>
          <w:szCs w:val="24"/>
        </w:rPr>
        <w:footnoteReference w:id="9"/>
      </w:r>
      <w:r w:rsidR="009D59A5" w:rsidRPr="001A44C2">
        <w:rPr>
          <w:rFonts w:cstheme="minorHAnsi"/>
          <w:sz w:val="24"/>
          <w:szCs w:val="24"/>
        </w:rPr>
        <w:t xml:space="preserve"> the ongoing inaccessibility of some public buildings and underdeveloped disability awareness among some frontline staff.</w:t>
      </w:r>
    </w:p>
    <w:p w14:paraId="52A8E956" w14:textId="5354B19D" w:rsidR="006C214B" w:rsidRPr="00CD2D1A" w:rsidRDefault="00BB0D4F" w:rsidP="006C214B">
      <w:pPr>
        <w:pStyle w:val="Heading2"/>
        <w:rPr>
          <w:rFonts w:asciiTheme="minorHAnsi" w:hAnsiTheme="minorHAnsi" w:cstheme="minorHAnsi"/>
          <w:color w:val="auto"/>
          <w:sz w:val="24"/>
          <w:szCs w:val="24"/>
        </w:rPr>
      </w:pPr>
      <w:r w:rsidRPr="00CD2D1A">
        <w:rPr>
          <w:rFonts w:asciiTheme="minorHAnsi" w:hAnsiTheme="minorHAnsi" w:cstheme="minorHAnsi"/>
          <w:color w:val="auto"/>
          <w:sz w:val="24"/>
          <w:szCs w:val="24"/>
        </w:rPr>
        <w:t>A further is</w:t>
      </w:r>
      <w:r w:rsidR="00CE3DA8" w:rsidRPr="00CD2D1A">
        <w:rPr>
          <w:rFonts w:asciiTheme="minorHAnsi" w:hAnsiTheme="minorHAnsi" w:cstheme="minorHAnsi"/>
          <w:color w:val="auto"/>
          <w:sz w:val="24"/>
          <w:szCs w:val="24"/>
        </w:rPr>
        <w:t>sue</w:t>
      </w:r>
      <w:r w:rsidRPr="00CD2D1A">
        <w:rPr>
          <w:rFonts w:asciiTheme="minorHAnsi" w:hAnsiTheme="minorHAnsi" w:cstheme="minorHAnsi"/>
          <w:color w:val="auto"/>
          <w:sz w:val="24"/>
          <w:szCs w:val="24"/>
        </w:rPr>
        <w:t xml:space="preserve"> needing consideration in the legislation is the definition of </w:t>
      </w:r>
      <w:r w:rsidR="00320A4C" w:rsidRPr="00CD2D1A">
        <w:rPr>
          <w:rFonts w:asciiTheme="minorHAnsi" w:hAnsiTheme="minorHAnsi" w:cstheme="minorHAnsi"/>
          <w:color w:val="auto"/>
          <w:sz w:val="24"/>
          <w:szCs w:val="24"/>
        </w:rPr>
        <w:t>‘</w:t>
      </w:r>
      <w:r w:rsidRPr="00CD2D1A">
        <w:rPr>
          <w:rFonts w:asciiTheme="minorHAnsi" w:hAnsiTheme="minorHAnsi" w:cstheme="minorHAnsi"/>
          <w:color w:val="auto"/>
          <w:sz w:val="24"/>
          <w:szCs w:val="24"/>
        </w:rPr>
        <w:t>services</w:t>
      </w:r>
      <w:r w:rsidR="00ED3631">
        <w:rPr>
          <w:rFonts w:asciiTheme="minorHAnsi" w:hAnsiTheme="minorHAnsi" w:cstheme="minorHAnsi"/>
          <w:color w:val="auto"/>
          <w:sz w:val="24"/>
          <w:szCs w:val="24"/>
        </w:rPr>
        <w:t>’</w:t>
      </w:r>
      <w:r w:rsidRPr="00CD2D1A">
        <w:rPr>
          <w:rFonts w:asciiTheme="minorHAnsi" w:hAnsiTheme="minorHAnsi" w:cstheme="minorHAnsi"/>
          <w:color w:val="auto"/>
          <w:sz w:val="24"/>
          <w:szCs w:val="24"/>
        </w:rPr>
        <w:t xml:space="preserve">, </w:t>
      </w:r>
      <w:r w:rsidR="00CE3DA8" w:rsidRPr="00CD2D1A">
        <w:rPr>
          <w:rFonts w:asciiTheme="minorHAnsi" w:hAnsiTheme="minorHAnsi" w:cstheme="minorHAnsi"/>
          <w:color w:val="auto"/>
          <w:sz w:val="24"/>
          <w:szCs w:val="24"/>
        </w:rPr>
        <w:t xml:space="preserve">and what specifically is included in the legislation, </w:t>
      </w:r>
      <w:r w:rsidR="006C214B" w:rsidRPr="00CD2D1A">
        <w:rPr>
          <w:rFonts w:asciiTheme="minorHAnsi" w:hAnsiTheme="minorHAnsi" w:cstheme="minorHAnsi"/>
          <w:color w:val="auto"/>
          <w:sz w:val="24"/>
          <w:szCs w:val="24"/>
        </w:rPr>
        <w:t xml:space="preserve">in particular in relation to </w:t>
      </w:r>
      <w:r w:rsidR="00F364FF">
        <w:rPr>
          <w:rFonts w:asciiTheme="minorHAnsi" w:hAnsiTheme="minorHAnsi" w:cstheme="minorHAnsi"/>
          <w:color w:val="auto"/>
          <w:sz w:val="24"/>
          <w:szCs w:val="24"/>
        </w:rPr>
        <w:t xml:space="preserve">inclusion of </w:t>
      </w:r>
      <w:r w:rsidR="00F364FF" w:rsidRPr="007C2F62">
        <w:rPr>
          <w:rFonts w:asciiTheme="minorHAnsi" w:hAnsiTheme="minorHAnsi" w:cstheme="minorHAnsi"/>
          <w:color w:val="000000"/>
          <w:sz w:val="22"/>
          <w:szCs w:val="22"/>
          <w:shd w:val="clear" w:color="auto" w:fill="FFFFFF"/>
        </w:rPr>
        <w:t>the functions of public authoritie</w:t>
      </w:r>
      <w:r w:rsidR="00F364FF" w:rsidRPr="00F364FF">
        <w:rPr>
          <w:rFonts w:asciiTheme="minorHAnsi" w:hAnsiTheme="minorHAnsi" w:cstheme="minorHAnsi"/>
          <w:color w:val="000000"/>
          <w:sz w:val="22"/>
          <w:szCs w:val="22"/>
          <w:shd w:val="clear" w:color="auto" w:fill="FFFFFF"/>
        </w:rPr>
        <w:t>s within the definition of the services</w:t>
      </w:r>
      <w:r w:rsidR="00F364FF" w:rsidRPr="007C2F62">
        <w:rPr>
          <w:rFonts w:asciiTheme="minorHAnsi" w:hAnsiTheme="minorHAnsi" w:cstheme="minorHAnsi"/>
          <w:color w:val="000000"/>
          <w:sz w:val="22"/>
          <w:szCs w:val="22"/>
          <w:shd w:val="clear" w:color="auto" w:fill="FFFFFF"/>
        </w:rPr>
        <w:t xml:space="preserve"> in Section 5 of the Equal Status Acts</w:t>
      </w:r>
      <w:r w:rsidR="007C2F62">
        <w:rPr>
          <w:rStyle w:val="FootnoteReference"/>
          <w:rFonts w:asciiTheme="minorHAnsi" w:hAnsiTheme="minorHAnsi" w:cstheme="minorHAnsi"/>
          <w:color w:val="000000"/>
          <w:sz w:val="22"/>
          <w:szCs w:val="22"/>
          <w:shd w:val="clear" w:color="auto" w:fill="FFFFFF"/>
        </w:rPr>
        <w:footnoteReference w:id="10"/>
      </w:r>
      <w:r w:rsidR="00F364FF" w:rsidRPr="007C2F62">
        <w:rPr>
          <w:rFonts w:asciiTheme="minorHAnsi" w:hAnsiTheme="minorHAnsi" w:cstheme="minorHAnsi"/>
          <w:color w:val="auto"/>
          <w:sz w:val="22"/>
          <w:szCs w:val="22"/>
        </w:rPr>
        <w:t xml:space="preserve"> </w:t>
      </w:r>
      <w:r w:rsidR="00F364FF">
        <w:rPr>
          <w:rFonts w:asciiTheme="minorHAnsi" w:hAnsiTheme="minorHAnsi" w:cstheme="minorHAnsi"/>
          <w:color w:val="auto"/>
          <w:sz w:val="22"/>
          <w:szCs w:val="22"/>
        </w:rPr>
        <w:t xml:space="preserve">and </w:t>
      </w:r>
      <w:r w:rsidR="006C214B" w:rsidRPr="00CD2D1A">
        <w:rPr>
          <w:rFonts w:asciiTheme="minorHAnsi" w:hAnsiTheme="minorHAnsi" w:cstheme="minorHAnsi"/>
          <w:color w:val="auto"/>
          <w:sz w:val="24"/>
          <w:szCs w:val="24"/>
        </w:rPr>
        <w:t>public services provided by NGOs on behalf of the State and funded accordingly</w:t>
      </w:r>
      <w:r w:rsidR="00A7240F">
        <w:rPr>
          <w:rFonts w:asciiTheme="minorHAnsi" w:hAnsiTheme="minorHAnsi" w:cstheme="minorHAnsi"/>
          <w:color w:val="auto"/>
          <w:sz w:val="24"/>
          <w:szCs w:val="24"/>
        </w:rPr>
        <w:t>,</w:t>
      </w:r>
      <w:r w:rsidR="006C214B" w:rsidRPr="00CD2D1A">
        <w:rPr>
          <w:rFonts w:asciiTheme="minorHAnsi" w:hAnsiTheme="minorHAnsi" w:cstheme="minorHAnsi"/>
          <w:color w:val="auto"/>
          <w:sz w:val="24"/>
          <w:szCs w:val="24"/>
        </w:rPr>
        <w:t xml:space="preserve"> </w:t>
      </w:r>
      <w:r w:rsidR="00CE3DA8" w:rsidRPr="00CD2D1A">
        <w:rPr>
          <w:rFonts w:asciiTheme="minorHAnsi" w:hAnsiTheme="minorHAnsi" w:cstheme="minorHAnsi"/>
          <w:color w:val="auto"/>
          <w:sz w:val="24"/>
          <w:szCs w:val="24"/>
        </w:rPr>
        <w:t>ensuring it is in line with EU law</w:t>
      </w:r>
      <w:r w:rsidR="00CD2D1A" w:rsidRPr="00CD2D1A">
        <w:rPr>
          <w:rFonts w:asciiTheme="minorHAnsi" w:hAnsiTheme="minorHAnsi" w:cstheme="minorHAnsi"/>
          <w:color w:val="auto"/>
          <w:sz w:val="24"/>
          <w:szCs w:val="24"/>
        </w:rPr>
        <w:t>.</w:t>
      </w:r>
    </w:p>
    <w:p w14:paraId="03F05552" w14:textId="39468323" w:rsidR="00625CA0" w:rsidRPr="001A44C2" w:rsidRDefault="00CE3DA8" w:rsidP="00320A4C">
      <w:pPr>
        <w:rPr>
          <w:sz w:val="24"/>
          <w:szCs w:val="24"/>
          <w:shd w:val="clear" w:color="auto" w:fill="FFFFFF"/>
        </w:rPr>
      </w:pPr>
      <w:r>
        <w:rPr>
          <w:rFonts w:cstheme="minorHAnsi"/>
          <w:sz w:val="24"/>
          <w:szCs w:val="24"/>
        </w:rPr>
        <w:t xml:space="preserve"> </w:t>
      </w:r>
    </w:p>
    <w:p w14:paraId="2C6254D4" w14:textId="4EC48063" w:rsidR="00625CA0" w:rsidRPr="001A44C2" w:rsidRDefault="00625CA0" w:rsidP="00CD2D1A">
      <w:pPr>
        <w:pStyle w:val="Heading2"/>
        <w:rPr>
          <w:bdr w:val="none" w:sz="0" w:space="0" w:color="auto" w:frame="1"/>
        </w:rPr>
      </w:pPr>
      <w:r w:rsidRPr="001A44C2">
        <w:rPr>
          <w:bdr w:val="none" w:sz="0" w:space="0" w:color="auto" w:frame="1"/>
        </w:rPr>
        <w:t>Equality of access to healthcare</w:t>
      </w:r>
      <w:r w:rsidR="00F364FF">
        <w:rPr>
          <w:bdr w:val="none" w:sz="0" w:space="0" w:color="auto" w:frame="1"/>
        </w:rPr>
        <w:t xml:space="preserve"> </w:t>
      </w:r>
    </w:p>
    <w:p w14:paraId="385002A7" w14:textId="2EFC4913" w:rsidR="00625CA0" w:rsidRPr="001A44C2" w:rsidRDefault="00664F4D" w:rsidP="00D35E7B">
      <w:pPr>
        <w:rPr>
          <w:sz w:val="24"/>
          <w:szCs w:val="24"/>
          <w:bdr w:val="none" w:sz="0" w:space="0" w:color="auto" w:frame="1"/>
        </w:rPr>
      </w:pPr>
      <w:r w:rsidRPr="001A44C2">
        <w:rPr>
          <w:sz w:val="24"/>
          <w:szCs w:val="24"/>
          <w:bdr w:val="none" w:sz="0" w:space="0" w:color="auto" w:frame="1"/>
        </w:rPr>
        <w:t>Equality of access to health care is based on the premise that e</w:t>
      </w:r>
      <w:r w:rsidR="00625CA0" w:rsidRPr="001A44C2">
        <w:rPr>
          <w:sz w:val="24"/>
          <w:szCs w:val="24"/>
          <w:bdr w:val="none" w:sz="0" w:space="0" w:color="auto" w:frame="1"/>
        </w:rPr>
        <w:t>veryone has the right to timely access to affordable, preventive and curative health care of good quality’</w:t>
      </w:r>
      <w:r w:rsidRPr="001A44C2">
        <w:rPr>
          <w:rStyle w:val="FootnoteReference"/>
          <w:sz w:val="24"/>
          <w:szCs w:val="24"/>
          <w:bdr w:val="none" w:sz="0" w:space="0" w:color="auto" w:frame="1"/>
        </w:rPr>
        <w:footnoteReference w:id="11"/>
      </w:r>
      <w:r w:rsidR="00380D37" w:rsidRPr="001A44C2">
        <w:rPr>
          <w:sz w:val="24"/>
          <w:szCs w:val="24"/>
          <w:bdr w:val="none" w:sz="0" w:space="0" w:color="auto" w:frame="1"/>
        </w:rPr>
        <w:t>.</w:t>
      </w:r>
      <w:r w:rsidR="00625CA0" w:rsidRPr="001A44C2">
        <w:rPr>
          <w:sz w:val="24"/>
          <w:szCs w:val="24"/>
          <w:bdr w:val="none" w:sz="0" w:space="0" w:color="auto" w:frame="1"/>
        </w:rPr>
        <w:t xml:space="preserve"> </w:t>
      </w:r>
      <w:r w:rsidRPr="001A44C2">
        <w:rPr>
          <w:sz w:val="24"/>
          <w:szCs w:val="24"/>
          <w:bdr w:val="none" w:sz="0" w:space="0" w:color="auto" w:frame="1"/>
        </w:rPr>
        <w:t xml:space="preserve">Some groups may be particularly affected by unequal or discriminatory healthcare practices, such as older people, people with disabilities and ethnic minorities. This inequality of access stems from a range of factors, including a two-tier health care </w:t>
      </w:r>
      <w:r w:rsidR="00335A9A" w:rsidRPr="001A44C2">
        <w:rPr>
          <w:sz w:val="24"/>
          <w:szCs w:val="24"/>
          <w:bdr w:val="none" w:sz="0" w:space="0" w:color="auto" w:frame="1"/>
        </w:rPr>
        <w:t xml:space="preserve">system </w:t>
      </w:r>
      <w:r w:rsidRPr="001A44C2">
        <w:rPr>
          <w:sz w:val="24"/>
          <w:szCs w:val="24"/>
          <w:bdr w:val="none" w:sz="0" w:space="0" w:color="auto" w:frame="1"/>
        </w:rPr>
        <w:t>(</w:t>
      </w:r>
      <w:r w:rsidR="0093474B">
        <w:rPr>
          <w:sz w:val="24"/>
          <w:szCs w:val="24"/>
          <w:bdr w:val="none" w:sz="0" w:space="0" w:color="auto" w:frame="1"/>
        </w:rPr>
        <w:t xml:space="preserve">and </w:t>
      </w:r>
      <w:r w:rsidR="00335A9A" w:rsidRPr="001A44C2">
        <w:rPr>
          <w:sz w:val="24"/>
          <w:szCs w:val="24"/>
          <w:bdr w:val="none" w:sz="0" w:space="0" w:color="auto" w:frame="1"/>
        </w:rPr>
        <w:t xml:space="preserve">increased </w:t>
      </w:r>
      <w:r w:rsidRPr="001A44C2">
        <w:rPr>
          <w:sz w:val="24"/>
          <w:szCs w:val="24"/>
          <w:bdr w:val="none" w:sz="0" w:space="0" w:color="auto" w:frame="1"/>
        </w:rPr>
        <w:t xml:space="preserve">privatisation of health care), inadequate public health resources and geographical </w:t>
      </w:r>
      <w:r w:rsidR="00D35E7B" w:rsidRPr="001A44C2">
        <w:rPr>
          <w:sz w:val="24"/>
          <w:szCs w:val="24"/>
          <w:bdr w:val="none" w:sz="0" w:space="0" w:color="auto" w:frame="1"/>
        </w:rPr>
        <w:t>im</w:t>
      </w:r>
      <w:r w:rsidRPr="001A44C2">
        <w:rPr>
          <w:sz w:val="24"/>
          <w:szCs w:val="24"/>
          <w:bdr w:val="none" w:sz="0" w:space="0" w:color="auto" w:frame="1"/>
        </w:rPr>
        <w:t>balance of services and a power imbalance between patients and professionals. </w:t>
      </w:r>
      <w:r w:rsidRPr="001A44C2">
        <w:rPr>
          <w:sz w:val="24"/>
          <w:szCs w:val="24"/>
        </w:rPr>
        <w:t> </w:t>
      </w:r>
      <w:r w:rsidR="00625CA0" w:rsidRPr="001A44C2">
        <w:rPr>
          <w:sz w:val="24"/>
          <w:szCs w:val="24"/>
          <w:bdr w:val="none" w:sz="0" w:space="0" w:color="auto" w:frame="1"/>
        </w:rPr>
        <w:t>C</w:t>
      </w:r>
      <w:r w:rsidR="00D35E7B" w:rsidRPr="001A44C2">
        <w:rPr>
          <w:sz w:val="24"/>
          <w:szCs w:val="24"/>
          <w:bdr w:val="none" w:sz="0" w:space="0" w:color="auto" w:frame="1"/>
        </w:rPr>
        <w:t>ovid-</w:t>
      </w:r>
      <w:r w:rsidR="00625CA0" w:rsidRPr="001A44C2">
        <w:rPr>
          <w:sz w:val="24"/>
          <w:szCs w:val="24"/>
          <w:bdr w:val="none" w:sz="0" w:space="0" w:color="auto" w:frame="1"/>
        </w:rPr>
        <w:t xml:space="preserve">19 highlighted </w:t>
      </w:r>
      <w:r w:rsidR="00D35E7B" w:rsidRPr="001A44C2">
        <w:rPr>
          <w:sz w:val="24"/>
          <w:szCs w:val="24"/>
          <w:bdr w:val="none" w:sz="0" w:space="0" w:color="auto" w:frame="1"/>
        </w:rPr>
        <w:t xml:space="preserve">these </w:t>
      </w:r>
      <w:r w:rsidR="00625CA0" w:rsidRPr="001A44C2">
        <w:rPr>
          <w:sz w:val="24"/>
          <w:szCs w:val="24"/>
          <w:bdr w:val="none" w:sz="0" w:space="0" w:color="auto" w:frame="1"/>
        </w:rPr>
        <w:t xml:space="preserve">inequalities </w:t>
      </w:r>
      <w:r w:rsidR="00D35E7B" w:rsidRPr="001A44C2">
        <w:rPr>
          <w:sz w:val="24"/>
          <w:szCs w:val="24"/>
          <w:bdr w:val="none" w:sz="0" w:space="0" w:color="auto" w:frame="1"/>
        </w:rPr>
        <w:t>in relation to people resident in nursing homes.</w:t>
      </w:r>
      <w:r w:rsidR="00625CA0" w:rsidRPr="001A44C2">
        <w:rPr>
          <w:sz w:val="24"/>
          <w:szCs w:val="24"/>
          <w:bdr w:val="none" w:sz="0" w:space="0" w:color="auto" w:frame="1"/>
        </w:rPr>
        <w:t xml:space="preserve"> </w:t>
      </w:r>
    </w:p>
    <w:p w14:paraId="4F8EBDDB" w14:textId="04B65F7A" w:rsidR="00335A9A" w:rsidRPr="001A44C2" w:rsidRDefault="002850D1" w:rsidP="00D35E7B">
      <w:pPr>
        <w:rPr>
          <w:sz w:val="24"/>
          <w:szCs w:val="24"/>
        </w:rPr>
      </w:pPr>
      <w:r w:rsidRPr="001A44C2">
        <w:rPr>
          <w:rStyle w:val="Strong"/>
          <w:rFonts w:cstheme="minorHAnsi"/>
          <w:b w:val="0"/>
          <w:bCs w:val="0"/>
          <w:sz w:val="24"/>
          <w:szCs w:val="24"/>
          <w:bdr w:val="none" w:sz="0" w:space="0" w:color="auto" w:frame="1"/>
        </w:rPr>
        <w:lastRenderedPageBreak/>
        <w:t>There is significant evidence that Irish Travellers have poorer health outcomes than the general population.</w:t>
      </w:r>
      <w:r w:rsidRPr="001A44C2">
        <w:rPr>
          <w:rStyle w:val="FootnoteReference"/>
          <w:rFonts w:cstheme="minorHAnsi"/>
          <w:sz w:val="24"/>
          <w:szCs w:val="24"/>
          <w:bdr w:val="none" w:sz="0" w:space="0" w:color="auto" w:frame="1"/>
        </w:rPr>
        <w:footnoteReference w:id="12"/>
      </w:r>
    </w:p>
    <w:p w14:paraId="70828EBE" w14:textId="61429B96" w:rsidR="00625CA0" w:rsidRPr="001A44C2" w:rsidRDefault="00625CA0" w:rsidP="00625CA0">
      <w:pPr>
        <w:rPr>
          <w:sz w:val="24"/>
          <w:szCs w:val="24"/>
        </w:rPr>
      </w:pPr>
      <w:r w:rsidRPr="001A44C2">
        <w:rPr>
          <w:sz w:val="24"/>
          <w:szCs w:val="24"/>
          <w:bdr w:val="none" w:sz="0" w:space="0" w:color="auto" w:frame="1"/>
        </w:rPr>
        <w:t xml:space="preserve">While </w:t>
      </w:r>
      <w:r w:rsidR="00D35E7B" w:rsidRPr="001A44C2">
        <w:rPr>
          <w:sz w:val="24"/>
          <w:szCs w:val="24"/>
          <w:bdr w:val="none" w:sz="0" w:space="0" w:color="auto" w:frame="1"/>
        </w:rPr>
        <w:t xml:space="preserve">there may be a need to look at the adequacy of equality legislation in relation to access to health </w:t>
      </w:r>
      <w:r w:rsidR="007529DF" w:rsidRPr="001A44C2">
        <w:rPr>
          <w:sz w:val="24"/>
          <w:szCs w:val="24"/>
          <w:bdr w:val="none" w:sz="0" w:space="0" w:color="auto" w:frame="1"/>
        </w:rPr>
        <w:t xml:space="preserve">and community </w:t>
      </w:r>
      <w:r w:rsidR="00D35E7B" w:rsidRPr="001A44C2">
        <w:rPr>
          <w:sz w:val="24"/>
          <w:szCs w:val="24"/>
          <w:bdr w:val="none" w:sz="0" w:space="0" w:color="auto" w:frame="1"/>
        </w:rPr>
        <w:t xml:space="preserve">care, what is probably much more important is the need to </w:t>
      </w:r>
      <w:r w:rsidRPr="001A44C2">
        <w:rPr>
          <w:sz w:val="24"/>
          <w:szCs w:val="24"/>
          <w:bdr w:val="none" w:sz="0" w:space="0" w:color="auto" w:frame="1"/>
        </w:rPr>
        <w:t xml:space="preserve">provide adequate resources </w:t>
      </w:r>
      <w:r w:rsidR="00D35E7B" w:rsidRPr="001A44C2">
        <w:rPr>
          <w:sz w:val="24"/>
          <w:szCs w:val="24"/>
          <w:bdr w:val="none" w:sz="0" w:space="0" w:color="auto" w:frame="1"/>
        </w:rPr>
        <w:t xml:space="preserve">and to develop stronger </w:t>
      </w:r>
      <w:r w:rsidRPr="001A44C2">
        <w:rPr>
          <w:sz w:val="24"/>
          <w:szCs w:val="24"/>
          <w:bdr w:val="none" w:sz="0" w:space="0" w:color="auto" w:frame="1"/>
        </w:rPr>
        <w:t>equality standard</w:t>
      </w:r>
      <w:r w:rsidR="00D35E7B" w:rsidRPr="001A44C2">
        <w:rPr>
          <w:sz w:val="24"/>
          <w:szCs w:val="24"/>
          <w:bdr w:val="none" w:sz="0" w:space="0" w:color="auto" w:frame="1"/>
        </w:rPr>
        <w:t>s</w:t>
      </w:r>
      <w:r w:rsidRPr="001A44C2">
        <w:rPr>
          <w:sz w:val="24"/>
          <w:szCs w:val="24"/>
          <w:bdr w:val="none" w:sz="0" w:space="0" w:color="auto" w:frame="1"/>
        </w:rPr>
        <w:t xml:space="preserve"> for health</w:t>
      </w:r>
      <w:r w:rsidR="0093474B">
        <w:rPr>
          <w:sz w:val="24"/>
          <w:szCs w:val="24"/>
          <w:bdr w:val="none" w:sz="0" w:space="0" w:color="auto" w:frame="1"/>
        </w:rPr>
        <w:t xml:space="preserve"> and community care </w:t>
      </w:r>
      <w:r w:rsidRPr="001A44C2">
        <w:rPr>
          <w:sz w:val="24"/>
          <w:szCs w:val="24"/>
          <w:bdr w:val="none" w:sz="0" w:space="0" w:color="auto" w:frame="1"/>
        </w:rPr>
        <w:t>provision.</w:t>
      </w:r>
    </w:p>
    <w:p w14:paraId="0E5B1016" w14:textId="26E08367" w:rsidR="00625CA0" w:rsidRPr="001A44C2" w:rsidRDefault="00625CA0" w:rsidP="00FF5379">
      <w:pPr>
        <w:pStyle w:val="Heading2"/>
      </w:pPr>
      <w:r w:rsidRPr="001A44C2">
        <w:t xml:space="preserve">Equality and </w:t>
      </w:r>
      <w:r w:rsidR="002B6FE7" w:rsidRPr="001A44C2">
        <w:t>s</w:t>
      </w:r>
      <w:r w:rsidRPr="001A44C2">
        <w:t>afeguarding</w:t>
      </w:r>
    </w:p>
    <w:p w14:paraId="38EE569D" w14:textId="1FCD9D14" w:rsidR="00B92E6B" w:rsidRPr="001A44C2" w:rsidRDefault="00B92E6B" w:rsidP="00B92E6B">
      <w:pPr>
        <w:rPr>
          <w:sz w:val="24"/>
          <w:szCs w:val="24"/>
        </w:rPr>
      </w:pPr>
      <w:r w:rsidRPr="001A44C2">
        <w:rPr>
          <w:sz w:val="24"/>
          <w:szCs w:val="24"/>
        </w:rPr>
        <w:t xml:space="preserve">The experience of CIB </w:t>
      </w:r>
      <w:r w:rsidR="00661D15" w:rsidRPr="001A44C2">
        <w:rPr>
          <w:sz w:val="24"/>
          <w:szCs w:val="24"/>
        </w:rPr>
        <w:t xml:space="preserve">services </w:t>
      </w:r>
      <w:r w:rsidRPr="001A44C2">
        <w:rPr>
          <w:sz w:val="24"/>
          <w:szCs w:val="24"/>
        </w:rPr>
        <w:t xml:space="preserve">is that discrimination based on age most frequently arises with regard to employment equality. However, increasingly, cases involving older people’s ability to access safeguarding services are coming to the attention of NAS and other advocacy bodies, as well as cases involving the financial and other abuse of people with reduced decision-making capacity </w:t>
      </w:r>
      <w:r w:rsidR="00661D15" w:rsidRPr="001A44C2">
        <w:rPr>
          <w:sz w:val="24"/>
          <w:szCs w:val="24"/>
        </w:rPr>
        <w:t xml:space="preserve">associated with </w:t>
      </w:r>
      <w:r w:rsidRPr="001A44C2">
        <w:rPr>
          <w:sz w:val="24"/>
          <w:szCs w:val="24"/>
        </w:rPr>
        <w:t>dementias or other cognitive impairment.</w:t>
      </w:r>
      <w:r w:rsidR="00661D15" w:rsidRPr="001A44C2">
        <w:rPr>
          <w:sz w:val="24"/>
          <w:szCs w:val="24"/>
        </w:rPr>
        <w:t xml:space="preserve"> Easy and equal access to safeguarding services, in particular, HSE Safeguarding Teams</w:t>
      </w:r>
      <w:r w:rsidR="00963FAC">
        <w:rPr>
          <w:sz w:val="24"/>
          <w:szCs w:val="24"/>
        </w:rPr>
        <w:t>,</w:t>
      </w:r>
      <w:r w:rsidR="00661D15" w:rsidRPr="001A44C2">
        <w:rPr>
          <w:sz w:val="24"/>
          <w:szCs w:val="24"/>
        </w:rPr>
        <w:t xml:space="preserve"> is critically important for such people</w:t>
      </w:r>
      <w:r w:rsidR="00963FAC">
        <w:rPr>
          <w:sz w:val="24"/>
          <w:szCs w:val="24"/>
        </w:rPr>
        <w:t>, as is access to independent advocacy.</w:t>
      </w:r>
    </w:p>
    <w:p w14:paraId="521890CE" w14:textId="3088A579" w:rsidR="002B6FE7" w:rsidRPr="001A44C2" w:rsidRDefault="002B6FE7" w:rsidP="00FD4335">
      <w:pPr>
        <w:spacing w:after="0" w:line="240" w:lineRule="auto"/>
        <w:rPr>
          <w:rFonts w:ascii="Times New Roman" w:hAnsi="Times New Roman" w:cs="Times New Roman"/>
          <w:sz w:val="24"/>
          <w:szCs w:val="24"/>
          <w:lang w:eastAsia="en-IE"/>
        </w:rPr>
      </w:pPr>
      <w:r w:rsidRPr="001A44C2">
        <w:rPr>
          <w:sz w:val="24"/>
          <w:szCs w:val="24"/>
        </w:rPr>
        <w:t>Equality legislation should</w:t>
      </w:r>
      <w:r w:rsidR="00661D15" w:rsidRPr="001A44C2">
        <w:rPr>
          <w:sz w:val="24"/>
          <w:szCs w:val="24"/>
        </w:rPr>
        <w:t xml:space="preserve">, therefore reflect and </w:t>
      </w:r>
      <w:r w:rsidRPr="001A44C2">
        <w:rPr>
          <w:sz w:val="24"/>
          <w:szCs w:val="24"/>
        </w:rPr>
        <w:t xml:space="preserve">reinforce safeguarding legislation </w:t>
      </w:r>
      <w:r w:rsidR="00B92E6B" w:rsidRPr="001A44C2">
        <w:rPr>
          <w:sz w:val="24"/>
          <w:szCs w:val="24"/>
        </w:rPr>
        <w:t>(when introduced</w:t>
      </w:r>
      <w:r w:rsidR="00FD4335" w:rsidRPr="001A44C2">
        <w:rPr>
          <w:rStyle w:val="FootnoteReference"/>
          <w:sz w:val="24"/>
          <w:szCs w:val="24"/>
        </w:rPr>
        <w:footnoteReference w:id="13"/>
      </w:r>
      <w:r w:rsidR="00B92E6B" w:rsidRPr="001A44C2">
        <w:rPr>
          <w:sz w:val="24"/>
          <w:szCs w:val="24"/>
        </w:rPr>
        <w:t xml:space="preserve">) </w:t>
      </w:r>
      <w:r w:rsidRPr="001A44C2">
        <w:rPr>
          <w:sz w:val="24"/>
          <w:szCs w:val="24"/>
        </w:rPr>
        <w:t>in protecting the rights of persons wh</w:t>
      </w:r>
      <w:r w:rsidR="00D35E7B" w:rsidRPr="001A44C2">
        <w:rPr>
          <w:sz w:val="24"/>
          <w:szCs w:val="24"/>
        </w:rPr>
        <w:t xml:space="preserve">o </w:t>
      </w:r>
      <w:r w:rsidR="00FD4335" w:rsidRPr="001A44C2">
        <w:rPr>
          <w:sz w:val="24"/>
          <w:szCs w:val="24"/>
        </w:rPr>
        <w:t xml:space="preserve">may be discriminated against because they are unable, without support, </w:t>
      </w:r>
      <w:r w:rsidR="00A7240F">
        <w:rPr>
          <w:sz w:val="24"/>
          <w:szCs w:val="24"/>
        </w:rPr>
        <w:t xml:space="preserve">to </w:t>
      </w:r>
      <w:r w:rsidR="00FD4335" w:rsidRPr="001A44C2">
        <w:rPr>
          <w:sz w:val="24"/>
          <w:szCs w:val="24"/>
        </w:rPr>
        <w:t>seek protection from the State</w:t>
      </w:r>
      <w:r w:rsidR="00C7375A" w:rsidRPr="001A44C2">
        <w:rPr>
          <w:sz w:val="24"/>
          <w:szCs w:val="24"/>
        </w:rPr>
        <w:t>.</w:t>
      </w:r>
      <w:r w:rsidR="00FD4335" w:rsidRPr="001A44C2">
        <w:rPr>
          <w:sz w:val="24"/>
          <w:szCs w:val="24"/>
        </w:rPr>
        <w:br/>
      </w:r>
    </w:p>
    <w:p w14:paraId="3C1AD3C0" w14:textId="77777777" w:rsidR="00D95D6C" w:rsidRPr="001A44C2" w:rsidRDefault="00D95D6C" w:rsidP="00FF5379">
      <w:pPr>
        <w:pStyle w:val="Heading2"/>
        <w:rPr>
          <w:bdr w:val="none" w:sz="0" w:space="0" w:color="auto" w:frame="1"/>
        </w:rPr>
      </w:pPr>
      <w:r w:rsidRPr="001A44C2">
        <w:rPr>
          <w:bdr w:val="none" w:sz="0" w:space="0" w:color="auto" w:frame="1"/>
        </w:rPr>
        <w:t>Implications of the Assisted Decision-Making (Capacity) Act 2015</w:t>
      </w:r>
    </w:p>
    <w:p w14:paraId="1425AFD9" w14:textId="2E0565EF" w:rsidR="00D95D6C" w:rsidRPr="001A44C2" w:rsidRDefault="00D95D6C" w:rsidP="00D95D6C">
      <w:pPr>
        <w:rPr>
          <w:sz w:val="24"/>
          <w:szCs w:val="24"/>
        </w:rPr>
      </w:pPr>
      <w:r w:rsidRPr="001A44C2">
        <w:rPr>
          <w:sz w:val="24"/>
          <w:szCs w:val="24"/>
        </w:rPr>
        <w:t>Equality legislation should reflect the provisions of the Assisted Decision-Making (Capacity) Act 2015</w:t>
      </w:r>
      <w:r w:rsidR="006C214B">
        <w:rPr>
          <w:sz w:val="24"/>
          <w:szCs w:val="24"/>
        </w:rPr>
        <w:t xml:space="preserve"> </w:t>
      </w:r>
      <w:r w:rsidR="006C214B" w:rsidRPr="00FF5379">
        <w:rPr>
          <w:sz w:val="24"/>
          <w:szCs w:val="24"/>
        </w:rPr>
        <w:t>(and the forthcoming amending legislation</w:t>
      </w:r>
      <w:r w:rsidR="006C214B">
        <w:rPr>
          <w:sz w:val="24"/>
          <w:szCs w:val="24"/>
        </w:rPr>
        <w:t xml:space="preserve">) </w:t>
      </w:r>
      <w:r w:rsidR="00FD4335" w:rsidRPr="001A44C2">
        <w:rPr>
          <w:sz w:val="24"/>
          <w:szCs w:val="24"/>
        </w:rPr>
        <w:t xml:space="preserve">which underpins </w:t>
      </w:r>
      <w:r w:rsidRPr="001A44C2">
        <w:rPr>
          <w:sz w:val="24"/>
          <w:szCs w:val="24"/>
        </w:rPr>
        <w:t xml:space="preserve">the presumption of capacity </w:t>
      </w:r>
      <w:r w:rsidR="00FD4335" w:rsidRPr="001A44C2">
        <w:rPr>
          <w:sz w:val="24"/>
          <w:szCs w:val="24"/>
        </w:rPr>
        <w:t xml:space="preserve">by making legal provision for </w:t>
      </w:r>
      <w:r w:rsidRPr="001A44C2">
        <w:rPr>
          <w:sz w:val="24"/>
          <w:szCs w:val="24"/>
        </w:rPr>
        <w:t>supported decision-making.</w:t>
      </w:r>
      <w:r w:rsidRPr="001A44C2">
        <w:rPr>
          <w:rStyle w:val="FootnoteReference"/>
          <w:sz w:val="24"/>
          <w:szCs w:val="24"/>
        </w:rPr>
        <w:footnoteReference w:id="14"/>
      </w:r>
      <w:r w:rsidR="00FD4335" w:rsidRPr="001A44C2">
        <w:rPr>
          <w:sz w:val="24"/>
          <w:szCs w:val="24"/>
        </w:rPr>
        <w:t xml:space="preserve"> The Act provides for </w:t>
      </w:r>
      <w:r w:rsidRPr="001A44C2">
        <w:rPr>
          <w:sz w:val="24"/>
          <w:szCs w:val="24"/>
        </w:rPr>
        <w:t xml:space="preserve">a more robust system for ensuring that people </w:t>
      </w:r>
      <w:r w:rsidR="00FD4335" w:rsidRPr="001A44C2">
        <w:rPr>
          <w:sz w:val="24"/>
          <w:szCs w:val="24"/>
        </w:rPr>
        <w:t xml:space="preserve">with reduced decision-making capacity </w:t>
      </w:r>
      <w:r w:rsidRPr="001A44C2">
        <w:rPr>
          <w:sz w:val="24"/>
          <w:szCs w:val="24"/>
        </w:rPr>
        <w:t>have equality of access to services and supports. The commencement of this legislation (planned for 2022) will be a significant milestone and will reflect in Irish law core provisions of the UN Convention on the Rights of Persons with Disabilities in respect of supported decision-making.</w:t>
      </w:r>
    </w:p>
    <w:p w14:paraId="04D7D068" w14:textId="1917AAC8" w:rsidR="00D95D6C" w:rsidRPr="001A44C2" w:rsidRDefault="00D95D6C" w:rsidP="00D95D6C">
      <w:pPr>
        <w:rPr>
          <w:sz w:val="24"/>
          <w:szCs w:val="24"/>
        </w:rPr>
      </w:pPr>
      <w:r w:rsidRPr="001A44C2">
        <w:rPr>
          <w:sz w:val="24"/>
          <w:szCs w:val="24"/>
        </w:rPr>
        <w:t xml:space="preserve">The Act sets out guiding principles that are intended to safeguard the autonomy and dignity of </w:t>
      </w:r>
      <w:r w:rsidR="00C7375A" w:rsidRPr="001A44C2">
        <w:rPr>
          <w:sz w:val="24"/>
          <w:szCs w:val="24"/>
        </w:rPr>
        <w:t xml:space="preserve">persons </w:t>
      </w:r>
      <w:r w:rsidRPr="001A44C2">
        <w:rPr>
          <w:sz w:val="24"/>
          <w:szCs w:val="24"/>
        </w:rPr>
        <w:t>with reduced decision-making capacity. The guiding principles include:</w:t>
      </w:r>
    </w:p>
    <w:p w14:paraId="6662DE93" w14:textId="77777777" w:rsidR="00D95D6C" w:rsidRPr="001A44C2" w:rsidRDefault="00D95D6C" w:rsidP="00D95D6C">
      <w:pPr>
        <w:pStyle w:val="ListParagraph"/>
        <w:numPr>
          <w:ilvl w:val="0"/>
          <w:numId w:val="7"/>
        </w:numPr>
        <w:spacing w:line="254" w:lineRule="auto"/>
        <w:rPr>
          <w:sz w:val="24"/>
          <w:szCs w:val="24"/>
        </w:rPr>
      </w:pPr>
      <w:r w:rsidRPr="001A44C2">
        <w:rPr>
          <w:sz w:val="24"/>
          <w:szCs w:val="24"/>
        </w:rPr>
        <w:t>A presumption of decision-making capacity</w:t>
      </w:r>
    </w:p>
    <w:p w14:paraId="7A01A177" w14:textId="77777777" w:rsidR="00D95D6C" w:rsidRPr="001A44C2" w:rsidRDefault="00D95D6C" w:rsidP="00D95D6C">
      <w:pPr>
        <w:pStyle w:val="ListParagraph"/>
        <w:numPr>
          <w:ilvl w:val="0"/>
          <w:numId w:val="7"/>
        </w:numPr>
        <w:spacing w:line="254" w:lineRule="auto"/>
        <w:rPr>
          <w:sz w:val="24"/>
          <w:szCs w:val="24"/>
        </w:rPr>
      </w:pPr>
      <w:r w:rsidRPr="001A44C2">
        <w:rPr>
          <w:sz w:val="24"/>
          <w:szCs w:val="24"/>
        </w:rPr>
        <w:lastRenderedPageBreak/>
        <w:t>No intervention unless it is necessary</w:t>
      </w:r>
    </w:p>
    <w:p w14:paraId="6CCE2977" w14:textId="77777777" w:rsidR="00380D37" w:rsidRPr="001A44C2" w:rsidRDefault="00D95D6C" w:rsidP="00380D37">
      <w:pPr>
        <w:pStyle w:val="ListParagraph"/>
        <w:numPr>
          <w:ilvl w:val="0"/>
          <w:numId w:val="7"/>
        </w:numPr>
        <w:spacing w:line="254" w:lineRule="auto"/>
        <w:rPr>
          <w:sz w:val="24"/>
          <w:szCs w:val="24"/>
        </w:rPr>
      </w:pPr>
      <w:r w:rsidRPr="001A44C2">
        <w:rPr>
          <w:sz w:val="24"/>
          <w:szCs w:val="24"/>
        </w:rPr>
        <w:t>Any intervention to be the least restrictive of a person’s rights and freedoms and give effect to the person’s will and preferences</w:t>
      </w:r>
    </w:p>
    <w:p w14:paraId="529F90FB" w14:textId="626E7DC9" w:rsidR="00C7375A" w:rsidRPr="001A44C2" w:rsidRDefault="00C7375A" w:rsidP="00380D37">
      <w:pPr>
        <w:pStyle w:val="ListParagraph"/>
        <w:spacing w:line="254" w:lineRule="auto"/>
        <w:ind w:left="0"/>
        <w:rPr>
          <w:sz w:val="24"/>
          <w:szCs w:val="24"/>
        </w:rPr>
      </w:pPr>
      <w:r w:rsidRPr="001A44C2">
        <w:rPr>
          <w:sz w:val="24"/>
          <w:szCs w:val="24"/>
        </w:rPr>
        <w:br/>
        <w:t xml:space="preserve">The implications of these provisions for equality of access to services for people with disabilities </w:t>
      </w:r>
      <w:r w:rsidR="00FD4335" w:rsidRPr="001A44C2">
        <w:rPr>
          <w:sz w:val="24"/>
          <w:szCs w:val="24"/>
        </w:rPr>
        <w:t xml:space="preserve">and related legislation </w:t>
      </w:r>
      <w:r w:rsidRPr="001A44C2">
        <w:rPr>
          <w:sz w:val="24"/>
          <w:szCs w:val="24"/>
        </w:rPr>
        <w:t xml:space="preserve">are profound. </w:t>
      </w:r>
    </w:p>
    <w:p w14:paraId="2D5EF2CF" w14:textId="76AC0552" w:rsidR="00F718E4" w:rsidRPr="00F718E4" w:rsidRDefault="00F718E4" w:rsidP="00FF5379">
      <w:pPr>
        <w:pStyle w:val="Heading1"/>
        <w:numPr>
          <w:ilvl w:val="0"/>
          <w:numId w:val="15"/>
        </w:numPr>
      </w:pPr>
      <w:r>
        <w:t>A</w:t>
      </w:r>
      <w:r w:rsidRPr="00F718E4">
        <w:t>wareness of the legislation, and obstacles to taking action</w:t>
      </w:r>
    </w:p>
    <w:p w14:paraId="5A45B869" w14:textId="77777777" w:rsidR="00F718E4" w:rsidRPr="001A44C2" w:rsidRDefault="00F718E4" w:rsidP="009C5AA9">
      <w:pPr>
        <w:rPr>
          <w:sz w:val="24"/>
          <w:szCs w:val="24"/>
        </w:rPr>
      </w:pPr>
    </w:p>
    <w:p w14:paraId="6EABBEC3" w14:textId="110F5225" w:rsidR="000373F9" w:rsidRPr="001A44C2" w:rsidRDefault="000373F9" w:rsidP="0038483D">
      <w:pPr>
        <w:pStyle w:val="Heading3"/>
        <w:rPr>
          <w:color w:val="002060"/>
        </w:rPr>
      </w:pPr>
      <w:r w:rsidRPr="001A44C2">
        <w:rPr>
          <w:color w:val="002060"/>
        </w:rPr>
        <w:t xml:space="preserve">Poor </w:t>
      </w:r>
      <w:r w:rsidR="00D57D05" w:rsidRPr="001A44C2">
        <w:rPr>
          <w:color w:val="002060"/>
        </w:rPr>
        <w:t>understanding of r</w:t>
      </w:r>
      <w:r w:rsidRPr="001A44C2">
        <w:rPr>
          <w:color w:val="002060"/>
        </w:rPr>
        <w:t xml:space="preserve">ights </w:t>
      </w:r>
      <w:r w:rsidR="00D57D05" w:rsidRPr="001A44C2">
        <w:rPr>
          <w:color w:val="002060"/>
        </w:rPr>
        <w:t>and obligations</w:t>
      </w:r>
    </w:p>
    <w:p w14:paraId="6FFCB568" w14:textId="3B37189B" w:rsidR="00E708E0" w:rsidRPr="00FF5379" w:rsidRDefault="00946DE0" w:rsidP="0042147A">
      <w:pPr>
        <w:rPr>
          <w:sz w:val="24"/>
          <w:szCs w:val="24"/>
        </w:rPr>
      </w:pPr>
      <w:r w:rsidRPr="001A44C2">
        <w:rPr>
          <w:sz w:val="24"/>
          <w:szCs w:val="24"/>
        </w:rPr>
        <w:t>Feedback from CI</w:t>
      </w:r>
      <w:r w:rsidR="00D57D05" w:rsidRPr="001A44C2">
        <w:rPr>
          <w:sz w:val="24"/>
          <w:szCs w:val="24"/>
        </w:rPr>
        <w:t xml:space="preserve">B services </w:t>
      </w:r>
      <w:r w:rsidRPr="001A44C2">
        <w:rPr>
          <w:sz w:val="24"/>
          <w:szCs w:val="24"/>
        </w:rPr>
        <w:t>strongly suggest</w:t>
      </w:r>
      <w:r w:rsidR="00D57D05" w:rsidRPr="001A44C2">
        <w:rPr>
          <w:sz w:val="24"/>
          <w:szCs w:val="24"/>
        </w:rPr>
        <w:t>s</w:t>
      </w:r>
      <w:r w:rsidRPr="001A44C2">
        <w:rPr>
          <w:sz w:val="24"/>
          <w:szCs w:val="24"/>
        </w:rPr>
        <w:t xml:space="preserve"> that there</w:t>
      </w:r>
      <w:r w:rsidR="005D7744" w:rsidRPr="001A44C2">
        <w:rPr>
          <w:sz w:val="24"/>
          <w:szCs w:val="24"/>
        </w:rPr>
        <w:t xml:space="preserve"> are considerable shortcomings in the </w:t>
      </w:r>
      <w:r w:rsidR="00AA0FB7" w:rsidRPr="001A44C2">
        <w:rPr>
          <w:sz w:val="24"/>
          <w:szCs w:val="24"/>
        </w:rPr>
        <w:t xml:space="preserve">extent to which citizens, employers and </w:t>
      </w:r>
      <w:r w:rsidR="00FD4335" w:rsidRPr="001A44C2">
        <w:rPr>
          <w:sz w:val="24"/>
          <w:szCs w:val="24"/>
        </w:rPr>
        <w:t>service providers</w:t>
      </w:r>
      <w:r w:rsidR="00AA0FB7" w:rsidRPr="001A44C2">
        <w:rPr>
          <w:sz w:val="24"/>
          <w:szCs w:val="24"/>
        </w:rPr>
        <w:t xml:space="preserve"> are adequately</w:t>
      </w:r>
      <w:r w:rsidR="00077765" w:rsidRPr="001A44C2">
        <w:rPr>
          <w:sz w:val="24"/>
          <w:szCs w:val="24"/>
        </w:rPr>
        <w:t xml:space="preserve"> informed of the rights, obligations and responsibilities that they respectively have with regard to equality legislation.</w:t>
      </w:r>
      <w:r w:rsidR="00EF61A8" w:rsidRPr="001A44C2">
        <w:rPr>
          <w:sz w:val="24"/>
          <w:szCs w:val="24"/>
        </w:rPr>
        <w:t xml:space="preserve"> </w:t>
      </w:r>
      <w:r w:rsidR="00CB0D42" w:rsidRPr="001A44C2">
        <w:rPr>
          <w:sz w:val="24"/>
          <w:szCs w:val="24"/>
        </w:rPr>
        <w:t>Persons experiencing discrimination</w:t>
      </w:r>
      <w:r w:rsidR="00D10E88" w:rsidRPr="001A44C2">
        <w:rPr>
          <w:sz w:val="24"/>
          <w:szCs w:val="24"/>
        </w:rPr>
        <w:t>, in the absenc</w:t>
      </w:r>
      <w:r w:rsidR="00375E45" w:rsidRPr="001A44C2">
        <w:rPr>
          <w:sz w:val="24"/>
          <w:szCs w:val="24"/>
        </w:rPr>
        <w:t xml:space="preserve">e of good information, may not seek redress under the legislation </w:t>
      </w:r>
      <w:r w:rsidR="00D10E88" w:rsidRPr="001A44C2">
        <w:rPr>
          <w:sz w:val="24"/>
          <w:szCs w:val="24"/>
        </w:rPr>
        <w:t>or may</w:t>
      </w:r>
      <w:r w:rsidR="001B305E" w:rsidRPr="001A44C2">
        <w:rPr>
          <w:sz w:val="24"/>
          <w:szCs w:val="24"/>
        </w:rPr>
        <w:t xml:space="preserve"> be reluctant to pursue actions to a conclusion. </w:t>
      </w:r>
      <w:r w:rsidR="00FD4335" w:rsidRPr="001A44C2">
        <w:rPr>
          <w:sz w:val="24"/>
          <w:szCs w:val="24"/>
        </w:rPr>
        <w:t xml:space="preserve">For example, in relation to employment rights, </w:t>
      </w:r>
      <w:r w:rsidR="003A1828">
        <w:rPr>
          <w:sz w:val="24"/>
          <w:szCs w:val="24"/>
        </w:rPr>
        <w:t xml:space="preserve">evidence from services showed that certain groups, including </w:t>
      </w:r>
      <w:r w:rsidR="00FD4335" w:rsidRPr="001A44C2">
        <w:rPr>
          <w:sz w:val="24"/>
          <w:szCs w:val="24"/>
        </w:rPr>
        <w:t xml:space="preserve">part-time </w:t>
      </w:r>
      <w:r w:rsidR="004D7397" w:rsidRPr="001A44C2">
        <w:rPr>
          <w:sz w:val="24"/>
          <w:szCs w:val="24"/>
        </w:rPr>
        <w:t>and migrant workers</w:t>
      </w:r>
      <w:r w:rsidR="00FD4335" w:rsidRPr="001A44C2">
        <w:rPr>
          <w:sz w:val="24"/>
          <w:szCs w:val="24"/>
        </w:rPr>
        <w:t xml:space="preserve">, </w:t>
      </w:r>
      <w:r w:rsidR="003A1828">
        <w:rPr>
          <w:sz w:val="24"/>
          <w:szCs w:val="24"/>
        </w:rPr>
        <w:t>were</w:t>
      </w:r>
      <w:r w:rsidR="003A1828" w:rsidRPr="001A44C2">
        <w:rPr>
          <w:sz w:val="24"/>
          <w:szCs w:val="24"/>
        </w:rPr>
        <w:t xml:space="preserve"> </w:t>
      </w:r>
      <w:r w:rsidR="00E708E0" w:rsidRPr="001A44C2">
        <w:rPr>
          <w:sz w:val="24"/>
          <w:szCs w:val="24"/>
        </w:rPr>
        <w:t>poorly informed and</w:t>
      </w:r>
      <w:r w:rsidR="00D57D05" w:rsidRPr="001A44C2">
        <w:rPr>
          <w:sz w:val="24"/>
          <w:szCs w:val="24"/>
        </w:rPr>
        <w:t>,</w:t>
      </w:r>
      <w:r w:rsidR="00E708E0" w:rsidRPr="001A44C2">
        <w:rPr>
          <w:sz w:val="24"/>
          <w:szCs w:val="24"/>
        </w:rPr>
        <w:t xml:space="preserve"> therefore</w:t>
      </w:r>
      <w:r w:rsidR="00D57D05" w:rsidRPr="001A44C2">
        <w:rPr>
          <w:sz w:val="24"/>
          <w:szCs w:val="24"/>
        </w:rPr>
        <w:t>,</w:t>
      </w:r>
      <w:r w:rsidR="00E708E0" w:rsidRPr="001A44C2">
        <w:rPr>
          <w:sz w:val="24"/>
          <w:szCs w:val="24"/>
        </w:rPr>
        <w:t xml:space="preserve"> less likely to pursue their rights.</w:t>
      </w:r>
      <w:r w:rsidR="006C214B">
        <w:rPr>
          <w:sz w:val="24"/>
          <w:szCs w:val="24"/>
        </w:rPr>
        <w:t xml:space="preserve"> </w:t>
      </w:r>
      <w:r w:rsidR="006C214B" w:rsidRPr="00FF5379">
        <w:rPr>
          <w:sz w:val="24"/>
          <w:szCs w:val="24"/>
        </w:rPr>
        <w:t>Language, literacy and digital literacy barriers feature regularly for people seeking to challenge discrimination</w:t>
      </w:r>
    </w:p>
    <w:p w14:paraId="458CD55D" w14:textId="374C2E8D" w:rsidR="00214D0E" w:rsidRPr="001A44C2" w:rsidRDefault="00090A91" w:rsidP="00D60C4C">
      <w:pPr>
        <w:rPr>
          <w:sz w:val="24"/>
          <w:szCs w:val="24"/>
        </w:rPr>
      </w:pPr>
      <w:r w:rsidRPr="001A44C2">
        <w:rPr>
          <w:sz w:val="24"/>
          <w:szCs w:val="24"/>
        </w:rPr>
        <w:t>There is</w:t>
      </w:r>
      <w:r w:rsidR="00D57D05" w:rsidRPr="001A44C2">
        <w:rPr>
          <w:sz w:val="24"/>
          <w:szCs w:val="24"/>
        </w:rPr>
        <w:t>,</w:t>
      </w:r>
      <w:r w:rsidRPr="001A44C2">
        <w:rPr>
          <w:sz w:val="24"/>
          <w:szCs w:val="24"/>
        </w:rPr>
        <w:t xml:space="preserve"> therefore</w:t>
      </w:r>
      <w:r w:rsidR="00D57D05" w:rsidRPr="001A44C2">
        <w:rPr>
          <w:sz w:val="24"/>
          <w:szCs w:val="24"/>
        </w:rPr>
        <w:t>,</w:t>
      </w:r>
      <w:r w:rsidRPr="001A44C2">
        <w:rPr>
          <w:sz w:val="24"/>
          <w:szCs w:val="24"/>
        </w:rPr>
        <w:t xml:space="preserve"> a </w:t>
      </w:r>
      <w:r w:rsidR="00D57D05" w:rsidRPr="001A44C2">
        <w:rPr>
          <w:sz w:val="24"/>
          <w:szCs w:val="24"/>
        </w:rPr>
        <w:t xml:space="preserve">clear </w:t>
      </w:r>
      <w:r w:rsidRPr="001A44C2">
        <w:rPr>
          <w:sz w:val="24"/>
          <w:szCs w:val="24"/>
        </w:rPr>
        <w:t xml:space="preserve">need </w:t>
      </w:r>
      <w:r w:rsidR="00D57D05" w:rsidRPr="001A44C2">
        <w:rPr>
          <w:sz w:val="24"/>
          <w:szCs w:val="24"/>
        </w:rPr>
        <w:t xml:space="preserve">for further steps to </w:t>
      </w:r>
      <w:r w:rsidRPr="001A44C2">
        <w:rPr>
          <w:sz w:val="24"/>
          <w:szCs w:val="24"/>
        </w:rPr>
        <w:t xml:space="preserve">be taken to </w:t>
      </w:r>
      <w:r w:rsidR="003D01BD" w:rsidRPr="001A44C2">
        <w:rPr>
          <w:sz w:val="24"/>
          <w:szCs w:val="24"/>
        </w:rPr>
        <w:t xml:space="preserve">increase the levels of knowledge </w:t>
      </w:r>
      <w:r w:rsidR="003C54D4" w:rsidRPr="001A44C2">
        <w:rPr>
          <w:sz w:val="24"/>
          <w:szCs w:val="24"/>
        </w:rPr>
        <w:t xml:space="preserve">and awareness of rights under equality legislation. </w:t>
      </w:r>
      <w:r w:rsidR="00214D0E" w:rsidRPr="001A44C2">
        <w:rPr>
          <w:sz w:val="24"/>
          <w:szCs w:val="24"/>
        </w:rPr>
        <w:t>There is a</w:t>
      </w:r>
      <w:r w:rsidR="003C54D4" w:rsidRPr="001A44C2">
        <w:rPr>
          <w:sz w:val="24"/>
          <w:szCs w:val="24"/>
        </w:rPr>
        <w:t xml:space="preserve"> related </w:t>
      </w:r>
      <w:r w:rsidR="00214D0E" w:rsidRPr="001A44C2">
        <w:rPr>
          <w:sz w:val="24"/>
          <w:szCs w:val="24"/>
        </w:rPr>
        <w:t>need for a re-examination of the processes and procedures involved in seeking redress if individuals are to be enabled</w:t>
      </w:r>
      <w:r w:rsidR="00174B1A" w:rsidRPr="001A44C2">
        <w:rPr>
          <w:sz w:val="24"/>
          <w:szCs w:val="24"/>
        </w:rPr>
        <w:t xml:space="preserve"> to pursue justice as intended by </w:t>
      </w:r>
      <w:r w:rsidR="00214D0E" w:rsidRPr="001A44C2">
        <w:rPr>
          <w:sz w:val="24"/>
          <w:szCs w:val="24"/>
        </w:rPr>
        <w:t xml:space="preserve">the legislation. </w:t>
      </w:r>
      <w:r w:rsidR="00D60C4C">
        <w:rPr>
          <w:sz w:val="24"/>
          <w:szCs w:val="24"/>
        </w:rPr>
        <w:t xml:space="preserve">For example, in relation to employment, CIB recent research identified problems relating to </w:t>
      </w:r>
      <w:r w:rsidR="00A7240F">
        <w:rPr>
          <w:sz w:val="24"/>
          <w:szCs w:val="24"/>
        </w:rPr>
        <w:t xml:space="preserve">the </w:t>
      </w:r>
      <w:r w:rsidR="00D60C4C" w:rsidRPr="00D60C4C">
        <w:rPr>
          <w:sz w:val="24"/>
          <w:szCs w:val="24"/>
        </w:rPr>
        <w:t>length of time to process complaints made to the WRC and to obtain appeal hearings</w:t>
      </w:r>
      <w:r w:rsidR="00FF5379">
        <w:rPr>
          <w:sz w:val="24"/>
          <w:szCs w:val="24"/>
        </w:rPr>
        <w:t xml:space="preserve">; </w:t>
      </w:r>
      <w:r w:rsidR="00D60C4C">
        <w:rPr>
          <w:sz w:val="24"/>
          <w:szCs w:val="24"/>
        </w:rPr>
        <w:t xml:space="preserve">lack of </w:t>
      </w:r>
      <w:r w:rsidR="00D60C4C" w:rsidRPr="00D60C4C">
        <w:rPr>
          <w:sz w:val="24"/>
          <w:szCs w:val="24"/>
        </w:rPr>
        <w:t xml:space="preserve">adequate </w:t>
      </w:r>
      <w:r w:rsidR="00D60C4C">
        <w:rPr>
          <w:sz w:val="24"/>
          <w:szCs w:val="24"/>
        </w:rPr>
        <w:t xml:space="preserve">information on the part of some </w:t>
      </w:r>
      <w:r w:rsidR="00D60C4C" w:rsidRPr="00D60C4C">
        <w:rPr>
          <w:sz w:val="24"/>
          <w:szCs w:val="24"/>
        </w:rPr>
        <w:t>employers and e</w:t>
      </w:r>
      <w:r w:rsidR="00D60C4C">
        <w:rPr>
          <w:sz w:val="24"/>
          <w:szCs w:val="24"/>
        </w:rPr>
        <w:t xml:space="preserve">mployees; limitations on access </w:t>
      </w:r>
      <w:r w:rsidR="00D60C4C" w:rsidRPr="00D60C4C">
        <w:rPr>
          <w:sz w:val="24"/>
          <w:szCs w:val="24"/>
        </w:rPr>
        <w:t xml:space="preserve">to detailed </w:t>
      </w:r>
      <w:r w:rsidR="00D60C4C">
        <w:rPr>
          <w:sz w:val="24"/>
          <w:szCs w:val="24"/>
        </w:rPr>
        <w:t xml:space="preserve">legal advice and representation </w:t>
      </w:r>
      <w:r w:rsidR="00D60C4C" w:rsidRPr="00D60C4C">
        <w:rPr>
          <w:sz w:val="24"/>
          <w:szCs w:val="24"/>
        </w:rPr>
        <w:t>when necessar</w:t>
      </w:r>
      <w:r w:rsidR="00D60C4C">
        <w:rPr>
          <w:sz w:val="24"/>
          <w:szCs w:val="24"/>
        </w:rPr>
        <w:t xml:space="preserve">y for employees, and low levels </w:t>
      </w:r>
      <w:r w:rsidR="00D60C4C" w:rsidRPr="00D60C4C">
        <w:rPr>
          <w:sz w:val="24"/>
          <w:szCs w:val="24"/>
        </w:rPr>
        <w:t xml:space="preserve">of prosecutions for breaches </w:t>
      </w:r>
      <w:r w:rsidR="00D60C4C">
        <w:rPr>
          <w:sz w:val="24"/>
          <w:szCs w:val="24"/>
        </w:rPr>
        <w:t xml:space="preserve">of employment </w:t>
      </w:r>
      <w:r w:rsidR="00D60C4C" w:rsidRPr="00D60C4C">
        <w:rPr>
          <w:sz w:val="24"/>
          <w:szCs w:val="24"/>
        </w:rPr>
        <w:t>legislation</w:t>
      </w:r>
      <w:r w:rsidR="00D60C4C">
        <w:rPr>
          <w:sz w:val="24"/>
          <w:szCs w:val="24"/>
        </w:rPr>
        <w:t xml:space="preserve">. </w:t>
      </w:r>
      <w:r w:rsidR="00214D0E" w:rsidRPr="001A44C2">
        <w:rPr>
          <w:sz w:val="24"/>
          <w:szCs w:val="24"/>
        </w:rPr>
        <w:t>While changes may be needed in the law, it is equally</w:t>
      </w:r>
      <w:r w:rsidR="004079FB" w:rsidRPr="001A44C2">
        <w:rPr>
          <w:sz w:val="24"/>
          <w:szCs w:val="24"/>
        </w:rPr>
        <w:t>,</w:t>
      </w:r>
      <w:r w:rsidR="00214D0E" w:rsidRPr="001A44C2">
        <w:rPr>
          <w:sz w:val="24"/>
          <w:szCs w:val="24"/>
        </w:rPr>
        <w:t xml:space="preserve"> if not more important</w:t>
      </w:r>
      <w:r w:rsidR="004079FB" w:rsidRPr="001A44C2">
        <w:rPr>
          <w:sz w:val="24"/>
          <w:szCs w:val="24"/>
        </w:rPr>
        <w:t>,</w:t>
      </w:r>
      <w:r w:rsidR="00214D0E" w:rsidRPr="001A44C2">
        <w:rPr>
          <w:sz w:val="24"/>
          <w:szCs w:val="24"/>
        </w:rPr>
        <w:t xml:space="preserve"> that the </w:t>
      </w:r>
      <w:r w:rsidR="00FD4335" w:rsidRPr="001A44C2">
        <w:rPr>
          <w:sz w:val="24"/>
          <w:szCs w:val="24"/>
        </w:rPr>
        <w:t xml:space="preserve">actual implementation of </w:t>
      </w:r>
      <w:r w:rsidR="004079FB" w:rsidRPr="001A44C2">
        <w:rPr>
          <w:sz w:val="24"/>
          <w:szCs w:val="24"/>
        </w:rPr>
        <w:t>e</w:t>
      </w:r>
      <w:r w:rsidR="00214D0E" w:rsidRPr="001A44C2">
        <w:rPr>
          <w:sz w:val="24"/>
          <w:szCs w:val="24"/>
        </w:rPr>
        <w:t xml:space="preserve">quality legislation be reviewed and restructured where necessary. </w:t>
      </w:r>
    </w:p>
    <w:p w14:paraId="46E22920" w14:textId="23E4ECA3" w:rsidR="00214D0E" w:rsidRDefault="00214D0E" w:rsidP="00214D0E">
      <w:pPr>
        <w:rPr>
          <w:sz w:val="24"/>
          <w:szCs w:val="24"/>
        </w:rPr>
      </w:pPr>
      <w:r w:rsidRPr="001A44C2">
        <w:rPr>
          <w:sz w:val="24"/>
          <w:szCs w:val="24"/>
        </w:rPr>
        <w:t>At present the experience of CIS, CIPS and NAS points most strongly to the difficulties involved in implementing the equality legislation</w:t>
      </w:r>
      <w:r w:rsidR="00D60C4C">
        <w:rPr>
          <w:sz w:val="24"/>
          <w:szCs w:val="24"/>
        </w:rPr>
        <w:t xml:space="preserve">. </w:t>
      </w:r>
      <w:r w:rsidRPr="001A44C2">
        <w:rPr>
          <w:sz w:val="24"/>
          <w:szCs w:val="24"/>
        </w:rPr>
        <w:t>While people’s rights may be protected by legislation, those rights are often not recognised, enforced or pursued.</w:t>
      </w:r>
      <w:r w:rsidR="004079FB" w:rsidRPr="001A44C2">
        <w:rPr>
          <w:sz w:val="24"/>
          <w:szCs w:val="24"/>
        </w:rPr>
        <w:t xml:space="preserve"> The onus is frequently on individuals to assert their rights under equality legislation which presumes that everyone has the capacity and skills to do so, which is clearly not the case. While CISs, NAS, MABS and other advocacy organisations support people with enforcing their rights and seeking redress, not everybody will know about or wish to contact such services. </w:t>
      </w:r>
    </w:p>
    <w:p w14:paraId="199E3219" w14:textId="77777777" w:rsidR="00C70053" w:rsidRPr="00A7240F" w:rsidRDefault="00C70053" w:rsidP="00C70053">
      <w:pPr>
        <w:rPr>
          <w:color w:val="2F5496" w:themeColor="accent1" w:themeShade="BF"/>
          <w:sz w:val="24"/>
          <w:szCs w:val="24"/>
        </w:rPr>
      </w:pPr>
      <w:r w:rsidRPr="00A7240F">
        <w:rPr>
          <w:color w:val="2F5496" w:themeColor="accent1" w:themeShade="BF"/>
          <w:sz w:val="24"/>
          <w:szCs w:val="24"/>
        </w:rPr>
        <w:t>Complexity of cases</w:t>
      </w:r>
    </w:p>
    <w:p w14:paraId="64F4979C" w14:textId="30770A9C" w:rsidR="00C70053" w:rsidRPr="00C70053" w:rsidRDefault="00C70053" w:rsidP="00C70053">
      <w:pPr>
        <w:rPr>
          <w:sz w:val="24"/>
          <w:szCs w:val="24"/>
        </w:rPr>
      </w:pPr>
      <w:r w:rsidRPr="00C70053">
        <w:rPr>
          <w:sz w:val="24"/>
          <w:szCs w:val="24"/>
        </w:rPr>
        <w:t xml:space="preserve">CIB has regularly noted the level of complexity involved in many of the cases dealt with by our services and the challenges involved for clients in dealing with these cases. Similarly, CIB wishes to point to the imbalance that frequently exists between clients </w:t>
      </w:r>
      <w:r w:rsidR="0093474B">
        <w:rPr>
          <w:sz w:val="24"/>
          <w:szCs w:val="24"/>
        </w:rPr>
        <w:t xml:space="preserve">of our delivery </w:t>
      </w:r>
      <w:r w:rsidR="0093474B">
        <w:rPr>
          <w:sz w:val="24"/>
          <w:szCs w:val="24"/>
        </w:rPr>
        <w:lastRenderedPageBreak/>
        <w:t xml:space="preserve">services </w:t>
      </w:r>
      <w:r w:rsidRPr="00C70053">
        <w:rPr>
          <w:sz w:val="24"/>
          <w:szCs w:val="24"/>
        </w:rPr>
        <w:t xml:space="preserve">and the parties against which claims are being pursued in their access to the expertise and resources needed to fully work through a case. The real and perceived challenges and obstacles involved in pursuing claims often result in claimants abandoning claims at an early stage or in accepting lower levels of compensation. The possibility of cases extending over </w:t>
      </w:r>
      <w:r w:rsidR="0093474B">
        <w:rPr>
          <w:sz w:val="24"/>
          <w:szCs w:val="24"/>
        </w:rPr>
        <w:t>a protrac</w:t>
      </w:r>
      <w:r w:rsidR="00FF5379">
        <w:rPr>
          <w:sz w:val="24"/>
          <w:szCs w:val="24"/>
        </w:rPr>
        <w:t>t</w:t>
      </w:r>
      <w:r w:rsidR="0093474B">
        <w:rPr>
          <w:sz w:val="24"/>
          <w:szCs w:val="24"/>
        </w:rPr>
        <w:t xml:space="preserve">ed timeframe </w:t>
      </w:r>
      <w:r w:rsidRPr="00C70053">
        <w:rPr>
          <w:sz w:val="24"/>
          <w:szCs w:val="24"/>
        </w:rPr>
        <w:t xml:space="preserve">further accentuates this imbalance. In particular, there is a need to improve access to the WRC for those experiencing discrimination in the workplace by increasing the time period within which claims must be lodged. </w:t>
      </w:r>
    </w:p>
    <w:p w14:paraId="23669186" w14:textId="343C799E" w:rsidR="00F718E4" w:rsidRDefault="00F718E4" w:rsidP="00FF5379">
      <w:pPr>
        <w:pStyle w:val="Heading1"/>
        <w:numPr>
          <w:ilvl w:val="0"/>
          <w:numId w:val="15"/>
        </w:numPr>
        <w:rPr>
          <w:color w:val="002060"/>
        </w:rPr>
      </w:pPr>
      <w:r>
        <w:t>Scope of the nine gr</w:t>
      </w:r>
      <w:r w:rsidR="00FE7F21">
        <w:t>ounds, in particular, re. gender</w:t>
      </w:r>
      <w:r>
        <w:t>, disability, and introduction of new ground, socio-economic discrimination.</w:t>
      </w:r>
    </w:p>
    <w:p w14:paraId="640CAAB6" w14:textId="77777777" w:rsidR="00F718E4" w:rsidRDefault="00F718E4" w:rsidP="00A67D90">
      <w:pPr>
        <w:pStyle w:val="Heading3"/>
        <w:rPr>
          <w:color w:val="002060"/>
        </w:rPr>
      </w:pPr>
    </w:p>
    <w:p w14:paraId="5DCE5E93" w14:textId="6857478D" w:rsidR="00A67D90" w:rsidRPr="001A44C2" w:rsidRDefault="003C54D4" w:rsidP="00FF5379">
      <w:pPr>
        <w:pStyle w:val="Heading2"/>
      </w:pPr>
      <w:r w:rsidRPr="001A44C2">
        <w:t>Definition of ‘disability’</w:t>
      </w:r>
    </w:p>
    <w:p w14:paraId="56F1DE81" w14:textId="19983D46" w:rsidR="00DD5E62" w:rsidRDefault="00DD5E62" w:rsidP="00DD5E62">
      <w:pPr>
        <w:pStyle w:val="Heading3"/>
        <w:rPr>
          <w:rFonts w:asciiTheme="minorHAnsi" w:hAnsiTheme="minorHAnsi" w:cstheme="minorHAnsi"/>
          <w:color w:val="auto"/>
        </w:rPr>
      </w:pPr>
      <w:r w:rsidRPr="001A44C2">
        <w:rPr>
          <w:rFonts w:asciiTheme="minorHAnsi" w:hAnsiTheme="minorHAnsi" w:cstheme="minorHAnsi"/>
          <w:color w:val="auto"/>
        </w:rPr>
        <w:t xml:space="preserve">In considering the issue of current </w:t>
      </w:r>
      <w:r w:rsidR="004079FB" w:rsidRPr="001A44C2">
        <w:rPr>
          <w:rFonts w:asciiTheme="minorHAnsi" w:hAnsiTheme="minorHAnsi" w:cstheme="minorHAnsi"/>
          <w:color w:val="auto"/>
        </w:rPr>
        <w:t xml:space="preserve">definitions, especially as applied </w:t>
      </w:r>
      <w:r w:rsidRPr="001A44C2">
        <w:rPr>
          <w:rFonts w:asciiTheme="minorHAnsi" w:hAnsiTheme="minorHAnsi" w:cstheme="minorHAnsi"/>
          <w:color w:val="auto"/>
        </w:rPr>
        <w:t xml:space="preserve">to disability, CIB sees value in keeping definitions as wide as possible rather than engaging in a process of having to deal with discrimination cases on a ‘ground-by-ground’ basis. In this regard CIB’s view coincides with that suggested by the Irish Human Rights Commission (IHRC) in its </w:t>
      </w:r>
      <w:r w:rsidR="000A53A5">
        <w:rPr>
          <w:rFonts w:asciiTheme="minorHAnsi" w:hAnsiTheme="minorHAnsi" w:cstheme="minorHAnsi"/>
          <w:color w:val="auto"/>
        </w:rPr>
        <w:t xml:space="preserve">response to a previous review </w:t>
      </w:r>
      <w:r w:rsidRPr="001A44C2">
        <w:rPr>
          <w:rFonts w:asciiTheme="minorHAnsi" w:hAnsiTheme="minorHAnsi" w:cstheme="minorHAnsi"/>
          <w:color w:val="auto"/>
        </w:rPr>
        <w:t xml:space="preserve">on </w:t>
      </w:r>
      <w:r w:rsidR="000A53A5">
        <w:rPr>
          <w:rFonts w:asciiTheme="minorHAnsi" w:hAnsiTheme="minorHAnsi" w:cstheme="minorHAnsi"/>
          <w:color w:val="auto"/>
        </w:rPr>
        <w:t xml:space="preserve">extending the scope of </w:t>
      </w:r>
      <w:r w:rsidR="00FF5379">
        <w:rPr>
          <w:rFonts w:asciiTheme="minorHAnsi" w:hAnsiTheme="minorHAnsi" w:cstheme="minorHAnsi"/>
          <w:color w:val="auto"/>
        </w:rPr>
        <w:t xml:space="preserve">employment </w:t>
      </w:r>
      <w:r w:rsidR="000A53A5">
        <w:rPr>
          <w:rFonts w:asciiTheme="minorHAnsi" w:hAnsiTheme="minorHAnsi" w:cstheme="minorHAnsi"/>
          <w:color w:val="auto"/>
        </w:rPr>
        <w:t>legislation.</w:t>
      </w:r>
      <w:r w:rsidR="00FF5379">
        <w:rPr>
          <w:rFonts w:asciiTheme="minorHAnsi" w:hAnsiTheme="minorHAnsi" w:cstheme="minorHAnsi"/>
          <w:color w:val="auto"/>
        </w:rPr>
        <w:t xml:space="preserve"> </w:t>
      </w:r>
    </w:p>
    <w:p w14:paraId="0073635A" w14:textId="77777777" w:rsidR="00FF5379" w:rsidRPr="00FF5379" w:rsidRDefault="00FF5379" w:rsidP="00FF5379"/>
    <w:p w14:paraId="17F1CCC3" w14:textId="2661CB8F" w:rsidR="00DD5E62" w:rsidRPr="001A44C2" w:rsidRDefault="00DD5E62" w:rsidP="00DD5E62">
      <w:pPr>
        <w:ind w:left="720"/>
        <w:rPr>
          <w:sz w:val="24"/>
          <w:szCs w:val="24"/>
        </w:rPr>
      </w:pPr>
      <w:r w:rsidRPr="001A44C2">
        <w:rPr>
          <w:i/>
          <w:iCs/>
          <w:sz w:val="24"/>
          <w:szCs w:val="24"/>
        </w:rPr>
        <w:t>‘…that there is appeal in allowing the courts to develop a strong body of anti-discrimination law around the core values of equal treatment and reasonableness, rather than forcing the courts to engage in what can sometimes be an artificial process of approaching discrimination cases on a “ground-by-ground” basis.’</w:t>
      </w:r>
      <w:r w:rsidR="00B41006">
        <w:rPr>
          <w:rStyle w:val="FootnoteReference"/>
          <w:i/>
          <w:iCs/>
          <w:sz w:val="24"/>
          <w:szCs w:val="24"/>
        </w:rPr>
        <w:footnoteReference w:id="15"/>
      </w:r>
    </w:p>
    <w:p w14:paraId="510F27E9" w14:textId="47A0039C" w:rsidR="00A67D90" w:rsidRPr="001A44C2" w:rsidRDefault="00B73C6A" w:rsidP="00A67D90">
      <w:pPr>
        <w:rPr>
          <w:sz w:val="24"/>
          <w:szCs w:val="24"/>
        </w:rPr>
      </w:pPr>
      <w:r>
        <w:rPr>
          <w:sz w:val="24"/>
          <w:szCs w:val="24"/>
        </w:rPr>
        <w:t xml:space="preserve">However, conversely it is important that definitions are not so wide as to make it difficult for a person to meet the criteria and be considered eligible to take a case under the legislation. </w:t>
      </w:r>
      <w:r w:rsidR="008E5047" w:rsidRPr="001A44C2">
        <w:rPr>
          <w:sz w:val="24"/>
          <w:szCs w:val="24"/>
        </w:rPr>
        <w:t>The definition of disability</w:t>
      </w:r>
      <w:r w:rsidR="00404F3C" w:rsidRPr="001A44C2">
        <w:rPr>
          <w:sz w:val="24"/>
          <w:szCs w:val="24"/>
        </w:rPr>
        <w:t xml:space="preserve"> </w:t>
      </w:r>
      <w:r w:rsidR="00A67D90" w:rsidRPr="001A44C2">
        <w:rPr>
          <w:sz w:val="24"/>
          <w:szCs w:val="24"/>
        </w:rPr>
        <w:t>under the Employment Equality Acts and the Equal Status Acts includes physical, intellectual, learning, cognitive and emotional disabilities and a range of medical conditions. People with experience of mental health difficulties are covered by the disability ground.</w:t>
      </w:r>
    </w:p>
    <w:p w14:paraId="4D7AEECF" w14:textId="211058F6" w:rsidR="00A67D90" w:rsidRDefault="00A67D90" w:rsidP="00A67D90">
      <w:pPr>
        <w:rPr>
          <w:sz w:val="24"/>
          <w:szCs w:val="24"/>
        </w:rPr>
      </w:pPr>
      <w:r w:rsidRPr="001A44C2">
        <w:rPr>
          <w:sz w:val="24"/>
          <w:szCs w:val="24"/>
        </w:rPr>
        <w:t>CIB is of the view</w:t>
      </w:r>
      <w:r w:rsidR="003C54D4" w:rsidRPr="001A44C2">
        <w:rPr>
          <w:sz w:val="24"/>
          <w:szCs w:val="24"/>
        </w:rPr>
        <w:t xml:space="preserve"> that the existing definition of ‘</w:t>
      </w:r>
      <w:r w:rsidRPr="001A44C2">
        <w:rPr>
          <w:sz w:val="24"/>
          <w:szCs w:val="24"/>
        </w:rPr>
        <w:t>disability</w:t>
      </w:r>
      <w:r w:rsidR="003C54D4" w:rsidRPr="001A44C2">
        <w:rPr>
          <w:sz w:val="24"/>
          <w:szCs w:val="24"/>
        </w:rPr>
        <w:t>’</w:t>
      </w:r>
      <w:r w:rsidR="003E6666" w:rsidRPr="001A44C2">
        <w:rPr>
          <w:rStyle w:val="FootnoteReference"/>
          <w:sz w:val="24"/>
          <w:szCs w:val="24"/>
        </w:rPr>
        <w:footnoteReference w:id="16"/>
      </w:r>
      <w:r w:rsidRPr="001A44C2">
        <w:rPr>
          <w:sz w:val="24"/>
          <w:szCs w:val="24"/>
        </w:rPr>
        <w:t xml:space="preserve"> </w:t>
      </w:r>
      <w:r w:rsidR="003C54D4" w:rsidRPr="001A44C2">
        <w:rPr>
          <w:sz w:val="24"/>
          <w:szCs w:val="24"/>
        </w:rPr>
        <w:t xml:space="preserve">is </w:t>
      </w:r>
      <w:r w:rsidRPr="001A44C2">
        <w:rPr>
          <w:sz w:val="24"/>
          <w:szCs w:val="24"/>
        </w:rPr>
        <w:t xml:space="preserve">largely based and worded on a medical model of disability. There is a strong case for ensuring that the very language used </w:t>
      </w:r>
      <w:r w:rsidRPr="001A44C2">
        <w:rPr>
          <w:sz w:val="24"/>
          <w:szCs w:val="24"/>
        </w:rPr>
        <w:lastRenderedPageBreak/>
        <w:t xml:space="preserve">in equality legislation should reflect a social and human rights model rather than a medical/charitable model. </w:t>
      </w:r>
      <w:r w:rsidR="00F8002C" w:rsidRPr="001A44C2">
        <w:rPr>
          <w:sz w:val="24"/>
          <w:szCs w:val="24"/>
        </w:rPr>
        <w:t>It should embrace the concept of people</w:t>
      </w:r>
      <w:r w:rsidR="000A53A5">
        <w:rPr>
          <w:sz w:val="24"/>
          <w:szCs w:val="24"/>
        </w:rPr>
        <w:t xml:space="preserve"> with disabilities</w:t>
      </w:r>
      <w:r w:rsidR="00F8002C" w:rsidRPr="001A44C2">
        <w:rPr>
          <w:sz w:val="24"/>
          <w:szCs w:val="24"/>
        </w:rPr>
        <w:t xml:space="preserve"> as active participants in society. </w:t>
      </w:r>
      <w:r w:rsidR="004267CA">
        <w:rPr>
          <w:sz w:val="24"/>
          <w:szCs w:val="24"/>
        </w:rPr>
        <w:t xml:space="preserve">It is also important to </w:t>
      </w:r>
      <w:r w:rsidR="00B41006">
        <w:rPr>
          <w:sz w:val="24"/>
          <w:szCs w:val="24"/>
        </w:rPr>
        <w:t xml:space="preserve">reiterate </w:t>
      </w:r>
      <w:r w:rsidR="004267CA">
        <w:rPr>
          <w:sz w:val="24"/>
          <w:szCs w:val="24"/>
        </w:rPr>
        <w:t>that any changes to the definition need to be such that do not make it more difficult for a person with a disability to make a complaint on this ground unde</w:t>
      </w:r>
      <w:r w:rsidR="00E73FCE">
        <w:rPr>
          <w:sz w:val="24"/>
          <w:szCs w:val="24"/>
        </w:rPr>
        <w:t>r the Acts.</w:t>
      </w:r>
      <w:r w:rsidR="004267CA">
        <w:rPr>
          <w:sz w:val="24"/>
          <w:szCs w:val="24"/>
        </w:rPr>
        <w:t xml:space="preserve"> </w:t>
      </w:r>
      <w:r w:rsidRPr="001A44C2">
        <w:rPr>
          <w:sz w:val="24"/>
          <w:szCs w:val="24"/>
        </w:rPr>
        <w:t xml:space="preserve">The attitudinal shift that is demanded if we are to fully take on board the spirit and commitments attaching to the UN </w:t>
      </w:r>
      <w:r w:rsidRPr="001A44C2">
        <w:rPr>
          <w:i/>
          <w:iCs/>
          <w:sz w:val="24"/>
          <w:szCs w:val="24"/>
        </w:rPr>
        <w:t>Convention on the Rights of Persons with Disabilities</w:t>
      </w:r>
      <w:r w:rsidRPr="001A44C2">
        <w:rPr>
          <w:sz w:val="24"/>
          <w:szCs w:val="24"/>
        </w:rPr>
        <w:t xml:space="preserve"> (UNCRPD) requires a shift in language and terminology as do the provisions of the Assisted Decision-making (Capacity) Act 2015, particularly the functional approach to capacity</w:t>
      </w:r>
      <w:r w:rsidR="003C54D4" w:rsidRPr="001A44C2">
        <w:rPr>
          <w:sz w:val="24"/>
          <w:szCs w:val="24"/>
        </w:rPr>
        <w:t xml:space="preserve"> referred to above</w:t>
      </w:r>
      <w:r w:rsidRPr="001A44C2">
        <w:rPr>
          <w:sz w:val="24"/>
          <w:szCs w:val="24"/>
        </w:rPr>
        <w:t>.</w:t>
      </w:r>
      <w:r w:rsidR="004267CA">
        <w:rPr>
          <w:sz w:val="24"/>
          <w:szCs w:val="24"/>
        </w:rPr>
        <w:t xml:space="preserve"> </w:t>
      </w:r>
    </w:p>
    <w:p w14:paraId="78CE4563" w14:textId="77777777" w:rsidR="00F718E4" w:rsidRPr="00F718E4" w:rsidRDefault="00F718E4" w:rsidP="00527A80">
      <w:pPr>
        <w:pStyle w:val="Heading2"/>
      </w:pPr>
      <w:r w:rsidRPr="00F718E4">
        <w:t>Introduction of an additional socio-economic ‘equality ground’</w:t>
      </w:r>
    </w:p>
    <w:p w14:paraId="1C48DCC1" w14:textId="77777777" w:rsidR="00F718E4" w:rsidRPr="00F718E4" w:rsidRDefault="00F718E4" w:rsidP="00F718E4">
      <w:pPr>
        <w:rPr>
          <w:rFonts w:cstheme="minorHAnsi"/>
          <w:sz w:val="24"/>
          <w:szCs w:val="24"/>
        </w:rPr>
      </w:pPr>
      <w:r w:rsidRPr="00F718E4">
        <w:rPr>
          <w:rFonts w:cstheme="minorHAnsi"/>
          <w:sz w:val="24"/>
          <w:szCs w:val="24"/>
          <w:shd w:val="clear" w:color="auto" w:fill="FFFFFF"/>
        </w:rPr>
        <w:t xml:space="preserve">Many users of CIB services experience financial exclusion, energy poverty, many are on low incomes and many have weak social capital and suffer more because of the related structural inequalities in housing, healthcare, and public service provision generally. Inequality of access is frequently the result of </w:t>
      </w:r>
      <w:r w:rsidRPr="00F718E4">
        <w:rPr>
          <w:rFonts w:cstheme="minorHAnsi"/>
          <w:spacing w:val="3"/>
          <w:sz w:val="24"/>
          <w:szCs w:val="24"/>
          <w:shd w:val="clear" w:color="auto" w:fill="FFFFFF"/>
        </w:rPr>
        <w:t xml:space="preserve">low incomes, poverty, inadequate housing, indebtedness and a lack of access to appropriate services in a timely manner. </w:t>
      </w:r>
      <w:r w:rsidRPr="00F718E4">
        <w:rPr>
          <w:sz w:val="24"/>
          <w:szCs w:val="24"/>
        </w:rPr>
        <w:t>There are clear links between poverty, social exclusion and the existing discrimination grounds. In many cases our clients’ disadvantaged socio-economic situations are a result of a multiplicity of issues.</w:t>
      </w:r>
    </w:p>
    <w:p w14:paraId="3249A045" w14:textId="0B4B79D7" w:rsidR="00F718E4" w:rsidRPr="00F718E4" w:rsidRDefault="00F718E4" w:rsidP="00F718E4">
      <w:pPr>
        <w:rPr>
          <w:sz w:val="24"/>
          <w:szCs w:val="24"/>
        </w:rPr>
      </w:pPr>
      <w:r w:rsidRPr="00F718E4">
        <w:rPr>
          <w:sz w:val="24"/>
          <w:szCs w:val="24"/>
        </w:rPr>
        <w:t xml:space="preserve">CIB is, therefore, of the view that the introduction of socio-economic status as a discrimination ground would enhance existing equality legislation and would complement the scope of the existing grounds. </w:t>
      </w:r>
      <w:r w:rsidR="00277FE5">
        <w:rPr>
          <w:sz w:val="24"/>
          <w:szCs w:val="24"/>
        </w:rPr>
        <w:t xml:space="preserve">In this regard, the definition of socio-economic status contained within the </w:t>
      </w:r>
      <w:r w:rsidR="00277FE5" w:rsidRPr="00277FE5">
        <w:rPr>
          <w:sz w:val="24"/>
          <w:szCs w:val="24"/>
        </w:rPr>
        <w:t>Equality (Miscellaneous Provisions) Bill 2021</w:t>
      </w:r>
      <w:r w:rsidR="00277FE5">
        <w:rPr>
          <w:sz w:val="24"/>
          <w:szCs w:val="24"/>
        </w:rPr>
        <w:t xml:space="preserve"> is relevant. </w:t>
      </w:r>
    </w:p>
    <w:p w14:paraId="4D964DD5" w14:textId="77777777" w:rsidR="00F718E4" w:rsidRPr="00F718E4" w:rsidRDefault="00F718E4" w:rsidP="00F718E4">
      <w:pPr>
        <w:rPr>
          <w:sz w:val="24"/>
          <w:szCs w:val="24"/>
        </w:rPr>
      </w:pPr>
      <w:r w:rsidRPr="00F718E4">
        <w:rPr>
          <w:sz w:val="24"/>
          <w:szCs w:val="24"/>
        </w:rPr>
        <w:t>The introduction of disadvantaged socio-economic status as a new ground for discrimination is seen as a logical and beneficial step in constructing a comprehensive and effective legal basis for the protection of people who are excluded and marginalised and for ensuring equality of access to redress.</w:t>
      </w:r>
    </w:p>
    <w:p w14:paraId="1A34CB42" w14:textId="66C672E4" w:rsidR="00F718E4" w:rsidRPr="00F718E4" w:rsidRDefault="00F718E4" w:rsidP="00F718E4">
      <w:pPr>
        <w:rPr>
          <w:sz w:val="24"/>
          <w:szCs w:val="24"/>
        </w:rPr>
      </w:pPr>
      <w:r w:rsidRPr="00F718E4">
        <w:rPr>
          <w:sz w:val="24"/>
          <w:szCs w:val="24"/>
        </w:rPr>
        <w:t xml:space="preserve">The addition of this new ground would reinforce the message that discrimination against persons </w:t>
      </w:r>
      <w:r w:rsidR="00485769">
        <w:rPr>
          <w:sz w:val="24"/>
          <w:szCs w:val="24"/>
        </w:rPr>
        <w:t xml:space="preserve">experiencing disadvantage </w:t>
      </w:r>
      <w:r w:rsidRPr="00F718E4">
        <w:rPr>
          <w:sz w:val="24"/>
          <w:szCs w:val="24"/>
        </w:rPr>
        <w:t>will not be tolerated in Irish society and would provide a more robust set of tools for use in protecting citizens’ rights.</w:t>
      </w:r>
    </w:p>
    <w:p w14:paraId="76666583" w14:textId="77777777" w:rsidR="00F718E4" w:rsidRPr="00F718E4" w:rsidRDefault="00F718E4" w:rsidP="00F718E4">
      <w:pPr>
        <w:rPr>
          <w:sz w:val="24"/>
          <w:szCs w:val="24"/>
        </w:rPr>
      </w:pPr>
      <w:r w:rsidRPr="00F718E4">
        <w:rPr>
          <w:sz w:val="24"/>
          <w:szCs w:val="24"/>
        </w:rPr>
        <w:t>The ground of socio-economic status is particularly relevant in access to health care.</w:t>
      </w:r>
      <w:r w:rsidRPr="00F718E4">
        <w:rPr>
          <w:sz w:val="24"/>
          <w:szCs w:val="24"/>
          <w:vertAlign w:val="superscript"/>
        </w:rPr>
        <w:footnoteReference w:id="17"/>
      </w:r>
    </w:p>
    <w:p w14:paraId="56BA10CB" w14:textId="77777777" w:rsidR="00F718E4" w:rsidRPr="001A44C2" w:rsidRDefault="00F718E4" w:rsidP="00A67D90">
      <w:pPr>
        <w:rPr>
          <w:sz w:val="24"/>
          <w:szCs w:val="24"/>
        </w:rPr>
      </w:pPr>
    </w:p>
    <w:p w14:paraId="3CBE2D0E" w14:textId="1EEE3092" w:rsidR="00AA5351" w:rsidRPr="00AA5351" w:rsidRDefault="00AA5351" w:rsidP="00527A80">
      <w:pPr>
        <w:pStyle w:val="Heading1"/>
        <w:numPr>
          <w:ilvl w:val="0"/>
          <w:numId w:val="15"/>
        </w:numPr>
      </w:pPr>
      <w:bookmarkStart w:id="1" w:name="s2_p6"/>
      <w:bookmarkEnd w:id="1"/>
      <w:r>
        <w:t>I</w:t>
      </w:r>
      <w:r w:rsidRPr="00AA5351">
        <w:t xml:space="preserve">ntersection of discrimination across the grounds </w:t>
      </w:r>
    </w:p>
    <w:p w14:paraId="46D65AC8" w14:textId="3CE9B049" w:rsidR="003C54D4" w:rsidRPr="001A44C2" w:rsidRDefault="003C54D4" w:rsidP="003C54D4">
      <w:pPr>
        <w:rPr>
          <w:sz w:val="24"/>
          <w:szCs w:val="24"/>
        </w:rPr>
      </w:pPr>
      <w:r w:rsidRPr="001A44C2">
        <w:rPr>
          <w:sz w:val="24"/>
          <w:szCs w:val="24"/>
        </w:rPr>
        <w:t xml:space="preserve">Clients of CIB services frequently present with cases involving discrimination on more than one of the prohibited grounds, resulting in additional exclusion. The possibility of multiple discrimination when individuals occupy a number of disadvantaged statuses, as well as potentially increasing the negative impact caused, can also present problems in identifying </w:t>
      </w:r>
      <w:r w:rsidRPr="001A44C2">
        <w:rPr>
          <w:sz w:val="24"/>
          <w:szCs w:val="24"/>
        </w:rPr>
        <w:lastRenderedPageBreak/>
        <w:t>clearly which discriminatory ground or ground</w:t>
      </w:r>
      <w:r w:rsidR="004079FB" w:rsidRPr="001A44C2">
        <w:rPr>
          <w:sz w:val="24"/>
          <w:szCs w:val="24"/>
        </w:rPr>
        <w:t>s is at the root of the problem and where efforts to seek redress are best targeted</w:t>
      </w:r>
      <w:r w:rsidR="00AA5351">
        <w:rPr>
          <w:sz w:val="24"/>
          <w:szCs w:val="24"/>
        </w:rPr>
        <w:t>.</w:t>
      </w:r>
      <w:r w:rsidRPr="001A44C2">
        <w:rPr>
          <w:sz w:val="24"/>
          <w:szCs w:val="24"/>
        </w:rPr>
        <w:t xml:space="preserve"> </w:t>
      </w:r>
    </w:p>
    <w:p w14:paraId="28657E47" w14:textId="53AA0F17" w:rsidR="003C54D4" w:rsidRPr="001A44C2" w:rsidRDefault="003C54D4" w:rsidP="003C54D4">
      <w:pPr>
        <w:rPr>
          <w:sz w:val="24"/>
          <w:szCs w:val="24"/>
        </w:rPr>
      </w:pPr>
      <w:r w:rsidRPr="001A44C2">
        <w:rPr>
          <w:sz w:val="24"/>
          <w:szCs w:val="24"/>
        </w:rPr>
        <w:t xml:space="preserve">It is felt that such intersectional discrimination </w:t>
      </w:r>
      <w:r w:rsidR="00485769">
        <w:rPr>
          <w:sz w:val="24"/>
          <w:szCs w:val="24"/>
        </w:rPr>
        <w:t xml:space="preserve">based on a combination of grounds </w:t>
      </w:r>
      <w:r w:rsidRPr="001A44C2">
        <w:rPr>
          <w:sz w:val="24"/>
          <w:szCs w:val="24"/>
        </w:rPr>
        <w:t xml:space="preserve">warrants </w:t>
      </w:r>
      <w:r w:rsidR="002E0D41">
        <w:rPr>
          <w:sz w:val="24"/>
          <w:szCs w:val="24"/>
        </w:rPr>
        <w:t xml:space="preserve">inclusion in the legislation as well as </w:t>
      </w:r>
      <w:r w:rsidRPr="001A44C2">
        <w:rPr>
          <w:sz w:val="24"/>
          <w:szCs w:val="24"/>
        </w:rPr>
        <w:t xml:space="preserve">a stronger </w:t>
      </w:r>
      <w:r w:rsidR="004079FB" w:rsidRPr="001A44C2">
        <w:rPr>
          <w:sz w:val="24"/>
          <w:szCs w:val="24"/>
        </w:rPr>
        <w:t xml:space="preserve">and more integrated </w:t>
      </w:r>
      <w:r w:rsidRPr="001A44C2">
        <w:rPr>
          <w:sz w:val="24"/>
          <w:szCs w:val="24"/>
        </w:rPr>
        <w:t>response</w:t>
      </w:r>
      <w:r w:rsidR="004079FB" w:rsidRPr="001A44C2">
        <w:rPr>
          <w:sz w:val="24"/>
          <w:szCs w:val="24"/>
        </w:rPr>
        <w:t xml:space="preserve"> in the manner in which legislation is enforced. For example, </w:t>
      </w:r>
      <w:r w:rsidR="000E5684">
        <w:rPr>
          <w:sz w:val="24"/>
          <w:szCs w:val="24"/>
        </w:rPr>
        <w:t xml:space="preserve">the </w:t>
      </w:r>
      <w:r w:rsidR="004079FB" w:rsidRPr="001A44C2">
        <w:rPr>
          <w:sz w:val="24"/>
          <w:szCs w:val="24"/>
        </w:rPr>
        <w:t xml:space="preserve">rights </w:t>
      </w:r>
      <w:r w:rsidR="000E5684">
        <w:rPr>
          <w:sz w:val="24"/>
          <w:szCs w:val="24"/>
        </w:rPr>
        <w:t xml:space="preserve">of a Traveller woman </w:t>
      </w:r>
      <w:r w:rsidR="004079FB" w:rsidRPr="001A44C2">
        <w:rPr>
          <w:sz w:val="24"/>
          <w:szCs w:val="24"/>
        </w:rPr>
        <w:t xml:space="preserve">may be infringed in respect of housing, </w:t>
      </w:r>
      <w:r w:rsidR="002E0D41">
        <w:rPr>
          <w:sz w:val="24"/>
          <w:szCs w:val="24"/>
        </w:rPr>
        <w:t xml:space="preserve">and this infringement may be based on her identity as a woman, and as a member of the Travelling community. Recognition for the infringement of rights based on the combined grounds </w:t>
      </w:r>
      <w:r w:rsidR="00C82751" w:rsidRPr="001A44C2">
        <w:rPr>
          <w:sz w:val="24"/>
          <w:szCs w:val="24"/>
        </w:rPr>
        <w:t>ne</w:t>
      </w:r>
      <w:r w:rsidR="007529DF" w:rsidRPr="001A44C2">
        <w:rPr>
          <w:sz w:val="24"/>
          <w:szCs w:val="24"/>
        </w:rPr>
        <w:t>e</w:t>
      </w:r>
      <w:r w:rsidR="00C82751" w:rsidRPr="001A44C2">
        <w:rPr>
          <w:sz w:val="24"/>
          <w:szCs w:val="24"/>
        </w:rPr>
        <w:t xml:space="preserve">ds to be </w:t>
      </w:r>
      <w:r w:rsidR="000E5684">
        <w:rPr>
          <w:sz w:val="24"/>
          <w:szCs w:val="24"/>
        </w:rPr>
        <w:t xml:space="preserve">provided for </w:t>
      </w:r>
      <w:r w:rsidR="00C82751" w:rsidRPr="001A44C2">
        <w:rPr>
          <w:sz w:val="24"/>
          <w:szCs w:val="24"/>
        </w:rPr>
        <w:t xml:space="preserve">in </w:t>
      </w:r>
      <w:r w:rsidR="000E5684">
        <w:rPr>
          <w:sz w:val="24"/>
          <w:szCs w:val="24"/>
        </w:rPr>
        <w:t xml:space="preserve">the legislation and in </w:t>
      </w:r>
      <w:r w:rsidR="00C82751" w:rsidRPr="001A44C2">
        <w:rPr>
          <w:sz w:val="24"/>
          <w:szCs w:val="24"/>
        </w:rPr>
        <w:t>enforcement and redress structures</w:t>
      </w:r>
      <w:r w:rsidR="002E0D41">
        <w:rPr>
          <w:sz w:val="24"/>
          <w:szCs w:val="24"/>
        </w:rPr>
        <w:t>.</w:t>
      </w:r>
    </w:p>
    <w:p w14:paraId="3DB34493" w14:textId="5A1ECBC9" w:rsidR="005C6D66" w:rsidRPr="00527A80" w:rsidRDefault="005C6D66" w:rsidP="005C6D66">
      <w:pPr>
        <w:rPr>
          <w:color w:val="2F5496" w:themeColor="accent1" w:themeShade="BF"/>
          <w:sz w:val="24"/>
          <w:szCs w:val="24"/>
        </w:rPr>
      </w:pPr>
      <w:r w:rsidRPr="00527A80">
        <w:rPr>
          <w:color w:val="2F5496" w:themeColor="accent1" w:themeShade="BF"/>
          <w:sz w:val="24"/>
          <w:szCs w:val="24"/>
        </w:rPr>
        <w:t>Digital Discrimination</w:t>
      </w:r>
    </w:p>
    <w:p w14:paraId="5AA66A3B" w14:textId="41134832" w:rsidR="005C6D66" w:rsidRPr="001A44C2" w:rsidRDefault="005C6D66" w:rsidP="005C6D66">
      <w:pPr>
        <w:rPr>
          <w:sz w:val="24"/>
          <w:szCs w:val="24"/>
        </w:rPr>
      </w:pPr>
      <w:r w:rsidRPr="001A44C2">
        <w:rPr>
          <w:sz w:val="24"/>
          <w:szCs w:val="24"/>
        </w:rPr>
        <w:t>CIB services</w:t>
      </w:r>
      <w:r>
        <w:rPr>
          <w:sz w:val="24"/>
          <w:szCs w:val="24"/>
        </w:rPr>
        <w:t xml:space="preserve"> frequently encounter clients who experience barriers to public services due to literacy issues</w:t>
      </w:r>
      <w:r w:rsidR="00E73FCE">
        <w:rPr>
          <w:sz w:val="24"/>
          <w:szCs w:val="24"/>
        </w:rPr>
        <w:t xml:space="preserve"> - </w:t>
      </w:r>
      <w:r w:rsidRPr="001A44C2">
        <w:rPr>
          <w:sz w:val="24"/>
          <w:szCs w:val="24"/>
        </w:rPr>
        <w:t xml:space="preserve">there is </w:t>
      </w:r>
      <w:r>
        <w:rPr>
          <w:sz w:val="24"/>
          <w:szCs w:val="24"/>
        </w:rPr>
        <w:t xml:space="preserve">in tandem </w:t>
      </w:r>
      <w:r w:rsidRPr="001A44C2">
        <w:rPr>
          <w:sz w:val="24"/>
          <w:szCs w:val="24"/>
        </w:rPr>
        <w:t>growing evidence that technological discrimination is on the rise</w:t>
      </w:r>
      <w:r w:rsidR="00C70053">
        <w:rPr>
          <w:sz w:val="24"/>
          <w:szCs w:val="24"/>
        </w:rPr>
        <w:t>, as discussed above</w:t>
      </w:r>
      <w:r w:rsidRPr="001A44C2">
        <w:rPr>
          <w:sz w:val="24"/>
          <w:szCs w:val="24"/>
        </w:rPr>
        <w:t xml:space="preserve">. Many people </w:t>
      </w:r>
      <w:r w:rsidR="006927D9">
        <w:rPr>
          <w:sz w:val="24"/>
          <w:szCs w:val="24"/>
        </w:rPr>
        <w:t>and particularly, older people, and people with disabilities</w:t>
      </w:r>
      <w:r w:rsidRPr="001A44C2">
        <w:rPr>
          <w:sz w:val="24"/>
          <w:szCs w:val="24"/>
        </w:rPr>
        <w:t xml:space="preserve"> experience challenges in </w:t>
      </w:r>
      <w:r w:rsidR="00586588">
        <w:rPr>
          <w:sz w:val="24"/>
          <w:szCs w:val="24"/>
        </w:rPr>
        <w:t xml:space="preserve">affordability and </w:t>
      </w:r>
      <w:r w:rsidRPr="001A44C2">
        <w:rPr>
          <w:sz w:val="24"/>
          <w:szCs w:val="24"/>
        </w:rPr>
        <w:t>accessing</w:t>
      </w:r>
      <w:r w:rsidR="00586588">
        <w:rPr>
          <w:sz w:val="24"/>
          <w:szCs w:val="24"/>
        </w:rPr>
        <w:t xml:space="preserve">, </w:t>
      </w:r>
      <w:r w:rsidRPr="001A44C2">
        <w:rPr>
          <w:sz w:val="24"/>
          <w:szCs w:val="24"/>
        </w:rPr>
        <w:t xml:space="preserve"> using digital technology</w:t>
      </w:r>
      <w:r w:rsidR="006927D9">
        <w:rPr>
          <w:sz w:val="24"/>
          <w:szCs w:val="24"/>
        </w:rPr>
        <w:t>, and thus experience digital exclusion, as well as digital constraint, whether that is to do with</w:t>
      </w:r>
      <w:r w:rsidR="00C70053">
        <w:rPr>
          <w:sz w:val="24"/>
          <w:szCs w:val="24"/>
        </w:rPr>
        <w:t xml:space="preserve"> a</w:t>
      </w:r>
      <w:r w:rsidR="006927D9">
        <w:rPr>
          <w:sz w:val="24"/>
          <w:szCs w:val="24"/>
        </w:rPr>
        <w:t xml:space="preserve"> </w:t>
      </w:r>
      <w:r w:rsidR="00C70053">
        <w:rPr>
          <w:sz w:val="24"/>
          <w:szCs w:val="24"/>
        </w:rPr>
        <w:t>lack of access to the requisite technology or an</w:t>
      </w:r>
      <w:r w:rsidR="00C70053" w:rsidRPr="00C70053">
        <w:rPr>
          <w:rFonts w:cs="Arial"/>
          <w:sz w:val="24"/>
          <w:szCs w:val="24"/>
          <w:lang w:val="en-GB"/>
        </w:rPr>
        <w:t xml:space="preserve"> </w:t>
      </w:r>
      <w:r w:rsidR="00C70053" w:rsidRPr="00C70053">
        <w:rPr>
          <w:sz w:val="24"/>
          <w:szCs w:val="24"/>
          <w:lang w:val="en-GB"/>
        </w:rPr>
        <w:t>inability to use the internet due to literacy or digital literacy problems</w:t>
      </w:r>
      <w:r w:rsidR="00C70053">
        <w:rPr>
          <w:sz w:val="24"/>
          <w:szCs w:val="24"/>
          <w:lang w:val="en-GB"/>
        </w:rPr>
        <w:t xml:space="preserve"> </w:t>
      </w:r>
      <w:r w:rsidR="00C70053">
        <w:rPr>
          <w:rStyle w:val="FootnoteReference"/>
          <w:sz w:val="24"/>
          <w:szCs w:val="24"/>
        </w:rPr>
        <w:footnoteReference w:id="18"/>
      </w:r>
      <w:r w:rsidR="006927D9">
        <w:rPr>
          <w:sz w:val="24"/>
          <w:szCs w:val="24"/>
        </w:rPr>
        <w:t xml:space="preserve">. </w:t>
      </w:r>
      <w:r w:rsidRPr="001A44C2">
        <w:rPr>
          <w:sz w:val="24"/>
          <w:szCs w:val="24"/>
        </w:rPr>
        <w:t xml:space="preserve"> </w:t>
      </w:r>
      <w:r w:rsidR="006927D9">
        <w:rPr>
          <w:sz w:val="24"/>
          <w:szCs w:val="24"/>
        </w:rPr>
        <w:t>This</w:t>
      </w:r>
      <w:r w:rsidRPr="001A44C2">
        <w:rPr>
          <w:sz w:val="24"/>
          <w:szCs w:val="24"/>
        </w:rPr>
        <w:t xml:space="preserve"> has implications for their ability to </w:t>
      </w:r>
      <w:r w:rsidR="00586588">
        <w:rPr>
          <w:sz w:val="24"/>
          <w:szCs w:val="24"/>
        </w:rPr>
        <w:t xml:space="preserve">secure </w:t>
      </w:r>
      <w:r w:rsidRPr="001A44C2">
        <w:rPr>
          <w:sz w:val="24"/>
          <w:szCs w:val="24"/>
        </w:rPr>
        <w:t xml:space="preserve">public services and assert their equality rights on an equal basis with others. </w:t>
      </w:r>
    </w:p>
    <w:p w14:paraId="319E1959" w14:textId="37691918" w:rsidR="005C6D66" w:rsidRDefault="005C6D66" w:rsidP="003C54D4">
      <w:pPr>
        <w:rPr>
          <w:sz w:val="24"/>
          <w:szCs w:val="24"/>
        </w:rPr>
      </w:pPr>
    </w:p>
    <w:p w14:paraId="55F46F81" w14:textId="35B61EB6" w:rsidR="000E5684" w:rsidRPr="005B7018" w:rsidRDefault="000E5684" w:rsidP="00BB0D4F">
      <w:pPr>
        <w:pStyle w:val="Heading1"/>
        <w:numPr>
          <w:ilvl w:val="0"/>
          <w:numId w:val="15"/>
        </w:numPr>
      </w:pPr>
      <w:r w:rsidRPr="005B7018">
        <w:t>Exemptions</w:t>
      </w:r>
    </w:p>
    <w:p w14:paraId="0F2EBD8D" w14:textId="1F25AF5B" w:rsidR="000E5684" w:rsidRDefault="00B017D0" w:rsidP="000E5684">
      <w:pPr>
        <w:rPr>
          <w:sz w:val="24"/>
          <w:szCs w:val="24"/>
        </w:rPr>
      </w:pPr>
      <w:r w:rsidRPr="00B017D0">
        <w:rPr>
          <w:sz w:val="24"/>
          <w:szCs w:val="24"/>
        </w:rPr>
        <w:t>There are a large number of exemptions, most of which reflect practicalities and norms in provision, but some of which are problematic.</w:t>
      </w:r>
    </w:p>
    <w:p w14:paraId="74B00E8A" w14:textId="77777777" w:rsidR="00B017D0" w:rsidRPr="00B017D0" w:rsidRDefault="00B017D0" w:rsidP="00B017D0">
      <w:pPr>
        <w:spacing w:after="200" w:line="276" w:lineRule="auto"/>
        <w:rPr>
          <w:rFonts w:eastAsia="Calibri" w:cstheme="minorHAnsi"/>
          <w:sz w:val="24"/>
          <w:szCs w:val="24"/>
        </w:rPr>
      </w:pPr>
      <w:r w:rsidRPr="00B017D0">
        <w:rPr>
          <w:rFonts w:eastAsia="Calibri" w:cstheme="minorHAnsi"/>
          <w:sz w:val="24"/>
          <w:szCs w:val="24"/>
        </w:rPr>
        <w:t>Under the Equality Acts, minimal obligations are placed on the education sector to provide reasonable accommodation for people with disabilities.  Many third level institutions have implemented their own measures on reasonable accommodation that go significantly beyond the provisions of the Acts and this should be the bar to aspire to. They have been supported by the development of the Inclusive Education Road Map</w:t>
      </w:r>
      <w:r w:rsidRPr="00B017D0">
        <w:rPr>
          <w:rFonts w:eastAsia="Calibri" w:cstheme="minorHAnsi"/>
          <w:sz w:val="24"/>
          <w:szCs w:val="24"/>
          <w:vertAlign w:val="superscript"/>
        </w:rPr>
        <w:footnoteReference w:id="19"/>
      </w:r>
      <w:r w:rsidRPr="00B017D0">
        <w:rPr>
          <w:rFonts w:eastAsia="Calibri" w:cstheme="minorHAnsi"/>
          <w:sz w:val="24"/>
          <w:szCs w:val="24"/>
        </w:rPr>
        <w:t xml:space="preserve">.  The Equality Act provisions are now out of step with the practical efforts being made in the sector.  </w:t>
      </w:r>
    </w:p>
    <w:p w14:paraId="212AC4B6" w14:textId="4BD1633C" w:rsidR="00B017D0" w:rsidRPr="00B017D0" w:rsidRDefault="00B017D0" w:rsidP="00B017D0">
      <w:pPr>
        <w:spacing w:after="200" w:line="276" w:lineRule="auto"/>
        <w:rPr>
          <w:rFonts w:eastAsia="Calibri" w:cstheme="minorHAnsi"/>
          <w:sz w:val="24"/>
          <w:szCs w:val="24"/>
        </w:rPr>
      </w:pPr>
      <w:r w:rsidRPr="00B017D0">
        <w:rPr>
          <w:rFonts w:eastAsia="Calibri" w:cstheme="minorHAnsi"/>
          <w:sz w:val="24"/>
          <w:szCs w:val="24"/>
        </w:rPr>
        <w:t xml:space="preserve">Within the school system, we see examples of callers to CISs who encountered resistance to accommodating students with disabilities.  This limits opportunities for these students to achieve the same outcomes as peers.  Under the Act any special treatment, facilities or accommodation that gives rise to more than ‘nominal cost’ does not have to be provided.  If the State funds most schools and provides grants or resources, such as Special Needs </w:t>
      </w:r>
      <w:r w:rsidRPr="00B017D0">
        <w:rPr>
          <w:rFonts w:eastAsia="Calibri" w:cstheme="minorHAnsi"/>
          <w:sz w:val="24"/>
          <w:szCs w:val="24"/>
        </w:rPr>
        <w:lastRenderedPageBreak/>
        <w:t>Assistants (SNAs), to enable reasonable accommodation then the ‘nominal cost’ exemption is redundant</w:t>
      </w:r>
      <w:r w:rsidRPr="00B017D0">
        <w:rPr>
          <w:rFonts w:eastAsia="Calibri" w:cstheme="minorHAnsi"/>
          <w:sz w:val="24"/>
          <w:szCs w:val="24"/>
          <w:vertAlign w:val="superscript"/>
        </w:rPr>
        <w:footnoteReference w:id="20"/>
      </w:r>
      <w:r w:rsidRPr="00B017D0">
        <w:rPr>
          <w:rFonts w:eastAsia="Calibri" w:cstheme="minorHAnsi"/>
          <w:sz w:val="24"/>
          <w:szCs w:val="24"/>
        </w:rPr>
        <w:t xml:space="preserve">.  </w:t>
      </w:r>
    </w:p>
    <w:p w14:paraId="7952F599" w14:textId="3B26BFDC" w:rsidR="00B017D0" w:rsidRDefault="00B017D0" w:rsidP="00B017D0">
      <w:pPr>
        <w:spacing w:after="200" w:line="276" w:lineRule="auto"/>
        <w:rPr>
          <w:rFonts w:eastAsia="Calibri" w:cstheme="minorHAnsi"/>
          <w:sz w:val="24"/>
          <w:szCs w:val="24"/>
        </w:rPr>
      </w:pPr>
      <w:r w:rsidRPr="007C3F73">
        <w:rPr>
          <w:rFonts w:eastAsia="Calibri" w:cstheme="minorHAnsi"/>
          <w:sz w:val="24"/>
          <w:szCs w:val="24"/>
        </w:rPr>
        <w:t>Under EU legislation</w:t>
      </w:r>
      <w:r w:rsidRPr="007C3F73">
        <w:rPr>
          <w:rFonts w:eastAsia="Calibri" w:cstheme="minorHAnsi"/>
          <w:sz w:val="24"/>
          <w:szCs w:val="24"/>
          <w:vertAlign w:val="superscript"/>
        </w:rPr>
        <w:footnoteReference w:id="21"/>
      </w:r>
      <w:r w:rsidRPr="007C3F73">
        <w:rPr>
          <w:rFonts w:eastAsia="Calibri" w:cstheme="minorHAnsi"/>
          <w:sz w:val="24"/>
          <w:szCs w:val="24"/>
        </w:rPr>
        <w:t xml:space="preserve">, employers are not obliged to provide reasonable accommodation if the cost of doing so is excessive or disproportionate.  Reasonable accommodation should be seen as a tool that supports recruitment, retention and advancement, and not a cost incurring measure, and the challenge here is who is the arbiter of what is excessive or disproportionate cost.   </w:t>
      </w:r>
    </w:p>
    <w:p w14:paraId="172B69A8" w14:textId="3D9ED132" w:rsidR="007C3F73" w:rsidRDefault="007C3F73" w:rsidP="007C3F73">
      <w:pPr>
        <w:rPr>
          <w:sz w:val="24"/>
          <w:szCs w:val="24"/>
        </w:rPr>
      </w:pPr>
      <w:r>
        <w:rPr>
          <w:sz w:val="24"/>
          <w:szCs w:val="24"/>
        </w:rPr>
        <w:t xml:space="preserve">The provisions relating to Reasonable Accommodation in general in the Acts need to be reviewed to more accurately reflect the principles of the UNCRPD. </w:t>
      </w:r>
    </w:p>
    <w:p w14:paraId="1EE5FEB7" w14:textId="01DAA4AD" w:rsidR="007C3F73" w:rsidRPr="007C3F73" w:rsidRDefault="007C3F73" w:rsidP="007C3F73">
      <w:pPr>
        <w:rPr>
          <w:sz w:val="24"/>
          <w:szCs w:val="24"/>
        </w:rPr>
      </w:pPr>
      <w:r w:rsidRPr="007C3F73">
        <w:rPr>
          <w:sz w:val="24"/>
          <w:szCs w:val="24"/>
        </w:rPr>
        <w:t>Section 14</w:t>
      </w:r>
      <w:r w:rsidR="00CB6B93">
        <w:rPr>
          <w:sz w:val="24"/>
          <w:szCs w:val="24"/>
        </w:rPr>
        <w:t xml:space="preserve"> of the Equal Status Acts exempts complaints in relation to discrimination where it is</w:t>
      </w:r>
      <w:r w:rsidRPr="007C3F73">
        <w:rPr>
          <w:sz w:val="24"/>
          <w:szCs w:val="24"/>
        </w:rPr>
        <w:t xml:space="preserve"> required by another Irish law or EU law </w:t>
      </w:r>
      <w:r w:rsidR="00CB6B93">
        <w:rPr>
          <w:sz w:val="24"/>
          <w:szCs w:val="24"/>
        </w:rPr>
        <w:t xml:space="preserve">and therefore </w:t>
      </w:r>
      <w:r w:rsidRPr="007C3F73">
        <w:rPr>
          <w:sz w:val="24"/>
          <w:szCs w:val="24"/>
        </w:rPr>
        <w:t>cannot be regarded as discrimination under the Acts</w:t>
      </w:r>
      <w:r w:rsidRPr="007C3F73">
        <w:rPr>
          <w:sz w:val="24"/>
          <w:szCs w:val="24"/>
          <w:vertAlign w:val="superscript"/>
        </w:rPr>
        <w:footnoteReference w:id="22"/>
      </w:r>
      <w:r w:rsidRPr="007C3F73">
        <w:rPr>
          <w:sz w:val="24"/>
          <w:szCs w:val="24"/>
        </w:rPr>
        <w:t xml:space="preserve">. </w:t>
      </w:r>
      <w:r w:rsidR="00CB6B93">
        <w:rPr>
          <w:sz w:val="24"/>
          <w:szCs w:val="24"/>
        </w:rPr>
        <w:t xml:space="preserve">This means that legislation that potentially discriminates on one of the nine grounds, falls outside the Equal Status Acts. </w:t>
      </w:r>
      <w:r w:rsidRPr="007C3F73">
        <w:rPr>
          <w:sz w:val="24"/>
          <w:szCs w:val="24"/>
        </w:rPr>
        <w:t>For example, it is not discrimination to refuse a social welfare payment to a person if that person is excluded from entitlement to the payment or benefit under social welfare law. While the Public Sector Duty exists and places an obligation on public bodies,</w:t>
      </w:r>
      <w:r w:rsidRPr="007C3F73">
        <w:t xml:space="preserve"> </w:t>
      </w:r>
      <w:r w:rsidRPr="007C3F73">
        <w:rPr>
          <w:sz w:val="24"/>
          <w:szCs w:val="24"/>
        </w:rPr>
        <w:t xml:space="preserve">to promote equality, prevent discrimination and protect the human rights of their employees, customers, service users and everyone affected by their policies and plans, it can be argued that it lacks sufficient enforcement potential.  This exemption therefore, should be examined as part of the review of Equality legislation. </w:t>
      </w:r>
    </w:p>
    <w:p w14:paraId="7EA4D6A7" w14:textId="32A7EEB1" w:rsidR="00B017D0" w:rsidRPr="007C3F73" w:rsidRDefault="00B017D0" w:rsidP="00B017D0">
      <w:pPr>
        <w:spacing w:after="200" w:line="276" w:lineRule="auto"/>
        <w:rPr>
          <w:rFonts w:eastAsia="Calibri" w:cstheme="minorHAnsi"/>
          <w:sz w:val="24"/>
          <w:szCs w:val="24"/>
        </w:rPr>
      </w:pPr>
      <w:r w:rsidRPr="007C3F73">
        <w:rPr>
          <w:rFonts w:eastAsia="Calibri" w:cstheme="minorHAnsi"/>
          <w:sz w:val="24"/>
          <w:szCs w:val="24"/>
        </w:rPr>
        <w:t>There are broad exemptions in respect of the powers of immigration authorities.  While part of the exempt provisions relate to illegal immigration, the rest exempt any actions that immigration authorities may take ‘</w:t>
      </w:r>
      <w:r w:rsidRPr="007C3F73">
        <w:rPr>
          <w:rFonts w:eastAsia="Calibri" w:cstheme="minorHAnsi"/>
          <w:i/>
          <w:sz w:val="24"/>
          <w:szCs w:val="24"/>
        </w:rPr>
        <w:t>in accordance with any provision or condition made by or under any enactment and arising from his or her entry to or residence in the State’.</w:t>
      </w:r>
      <w:r w:rsidRPr="007C3F73">
        <w:rPr>
          <w:rFonts w:eastAsia="Calibri" w:cstheme="minorHAnsi"/>
          <w:sz w:val="24"/>
          <w:szCs w:val="24"/>
        </w:rPr>
        <w:t xml:space="preserve"> This means that legal non-national residents or applicants for asylum are effectively excluded from protection under the Act arising from the actions or behaviour of immigration authorities. </w:t>
      </w:r>
    </w:p>
    <w:p w14:paraId="14CBD06A" w14:textId="6A1E8626" w:rsidR="00B017D0" w:rsidRPr="00B017D0" w:rsidRDefault="00B017D0" w:rsidP="00B017D0">
      <w:pPr>
        <w:spacing w:after="200" w:line="276" w:lineRule="auto"/>
        <w:rPr>
          <w:rFonts w:eastAsia="Calibri" w:cstheme="minorHAnsi"/>
          <w:sz w:val="24"/>
          <w:szCs w:val="24"/>
        </w:rPr>
      </w:pPr>
      <w:r w:rsidRPr="007C3F73">
        <w:rPr>
          <w:rFonts w:eastAsia="Calibri" w:cstheme="minorHAnsi"/>
          <w:sz w:val="24"/>
          <w:szCs w:val="24"/>
        </w:rPr>
        <w:t>An Garda Síoch</w:t>
      </w:r>
      <m:oMath>
        <m:r>
          <w:rPr>
            <w:rFonts w:ascii="Cambria Math" w:eastAsia="Calibri" w:hAnsi="Cambria Math" w:cstheme="minorHAnsi"/>
            <w:sz w:val="24"/>
            <w:szCs w:val="24"/>
          </w:rPr>
          <m:t>á</m:t>
        </m:r>
      </m:oMath>
      <w:r w:rsidRPr="00B017D0">
        <w:rPr>
          <w:rFonts w:eastAsia="Calibri" w:cstheme="minorHAnsi"/>
          <w:sz w:val="24"/>
          <w:szCs w:val="24"/>
        </w:rPr>
        <w:t xml:space="preserve">na are also excluded from the prohibition on discrimination and harassment. </w:t>
      </w:r>
      <w:r w:rsidR="007C3F73">
        <w:rPr>
          <w:rFonts w:eastAsia="Calibri" w:cstheme="minorHAnsi"/>
          <w:sz w:val="24"/>
          <w:szCs w:val="24"/>
        </w:rPr>
        <w:t xml:space="preserve"> </w:t>
      </w:r>
    </w:p>
    <w:p w14:paraId="6A071CD7" w14:textId="22196048" w:rsidR="00B017D0" w:rsidRDefault="00B017D0" w:rsidP="00B017D0">
      <w:pPr>
        <w:spacing w:after="200" w:line="276" w:lineRule="auto"/>
        <w:rPr>
          <w:rFonts w:eastAsia="Calibri" w:cstheme="minorHAnsi"/>
          <w:sz w:val="24"/>
          <w:szCs w:val="24"/>
        </w:rPr>
      </w:pPr>
      <w:r w:rsidRPr="00B017D0">
        <w:rPr>
          <w:rFonts w:eastAsia="Calibri" w:cstheme="minorHAnsi"/>
          <w:sz w:val="24"/>
          <w:szCs w:val="24"/>
        </w:rPr>
        <w:lastRenderedPageBreak/>
        <w:t xml:space="preserve">The provisions of the </w:t>
      </w:r>
      <w:r w:rsidRPr="00B017D0">
        <w:rPr>
          <w:rFonts w:eastAsia="Calibri" w:cstheme="minorHAnsi"/>
          <w:i/>
          <w:sz w:val="24"/>
          <w:szCs w:val="24"/>
        </w:rPr>
        <w:t>Assisted Decision-making (Capacity) Act</w:t>
      </w:r>
      <w:r w:rsidRPr="00B017D0">
        <w:rPr>
          <w:rFonts w:eastAsia="Calibri" w:cstheme="minorHAnsi"/>
          <w:sz w:val="24"/>
          <w:szCs w:val="24"/>
        </w:rPr>
        <w:t xml:space="preserve"> (ADM) </w:t>
      </w:r>
      <w:r w:rsidR="007C3F73">
        <w:rPr>
          <w:rFonts w:eastAsia="Calibri" w:cstheme="minorHAnsi"/>
          <w:sz w:val="24"/>
          <w:szCs w:val="24"/>
        </w:rPr>
        <w:t xml:space="preserve">2015 </w:t>
      </w:r>
      <w:r w:rsidRPr="00B017D0">
        <w:rPr>
          <w:rFonts w:eastAsia="Calibri" w:cstheme="minorHAnsi"/>
          <w:sz w:val="24"/>
          <w:szCs w:val="24"/>
        </w:rPr>
        <w:t>may overtake the exemption based on incapacity to enter a legal contract or to give informed consent.  It is therefore essential that all of the provisions of ADM are commenced</w:t>
      </w:r>
      <w:r w:rsidR="00E77024">
        <w:rPr>
          <w:rFonts w:eastAsia="Calibri" w:cstheme="minorHAnsi"/>
          <w:sz w:val="24"/>
          <w:szCs w:val="24"/>
        </w:rPr>
        <w:t xml:space="preserve"> and that its principles and provisions are reflected in any reform of equality legislation</w:t>
      </w:r>
      <w:r w:rsidR="00FE7F21">
        <w:rPr>
          <w:rFonts w:eastAsia="Calibri" w:cstheme="minorHAnsi"/>
          <w:sz w:val="24"/>
          <w:szCs w:val="24"/>
        </w:rPr>
        <w:t>.</w:t>
      </w:r>
      <w:r w:rsidR="00E77024">
        <w:rPr>
          <w:rFonts w:eastAsia="Calibri" w:cstheme="minorHAnsi"/>
          <w:sz w:val="24"/>
          <w:szCs w:val="24"/>
        </w:rPr>
        <w:t xml:space="preserve"> </w:t>
      </w:r>
      <w:r w:rsidRPr="00B017D0">
        <w:rPr>
          <w:rFonts w:eastAsia="Calibri" w:cstheme="minorHAnsi"/>
          <w:sz w:val="24"/>
          <w:szCs w:val="24"/>
        </w:rPr>
        <w:t xml:space="preserve"> </w:t>
      </w:r>
    </w:p>
    <w:p w14:paraId="5886DB73" w14:textId="6D7C55DD" w:rsidR="009F5F3C" w:rsidRPr="00B017D0" w:rsidRDefault="009F5F3C" w:rsidP="00B017D0">
      <w:pPr>
        <w:spacing w:after="200" w:line="276" w:lineRule="auto"/>
        <w:rPr>
          <w:rFonts w:eastAsia="Calibri" w:cstheme="minorHAnsi"/>
          <w:sz w:val="24"/>
          <w:szCs w:val="24"/>
        </w:rPr>
      </w:pPr>
      <w:r>
        <w:rPr>
          <w:rFonts w:eastAsia="Calibri" w:cstheme="minorHAnsi"/>
          <w:sz w:val="24"/>
          <w:szCs w:val="24"/>
        </w:rPr>
        <w:t xml:space="preserve">Under the Employment legislation, </w:t>
      </w:r>
      <w:r w:rsidRPr="009F5F3C">
        <w:rPr>
          <w:rFonts w:eastAsia="Calibri" w:cstheme="minorHAnsi"/>
          <w:sz w:val="24"/>
          <w:szCs w:val="24"/>
        </w:rPr>
        <w:t>employers are allowed to offer different pay rates to workers if their disability means that they cannot do the same amount of work in the same time as a co-worker without a disability.</w:t>
      </w:r>
      <w:r>
        <w:rPr>
          <w:rFonts w:eastAsia="Calibri" w:cstheme="minorHAnsi"/>
          <w:sz w:val="24"/>
          <w:szCs w:val="24"/>
        </w:rPr>
        <w:t xml:space="preserve"> This exemption also needs </w:t>
      </w:r>
      <w:r w:rsidR="004267CA">
        <w:rPr>
          <w:rFonts w:eastAsia="Calibri" w:cstheme="minorHAnsi"/>
          <w:sz w:val="24"/>
          <w:szCs w:val="24"/>
        </w:rPr>
        <w:t xml:space="preserve">review. </w:t>
      </w:r>
      <w:r>
        <w:rPr>
          <w:rFonts w:eastAsia="Calibri" w:cstheme="minorHAnsi"/>
          <w:sz w:val="24"/>
          <w:szCs w:val="24"/>
        </w:rPr>
        <w:t xml:space="preserve"> </w:t>
      </w:r>
    </w:p>
    <w:p w14:paraId="029F1639" w14:textId="77777777" w:rsidR="00485769" w:rsidRDefault="00485769" w:rsidP="00527A80">
      <w:pPr>
        <w:pStyle w:val="Heading1"/>
      </w:pPr>
    </w:p>
    <w:p w14:paraId="7038BC54" w14:textId="7BFF0CE8" w:rsidR="00136123" w:rsidRPr="001A44C2" w:rsidRDefault="00136123" w:rsidP="00527A80">
      <w:pPr>
        <w:pStyle w:val="Heading1"/>
      </w:pPr>
      <w:r w:rsidRPr="001A44C2">
        <w:t>Overview</w:t>
      </w:r>
      <w:r w:rsidR="005C6D66">
        <w:t>/Recommendations</w:t>
      </w:r>
      <w:r w:rsidR="00D378C9" w:rsidRPr="001A44C2">
        <w:br/>
      </w:r>
    </w:p>
    <w:p w14:paraId="26485931" w14:textId="77777777" w:rsidR="00C82751" w:rsidRPr="001A44C2" w:rsidRDefault="00136123" w:rsidP="003C54D4">
      <w:pPr>
        <w:pStyle w:val="ListParagraph"/>
        <w:numPr>
          <w:ilvl w:val="0"/>
          <w:numId w:val="8"/>
        </w:numPr>
        <w:rPr>
          <w:sz w:val="24"/>
          <w:szCs w:val="24"/>
        </w:rPr>
      </w:pPr>
      <w:r w:rsidRPr="001A44C2">
        <w:rPr>
          <w:sz w:val="24"/>
          <w:szCs w:val="24"/>
        </w:rPr>
        <w:t>CIB recognises the crucially important role that equality legislation plays in protecting disadvantaged and often marginalised and excluded members of society.</w:t>
      </w:r>
      <w:r w:rsidR="00C82751" w:rsidRPr="001A44C2">
        <w:rPr>
          <w:sz w:val="24"/>
          <w:szCs w:val="24"/>
        </w:rPr>
        <w:br/>
      </w:r>
    </w:p>
    <w:p w14:paraId="0A843628" w14:textId="6B8ECC55" w:rsidR="00C82751" w:rsidRPr="001A44C2" w:rsidRDefault="00C82751" w:rsidP="006B2A6D">
      <w:pPr>
        <w:pStyle w:val="ListParagraph"/>
        <w:numPr>
          <w:ilvl w:val="0"/>
          <w:numId w:val="8"/>
        </w:numPr>
        <w:spacing w:line="256" w:lineRule="auto"/>
        <w:rPr>
          <w:sz w:val="24"/>
          <w:szCs w:val="24"/>
        </w:rPr>
      </w:pPr>
      <w:r w:rsidRPr="001A44C2">
        <w:rPr>
          <w:sz w:val="24"/>
          <w:szCs w:val="24"/>
        </w:rPr>
        <w:t xml:space="preserve">CIB is of the view that changes </w:t>
      </w:r>
      <w:r w:rsidR="00485769">
        <w:rPr>
          <w:sz w:val="24"/>
          <w:szCs w:val="24"/>
        </w:rPr>
        <w:t xml:space="preserve">are needed particularly in relation to </w:t>
      </w:r>
      <w:r w:rsidRPr="001A44C2">
        <w:rPr>
          <w:sz w:val="24"/>
          <w:szCs w:val="24"/>
        </w:rPr>
        <w:t>the policies, processes and procedures involved in the application and implementation of the law</w:t>
      </w:r>
      <w:r w:rsidR="00485769">
        <w:rPr>
          <w:sz w:val="24"/>
          <w:szCs w:val="24"/>
        </w:rPr>
        <w:t>, as well as in the legislation itself</w:t>
      </w:r>
      <w:r w:rsidRPr="001A44C2">
        <w:rPr>
          <w:sz w:val="24"/>
          <w:szCs w:val="24"/>
        </w:rPr>
        <w:t>.</w:t>
      </w:r>
      <w:r w:rsidRPr="001A44C2">
        <w:rPr>
          <w:sz w:val="24"/>
          <w:szCs w:val="24"/>
        </w:rPr>
        <w:br/>
      </w:r>
    </w:p>
    <w:p w14:paraId="47A3D4FF" w14:textId="29C993C4" w:rsidR="00C82751" w:rsidRPr="001A44C2" w:rsidRDefault="00C82751" w:rsidP="00C82751">
      <w:pPr>
        <w:pStyle w:val="ListParagraph"/>
        <w:numPr>
          <w:ilvl w:val="0"/>
          <w:numId w:val="8"/>
        </w:numPr>
        <w:spacing w:after="0" w:line="240" w:lineRule="auto"/>
        <w:rPr>
          <w:rFonts w:ascii="Times New Roman" w:hAnsi="Times New Roman" w:cs="Times New Roman"/>
          <w:sz w:val="24"/>
          <w:szCs w:val="24"/>
          <w:lang w:eastAsia="en-IE"/>
        </w:rPr>
      </w:pPr>
      <w:r w:rsidRPr="001A44C2">
        <w:rPr>
          <w:sz w:val="24"/>
          <w:szCs w:val="24"/>
        </w:rPr>
        <w:t>CIB sees merit in the inclusion of a new ground dealing with socio-economic status</w:t>
      </w:r>
      <w:r w:rsidR="00F8002C" w:rsidRPr="001A44C2">
        <w:rPr>
          <w:sz w:val="24"/>
          <w:szCs w:val="24"/>
        </w:rPr>
        <w:t>.</w:t>
      </w:r>
      <w:r w:rsidRPr="001A44C2">
        <w:rPr>
          <w:sz w:val="24"/>
          <w:szCs w:val="24"/>
        </w:rPr>
        <w:t xml:space="preserve"> </w:t>
      </w:r>
    </w:p>
    <w:p w14:paraId="4B9DD455" w14:textId="2D83331F" w:rsidR="00136123" w:rsidRPr="001A44C2" w:rsidRDefault="00136123" w:rsidP="00C82751">
      <w:pPr>
        <w:pStyle w:val="ListParagraph"/>
        <w:spacing w:line="256" w:lineRule="auto"/>
        <w:rPr>
          <w:sz w:val="24"/>
          <w:szCs w:val="24"/>
        </w:rPr>
      </w:pPr>
    </w:p>
    <w:p w14:paraId="1C14AC28" w14:textId="4F5AFDAE" w:rsidR="00136123" w:rsidRPr="001A44C2" w:rsidRDefault="00136123" w:rsidP="003C54D4">
      <w:pPr>
        <w:pStyle w:val="ListParagraph"/>
        <w:numPr>
          <w:ilvl w:val="0"/>
          <w:numId w:val="8"/>
        </w:numPr>
        <w:rPr>
          <w:sz w:val="24"/>
          <w:szCs w:val="24"/>
        </w:rPr>
      </w:pPr>
      <w:r w:rsidRPr="001A44C2">
        <w:rPr>
          <w:sz w:val="24"/>
          <w:szCs w:val="24"/>
        </w:rPr>
        <w:t>CIB wishes to point to the complexity of existing implementation mechanisms and the difficulties and deterrents that people face in seeking redress.</w:t>
      </w:r>
      <w:r w:rsidR="003C54D4" w:rsidRPr="001A44C2">
        <w:rPr>
          <w:sz w:val="24"/>
          <w:szCs w:val="24"/>
        </w:rPr>
        <w:br/>
      </w:r>
    </w:p>
    <w:p w14:paraId="72A77CEE" w14:textId="60B1AFF9" w:rsidR="006927D9" w:rsidRDefault="00136123" w:rsidP="003C54D4">
      <w:pPr>
        <w:pStyle w:val="ListParagraph"/>
        <w:numPr>
          <w:ilvl w:val="0"/>
          <w:numId w:val="8"/>
        </w:numPr>
        <w:rPr>
          <w:sz w:val="24"/>
          <w:szCs w:val="24"/>
        </w:rPr>
      </w:pPr>
      <w:r w:rsidRPr="001A44C2">
        <w:rPr>
          <w:sz w:val="24"/>
          <w:szCs w:val="24"/>
        </w:rPr>
        <w:t>It is clear that there is a significant gap in the knowledge that individuals possess regarding their rights. There is a clear need to address this deficit in an effective manner.</w:t>
      </w:r>
      <w:r w:rsidR="005C6D66">
        <w:rPr>
          <w:sz w:val="24"/>
          <w:szCs w:val="24"/>
        </w:rPr>
        <w:t xml:space="preserve"> </w:t>
      </w:r>
      <w:r w:rsidR="00485769">
        <w:rPr>
          <w:sz w:val="24"/>
          <w:szCs w:val="24"/>
        </w:rPr>
        <w:t>In particular, there is a</w:t>
      </w:r>
      <w:r w:rsidR="00527A80">
        <w:rPr>
          <w:sz w:val="24"/>
          <w:szCs w:val="24"/>
        </w:rPr>
        <w:t xml:space="preserve"> need to strengthen the</w:t>
      </w:r>
      <w:r w:rsidR="00485769">
        <w:rPr>
          <w:sz w:val="24"/>
          <w:szCs w:val="24"/>
        </w:rPr>
        <w:t xml:space="preserve"> role for Citizens Information Services in the provision of targeted information on equality and rights, in collaboration with IHREC. </w:t>
      </w:r>
    </w:p>
    <w:p w14:paraId="15A33676" w14:textId="77777777" w:rsidR="000E5684" w:rsidRDefault="000E5684" w:rsidP="00527A80">
      <w:pPr>
        <w:pStyle w:val="ListParagraph"/>
        <w:rPr>
          <w:sz w:val="24"/>
          <w:szCs w:val="24"/>
        </w:rPr>
      </w:pPr>
    </w:p>
    <w:p w14:paraId="3BC38818" w14:textId="2F098116" w:rsidR="00C82751" w:rsidRPr="001A44C2" w:rsidRDefault="006927D9" w:rsidP="003C54D4">
      <w:pPr>
        <w:pStyle w:val="ListParagraph"/>
        <w:numPr>
          <w:ilvl w:val="0"/>
          <w:numId w:val="8"/>
        </w:numPr>
        <w:rPr>
          <w:sz w:val="24"/>
          <w:szCs w:val="24"/>
        </w:rPr>
      </w:pPr>
      <w:r>
        <w:rPr>
          <w:sz w:val="24"/>
          <w:szCs w:val="24"/>
        </w:rPr>
        <w:t>Provide further resourcing to the WRC to assist with increasing awareness of their service</w:t>
      </w:r>
      <w:r w:rsidR="009F5F3C">
        <w:rPr>
          <w:sz w:val="24"/>
          <w:szCs w:val="24"/>
        </w:rPr>
        <w:t xml:space="preserve"> in the context of their</w:t>
      </w:r>
      <w:r>
        <w:rPr>
          <w:sz w:val="24"/>
          <w:szCs w:val="24"/>
        </w:rPr>
        <w:t xml:space="preserve"> role </w:t>
      </w:r>
      <w:r w:rsidR="009F5F3C">
        <w:rPr>
          <w:sz w:val="24"/>
          <w:szCs w:val="24"/>
        </w:rPr>
        <w:t>in</w:t>
      </w:r>
      <w:r>
        <w:rPr>
          <w:sz w:val="24"/>
          <w:szCs w:val="24"/>
        </w:rPr>
        <w:t xml:space="preserve"> provid</w:t>
      </w:r>
      <w:r w:rsidR="009F5F3C">
        <w:rPr>
          <w:sz w:val="24"/>
          <w:szCs w:val="24"/>
        </w:rPr>
        <w:t xml:space="preserve">ing </w:t>
      </w:r>
      <w:r>
        <w:rPr>
          <w:sz w:val="24"/>
          <w:szCs w:val="24"/>
        </w:rPr>
        <w:t>accessible information</w:t>
      </w:r>
      <w:r w:rsidR="009F5F3C">
        <w:rPr>
          <w:sz w:val="24"/>
          <w:szCs w:val="24"/>
        </w:rPr>
        <w:t xml:space="preserve"> </w:t>
      </w:r>
      <w:r w:rsidR="00D16CBD">
        <w:rPr>
          <w:sz w:val="24"/>
          <w:szCs w:val="24"/>
        </w:rPr>
        <w:t>i</w:t>
      </w:r>
      <w:r w:rsidR="009F5F3C">
        <w:rPr>
          <w:sz w:val="24"/>
          <w:szCs w:val="24"/>
        </w:rPr>
        <w:t>n line with the public sector duty</w:t>
      </w:r>
      <w:r w:rsidR="00E77024">
        <w:rPr>
          <w:sz w:val="24"/>
          <w:szCs w:val="24"/>
        </w:rPr>
        <w:t xml:space="preserve"> as well as strengthening their enforcement role</w:t>
      </w:r>
      <w:r w:rsidR="00E73FCE">
        <w:rPr>
          <w:sz w:val="24"/>
          <w:szCs w:val="24"/>
        </w:rPr>
        <w:t>.</w:t>
      </w:r>
      <w:r w:rsidR="00C82751" w:rsidRPr="001A44C2">
        <w:rPr>
          <w:sz w:val="24"/>
          <w:szCs w:val="24"/>
        </w:rPr>
        <w:br/>
      </w:r>
    </w:p>
    <w:p w14:paraId="601D43BC" w14:textId="1163F3EE" w:rsidR="00136123" w:rsidRPr="001A44C2" w:rsidRDefault="00C82751" w:rsidP="00FF52B4">
      <w:pPr>
        <w:pStyle w:val="ListParagraph"/>
        <w:numPr>
          <w:ilvl w:val="0"/>
          <w:numId w:val="8"/>
        </w:numPr>
        <w:spacing w:line="256" w:lineRule="auto"/>
        <w:rPr>
          <w:sz w:val="24"/>
          <w:szCs w:val="24"/>
        </w:rPr>
      </w:pPr>
      <w:r w:rsidRPr="001A44C2">
        <w:rPr>
          <w:sz w:val="24"/>
          <w:szCs w:val="24"/>
        </w:rPr>
        <w:t xml:space="preserve">In many instances, people experience discrimination on </w:t>
      </w:r>
      <w:r w:rsidR="005C6D66">
        <w:rPr>
          <w:sz w:val="24"/>
          <w:szCs w:val="24"/>
        </w:rPr>
        <w:t xml:space="preserve">a combination of </w:t>
      </w:r>
      <w:r w:rsidRPr="001A44C2">
        <w:rPr>
          <w:sz w:val="24"/>
          <w:szCs w:val="24"/>
        </w:rPr>
        <w:t xml:space="preserve">grounds – there is a need for </w:t>
      </w:r>
      <w:r w:rsidR="005C6D66">
        <w:rPr>
          <w:sz w:val="24"/>
          <w:szCs w:val="24"/>
        </w:rPr>
        <w:t xml:space="preserve">recognition of this in the legislation as well as </w:t>
      </w:r>
      <w:r w:rsidRPr="001A44C2">
        <w:rPr>
          <w:sz w:val="24"/>
          <w:szCs w:val="24"/>
        </w:rPr>
        <w:t xml:space="preserve">stronger and more integrated </w:t>
      </w:r>
      <w:r w:rsidR="00D37142" w:rsidRPr="001A44C2">
        <w:rPr>
          <w:sz w:val="24"/>
          <w:szCs w:val="24"/>
        </w:rPr>
        <w:t xml:space="preserve">enforcement structures </w:t>
      </w:r>
      <w:r w:rsidRPr="001A44C2">
        <w:rPr>
          <w:sz w:val="24"/>
          <w:szCs w:val="24"/>
        </w:rPr>
        <w:t xml:space="preserve">if such </w:t>
      </w:r>
      <w:r w:rsidR="00D37142" w:rsidRPr="001A44C2">
        <w:rPr>
          <w:sz w:val="24"/>
          <w:szCs w:val="24"/>
        </w:rPr>
        <w:t>discrimination is to be avoided</w:t>
      </w:r>
      <w:r w:rsidRPr="001A44C2">
        <w:rPr>
          <w:sz w:val="24"/>
          <w:szCs w:val="24"/>
        </w:rPr>
        <w:t>.</w:t>
      </w:r>
      <w:r w:rsidRPr="001A44C2">
        <w:rPr>
          <w:sz w:val="24"/>
          <w:szCs w:val="24"/>
        </w:rPr>
        <w:br/>
      </w:r>
    </w:p>
    <w:p w14:paraId="5DBC6EE4" w14:textId="120ED560" w:rsidR="00136123" w:rsidRPr="001A44C2" w:rsidRDefault="00136123" w:rsidP="003C54D4">
      <w:pPr>
        <w:pStyle w:val="ListParagraph"/>
        <w:numPr>
          <w:ilvl w:val="0"/>
          <w:numId w:val="8"/>
        </w:numPr>
        <w:rPr>
          <w:sz w:val="24"/>
          <w:szCs w:val="24"/>
        </w:rPr>
      </w:pPr>
      <w:r w:rsidRPr="001A44C2">
        <w:rPr>
          <w:sz w:val="24"/>
          <w:szCs w:val="24"/>
        </w:rPr>
        <w:t xml:space="preserve">CIB sees </w:t>
      </w:r>
      <w:r w:rsidR="00E77024">
        <w:rPr>
          <w:sz w:val="24"/>
          <w:szCs w:val="24"/>
        </w:rPr>
        <w:t xml:space="preserve">some </w:t>
      </w:r>
      <w:r w:rsidRPr="001A44C2">
        <w:rPr>
          <w:sz w:val="24"/>
          <w:szCs w:val="24"/>
        </w:rPr>
        <w:t>value in enabling a wide</w:t>
      </w:r>
      <w:r w:rsidR="00E77024">
        <w:rPr>
          <w:sz w:val="24"/>
          <w:szCs w:val="24"/>
        </w:rPr>
        <w:t>r</w:t>
      </w:r>
      <w:r w:rsidR="00527A80">
        <w:rPr>
          <w:sz w:val="24"/>
          <w:szCs w:val="24"/>
        </w:rPr>
        <w:t xml:space="preserve"> </w:t>
      </w:r>
      <w:r w:rsidRPr="001A44C2">
        <w:rPr>
          <w:sz w:val="24"/>
          <w:szCs w:val="24"/>
        </w:rPr>
        <w:t>application of definitions of discrimination based on core values rather th</w:t>
      </w:r>
      <w:r w:rsidR="007529DF" w:rsidRPr="001A44C2">
        <w:rPr>
          <w:sz w:val="24"/>
          <w:szCs w:val="24"/>
        </w:rPr>
        <w:t>an concentrating on</w:t>
      </w:r>
      <w:r w:rsidRPr="001A44C2">
        <w:rPr>
          <w:sz w:val="24"/>
          <w:szCs w:val="24"/>
        </w:rPr>
        <w:t xml:space="preserve"> unduly technical definitions around each of the grounds.</w:t>
      </w:r>
      <w:r w:rsidR="003C54D4" w:rsidRPr="001A44C2">
        <w:rPr>
          <w:sz w:val="24"/>
          <w:szCs w:val="24"/>
        </w:rPr>
        <w:br/>
      </w:r>
    </w:p>
    <w:p w14:paraId="20F71ABD" w14:textId="10B6C8F0" w:rsidR="00136123" w:rsidRPr="001A44C2" w:rsidRDefault="00136123" w:rsidP="003C54D4">
      <w:pPr>
        <w:pStyle w:val="ListParagraph"/>
        <w:numPr>
          <w:ilvl w:val="0"/>
          <w:numId w:val="8"/>
        </w:numPr>
        <w:rPr>
          <w:sz w:val="24"/>
          <w:szCs w:val="24"/>
        </w:rPr>
      </w:pPr>
      <w:r w:rsidRPr="001A44C2">
        <w:rPr>
          <w:sz w:val="24"/>
          <w:szCs w:val="24"/>
        </w:rPr>
        <w:lastRenderedPageBreak/>
        <w:t>There is a need to ensure that the language and te</w:t>
      </w:r>
      <w:r w:rsidR="00F8002C" w:rsidRPr="001A44C2">
        <w:rPr>
          <w:sz w:val="24"/>
          <w:szCs w:val="24"/>
        </w:rPr>
        <w:t>rminology used in legislation</w:t>
      </w:r>
      <w:r w:rsidRPr="001A44C2">
        <w:rPr>
          <w:sz w:val="24"/>
          <w:szCs w:val="24"/>
        </w:rPr>
        <w:t xml:space="preserve"> with regard to disability, reflect and reinforce a positive, </w:t>
      </w:r>
      <w:r w:rsidR="00F8002C" w:rsidRPr="001A44C2">
        <w:rPr>
          <w:sz w:val="24"/>
          <w:szCs w:val="24"/>
        </w:rPr>
        <w:t xml:space="preserve">rights-based </w:t>
      </w:r>
      <w:r w:rsidRPr="001A44C2">
        <w:rPr>
          <w:sz w:val="24"/>
          <w:szCs w:val="24"/>
        </w:rPr>
        <w:t>social</w:t>
      </w:r>
      <w:r w:rsidR="00F8002C" w:rsidRPr="001A44C2">
        <w:rPr>
          <w:sz w:val="24"/>
          <w:szCs w:val="24"/>
        </w:rPr>
        <w:t xml:space="preserve"> </w:t>
      </w:r>
      <w:r w:rsidRPr="001A44C2">
        <w:rPr>
          <w:sz w:val="24"/>
          <w:szCs w:val="24"/>
        </w:rPr>
        <w:t>model rather than medical-model approaches and values.</w:t>
      </w:r>
      <w:r w:rsidR="003C54D4" w:rsidRPr="001A44C2">
        <w:rPr>
          <w:sz w:val="24"/>
          <w:szCs w:val="24"/>
        </w:rPr>
        <w:br/>
      </w:r>
    </w:p>
    <w:p w14:paraId="115CCFBA" w14:textId="1B7D3779" w:rsidR="00136123" w:rsidRPr="001A44C2" w:rsidRDefault="00136123" w:rsidP="0084756E">
      <w:pPr>
        <w:pStyle w:val="ListParagraph"/>
        <w:numPr>
          <w:ilvl w:val="0"/>
          <w:numId w:val="8"/>
        </w:numPr>
        <w:rPr>
          <w:color w:val="002060"/>
          <w:sz w:val="24"/>
          <w:szCs w:val="24"/>
        </w:rPr>
      </w:pPr>
      <w:r w:rsidRPr="001A44C2">
        <w:rPr>
          <w:sz w:val="24"/>
          <w:szCs w:val="24"/>
        </w:rPr>
        <w:t>Consideration should be given to the extent to which equality legislation reinforces and complements safeguarding legislation</w:t>
      </w:r>
      <w:r w:rsidR="00C82751" w:rsidRPr="001A44C2">
        <w:rPr>
          <w:sz w:val="24"/>
          <w:szCs w:val="24"/>
        </w:rPr>
        <w:t xml:space="preserve"> (when introduced)</w:t>
      </w:r>
      <w:r w:rsidRPr="001A44C2">
        <w:rPr>
          <w:sz w:val="24"/>
          <w:szCs w:val="24"/>
        </w:rPr>
        <w:t xml:space="preserve">, particularly with regards to </w:t>
      </w:r>
      <w:r w:rsidR="00C82751" w:rsidRPr="001A44C2">
        <w:rPr>
          <w:sz w:val="24"/>
          <w:szCs w:val="24"/>
        </w:rPr>
        <w:t>people whose decision-making capacity is in question</w:t>
      </w:r>
      <w:r w:rsidRPr="001A44C2">
        <w:rPr>
          <w:sz w:val="24"/>
          <w:szCs w:val="24"/>
        </w:rPr>
        <w:t>.</w:t>
      </w:r>
      <w:r w:rsidR="00C82751" w:rsidRPr="001A44C2">
        <w:rPr>
          <w:sz w:val="24"/>
          <w:szCs w:val="24"/>
        </w:rPr>
        <w:br/>
      </w:r>
    </w:p>
    <w:p w14:paraId="07701DA0" w14:textId="4332CCD2" w:rsidR="008914BA" w:rsidRPr="008914BA" w:rsidRDefault="00136123" w:rsidP="00D16CBD">
      <w:pPr>
        <w:pStyle w:val="ListParagraph"/>
        <w:numPr>
          <w:ilvl w:val="0"/>
          <w:numId w:val="8"/>
        </w:numPr>
        <w:rPr>
          <w:rFonts w:cstheme="minorHAnsi"/>
          <w:sz w:val="24"/>
          <w:szCs w:val="24"/>
        </w:rPr>
      </w:pPr>
      <w:r w:rsidRPr="001A44C2">
        <w:rPr>
          <w:sz w:val="24"/>
          <w:szCs w:val="24"/>
        </w:rPr>
        <w:t>The Assisted Decision-making (Capacity) Act 2015, once commenced, will have major implications for how people with reduced decision-making capacity are to be supported in asserting their rights under equality legislation.</w:t>
      </w:r>
    </w:p>
    <w:p w14:paraId="7B112AE2" w14:textId="77777777" w:rsidR="008914BA" w:rsidRPr="008914BA" w:rsidRDefault="008914BA" w:rsidP="00527A80">
      <w:pPr>
        <w:pStyle w:val="ListParagraph"/>
        <w:rPr>
          <w:rFonts w:cstheme="minorHAnsi"/>
          <w:sz w:val="24"/>
          <w:szCs w:val="24"/>
        </w:rPr>
      </w:pPr>
    </w:p>
    <w:p w14:paraId="15BF3CC6" w14:textId="2F87457E" w:rsidR="00136123" w:rsidRPr="001A44C2" w:rsidRDefault="008914BA" w:rsidP="008914BA">
      <w:pPr>
        <w:pStyle w:val="ListParagraph"/>
        <w:numPr>
          <w:ilvl w:val="0"/>
          <w:numId w:val="8"/>
        </w:numPr>
        <w:rPr>
          <w:rFonts w:cstheme="minorHAnsi"/>
          <w:sz w:val="24"/>
          <w:szCs w:val="24"/>
        </w:rPr>
      </w:pPr>
      <w:r w:rsidRPr="008914BA">
        <w:rPr>
          <w:sz w:val="24"/>
          <w:szCs w:val="24"/>
        </w:rPr>
        <w:t>While there is international and national legislation prohibiting discrimination relating to housing, CIB believes that there would be much merit in enshrining the right to adequate housing in the Irish Constitution—this would strengthen significantly equality legislation as it applies to access to housing.</w:t>
      </w:r>
      <w:r w:rsidR="003C54D4" w:rsidRPr="001A44C2">
        <w:rPr>
          <w:sz w:val="24"/>
          <w:szCs w:val="24"/>
        </w:rPr>
        <w:br/>
      </w:r>
      <w:r w:rsidR="00136123" w:rsidRPr="001A44C2">
        <w:rPr>
          <w:rFonts w:cstheme="minorHAnsi"/>
          <w:sz w:val="24"/>
          <w:szCs w:val="24"/>
        </w:rPr>
        <w:t xml:space="preserve"> </w:t>
      </w:r>
    </w:p>
    <w:p w14:paraId="24694064" w14:textId="4A363520" w:rsidR="00375E45" w:rsidRPr="001A44C2" w:rsidRDefault="00D37142" w:rsidP="00375E45">
      <w:pPr>
        <w:rPr>
          <w:sz w:val="24"/>
          <w:szCs w:val="24"/>
        </w:rPr>
      </w:pPr>
      <w:r w:rsidRPr="001A44C2">
        <w:rPr>
          <w:sz w:val="24"/>
          <w:szCs w:val="24"/>
        </w:rPr>
        <w:t>T</w:t>
      </w:r>
      <w:r w:rsidR="00375E45" w:rsidRPr="001A44C2">
        <w:rPr>
          <w:sz w:val="24"/>
          <w:szCs w:val="24"/>
        </w:rPr>
        <w:t>he experience of CI</w:t>
      </w:r>
      <w:r w:rsidR="00174B1A" w:rsidRPr="001A44C2">
        <w:rPr>
          <w:sz w:val="24"/>
          <w:szCs w:val="24"/>
        </w:rPr>
        <w:t xml:space="preserve">B services points </w:t>
      </w:r>
      <w:r w:rsidR="00375E45" w:rsidRPr="001A44C2">
        <w:rPr>
          <w:sz w:val="24"/>
          <w:szCs w:val="24"/>
        </w:rPr>
        <w:t xml:space="preserve">strongly to the difficulties involved in implementing the equality legislation </w:t>
      </w:r>
      <w:r w:rsidR="008914BA">
        <w:rPr>
          <w:sz w:val="24"/>
          <w:szCs w:val="24"/>
        </w:rPr>
        <w:t>as well as to</w:t>
      </w:r>
      <w:r w:rsidR="00375E45" w:rsidRPr="001A44C2">
        <w:rPr>
          <w:sz w:val="24"/>
          <w:szCs w:val="24"/>
        </w:rPr>
        <w:t xml:space="preserve"> flaws in the legislation itself. While people’s rights may be protected by legislation, those rights are often not recognised, enforced or pursued.</w:t>
      </w:r>
      <w:r w:rsidRPr="001A44C2">
        <w:rPr>
          <w:sz w:val="24"/>
          <w:szCs w:val="24"/>
        </w:rPr>
        <w:t xml:space="preserve"> There is a need, therefore, for a re-examination of the processes and procedures involved in seeking redress if individuals are to be enabled to pursue justice as intended in the legislation. While some changes </w:t>
      </w:r>
      <w:r w:rsidR="008914BA">
        <w:rPr>
          <w:sz w:val="24"/>
          <w:szCs w:val="24"/>
        </w:rPr>
        <w:t>are</w:t>
      </w:r>
      <w:r w:rsidRPr="001A44C2">
        <w:rPr>
          <w:sz w:val="24"/>
          <w:szCs w:val="24"/>
        </w:rPr>
        <w:t xml:space="preserve"> needed in the law, it is equally (if not more important) that the implementation of existing equality legislation be reviewed and restructured where necessary. </w:t>
      </w:r>
    </w:p>
    <w:p w14:paraId="648B3059" w14:textId="50F95A03" w:rsidR="00136123" w:rsidRPr="001A44C2" w:rsidRDefault="00136123" w:rsidP="00136123">
      <w:pPr>
        <w:rPr>
          <w:sz w:val="24"/>
          <w:szCs w:val="24"/>
        </w:rPr>
      </w:pPr>
    </w:p>
    <w:sectPr w:rsidR="00136123" w:rsidRPr="001A44C2">
      <w:headerReference w:type="even" r:id="rId14"/>
      <w:headerReference w:type="default" r:id="rId15"/>
      <w:head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C02C8" w14:textId="77777777" w:rsidR="009E5102" w:rsidRDefault="009E5102" w:rsidP="008274A6">
      <w:pPr>
        <w:spacing w:after="0" w:line="240" w:lineRule="auto"/>
      </w:pPr>
      <w:r>
        <w:separator/>
      </w:r>
    </w:p>
  </w:endnote>
  <w:endnote w:type="continuationSeparator" w:id="0">
    <w:p w14:paraId="4A5BA533" w14:textId="77777777" w:rsidR="009E5102" w:rsidRDefault="009E5102" w:rsidP="00827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MERT Y+ Bliss">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0A89D" w14:textId="77777777" w:rsidR="009E5102" w:rsidRDefault="009E5102" w:rsidP="008274A6">
      <w:pPr>
        <w:spacing w:after="0" w:line="240" w:lineRule="auto"/>
      </w:pPr>
      <w:r>
        <w:separator/>
      </w:r>
    </w:p>
  </w:footnote>
  <w:footnote w:type="continuationSeparator" w:id="0">
    <w:p w14:paraId="33687F49" w14:textId="77777777" w:rsidR="009E5102" w:rsidRDefault="009E5102" w:rsidP="008274A6">
      <w:pPr>
        <w:spacing w:after="0" w:line="240" w:lineRule="auto"/>
      </w:pPr>
      <w:r>
        <w:continuationSeparator/>
      </w:r>
    </w:p>
  </w:footnote>
  <w:footnote w:id="1">
    <w:p w14:paraId="5DB7D3BC" w14:textId="21693E3B" w:rsidR="008A3498" w:rsidRDefault="008A3498" w:rsidP="00521CBC">
      <w:pPr>
        <w:pStyle w:val="Heading2"/>
        <w:shd w:val="clear" w:color="auto" w:fill="FFFFFF"/>
        <w:spacing w:before="0" w:after="120"/>
        <w:textAlignment w:val="baseline"/>
      </w:pPr>
      <w:r w:rsidRPr="008A3498">
        <w:rPr>
          <w:rStyle w:val="FootnoteReference"/>
          <w:rFonts w:asciiTheme="minorHAnsi" w:hAnsiTheme="minorHAnsi" w:cstheme="minorHAnsi"/>
          <w:color w:val="auto"/>
          <w:sz w:val="20"/>
          <w:szCs w:val="20"/>
        </w:rPr>
        <w:footnoteRef/>
      </w:r>
      <w:r w:rsidRPr="008A3498">
        <w:rPr>
          <w:rFonts w:asciiTheme="minorHAnsi" w:hAnsiTheme="minorHAnsi" w:cstheme="minorHAnsi"/>
          <w:color w:val="auto"/>
          <w:sz w:val="20"/>
          <w:szCs w:val="20"/>
        </w:rPr>
        <w:t xml:space="preserve"> See</w:t>
      </w:r>
      <w:r w:rsidRPr="008A3498">
        <w:rPr>
          <w:color w:val="auto"/>
        </w:rPr>
        <w:t xml:space="preserve"> </w:t>
      </w:r>
      <w:r w:rsidRPr="008A3498">
        <w:rPr>
          <w:rFonts w:asciiTheme="minorHAnsi" w:hAnsiTheme="minorHAnsi" w:cstheme="minorHAnsi"/>
          <w:i/>
          <w:color w:val="auto"/>
          <w:spacing w:val="3"/>
          <w:sz w:val="20"/>
          <w:szCs w:val="20"/>
        </w:rPr>
        <w:t>Employment Rights that Work for All: A Citizens Information Perspective</w:t>
      </w:r>
      <w:r>
        <w:rPr>
          <w:rFonts w:asciiTheme="minorHAnsi" w:hAnsiTheme="minorHAnsi" w:cstheme="minorHAnsi"/>
          <w:color w:val="auto"/>
          <w:spacing w:val="3"/>
          <w:sz w:val="20"/>
          <w:szCs w:val="20"/>
        </w:rPr>
        <w:t xml:space="preserve">, </w:t>
      </w:r>
      <w:hyperlink r:id="rId1" w:history="1">
        <w:r w:rsidRPr="004A766D">
          <w:rPr>
            <w:rStyle w:val="Hyperlink"/>
            <w:rFonts w:asciiTheme="minorHAnsi" w:hAnsiTheme="minorHAnsi" w:cstheme="minorHAnsi"/>
            <w:spacing w:val="3"/>
            <w:sz w:val="20"/>
            <w:szCs w:val="20"/>
          </w:rPr>
          <w:t>https://www.citizensinformationboard.ie/downloads/social_policy/socialpolicy-employment-rights-for-all.pdf</w:t>
        </w:r>
      </w:hyperlink>
      <w:r>
        <w:rPr>
          <w:rFonts w:asciiTheme="minorHAnsi" w:hAnsiTheme="minorHAnsi" w:cstheme="minorHAnsi"/>
          <w:color w:val="auto"/>
          <w:spacing w:val="3"/>
          <w:sz w:val="20"/>
          <w:szCs w:val="20"/>
        </w:rPr>
        <w:t xml:space="preserve"> </w:t>
      </w:r>
    </w:p>
  </w:footnote>
  <w:footnote w:id="2">
    <w:p w14:paraId="5490C3D8" w14:textId="1D699B86" w:rsidR="00957F6F" w:rsidRPr="00661D15" w:rsidRDefault="00957F6F" w:rsidP="00661D15">
      <w:pPr>
        <w:pStyle w:val="NoSpacing"/>
        <w:rPr>
          <w:i/>
          <w:sz w:val="20"/>
          <w:szCs w:val="20"/>
        </w:rPr>
      </w:pPr>
      <w:r w:rsidRPr="00661D15">
        <w:rPr>
          <w:rStyle w:val="FootnoteReference"/>
          <w:sz w:val="20"/>
          <w:szCs w:val="20"/>
        </w:rPr>
        <w:footnoteRef/>
      </w:r>
      <w:r w:rsidRPr="00661D15">
        <w:rPr>
          <w:sz w:val="20"/>
          <w:szCs w:val="20"/>
        </w:rPr>
        <w:t xml:space="preserve"> </w:t>
      </w:r>
      <w:r w:rsidRPr="00661D15">
        <w:rPr>
          <w:i/>
          <w:sz w:val="20"/>
          <w:szCs w:val="20"/>
        </w:rPr>
        <w:t>Employment Rights that Work for All: A Citizens Information Perspective</w:t>
      </w:r>
      <w:r w:rsidRPr="00661D15">
        <w:rPr>
          <w:sz w:val="20"/>
          <w:szCs w:val="20"/>
        </w:rPr>
        <w:t xml:space="preserve">, </w:t>
      </w:r>
      <w:hyperlink r:id="rId2" w:history="1">
        <w:r w:rsidRPr="00661D15">
          <w:rPr>
            <w:rStyle w:val="Hyperlink"/>
            <w:rFonts w:cstheme="minorHAnsi"/>
            <w:spacing w:val="3"/>
            <w:sz w:val="20"/>
            <w:szCs w:val="20"/>
          </w:rPr>
          <w:t>https://www.citizensinformationboard.ie/downloads/social_policy/socialpolicy-employment-rights-for-all.pdf</w:t>
        </w:r>
      </w:hyperlink>
      <w:r w:rsidRPr="00661D15">
        <w:rPr>
          <w:sz w:val="20"/>
          <w:szCs w:val="20"/>
        </w:rPr>
        <w:t>, p.55.</w:t>
      </w:r>
    </w:p>
  </w:footnote>
  <w:footnote w:id="3">
    <w:p w14:paraId="57E535AB" w14:textId="7D2DA81F" w:rsidR="00400305" w:rsidRDefault="00400305">
      <w:pPr>
        <w:pStyle w:val="FootnoteText"/>
      </w:pPr>
      <w:r>
        <w:rPr>
          <w:rStyle w:val="FootnoteReference"/>
        </w:rPr>
        <w:footnoteRef/>
      </w:r>
      <w:r>
        <w:t xml:space="preserve"> CIB (2020) Employment Rights that Work for All. </w:t>
      </w:r>
    </w:p>
  </w:footnote>
  <w:footnote w:id="4">
    <w:p w14:paraId="0C2E0594" w14:textId="698BC33D" w:rsidR="008104A8" w:rsidRDefault="008104A8">
      <w:pPr>
        <w:pStyle w:val="FootnoteText"/>
      </w:pPr>
      <w:r>
        <w:rPr>
          <w:rStyle w:val="FootnoteReference"/>
        </w:rPr>
        <w:footnoteRef/>
      </w:r>
      <w:r>
        <w:t xml:space="preserve"> CIB (2020) Employment Rights that Work for All.</w:t>
      </w:r>
      <w:r w:rsidR="00C70053">
        <w:t xml:space="preserve"> </w:t>
      </w:r>
      <w:r w:rsidR="00C70053" w:rsidRPr="00C70053">
        <w:t>https://www.citizensinformationboard.ie/en/publications/social_policy/research.html</w:t>
      </w:r>
    </w:p>
  </w:footnote>
  <w:footnote w:id="5">
    <w:p w14:paraId="1F2AF898" w14:textId="74EC76AB" w:rsidR="005A0C83" w:rsidRPr="00661D15" w:rsidRDefault="005A0C83" w:rsidP="00661D15">
      <w:pPr>
        <w:pStyle w:val="NoSpacing"/>
        <w:rPr>
          <w:sz w:val="20"/>
          <w:szCs w:val="20"/>
        </w:rPr>
      </w:pPr>
      <w:r w:rsidRPr="00661D15">
        <w:rPr>
          <w:rStyle w:val="FootnoteReference"/>
          <w:sz w:val="20"/>
          <w:szCs w:val="20"/>
        </w:rPr>
        <w:footnoteRef/>
      </w:r>
      <w:r w:rsidRPr="00661D15">
        <w:rPr>
          <w:sz w:val="20"/>
          <w:szCs w:val="20"/>
        </w:rPr>
        <w:t xml:space="preserve"> </w:t>
      </w:r>
      <w:r w:rsidRPr="00661D15">
        <w:rPr>
          <w:rFonts w:eastAsia="Times New Roman"/>
          <w:bCs/>
          <w:sz w:val="20"/>
          <w:szCs w:val="20"/>
          <w:lang w:eastAsia="en-IE"/>
        </w:rPr>
        <w:t xml:space="preserve">Housing Assistance Payment (HAP) The experience of Citizens Information Services, </w:t>
      </w:r>
      <w:hyperlink r:id="rId3" w:history="1">
        <w:r w:rsidRPr="00661D15">
          <w:rPr>
            <w:rStyle w:val="Hyperlink"/>
            <w:rFonts w:eastAsia="Times New Roman" w:cstheme="minorHAnsi"/>
            <w:bCs/>
            <w:spacing w:val="3"/>
            <w:sz w:val="20"/>
            <w:szCs w:val="20"/>
            <w:lang w:eastAsia="en-IE"/>
          </w:rPr>
          <w:t>https://www.citizensinformationboard.ie/downloads/social_policy/HAP_Report_CIB_2017.pdf</w:t>
        </w:r>
      </w:hyperlink>
      <w:r w:rsidRPr="00661D15">
        <w:rPr>
          <w:rFonts w:eastAsia="Times New Roman"/>
          <w:bCs/>
          <w:sz w:val="20"/>
          <w:szCs w:val="20"/>
          <w:lang w:eastAsia="en-IE"/>
        </w:rPr>
        <w:t xml:space="preserve"> </w:t>
      </w:r>
      <w:r w:rsidRPr="00661D15">
        <w:rPr>
          <w:rFonts w:ascii="Arial" w:eastAsia="Times New Roman" w:hAnsi="Arial" w:cs="Arial"/>
          <w:b/>
          <w:bCs/>
          <w:sz w:val="20"/>
          <w:szCs w:val="20"/>
          <w:lang w:eastAsia="en-IE"/>
        </w:rPr>
        <w:t> </w:t>
      </w:r>
    </w:p>
  </w:footnote>
  <w:footnote w:id="6">
    <w:p w14:paraId="4A0713E8" w14:textId="404CD888" w:rsidR="002B6FE7" w:rsidRPr="00661D15" w:rsidRDefault="002B6FE7" w:rsidP="00661D15">
      <w:pPr>
        <w:pStyle w:val="NoSpacing"/>
        <w:rPr>
          <w:i/>
          <w:sz w:val="20"/>
          <w:szCs w:val="20"/>
        </w:rPr>
      </w:pPr>
      <w:r w:rsidRPr="00661D15">
        <w:rPr>
          <w:rStyle w:val="FootnoteReference"/>
          <w:i/>
          <w:sz w:val="20"/>
          <w:szCs w:val="20"/>
        </w:rPr>
        <w:footnoteRef/>
      </w:r>
      <w:r w:rsidRPr="00661D15">
        <w:rPr>
          <w:i/>
          <w:sz w:val="20"/>
          <w:szCs w:val="20"/>
        </w:rPr>
        <w:t xml:space="preserve"> Monitor</w:t>
      </w:r>
      <w:r w:rsidR="00812243" w:rsidRPr="00661D15">
        <w:rPr>
          <w:i/>
          <w:sz w:val="20"/>
          <w:szCs w:val="20"/>
        </w:rPr>
        <w:t>ing Adequate Housing in Ireland</w:t>
      </w:r>
      <w:r w:rsidRPr="00661D15">
        <w:rPr>
          <w:i/>
          <w:sz w:val="20"/>
          <w:szCs w:val="20"/>
        </w:rPr>
        <w:t xml:space="preserve"> </w:t>
      </w:r>
    </w:p>
    <w:p w14:paraId="0C938CD7" w14:textId="77777777" w:rsidR="002B6FE7" w:rsidRPr="00661D15" w:rsidRDefault="002B6FE7" w:rsidP="00661D15">
      <w:pPr>
        <w:pStyle w:val="NoSpacing"/>
        <w:rPr>
          <w:color w:val="0070C0"/>
          <w:sz w:val="20"/>
          <w:szCs w:val="20"/>
        </w:rPr>
      </w:pPr>
      <w:r w:rsidRPr="00661D15">
        <w:rPr>
          <w:color w:val="0070C0"/>
          <w:sz w:val="20"/>
          <w:szCs w:val="20"/>
        </w:rPr>
        <w:t>https://www.ihrec.ie/app/uploads/2021/09/Monitoring-Adequate-Housing-In-Ireland-Sept-2021.pdf</w:t>
      </w:r>
    </w:p>
  </w:footnote>
  <w:footnote w:id="7">
    <w:p w14:paraId="1FA046E4" w14:textId="32892CD4" w:rsidR="005A0C83" w:rsidRPr="00661D15" w:rsidRDefault="005A0C83" w:rsidP="00661D15">
      <w:pPr>
        <w:pStyle w:val="NoSpacing"/>
        <w:rPr>
          <w:sz w:val="20"/>
          <w:szCs w:val="20"/>
        </w:rPr>
      </w:pPr>
      <w:r w:rsidRPr="00661D15">
        <w:rPr>
          <w:rStyle w:val="FootnoteReference"/>
          <w:sz w:val="20"/>
          <w:szCs w:val="20"/>
        </w:rPr>
        <w:footnoteRef/>
      </w:r>
      <w:r w:rsidRPr="00661D15">
        <w:rPr>
          <w:sz w:val="20"/>
          <w:szCs w:val="20"/>
        </w:rPr>
        <w:t xml:space="preserve"> </w:t>
      </w:r>
      <w:r w:rsidRPr="00661D15">
        <w:rPr>
          <w:i/>
          <w:sz w:val="20"/>
          <w:szCs w:val="20"/>
        </w:rPr>
        <w:t>Discrimination and Inequality in Housing in Ireland</w:t>
      </w:r>
      <w:r w:rsidRPr="00661D15">
        <w:rPr>
          <w:sz w:val="20"/>
          <w:szCs w:val="20"/>
        </w:rPr>
        <w:t xml:space="preserve"> </w:t>
      </w:r>
      <w:hyperlink r:id="rId4" w:history="1">
        <w:r w:rsidRPr="00661D15">
          <w:rPr>
            <w:rStyle w:val="Hyperlink"/>
            <w:sz w:val="20"/>
            <w:szCs w:val="20"/>
          </w:rPr>
          <w:t>https://www.ihrec.ie/app/uploads/2018/06/Discrimination-and-Inequality-in-Housing-in-Ireland..pdf</w:t>
        </w:r>
      </w:hyperlink>
      <w:r w:rsidRPr="00661D15">
        <w:rPr>
          <w:sz w:val="20"/>
          <w:szCs w:val="20"/>
        </w:rPr>
        <w:t xml:space="preserve"> </w:t>
      </w:r>
    </w:p>
  </w:footnote>
  <w:footnote w:id="8">
    <w:p w14:paraId="52E17222" w14:textId="77777777" w:rsidR="005A0C83" w:rsidRPr="00D95D6C" w:rsidRDefault="005A0C83" w:rsidP="00685CDA">
      <w:pPr>
        <w:pStyle w:val="NoSpacing"/>
        <w:rPr>
          <w:i/>
          <w:sz w:val="20"/>
          <w:szCs w:val="20"/>
        </w:rPr>
      </w:pPr>
      <w:r>
        <w:rPr>
          <w:rStyle w:val="FootnoteReference"/>
        </w:rPr>
        <w:footnoteRef/>
      </w:r>
      <w:r>
        <w:t xml:space="preserve"> </w:t>
      </w:r>
      <w:r w:rsidRPr="00685CDA">
        <w:rPr>
          <w:sz w:val="20"/>
          <w:szCs w:val="20"/>
        </w:rPr>
        <w:t xml:space="preserve">See, for example, </w:t>
      </w:r>
      <w:r w:rsidRPr="00685CDA">
        <w:rPr>
          <w:i/>
          <w:sz w:val="20"/>
          <w:szCs w:val="20"/>
        </w:rPr>
        <w:t xml:space="preserve">Addressing Energy Poverty Among Travellers Living in Mobile Homes and Trailers, </w:t>
      </w:r>
      <w:hyperlink r:id="rId5" w:history="1">
        <w:r w:rsidRPr="00D95D6C">
          <w:rPr>
            <w:rStyle w:val="Hyperlink"/>
            <w:i/>
            <w:sz w:val="20"/>
            <w:szCs w:val="20"/>
          </w:rPr>
          <w:t>https://www.citizensinformationboard.ie/downloads/social_policy/MABS_Energy_Poverty_Report_2019.pdf</w:t>
        </w:r>
      </w:hyperlink>
      <w:r w:rsidRPr="00D95D6C">
        <w:rPr>
          <w:i/>
          <w:sz w:val="20"/>
          <w:szCs w:val="20"/>
        </w:rPr>
        <w:t xml:space="preserve"> </w:t>
      </w:r>
    </w:p>
  </w:footnote>
  <w:footnote w:id="9">
    <w:p w14:paraId="57B78892" w14:textId="070544CF" w:rsidR="00685CDA" w:rsidRPr="00D95D6C" w:rsidRDefault="00685CDA" w:rsidP="00685CDA">
      <w:pPr>
        <w:pStyle w:val="NoSpacing"/>
        <w:rPr>
          <w:sz w:val="20"/>
          <w:szCs w:val="20"/>
        </w:rPr>
      </w:pPr>
      <w:r w:rsidRPr="00D95D6C">
        <w:rPr>
          <w:rStyle w:val="FootnoteReference"/>
          <w:sz w:val="20"/>
          <w:szCs w:val="20"/>
        </w:rPr>
        <w:footnoteRef/>
      </w:r>
      <w:r w:rsidRPr="00D95D6C">
        <w:rPr>
          <w:sz w:val="20"/>
          <w:szCs w:val="20"/>
        </w:rPr>
        <w:t xml:space="preserve"> CIB has published a Report, </w:t>
      </w:r>
      <w:r w:rsidRPr="00D95D6C">
        <w:rPr>
          <w:i/>
          <w:sz w:val="20"/>
          <w:szCs w:val="20"/>
        </w:rPr>
        <w:t>Information provision and access to public and social services for the Deaf Community,</w:t>
      </w:r>
      <w:r w:rsidRPr="00D95D6C">
        <w:rPr>
          <w:sz w:val="20"/>
          <w:szCs w:val="20"/>
        </w:rPr>
        <w:t xml:space="preserve"> </w:t>
      </w:r>
      <w:hyperlink r:id="rId6" w:history="1">
        <w:r w:rsidRPr="00D95D6C">
          <w:rPr>
            <w:rStyle w:val="Hyperlink"/>
            <w:rFonts w:cstheme="minorHAnsi"/>
            <w:sz w:val="20"/>
            <w:szCs w:val="20"/>
          </w:rPr>
          <w:t>https://www.citizensinformationboard.ie/downloads/social_policy/Deaf_Community_Research_Rpt_Feb2018.pdf</w:t>
        </w:r>
      </w:hyperlink>
      <w:r w:rsidRPr="00D95D6C">
        <w:rPr>
          <w:sz w:val="20"/>
          <w:szCs w:val="20"/>
        </w:rPr>
        <w:t xml:space="preserve"> </w:t>
      </w:r>
    </w:p>
  </w:footnote>
  <w:footnote w:id="10">
    <w:p w14:paraId="732EACE6" w14:textId="137E76E1" w:rsidR="007C2F62" w:rsidRPr="007C2F62" w:rsidRDefault="007C2F62">
      <w:pPr>
        <w:pStyle w:val="FootnoteText"/>
        <w:rPr>
          <w:lang w:val="en-US"/>
        </w:rPr>
      </w:pPr>
      <w:r>
        <w:rPr>
          <w:rStyle w:val="FootnoteReference"/>
        </w:rPr>
        <w:footnoteRef/>
      </w:r>
      <w:r>
        <w:t xml:space="preserve"> </w:t>
      </w:r>
      <w:r>
        <w:rPr>
          <w:lang w:val="en-US"/>
        </w:rPr>
        <w:t>In line with UNCERD 2019 recommendations</w:t>
      </w:r>
    </w:p>
  </w:footnote>
  <w:footnote w:id="11">
    <w:p w14:paraId="060830BE" w14:textId="6017C5C4" w:rsidR="00664F4D" w:rsidRDefault="00664F4D">
      <w:pPr>
        <w:pStyle w:val="FootnoteText"/>
      </w:pPr>
      <w:r>
        <w:rPr>
          <w:rStyle w:val="FootnoteReference"/>
        </w:rPr>
        <w:footnoteRef/>
      </w:r>
      <w:r w:rsidR="00335A9A">
        <w:t xml:space="preserve">European Pillar of Social Rights, </w:t>
      </w:r>
      <w:hyperlink r:id="rId7" w:history="1">
        <w:r w:rsidR="00335A9A" w:rsidRPr="00290A43">
          <w:rPr>
            <w:rStyle w:val="Hyperlink"/>
          </w:rPr>
          <w:t>https://ec.europa.eu/info/sites/default/files/social-summit-european-pillar-social-rights-booklet_en.pdf</w:t>
        </w:r>
      </w:hyperlink>
      <w:r w:rsidR="00335A9A">
        <w:t xml:space="preserve"> </w:t>
      </w:r>
      <w:r>
        <w:t xml:space="preserve"> </w:t>
      </w:r>
    </w:p>
  </w:footnote>
  <w:footnote w:id="12">
    <w:p w14:paraId="38E76B8C" w14:textId="570B5015" w:rsidR="002850D1" w:rsidRDefault="002850D1">
      <w:pPr>
        <w:pStyle w:val="FootnoteText"/>
      </w:pPr>
      <w:r>
        <w:rPr>
          <w:rStyle w:val="FootnoteReference"/>
        </w:rPr>
        <w:footnoteRef/>
      </w:r>
      <w:r>
        <w:t xml:space="preserve"> See Pavee Point Submission to the Special Committee on Covid-19 Response, </w:t>
      </w:r>
      <w:hyperlink r:id="rId8" w:history="1">
        <w:r w:rsidRPr="00290A43">
          <w:rPr>
            <w:rStyle w:val="Hyperlink"/>
          </w:rPr>
          <w:t>https://data.oireachtas.ie/ie/oireachtas/committee/dail/33/special_committee_on_covid_19_response/submissions/2020/2020-09-30_submission-ronnie-fay-director-pavee-point-traveller-and-roman-centre-scc19r-r-0426_en.pdf</w:t>
        </w:r>
      </w:hyperlink>
      <w:r>
        <w:t xml:space="preserve"> </w:t>
      </w:r>
    </w:p>
  </w:footnote>
  <w:footnote w:id="13">
    <w:p w14:paraId="03E70ECA" w14:textId="2F027AC0" w:rsidR="00FD4335" w:rsidRDefault="00FD4335" w:rsidP="00FD4335">
      <w:r>
        <w:rPr>
          <w:rStyle w:val="FootnoteReference"/>
        </w:rPr>
        <w:footnoteRef/>
      </w:r>
      <w:r>
        <w:t xml:space="preserve"> </w:t>
      </w:r>
      <w:r>
        <w:rPr>
          <w:sz w:val="20"/>
          <w:szCs w:val="20"/>
        </w:rPr>
        <w:t xml:space="preserve">An Adult Safeguarding Bill, introduced in 2017 </w:t>
      </w:r>
      <w:hyperlink r:id="rId9" w:history="1">
        <w:r>
          <w:rPr>
            <w:rStyle w:val="Hyperlink"/>
          </w:rPr>
          <w:t>https://data.oireachtas.ie/ie/oireachtas/bill/2017/44/eng/initiated/b4417s.pdf</w:t>
        </w:r>
      </w:hyperlink>
      <w:r w:rsidR="00FE7F21">
        <w:t xml:space="preserve">, </w:t>
      </w:r>
      <w:r w:rsidR="00FE7F21">
        <w:rPr>
          <w:sz w:val="20"/>
          <w:szCs w:val="20"/>
        </w:rPr>
        <w:t>fell</w:t>
      </w:r>
      <w:r>
        <w:rPr>
          <w:sz w:val="20"/>
          <w:szCs w:val="20"/>
        </w:rPr>
        <w:t xml:space="preserve"> with the dissolution of the 32</w:t>
      </w:r>
      <w:r>
        <w:rPr>
          <w:sz w:val="20"/>
          <w:szCs w:val="20"/>
          <w:vertAlign w:val="superscript"/>
        </w:rPr>
        <w:t>nd</w:t>
      </w:r>
      <w:r>
        <w:rPr>
          <w:sz w:val="20"/>
          <w:szCs w:val="20"/>
        </w:rPr>
        <w:t xml:space="preserve"> Dáil in January 2020. The </w:t>
      </w:r>
      <w:r w:rsidR="00963FAC">
        <w:rPr>
          <w:sz w:val="20"/>
          <w:szCs w:val="20"/>
        </w:rPr>
        <w:t xml:space="preserve">Legislation </w:t>
      </w:r>
      <w:r>
        <w:rPr>
          <w:sz w:val="20"/>
          <w:szCs w:val="20"/>
        </w:rPr>
        <w:t xml:space="preserve">Programme for </w:t>
      </w:r>
      <w:r w:rsidR="00963FAC">
        <w:rPr>
          <w:sz w:val="20"/>
          <w:szCs w:val="20"/>
        </w:rPr>
        <w:t xml:space="preserve">Autumn </w:t>
      </w:r>
      <w:r>
        <w:rPr>
          <w:sz w:val="20"/>
          <w:szCs w:val="20"/>
        </w:rPr>
        <w:t xml:space="preserve">2021 </w:t>
      </w:r>
      <w:r w:rsidR="00963FAC">
        <w:rPr>
          <w:sz w:val="20"/>
          <w:szCs w:val="20"/>
        </w:rPr>
        <w:t xml:space="preserve">includes </w:t>
      </w:r>
      <w:r>
        <w:rPr>
          <w:sz w:val="20"/>
          <w:szCs w:val="20"/>
        </w:rPr>
        <w:t>a Health (Adult Safeguarding) Bill – which focuses on safeguarding vulnerable or at-risk adults in the context of their interactions with the health sector.</w:t>
      </w:r>
      <w:r>
        <w:t xml:space="preserve"> </w:t>
      </w:r>
    </w:p>
  </w:footnote>
  <w:footnote w:id="14">
    <w:p w14:paraId="2367484A" w14:textId="77777777" w:rsidR="00D95D6C" w:rsidRDefault="00D95D6C" w:rsidP="00D95D6C">
      <w:pPr>
        <w:pStyle w:val="NoSpacing"/>
        <w:rPr>
          <w:sz w:val="20"/>
          <w:szCs w:val="20"/>
        </w:rPr>
      </w:pPr>
      <w:r>
        <w:rPr>
          <w:rStyle w:val="FootnoteReference"/>
          <w:sz w:val="20"/>
          <w:szCs w:val="20"/>
        </w:rPr>
        <w:footnoteRef/>
      </w:r>
      <w:r>
        <w:rPr>
          <w:sz w:val="20"/>
          <w:szCs w:val="20"/>
        </w:rPr>
        <w:t xml:space="preserve"> The Act provides for three types of decision-making support options to respond to the range of support needs that people may have in relation to decision-making capacity.</w:t>
      </w:r>
    </w:p>
    <w:p w14:paraId="4C4CF6C7" w14:textId="77777777" w:rsidR="00D95D6C" w:rsidRDefault="00D95D6C" w:rsidP="00D95D6C">
      <w:pPr>
        <w:pStyle w:val="FootnoteText"/>
      </w:pPr>
    </w:p>
  </w:footnote>
  <w:footnote w:id="15">
    <w:p w14:paraId="10CAE5D3" w14:textId="50CC119D" w:rsidR="00B41006" w:rsidRPr="00B41006" w:rsidRDefault="00B41006">
      <w:pPr>
        <w:pStyle w:val="FootnoteText"/>
        <w:rPr>
          <w:lang w:val="en-US"/>
        </w:rPr>
      </w:pPr>
      <w:r>
        <w:rPr>
          <w:rStyle w:val="FootnoteReference"/>
        </w:rPr>
        <w:footnoteRef/>
      </w:r>
      <w:r>
        <w:t xml:space="preserve"> </w:t>
      </w:r>
      <w:r w:rsidRPr="00BB0D73">
        <w:t xml:space="preserve">Irish </w:t>
      </w:r>
      <w:r w:rsidRPr="00BB0D73">
        <w:rPr>
          <w:highlight w:val="white"/>
        </w:rPr>
        <w:t>Human Rights Commission</w:t>
      </w:r>
      <w:r w:rsidRPr="00BB0D73">
        <w:t>, Extending the Scope of Employment Equality Legislation</w:t>
      </w:r>
      <w:r>
        <w:t xml:space="preserve"> </w:t>
      </w:r>
      <w:hyperlink r:id="rId10" w:history="1">
        <w:r w:rsidRPr="00BB0D73">
          <w:rPr>
            <w:rStyle w:val="Hyperlink"/>
          </w:rPr>
          <w:t>https://www.ihrec.ie/download/doc/sub_extending_scope_emp_legislation.doc</w:t>
        </w:r>
      </w:hyperlink>
    </w:p>
  </w:footnote>
  <w:footnote w:id="16">
    <w:p w14:paraId="5B6424C0" w14:textId="081C83C3" w:rsidR="003E6666" w:rsidRDefault="003E6666" w:rsidP="003E6666">
      <w:pPr>
        <w:pStyle w:val="NoSpacing"/>
        <w:rPr>
          <w:sz w:val="20"/>
          <w:szCs w:val="20"/>
        </w:rPr>
      </w:pPr>
      <w:r>
        <w:rPr>
          <w:rStyle w:val="FootnoteReference"/>
        </w:rPr>
        <w:footnoteRef/>
      </w:r>
      <w:r>
        <w:t xml:space="preserve"> </w:t>
      </w:r>
      <w:r>
        <w:rPr>
          <w:sz w:val="20"/>
          <w:szCs w:val="20"/>
        </w:rPr>
        <w:t>‘Disability’ is defined in the Equal Status Act 2000 as:</w:t>
      </w:r>
    </w:p>
    <w:p w14:paraId="2BE2B983" w14:textId="77777777" w:rsidR="003E6666" w:rsidRDefault="003E6666" w:rsidP="003E6666">
      <w:pPr>
        <w:pStyle w:val="ListParagraph"/>
        <w:numPr>
          <w:ilvl w:val="0"/>
          <w:numId w:val="12"/>
        </w:numPr>
        <w:spacing w:line="256" w:lineRule="auto"/>
      </w:pPr>
      <w:r>
        <w:rPr>
          <w:sz w:val="20"/>
          <w:szCs w:val="20"/>
          <w:shd w:val="clear" w:color="auto" w:fill="FFFFFF"/>
        </w:rPr>
        <w:t>the total or partial absence of a person's bodily or mental functions, including the absence of a part of a person's body</w:t>
      </w:r>
    </w:p>
    <w:p w14:paraId="33F38F50" w14:textId="77777777" w:rsidR="003E6666" w:rsidRDefault="003E6666" w:rsidP="003E6666">
      <w:pPr>
        <w:pStyle w:val="ListParagraph"/>
        <w:numPr>
          <w:ilvl w:val="0"/>
          <w:numId w:val="12"/>
        </w:numPr>
        <w:spacing w:line="256" w:lineRule="auto"/>
        <w:rPr>
          <w:sz w:val="20"/>
          <w:szCs w:val="20"/>
        </w:rPr>
      </w:pPr>
      <w:r>
        <w:rPr>
          <w:sz w:val="20"/>
          <w:szCs w:val="20"/>
          <w:shd w:val="clear" w:color="auto" w:fill="FFFFFF"/>
        </w:rPr>
        <w:t>the presence in the body of organisms causing, or likely to cause, chronic disease or illness</w:t>
      </w:r>
    </w:p>
    <w:p w14:paraId="21CDB6CC" w14:textId="77777777" w:rsidR="003E6666" w:rsidRDefault="003E6666" w:rsidP="003E6666">
      <w:pPr>
        <w:pStyle w:val="ListParagraph"/>
        <w:numPr>
          <w:ilvl w:val="0"/>
          <w:numId w:val="12"/>
        </w:numPr>
        <w:spacing w:line="256" w:lineRule="auto"/>
        <w:rPr>
          <w:sz w:val="20"/>
          <w:szCs w:val="20"/>
        </w:rPr>
      </w:pPr>
      <w:r>
        <w:rPr>
          <w:sz w:val="20"/>
          <w:szCs w:val="20"/>
          <w:shd w:val="clear" w:color="auto" w:fill="FFFFFF"/>
        </w:rPr>
        <w:t>the malfunction, malformation or disfigurement of a part of a person's body</w:t>
      </w:r>
    </w:p>
    <w:p w14:paraId="6BEA7591" w14:textId="77777777" w:rsidR="003E6666" w:rsidRDefault="003E6666" w:rsidP="003E6666">
      <w:pPr>
        <w:pStyle w:val="ListParagraph"/>
        <w:numPr>
          <w:ilvl w:val="0"/>
          <w:numId w:val="12"/>
        </w:numPr>
        <w:spacing w:line="256" w:lineRule="auto"/>
        <w:rPr>
          <w:sz w:val="20"/>
          <w:szCs w:val="20"/>
        </w:rPr>
      </w:pPr>
      <w:r>
        <w:rPr>
          <w:sz w:val="20"/>
          <w:szCs w:val="20"/>
          <w:shd w:val="clear" w:color="auto" w:fill="FFFFFF"/>
        </w:rPr>
        <w:t>a condition or malfunction which results in a person learning differently from a person without the condition or malfunction, or</w:t>
      </w:r>
    </w:p>
    <w:p w14:paraId="1CAD2421" w14:textId="77777777" w:rsidR="003E6666" w:rsidRDefault="003E6666" w:rsidP="003E6666">
      <w:pPr>
        <w:pStyle w:val="ListParagraph"/>
        <w:numPr>
          <w:ilvl w:val="0"/>
          <w:numId w:val="12"/>
        </w:numPr>
        <w:spacing w:line="256" w:lineRule="auto"/>
        <w:rPr>
          <w:sz w:val="20"/>
          <w:szCs w:val="20"/>
        </w:rPr>
      </w:pPr>
      <w:r>
        <w:rPr>
          <w:sz w:val="20"/>
          <w:szCs w:val="20"/>
          <w:shd w:val="clear" w:color="auto" w:fill="FFFFFF"/>
        </w:rPr>
        <w:t>a condition, disease or illness which affects a person's thought processes, perception of reality, emotions or judgement or which results in disturbed behaviou</w:t>
      </w:r>
      <w:r>
        <w:t>r</w:t>
      </w:r>
    </w:p>
    <w:p w14:paraId="3F126C6E" w14:textId="02849892" w:rsidR="003E6666" w:rsidRDefault="003E6666">
      <w:pPr>
        <w:pStyle w:val="FootnoteText"/>
      </w:pPr>
    </w:p>
  </w:footnote>
  <w:footnote w:id="17">
    <w:p w14:paraId="515137D1" w14:textId="77777777" w:rsidR="00F718E4" w:rsidRDefault="00F718E4" w:rsidP="00F718E4">
      <w:pPr>
        <w:pStyle w:val="FootnoteText"/>
      </w:pPr>
      <w:r>
        <w:rPr>
          <w:rStyle w:val="FootnoteReference"/>
        </w:rPr>
        <w:footnoteRef/>
      </w:r>
      <w:r>
        <w:t xml:space="preserve"> Equality, Diversity, and Non-Discrimination in Healthcare. Learning from the work of equality bodies, </w:t>
      </w:r>
      <w:hyperlink r:id="rId11" w:history="1">
        <w:r>
          <w:rPr>
            <w:rStyle w:val="Hyperlink"/>
          </w:rPr>
          <w:t>https://equineteurope.org/wp-content/uploads/2021/06/Health-Perspective.pdf</w:t>
        </w:r>
      </w:hyperlink>
      <w:r>
        <w:t xml:space="preserve"> </w:t>
      </w:r>
    </w:p>
  </w:footnote>
  <w:footnote w:id="18">
    <w:p w14:paraId="0325B0BA" w14:textId="26CADE38" w:rsidR="00C70053" w:rsidRDefault="00C70053">
      <w:pPr>
        <w:pStyle w:val="FootnoteText"/>
      </w:pPr>
      <w:r>
        <w:rPr>
          <w:rStyle w:val="FootnoteReference"/>
        </w:rPr>
        <w:footnoteRef/>
      </w:r>
      <w:r>
        <w:t xml:space="preserve"> </w:t>
      </w:r>
      <w:r w:rsidR="00527A80">
        <w:t>A CIB</w:t>
      </w:r>
      <w:r>
        <w:t xml:space="preserve"> report on </w:t>
      </w:r>
      <w:r w:rsidRPr="00C70053">
        <w:t>Digital Exclusion and E-government in Ireland</w:t>
      </w:r>
      <w:r>
        <w:t xml:space="preserve"> discusses these</w:t>
      </w:r>
      <w:r w:rsidR="00527A80">
        <w:t>.</w:t>
      </w:r>
      <w:r>
        <w:t xml:space="preserve"> </w:t>
      </w:r>
    </w:p>
  </w:footnote>
  <w:footnote w:id="19">
    <w:p w14:paraId="00C94846" w14:textId="77777777" w:rsidR="00B017D0" w:rsidRPr="00363DA2" w:rsidRDefault="00B017D0" w:rsidP="00B017D0">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AHEAD, 2018, ‘Inclusive Learning and the Provision of Reasonable Accommodations to Students with Disabilities in Higher Ed in Ireland’, Association of Higher Education Access and Disability and the Disability Advisers Working Network, </w:t>
      </w:r>
      <w:hyperlink r:id="rId12" w:history="1">
        <w:r w:rsidRPr="002838C2">
          <w:rPr>
            <w:rStyle w:val="Hyperlink"/>
            <w:rFonts w:ascii="Times New Roman" w:hAnsi="Times New Roman" w:cs="Times New Roman"/>
          </w:rPr>
          <w:t>www.ahead.ie/reasonableaccommodations</w:t>
        </w:r>
      </w:hyperlink>
      <w:r>
        <w:rPr>
          <w:rFonts w:ascii="Times New Roman" w:hAnsi="Times New Roman" w:cs="Times New Roman"/>
        </w:rPr>
        <w:t xml:space="preserve"> </w:t>
      </w:r>
    </w:p>
  </w:footnote>
  <w:footnote w:id="20">
    <w:p w14:paraId="44E643DA" w14:textId="77777777" w:rsidR="00B017D0" w:rsidRPr="00363DA2" w:rsidRDefault="00B017D0" w:rsidP="00B017D0">
      <w:pPr>
        <w:pStyle w:val="FootnoteText"/>
        <w:rPr>
          <w:rFonts w:ascii="Times New Roman" w:hAnsi="Times New Roman" w:cs="Times New Roman"/>
        </w:rPr>
      </w:pPr>
      <w:r>
        <w:rPr>
          <w:rStyle w:val="FootnoteReference"/>
        </w:rPr>
        <w:footnoteRef/>
      </w:r>
      <w:r>
        <w:t xml:space="preserve"> </w:t>
      </w:r>
      <w:r w:rsidRPr="00B017D0">
        <w:rPr>
          <w:rFonts w:cstheme="minorHAnsi"/>
        </w:rPr>
        <w:t xml:space="preserve">National Disability Authority, </w:t>
      </w:r>
      <w:hyperlink r:id="rId13" w:history="1">
        <w:r w:rsidRPr="00B017D0">
          <w:rPr>
            <w:rStyle w:val="Hyperlink"/>
            <w:rFonts w:cstheme="minorHAnsi"/>
          </w:rPr>
          <w:t>www.nda.ie/Publications/Education/Education-Publications-/Improving-the-Accessibility-of-School-Buildings-read-online/Content-Improving-the-Accessibility-of-School-Buildings/Legislation.html</w:t>
        </w:r>
      </w:hyperlink>
      <w:r>
        <w:rPr>
          <w:rFonts w:ascii="Times New Roman" w:hAnsi="Times New Roman" w:cs="Times New Roman"/>
        </w:rPr>
        <w:t xml:space="preserve"> </w:t>
      </w:r>
    </w:p>
  </w:footnote>
  <w:footnote w:id="21">
    <w:p w14:paraId="454C126A" w14:textId="77777777" w:rsidR="00B017D0" w:rsidRPr="001F13C0" w:rsidRDefault="00B017D0" w:rsidP="00B017D0">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Council Directive 2000/78/EC of 27 November 2000 establishing a general framework for equal treatment in employment and occupation</w:t>
      </w:r>
    </w:p>
  </w:footnote>
  <w:footnote w:id="22">
    <w:p w14:paraId="003C8560" w14:textId="77777777" w:rsidR="007C3F73" w:rsidRDefault="007C3F73" w:rsidP="007C3F73">
      <w:pPr>
        <w:pStyle w:val="FootnoteText"/>
      </w:pPr>
      <w:r>
        <w:rPr>
          <w:rStyle w:val="FootnoteReference"/>
        </w:rPr>
        <w:footnoteRef/>
      </w:r>
      <w:r>
        <w:t xml:space="preserve"> Section 14 (a) Equal Status Act 2000, ‘Nothing in this Act shall be construed as prohibiting—</w:t>
      </w:r>
    </w:p>
    <w:p w14:paraId="2CD56C26" w14:textId="77777777" w:rsidR="007C3F73" w:rsidRDefault="007C3F73" w:rsidP="007C3F73">
      <w:pPr>
        <w:pStyle w:val="FootnoteText"/>
      </w:pPr>
      <w:r>
        <w:t>(a) the taking of any action that is required by or under— (i) any enactment or order of a court, (ii) any act done or measure adopted by the European Union, by the European Communities or institutions thereof or by bodies competent under the Treaties establishing the European Communities, or (iii) any convention or other instrument imposing an international obligation on the State,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75DBB" w14:textId="0F329B63" w:rsidR="00F8002C" w:rsidRDefault="00F800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88B98" w14:textId="3D342D2C" w:rsidR="00230CAB" w:rsidRDefault="00851C8A">
    <w:pPr>
      <w:pStyle w:val="Header"/>
      <w:pBdr>
        <w:bottom w:val="single" w:sz="4" w:space="1" w:color="D9D9D9" w:themeColor="background1" w:themeShade="D9"/>
      </w:pBdr>
      <w:jc w:val="right"/>
      <w:rPr>
        <w:b/>
        <w:bCs/>
      </w:rPr>
    </w:pPr>
    <w:sdt>
      <w:sdtPr>
        <w:rPr>
          <w:color w:val="7F7F7F" w:themeColor="background1" w:themeShade="7F"/>
          <w:spacing w:val="60"/>
        </w:rPr>
        <w:id w:val="1310601601"/>
        <w:docPartObj>
          <w:docPartGallery w:val="Page Numbers (Top of Page)"/>
          <w:docPartUnique/>
        </w:docPartObj>
      </w:sdtPr>
      <w:sdtEndPr>
        <w:rPr>
          <w:b/>
          <w:bCs/>
          <w:noProof/>
          <w:color w:val="auto"/>
          <w:spacing w:val="0"/>
        </w:rPr>
      </w:sdtEndPr>
      <w:sdtContent>
        <w:r w:rsidR="00230CAB">
          <w:rPr>
            <w:color w:val="7F7F7F" w:themeColor="background1" w:themeShade="7F"/>
            <w:spacing w:val="60"/>
          </w:rPr>
          <w:t>Page</w:t>
        </w:r>
        <w:r w:rsidR="00230CAB">
          <w:t xml:space="preserve"> | </w:t>
        </w:r>
        <w:r w:rsidR="00230CAB">
          <w:fldChar w:fldCharType="begin"/>
        </w:r>
        <w:r w:rsidR="00230CAB">
          <w:instrText xml:space="preserve"> PAGE   \* MERGEFORMAT </w:instrText>
        </w:r>
        <w:r w:rsidR="00230CAB">
          <w:fldChar w:fldCharType="separate"/>
        </w:r>
        <w:r w:rsidRPr="00851C8A">
          <w:rPr>
            <w:b/>
            <w:bCs/>
            <w:noProof/>
          </w:rPr>
          <w:t>1</w:t>
        </w:r>
        <w:r w:rsidR="00230CAB">
          <w:rPr>
            <w:b/>
            <w:bCs/>
            <w:noProof/>
          </w:rPr>
          <w:fldChar w:fldCharType="end"/>
        </w:r>
      </w:sdtContent>
    </w:sdt>
  </w:p>
  <w:p w14:paraId="64DE0D6D" w14:textId="77777777" w:rsidR="00230CAB" w:rsidRDefault="00230C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18C62" w14:textId="2E3054D1" w:rsidR="00F8002C" w:rsidRDefault="00F800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4CC8"/>
    <w:multiLevelType w:val="hybridMultilevel"/>
    <w:tmpl w:val="7008610A"/>
    <w:lvl w:ilvl="0" w:tplc="C156ADF8">
      <w:start w:val="1"/>
      <w:numFmt w:val="lowerLetter"/>
      <w:lvlText w:val="(%1)"/>
      <w:lvlJc w:val="left"/>
      <w:pPr>
        <w:ind w:left="720" w:hanging="360"/>
      </w:pPr>
      <w:rPr>
        <w:rFonts w:hint="default"/>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0A9595B"/>
    <w:multiLevelType w:val="multilevel"/>
    <w:tmpl w:val="9FD2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530CF6"/>
    <w:multiLevelType w:val="hybridMultilevel"/>
    <w:tmpl w:val="50041984"/>
    <w:lvl w:ilvl="0" w:tplc="1809000F">
      <w:start w:val="1"/>
      <w:numFmt w:val="decimal"/>
      <w:lvlText w:val="%1."/>
      <w:lvlJc w:val="left"/>
      <w:pPr>
        <w:ind w:left="785"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67C4E32"/>
    <w:multiLevelType w:val="hybridMultilevel"/>
    <w:tmpl w:val="90BC06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6A444D3"/>
    <w:multiLevelType w:val="hybridMultilevel"/>
    <w:tmpl w:val="30ACA67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C894E1B"/>
    <w:multiLevelType w:val="hybridMultilevel"/>
    <w:tmpl w:val="416E7B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41952B9"/>
    <w:multiLevelType w:val="hybridMultilevel"/>
    <w:tmpl w:val="B8900A0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2DE1CCC"/>
    <w:multiLevelType w:val="hybridMultilevel"/>
    <w:tmpl w:val="D20819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755F02E9"/>
    <w:multiLevelType w:val="multilevel"/>
    <w:tmpl w:val="8706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EC6DDA"/>
    <w:multiLevelType w:val="hybridMultilevel"/>
    <w:tmpl w:val="224C29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F262A79"/>
    <w:multiLevelType w:val="hybridMultilevel"/>
    <w:tmpl w:val="1F820202"/>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1"/>
  </w:num>
  <w:num w:numId="3">
    <w:abstractNumId w:val="8"/>
  </w:num>
  <w:num w:numId="4">
    <w:abstractNumId w:val="3"/>
  </w:num>
  <w:num w:numId="5">
    <w:abstractNumId w:val="4"/>
  </w:num>
  <w:num w:numId="6">
    <w:abstractNumId w:val="3"/>
  </w:num>
  <w:num w:numId="7">
    <w:abstractNumId w:val="4"/>
  </w:num>
  <w:num w:numId="8">
    <w:abstractNumId w:val="9"/>
  </w:num>
  <w:num w:numId="9">
    <w:abstractNumId w:val="9"/>
  </w:num>
  <w:num w:numId="10">
    <w:abstractNumId w:val="0"/>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7"/>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AB1"/>
    <w:rsid w:val="0000052F"/>
    <w:rsid w:val="0001724F"/>
    <w:rsid w:val="00020537"/>
    <w:rsid w:val="000253E0"/>
    <w:rsid w:val="000340E5"/>
    <w:rsid w:val="000373F9"/>
    <w:rsid w:val="00040E8D"/>
    <w:rsid w:val="0004188D"/>
    <w:rsid w:val="000506D6"/>
    <w:rsid w:val="00077765"/>
    <w:rsid w:val="00080F20"/>
    <w:rsid w:val="00086D07"/>
    <w:rsid w:val="00087C0C"/>
    <w:rsid w:val="00090A91"/>
    <w:rsid w:val="000A2A87"/>
    <w:rsid w:val="000A53A5"/>
    <w:rsid w:val="000A55CB"/>
    <w:rsid w:val="000C11BD"/>
    <w:rsid w:val="000C3237"/>
    <w:rsid w:val="000C53E4"/>
    <w:rsid w:val="000C75D1"/>
    <w:rsid w:val="000C76D4"/>
    <w:rsid w:val="000D370F"/>
    <w:rsid w:val="000D3916"/>
    <w:rsid w:val="000D630C"/>
    <w:rsid w:val="000E0A1F"/>
    <w:rsid w:val="000E144E"/>
    <w:rsid w:val="000E5684"/>
    <w:rsid w:val="0010351C"/>
    <w:rsid w:val="00104829"/>
    <w:rsid w:val="001346C3"/>
    <w:rsid w:val="00136123"/>
    <w:rsid w:val="00136EDA"/>
    <w:rsid w:val="00140240"/>
    <w:rsid w:val="0015535D"/>
    <w:rsid w:val="00170A0E"/>
    <w:rsid w:val="001720C1"/>
    <w:rsid w:val="00174B1A"/>
    <w:rsid w:val="00175BB6"/>
    <w:rsid w:val="00180A6B"/>
    <w:rsid w:val="00190F83"/>
    <w:rsid w:val="001A1CCF"/>
    <w:rsid w:val="001A44C2"/>
    <w:rsid w:val="001B1D28"/>
    <w:rsid w:val="001B305E"/>
    <w:rsid w:val="001B37AF"/>
    <w:rsid w:val="001D10CD"/>
    <w:rsid w:val="001D2000"/>
    <w:rsid w:val="001D27E8"/>
    <w:rsid w:val="001E290D"/>
    <w:rsid w:val="001E3091"/>
    <w:rsid w:val="001E356B"/>
    <w:rsid w:val="001E4C24"/>
    <w:rsid w:val="001F4FFC"/>
    <w:rsid w:val="0020779B"/>
    <w:rsid w:val="00214803"/>
    <w:rsid w:val="00214D0E"/>
    <w:rsid w:val="00221449"/>
    <w:rsid w:val="0022211B"/>
    <w:rsid w:val="002247E2"/>
    <w:rsid w:val="00224D3E"/>
    <w:rsid w:val="0022789B"/>
    <w:rsid w:val="00230CAB"/>
    <w:rsid w:val="002427BB"/>
    <w:rsid w:val="002473B2"/>
    <w:rsid w:val="00247F81"/>
    <w:rsid w:val="0025728E"/>
    <w:rsid w:val="00267374"/>
    <w:rsid w:val="00270C05"/>
    <w:rsid w:val="00277FE5"/>
    <w:rsid w:val="002823FE"/>
    <w:rsid w:val="002850D1"/>
    <w:rsid w:val="0029728E"/>
    <w:rsid w:val="002A1975"/>
    <w:rsid w:val="002B032A"/>
    <w:rsid w:val="002B1E47"/>
    <w:rsid w:val="002B40C2"/>
    <w:rsid w:val="002B6FE7"/>
    <w:rsid w:val="002B7D2D"/>
    <w:rsid w:val="002C1734"/>
    <w:rsid w:val="002C1833"/>
    <w:rsid w:val="002C4713"/>
    <w:rsid w:val="002D00E3"/>
    <w:rsid w:val="002D7268"/>
    <w:rsid w:val="002E0D41"/>
    <w:rsid w:val="002E3AF8"/>
    <w:rsid w:val="002F0531"/>
    <w:rsid w:val="00320A4C"/>
    <w:rsid w:val="00323241"/>
    <w:rsid w:val="00326AC8"/>
    <w:rsid w:val="00331E1E"/>
    <w:rsid w:val="00335A9A"/>
    <w:rsid w:val="0034545C"/>
    <w:rsid w:val="00364941"/>
    <w:rsid w:val="00364BC5"/>
    <w:rsid w:val="003705A1"/>
    <w:rsid w:val="00375E45"/>
    <w:rsid w:val="00380D37"/>
    <w:rsid w:val="00383D80"/>
    <w:rsid w:val="0038483D"/>
    <w:rsid w:val="00387603"/>
    <w:rsid w:val="00392F1A"/>
    <w:rsid w:val="003934F0"/>
    <w:rsid w:val="003940DD"/>
    <w:rsid w:val="00397D48"/>
    <w:rsid w:val="003A1828"/>
    <w:rsid w:val="003B0350"/>
    <w:rsid w:val="003B70E5"/>
    <w:rsid w:val="003C3D60"/>
    <w:rsid w:val="003C3E01"/>
    <w:rsid w:val="003C54D4"/>
    <w:rsid w:val="003D01BD"/>
    <w:rsid w:val="003D16A3"/>
    <w:rsid w:val="003D5050"/>
    <w:rsid w:val="003D75BF"/>
    <w:rsid w:val="003E21DE"/>
    <w:rsid w:val="003E35AB"/>
    <w:rsid w:val="003E48BD"/>
    <w:rsid w:val="003E6666"/>
    <w:rsid w:val="003E78FA"/>
    <w:rsid w:val="003F330E"/>
    <w:rsid w:val="00400305"/>
    <w:rsid w:val="00403531"/>
    <w:rsid w:val="00404F3C"/>
    <w:rsid w:val="004079FB"/>
    <w:rsid w:val="00414A25"/>
    <w:rsid w:val="0042147A"/>
    <w:rsid w:val="00425CEB"/>
    <w:rsid w:val="00426167"/>
    <w:rsid w:val="004267CA"/>
    <w:rsid w:val="00430279"/>
    <w:rsid w:val="00436BDE"/>
    <w:rsid w:val="00437053"/>
    <w:rsid w:val="00442494"/>
    <w:rsid w:val="004757EC"/>
    <w:rsid w:val="00485769"/>
    <w:rsid w:val="00497028"/>
    <w:rsid w:val="004A09B8"/>
    <w:rsid w:val="004B4ECD"/>
    <w:rsid w:val="004C6019"/>
    <w:rsid w:val="004D2850"/>
    <w:rsid w:val="004D7397"/>
    <w:rsid w:val="004F1322"/>
    <w:rsid w:val="00505589"/>
    <w:rsid w:val="00514CEE"/>
    <w:rsid w:val="00515376"/>
    <w:rsid w:val="00517611"/>
    <w:rsid w:val="005209F7"/>
    <w:rsid w:val="0052158C"/>
    <w:rsid w:val="00521CBC"/>
    <w:rsid w:val="00523B4E"/>
    <w:rsid w:val="00526408"/>
    <w:rsid w:val="00527A80"/>
    <w:rsid w:val="0053450E"/>
    <w:rsid w:val="005365CF"/>
    <w:rsid w:val="00543922"/>
    <w:rsid w:val="00551827"/>
    <w:rsid w:val="00561BFF"/>
    <w:rsid w:val="00575D1B"/>
    <w:rsid w:val="005863FA"/>
    <w:rsid w:val="00586588"/>
    <w:rsid w:val="00592FD3"/>
    <w:rsid w:val="00593890"/>
    <w:rsid w:val="005973E0"/>
    <w:rsid w:val="005A0C83"/>
    <w:rsid w:val="005A58CF"/>
    <w:rsid w:val="005B616F"/>
    <w:rsid w:val="005B7018"/>
    <w:rsid w:val="005C6D66"/>
    <w:rsid w:val="005D5E32"/>
    <w:rsid w:val="005D7744"/>
    <w:rsid w:val="005E0442"/>
    <w:rsid w:val="005E0C75"/>
    <w:rsid w:val="005E3142"/>
    <w:rsid w:val="005F04E1"/>
    <w:rsid w:val="00611631"/>
    <w:rsid w:val="00612B79"/>
    <w:rsid w:val="00613F21"/>
    <w:rsid w:val="006169F3"/>
    <w:rsid w:val="00625681"/>
    <w:rsid w:val="00625CA0"/>
    <w:rsid w:val="00634C9F"/>
    <w:rsid w:val="00636BD3"/>
    <w:rsid w:val="006525FD"/>
    <w:rsid w:val="006606FA"/>
    <w:rsid w:val="00661D15"/>
    <w:rsid w:val="00664F4D"/>
    <w:rsid w:val="00683D57"/>
    <w:rsid w:val="00684AB1"/>
    <w:rsid w:val="00685CDA"/>
    <w:rsid w:val="006874C9"/>
    <w:rsid w:val="006927D9"/>
    <w:rsid w:val="00694902"/>
    <w:rsid w:val="00696ACF"/>
    <w:rsid w:val="006A4412"/>
    <w:rsid w:val="006A4ED0"/>
    <w:rsid w:val="006A662F"/>
    <w:rsid w:val="006A6698"/>
    <w:rsid w:val="006B5076"/>
    <w:rsid w:val="006C214B"/>
    <w:rsid w:val="006C6393"/>
    <w:rsid w:val="006D1853"/>
    <w:rsid w:val="006D4376"/>
    <w:rsid w:val="006E26EA"/>
    <w:rsid w:val="006E31F6"/>
    <w:rsid w:val="006E4616"/>
    <w:rsid w:val="006F01D4"/>
    <w:rsid w:val="006F07BC"/>
    <w:rsid w:val="006F30F3"/>
    <w:rsid w:val="00701B5D"/>
    <w:rsid w:val="00711A8F"/>
    <w:rsid w:val="007175FC"/>
    <w:rsid w:val="00725BFA"/>
    <w:rsid w:val="00726BEF"/>
    <w:rsid w:val="0072712A"/>
    <w:rsid w:val="00736878"/>
    <w:rsid w:val="00742E6A"/>
    <w:rsid w:val="007529DF"/>
    <w:rsid w:val="00753FED"/>
    <w:rsid w:val="00767D5C"/>
    <w:rsid w:val="007752FB"/>
    <w:rsid w:val="00781AE3"/>
    <w:rsid w:val="00785F9C"/>
    <w:rsid w:val="007A5177"/>
    <w:rsid w:val="007B4534"/>
    <w:rsid w:val="007C1F70"/>
    <w:rsid w:val="007C24AD"/>
    <w:rsid w:val="007C2F62"/>
    <w:rsid w:val="007C3F73"/>
    <w:rsid w:val="007E159C"/>
    <w:rsid w:val="007F25DA"/>
    <w:rsid w:val="008104A8"/>
    <w:rsid w:val="00812243"/>
    <w:rsid w:val="008127F9"/>
    <w:rsid w:val="008154BB"/>
    <w:rsid w:val="008274A6"/>
    <w:rsid w:val="0082782C"/>
    <w:rsid w:val="00831348"/>
    <w:rsid w:val="008319BB"/>
    <w:rsid w:val="00833F83"/>
    <w:rsid w:val="00835DF5"/>
    <w:rsid w:val="00851C8A"/>
    <w:rsid w:val="0085506A"/>
    <w:rsid w:val="008568A0"/>
    <w:rsid w:val="008573BE"/>
    <w:rsid w:val="00870338"/>
    <w:rsid w:val="00882C74"/>
    <w:rsid w:val="008835E6"/>
    <w:rsid w:val="008914BA"/>
    <w:rsid w:val="00897910"/>
    <w:rsid w:val="008A03D0"/>
    <w:rsid w:val="008A3498"/>
    <w:rsid w:val="008A436B"/>
    <w:rsid w:val="008A478C"/>
    <w:rsid w:val="008A5F6D"/>
    <w:rsid w:val="008A6227"/>
    <w:rsid w:val="008B10EF"/>
    <w:rsid w:val="008B186F"/>
    <w:rsid w:val="008D153A"/>
    <w:rsid w:val="008E4051"/>
    <w:rsid w:val="008E502D"/>
    <w:rsid w:val="008E5047"/>
    <w:rsid w:val="008F5D9B"/>
    <w:rsid w:val="008F7929"/>
    <w:rsid w:val="00906016"/>
    <w:rsid w:val="00914776"/>
    <w:rsid w:val="00923FA2"/>
    <w:rsid w:val="00933EA3"/>
    <w:rsid w:val="0093474B"/>
    <w:rsid w:val="00935C7F"/>
    <w:rsid w:val="00936F11"/>
    <w:rsid w:val="00946DE0"/>
    <w:rsid w:val="00956D58"/>
    <w:rsid w:val="00957F6F"/>
    <w:rsid w:val="009604EA"/>
    <w:rsid w:val="00963FAC"/>
    <w:rsid w:val="00963FE2"/>
    <w:rsid w:val="009705A3"/>
    <w:rsid w:val="00973044"/>
    <w:rsid w:val="00977F61"/>
    <w:rsid w:val="00991DF5"/>
    <w:rsid w:val="00994CBE"/>
    <w:rsid w:val="00997180"/>
    <w:rsid w:val="009A56F2"/>
    <w:rsid w:val="009B5B1C"/>
    <w:rsid w:val="009B6BAB"/>
    <w:rsid w:val="009C12E9"/>
    <w:rsid w:val="009C1458"/>
    <w:rsid w:val="009C5AA9"/>
    <w:rsid w:val="009D59A5"/>
    <w:rsid w:val="009D7937"/>
    <w:rsid w:val="009E0CAD"/>
    <w:rsid w:val="009E18D3"/>
    <w:rsid w:val="009E25F9"/>
    <w:rsid w:val="009E5102"/>
    <w:rsid w:val="009F5B70"/>
    <w:rsid w:val="009F5F3C"/>
    <w:rsid w:val="00A05525"/>
    <w:rsid w:val="00A06A9E"/>
    <w:rsid w:val="00A207A6"/>
    <w:rsid w:val="00A47E38"/>
    <w:rsid w:val="00A60CA6"/>
    <w:rsid w:val="00A67D90"/>
    <w:rsid w:val="00A70520"/>
    <w:rsid w:val="00A7240F"/>
    <w:rsid w:val="00A72A6C"/>
    <w:rsid w:val="00A75D25"/>
    <w:rsid w:val="00A807CC"/>
    <w:rsid w:val="00A855FA"/>
    <w:rsid w:val="00A940FF"/>
    <w:rsid w:val="00AA0FB7"/>
    <w:rsid w:val="00AA5351"/>
    <w:rsid w:val="00AB1605"/>
    <w:rsid w:val="00AB4675"/>
    <w:rsid w:val="00AB59AD"/>
    <w:rsid w:val="00AC448A"/>
    <w:rsid w:val="00AE2A25"/>
    <w:rsid w:val="00AE53AA"/>
    <w:rsid w:val="00B017D0"/>
    <w:rsid w:val="00B043B4"/>
    <w:rsid w:val="00B07251"/>
    <w:rsid w:val="00B12901"/>
    <w:rsid w:val="00B263B9"/>
    <w:rsid w:val="00B41006"/>
    <w:rsid w:val="00B4412E"/>
    <w:rsid w:val="00B52FA8"/>
    <w:rsid w:val="00B560E9"/>
    <w:rsid w:val="00B57C0A"/>
    <w:rsid w:val="00B70B43"/>
    <w:rsid w:val="00B7210A"/>
    <w:rsid w:val="00B73C6A"/>
    <w:rsid w:val="00B7438E"/>
    <w:rsid w:val="00B7766F"/>
    <w:rsid w:val="00B77805"/>
    <w:rsid w:val="00B92E6B"/>
    <w:rsid w:val="00B972E8"/>
    <w:rsid w:val="00BA1DA1"/>
    <w:rsid w:val="00BB0D4F"/>
    <w:rsid w:val="00BB0D73"/>
    <w:rsid w:val="00BD12E7"/>
    <w:rsid w:val="00BD5BC8"/>
    <w:rsid w:val="00C107D4"/>
    <w:rsid w:val="00C11625"/>
    <w:rsid w:val="00C16D00"/>
    <w:rsid w:val="00C25B6E"/>
    <w:rsid w:val="00C32C85"/>
    <w:rsid w:val="00C33526"/>
    <w:rsid w:val="00C41DB4"/>
    <w:rsid w:val="00C43F49"/>
    <w:rsid w:val="00C4420B"/>
    <w:rsid w:val="00C50087"/>
    <w:rsid w:val="00C568E7"/>
    <w:rsid w:val="00C608D2"/>
    <w:rsid w:val="00C66EFE"/>
    <w:rsid w:val="00C70053"/>
    <w:rsid w:val="00C7375A"/>
    <w:rsid w:val="00C82751"/>
    <w:rsid w:val="00C83EFE"/>
    <w:rsid w:val="00C903EE"/>
    <w:rsid w:val="00CA5D66"/>
    <w:rsid w:val="00CA722D"/>
    <w:rsid w:val="00CB0D42"/>
    <w:rsid w:val="00CB6B93"/>
    <w:rsid w:val="00CC07C7"/>
    <w:rsid w:val="00CD15CE"/>
    <w:rsid w:val="00CD2D1A"/>
    <w:rsid w:val="00CD3036"/>
    <w:rsid w:val="00CE19BD"/>
    <w:rsid w:val="00CE3DA8"/>
    <w:rsid w:val="00CE62B6"/>
    <w:rsid w:val="00D00459"/>
    <w:rsid w:val="00D06341"/>
    <w:rsid w:val="00D10E88"/>
    <w:rsid w:val="00D16CBD"/>
    <w:rsid w:val="00D26574"/>
    <w:rsid w:val="00D26926"/>
    <w:rsid w:val="00D35E7B"/>
    <w:rsid w:val="00D36887"/>
    <w:rsid w:val="00D37142"/>
    <w:rsid w:val="00D378C9"/>
    <w:rsid w:val="00D44716"/>
    <w:rsid w:val="00D57D05"/>
    <w:rsid w:val="00D60C4C"/>
    <w:rsid w:val="00D91698"/>
    <w:rsid w:val="00D95D6C"/>
    <w:rsid w:val="00DA31A2"/>
    <w:rsid w:val="00DB0488"/>
    <w:rsid w:val="00DC769A"/>
    <w:rsid w:val="00DD33C1"/>
    <w:rsid w:val="00DD55FA"/>
    <w:rsid w:val="00DD5E62"/>
    <w:rsid w:val="00DD62C1"/>
    <w:rsid w:val="00DD6751"/>
    <w:rsid w:val="00DD6B06"/>
    <w:rsid w:val="00DE12D8"/>
    <w:rsid w:val="00DF5420"/>
    <w:rsid w:val="00DF6BB1"/>
    <w:rsid w:val="00E00685"/>
    <w:rsid w:val="00E013BD"/>
    <w:rsid w:val="00E01693"/>
    <w:rsid w:val="00E02B1B"/>
    <w:rsid w:val="00E02BF0"/>
    <w:rsid w:val="00E07280"/>
    <w:rsid w:val="00E12B16"/>
    <w:rsid w:val="00E13F20"/>
    <w:rsid w:val="00E14850"/>
    <w:rsid w:val="00E149F0"/>
    <w:rsid w:val="00E43C1A"/>
    <w:rsid w:val="00E53FB1"/>
    <w:rsid w:val="00E708E0"/>
    <w:rsid w:val="00E73FCE"/>
    <w:rsid w:val="00E77024"/>
    <w:rsid w:val="00E80E4C"/>
    <w:rsid w:val="00E8292A"/>
    <w:rsid w:val="00E838FE"/>
    <w:rsid w:val="00E84AF5"/>
    <w:rsid w:val="00E85EC9"/>
    <w:rsid w:val="00E86119"/>
    <w:rsid w:val="00E87907"/>
    <w:rsid w:val="00E87D84"/>
    <w:rsid w:val="00E91FA1"/>
    <w:rsid w:val="00E96D6B"/>
    <w:rsid w:val="00EA42AB"/>
    <w:rsid w:val="00ED3631"/>
    <w:rsid w:val="00EE6E46"/>
    <w:rsid w:val="00EF093B"/>
    <w:rsid w:val="00EF61A8"/>
    <w:rsid w:val="00F001CF"/>
    <w:rsid w:val="00F077CE"/>
    <w:rsid w:val="00F10191"/>
    <w:rsid w:val="00F22BC8"/>
    <w:rsid w:val="00F32670"/>
    <w:rsid w:val="00F3510D"/>
    <w:rsid w:val="00F364FF"/>
    <w:rsid w:val="00F40793"/>
    <w:rsid w:val="00F42243"/>
    <w:rsid w:val="00F42BA6"/>
    <w:rsid w:val="00F451DF"/>
    <w:rsid w:val="00F45808"/>
    <w:rsid w:val="00F60B6E"/>
    <w:rsid w:val="00F63108"/>
    <w:rsid w:val="00F718E4"/>
    <w:rsid w:val="00F74E65"/>
    <w:rsid w:val="00F8002C"/>
    <w:rsid w:val="00F87AB6"/>
    <w:rsid w:val="00FA085E"/>
    <w:rsid w:val="00FA346E"/>
    <w:rsid w:val="00FD2E8C"/>
    <w:rsid w:val="00FD4335"/>
    <w:rsid w:val="00FD62D1"/>
    <w:rsid w:val="00FD7A7F"/>
    <w:rsid w:val="00FE1A52"/>
    <w:rsid w:val="00FE6687"/>
    <w:rsid w:val="00FE68C5"/>
    <w:rsid w:val="00FE7F21"/>
    <w:rsid w:val="00FF1058"/>
    <w:rsid w:val="00FF131F"/>
    <w:rsid w:val="00FF53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D406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8E4"/>
  </w:style>
  <w:style w:type="paragraph" w:styleId="Heading1">
    <w:name w:val="heading 1"/>
    <w:basedOn w:val="Normal"/>
    <w:next w:val="Normal"/>
    <w:link w:val="Heading1Char"/>
    <w:uiPriority w:val="9"/>
    <w:qFormat/>
    <w:rsid w:val="008F79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26B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903E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850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69F3"/>
    <w:pPr>
      <w:autoSpaceDE w:val="0"/>
      <w:autoSpaceDN w:val="0"/>
      <w:adjustRightInd w:val="0"/>
      <w:spacing w:after="0" w:line="240" w:lineRule="auto"/>
    </w:pPr>
    <w:rPr>
      <w:rFonts w:ascii="MMERT Y+ Bliss" w:hAnsi="MMERT Y+ Bliss" w:cs="MMERT Y+ Bliss"/>
      <w:color w:val="000000"/>
      <w:sz w:val="24"/>
      <w:szCs w:val="24"/>
    </w:rPr>
  </w:style>
  <w:style w:type="paragraph" w:customStyle="1" w:styleId="Pa3">
    <w:name w:val="Pa3"/>
    <w:basedOn w:val="Default"/>
    <w:next w:val="Default"/>
    <w:uiPriority w:val="99"/>
    <w:rsid w:val="006169F3"/>
    <w:pPr>
      <w:spacing w:line="241" w:lineRule="atLeast"/>
    </w:pPr>
    <w:rPr>
      <w:rFonts w:cstheme="minorBidi"/>
      <w:color w:val="auto"/>
    </w:rPr>
  </w:style>
  <w:style w:type="paragraph" w:styleId="FootnoteText">
    <w:name w:val="footnote text"/>
    <w:aliases w:val="Footnotes,Footnote Text Char Char Char Char,Footnote Text Char Char Char Char Char,Footnote Text Char Char Char,Char Char Char Char,Char Char Char,5_G,Arial,Footnote Text Char Char1,Footnote Text Char2,Footnote Text Char1 Char1,Char,fn,ft"/>
    <w:basedOn w:val="Normal"/>
    <w:link w:val="FootnoteTextChar"/>
    <w:uiPriority w:val="99"/>
    <w:unhideWhenUsed/>
    <w:qFormat/>
    <w:rsid w:val="008274A6"/>
    <w:pPr>
      <w:spacing w:after="0" w:line="240" w:lineRule="auto"/>
    </w:pPr>
    <w:rPr>
      <w:sz w:val="20"/>
      <w:szCs w:val="20"/>
    </w:rPr>
  </w:style>
  <w:style w:type="character" w:customStyle="1" w:styleId="FootnoteTextChar">
    <w:name w:val="Footnote Text Char"/>
    <w:aliases w:val="Footnotes Char,Footnote Text Char Char Char Char Char1,Footnote Text Char Char Char Char Char Char,Footnote Text Char Char Char Char1,Char Char Char Char Char,Char Char Char Char1,5_G Char,Arial Char,Footnote Text Char Char1 Char"/>
    <w:basedOn w:val="DefaultParagraphFont"/>
    <w:link w:val="FootnoteText"/>
    <w:uiPriority w:val="99"/>
    <w:rsid w:val="008274A6"/>
    <w:rPr>
      <w:sz w:val="20"/>
      <w:szCs w:val="20"/>
    </w:rPr>
  </w:style>
  <w:style w:type="character" w:styleId="FootnoteReference">
    <w:name w:val="footnote reference"/>
    <w:aliases w:val="4_G,Footnote Refernece,Footnotes refss,Footnote number,4_G Char,Footnotes refss Char,ftref Char,BVI fnr Char,BVI fnr Car Car Char,BVI fnr Car Char,BVI fnr Car Car Car Car Char,BVI fnr Char Car Car Car Char,callout,Ref"/>
    <w:basedOn w:val="DefaultParagraphFont"/>
    <w:link w:val="ftref"/>
    <w:uiPriority w:val="99"/>
    <w:unhideWhenUsed/>
    <w:qFormat/>
    <w:rsid w:val="008274A6"/>
    <w:rPr>
      <w:vertAlign w:val="superscript"/>
    </w:rPr>
  </w:style>
  <w:style w:type="paragraph" w:styleId="ListParagraph">
    <w:name w:val="List Paragraph"/>
    <w:basedOn w:val="Normal"/>
    <w:uiPriority w:val="34"/>
    <w:qFormat/>
    <w:rsid w:val="0015535D"/>
    <w:pPr>
      <w:ind w:left="720"/>
      <w:contextualSpacing/>
    </w:pPr>
  </w:style>
  <w:style w:type="character" w:customStyle="1" w:styleId="Heading2Char">
    <w:name w:val="Heading 2 Char"/>
    <w:basedOn w:val="DefaultParagraphFont"/>
    <w:link w:val="Heading2"/>
    <w:uiPriority w:val="9"/>
    <w:rsid w:val="00726BE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903EE"/>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8F792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B5B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B1C"/>
  </w:style>
  <w:style w:type="paragraph" w:styleId="Footer">
    <w:name w:val="footer"/>
    <w:basedOn w:val="Normal"/>
    <w:link w:val="FooterChar"/>
    <w:uiPriority w:val="99"/>
    <w:unhideWhenUsed/>
    <w:rsid w:val="009B5B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B1C"/>
  </w:style>
  <w:style w:type="paragraph" w:styleId="NormalWeb">
    <w:name w:val="Normal (Web)"/>
    <w:basedOn w:val="Normal"/>
    <w:uiPriority w:val="99"/>
    <w:semiHidden/>
    <w:unhideWhenUsed/>
    <w:rsid w:val="00FD2E8C"/>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NoSpacing">
    <w:name w:val="No Spacing"/>
    <w:uiPriority w:val="1"/>
    <w:qFormat/>
    <w:rsid w:val="00FD2E8C"/>
    <w:pPr>
      <w:spacing w:after="0" w:line="240" w:lineRule="auto"/>
    </w:pPr>
  </w:style>
  <w:style w:type="character" w:styleId="Hyperlink">
    <w:name w:val="Hyperlink"/>
    <w:basedOn w:val="DefaultParagraphFont"/>
    <w:uiPriority w:val="99"/>
    <w:unhideWhenUsed/>
    <w:rsid w:val="006B5076"/>
    <w:rPr>
      <w:color w:val="0563C1" w:themeColor="hyperlink"/>
      <w:u w:val="single"/>
    </w:rPr>
  </w:style>
  <w:style w:type="character" w:styleId="Strong">
    <w:name w:val="Strong"/>
    <w:basedOn w:val="DefaultParagraphFont"/>
    <w:uiPriority w:val="22"/>
    <w:qFormat/>
    <w:rsid w:val="00B57C0A"/>
    <w:rPr>
      <w:b/>
      <w:bCs/>
    </w:rPr>
  </w:style>
  <w:style w:type="character" w:styleId="Emphasis">
    <w:name w:val="Emphasis"/>
    <w:basedOn w:val="DefaultParagraphFont"/>
    <w:uiPriority w:val="20"/>
    <w:qFormat/>
    <w:rsid w:val="00B57C0A"/>
    <w:rPr>
      <w:i/>
      <w:iCs/>
    </w:rPr>
  </w:style>
  <w:style w:type="paragraph" w:customStyle="1" w:styleId="ftref">
    <w:name w:val="ftref"/>
    <w:aliases w:val="BVI fnr,BVI fnr Car Car,BVI fnr Car,BVI fnr Car Car Car Car,BVI fnr Char Car Car Car,BVI fnr Car Car Car Car Char Char,BVI fnr Car Car Car Car Char Char Char Char Char"/>
    <w:basedOn w:val="Normal"/>
    <w:link w:val="FootnoteReference"/>
    <w:uiPriority w:val="99"/>
    <w:rsid w:val="002B6FE7"/>
    <w:pPr>
      <w:spacing w:line="240" w:lineRule="exact"/>
      <w:jc w:val="both"/>
    </w:pPr>
    <w:rPr>
      <w:vertAlign w:val="superscript"/>
    </w:rPr>
  </w:style>
  <w:style w:type="paragraph" w:styleId="BalloonText">
    <w:name w:val="Balloon Text"/>
    <w:basedOn w:val="Normal"/>
    <w:link w:val="BalloonTextChar"/>
    <w:uiPriority w:val="99"/>
    <w:semiHidden/>
    <w:unhideWhenUsed/>
    <w:rsid w:val="004D28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850"/>
    <w:rPr>
      <w:rFonts w:ascii="Segoe UI" w:hAnsi="Segoe UI" w:cs="Segoe UI"/>
      <w:sz w:val="18"/>
      <w:szCs w:val="18"/>
    </w:rPr>
  </w:style>
  <w:style w:type="character" w:customStyle="1" w:styleId="Heading4Char">
    <w:name w:val="Heading 4 Char"/>
    <w:basedOn w:val="DefaultParagraphFont"/>
    <w:link w:val="Heading4"/>
    <w:uiPriority w:val="9"/>
    <w:semiHidden/>
    <w:rsid w:val="002850D1"/>
    <w:rPr>
      <w:rFonts w:asciiTheme="majorHAnsi" w:eastAsiaTheme="majorEastAsia" w:hAnsiTheme="majorHAnsi" w:cstheme="majorBidi"/>
      <w:i/>
      <w:iCs/>
      <w:color w:val="2F5496" w:themeColor="accent1" w:themeShade="BF"/>
    </w:rPr>
  </w:style>
  <w:style w:type="paragraph" w:styleId="PlainText">
    <w:name w:val="Plain Text"/>
    <w:basedOn w:val="Normal"/>
    <w:link w:val="PlainTextChar"/>
    <w:uiPriority w:val="99"/>
    <w:semiHidden/>
    <w:unhideWhenUsed/>
    <w:rsid w:val="002A197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A1975"/>
    <w:rPr>
      <w:rFonts w:ascii="Calibri" w:hAnsi="Calibri"/>
      <w:szCs w:val="21"/>
    </w:rPr>
  </w:style>
  <w:style w:type="character" w:styleId="FollowedHyperlink">
    <w:name w:val="FollowedHyperlink"/>
    <w:basedOn w:val="DefaultParagraphFont"/>
    <w:uiPriority w:val="99"/>
    <w:semiHidden/>
    <w:unhideWhenUsed/>
    <w:rsid w:val="002A1975"/>
    <w:rPr>
      <w:color w:val="954F72" w:themeColor="followedHyperlink"/>
      <w:u w:val="single"/>
    </w:rPr>
  </w:style>
  <w:style w:type="paragraph" w:customStyle="1" w:styleId="DefaultText1">
    <w:name w:val="Default Text:1"/>
    <w:basedOn w:val="Normal"/>
    <w:rsid w:val="00BB0D73"/>
    <w:pPr>
      <w:tabs>
        <w:tab w:val="left" w:pos="0"/>
      </w:tabs>
      <w:overflowPunct w:val="0"/>
      <w:autoSpaceDE w:val="0"/>
      <w:autoSpaceDN w:val="0"/>
      <w:adjustRightInd w:val="0"/>
      <w:spacing w:after="0" w:line="240" w:lineRule="auto"/>
    </w:pPr>
    <w:rPr>
      <w:rFonts w:ascii="Times New Roman" w:eastAsia="Times New Roman" w:hAnsi="Times New Roman" w:cs="Times New Roman"/>
      <w:color w:val="000000"/>
      <w:sz w:val="20"/>
      <w:szCs w:val="20"/>
      <w:lang w:val="en-GB"/>
    </w:rPr>
  </w:style>
  <w:style w:type="character" w:styleId="CommentReference">
    <w:name w:val="annotation reference"/>
    <w:basedOn w:val="DefaultParagraphFont"/>
    <w:uiPriority w:val="99"/>
    <w:semiHidden/>
    <w:unhideWhenUsed/>
    <w:rsid w:val="001A44C2"/>
    <w:rPr>
      <w:sz w:val="16"/>
      <w:szCs w:val="16"/>
    </w:rPr>
  </w:style>
  <w:style w:type="paragraph" w:styleId="CommentText">
    <w:name w:val="annotation text"/>
    <w:basedOn w:val="Normal"/>
    <w:link w:val="CommentTextChar"/>
    <w:uiPriority w:val="99"/>
    <w:semiHidden/>
    <w:unhideWhenUsed/>
    <w:rsid w:val="001A44C2"/>
    <w:pPr>
      <w:spacing w:line="240" w:lineRule="auto"/>
    </w:pPr>
    <w:rPr>
      <w:sz w:val="20"/>
      <w:szCs w:val="20"/>
    </w:rPr>
  </w:style>
  <w:style w:type="character" w:customStyle="1" w:styleId="CommentTextChar">
    <w:name w:val="Comment Text Char"/>
    <w:basedOn w:val="DefaultParagraphFont"/>
    <w:link w:val="CommentText"/>
    <w:uiPriority w:val="99"/>
    <w:semiHidden/>
    <w:rsid w:val="001A44C2"/>
    <w:rPr>
      <w:sz w:val="20"/>
      <w:szCs w:val="20"/>
    </w:rPr>
  </w:style>
  <w:style w:type="paragraph" w:styleId="CommentSubject">
    <w:name w:val="annotation subject"/>
    <w:basedOn w:val="CommentText"/>
    <w:next w:val="CommentText"/>
    <w:link w:val="CommentSubjectChar"/>
    <w:uiPriority w:val="99"/>
    <w:semiHidden/>
    <w:unhideWhenUsed/>
    <w:rsid w:val="001A44C2"/>
    <w:rPr>
      <w:b/>
      <w:bCs/>
    </w:rPr>
  </w:style>
  <w:style w:type="character" w:customStyle="1" w:styleId="CommentSubjectChar">
    <w:name w:val="Comment Subject Char"/>
    <w:basedOn w:val="CommentTextChar"/>
    <w:link w:val="CommentSubject"/>
    <w:uiPriority w:val="99"/>
    <w:semiHidden/>
    <w:rsid w:val="001A44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520">
      <w:bodyDiv w:val="1"/>
      <w:marLeft w:val="0"/>
      <w:marRight w:val="0"/>
      <w:marTop w:val="0"/>
      <w:marBottom w:val="0"/>
      <w:divBdr>
        <w:top w:val="none" w:sz="0" w:space="0" w:color="auto"/>
        <w:left w:val="none" w:sz="0" w:space="0" w:color="auto"/>
        <w:bottom w:val="none" w:sz="0" w:space="0" w:color="auto"/>
        <w:right w:val="none" w:sz="0" w:space="0" w:color="auto"/>
      </w:divBdr>
    </w:div>
    <w:div w:id="61025001">
      <w:bodyDiv w:val="1"/>
      <w:marLeft w:val="0"/>
      <w:marRight w:val="0"/>
      <w:marTop w:val="0"/>
      <w:marBottom w:val="0"/>
      <w:divBdr>
        <w:top w:val="none" w:sz="0" w:space="0" w:color="auto"/>
        <w:left w:val="none" w:sz="0" w:space="0" w:color="auto"/>
        <w:bottom w:val="none" w:sz="0" w:space="0" w:color="auto"/>
        <w:right w:val="none" w:sz="0" w:space="0" w:color="auto"/>
      </w:divBdr>
    </w:div>
    <w:div w:id="80297919">
      <w:bodyDiv w:val="1"/>
      <w:marLeft w:val="0"/>
      <w:marRight w:val="0"/>
      <w:marTop w:val="0"/>
      <w:marBottom w:val="0"/>
      <w:divBdr>
        <w:top w:val="none" w:sz="0" w:space="0" w:color="auto"/>
        <w:left w:val="none" w:sz="0" w:space="0" w:color="auto"/>
        <w:bottom w:val="none" w:sz="0" w:space="0" w:color="auto"/>
        <w:right w:val="none" w:sz="0" w:space="0" w:color="auto"/>
      </w:divBdr>
    </w:div>
    <w:div w:id="86119332">
      <w:bodyDiv w:val="1"/>
      <w:marLeft w:val="0"/>
      <w:marRight w:val="0"/>
      <w:marTop w:val="0"/>
      <w:marBottom w:val="0"/>
      <w:divBdr>
        <w:top w:val="none" w:sz="0" w:space="0" w:color="auto"/>
        <w:left w:val="none" w:sz="0" w:space="0" w:color="auto"/>
        <w:bottom w:val="none" w:sz="0" w:space="0" w:color="auto"/>
        <w:right w:val="none" w:sz="0" w:space="0" w:color="auto"/>
      </w:divBdr>
    </w:div>
    <w:div w:id="106240249">
      <w:bodyDiv w:val="1"/>
      <w:marLeft w:val="0"/>
      <w:marRight w:val="0"/>
      <w:marTop w:val="0"/>
      <w:marBottom w:val="0"/>
      <w:divBdr>
        <w:top w:val="none" w:sz="0" w:space="0" w:color="auto"/>
        <w:left w:val="none" w:sz="0" w:space="0" w:color="auto"/>
        <w:bottom w:val="none" w:sz="0" w:space="0" w:color="auto"/>
        <w:right w:val="none" w:sz="0" w:space="0" w:color="auto"/>
      </w:divBdr>
    </w:div>
    <w:div w:id="131678599">
      <w:bodyDiv w:val="1"/>
      <w:marLeft w:val="0"/>
      <w:marRight w:val="0"/>
      <w:marTop w:val="0"/>
      <w:marBottom w:val="0"/>
      <w:divBdr>
        <w:top w:val="none" w:sz="0" w:space="0" w:color="auto"/>
        <w:left w:val="none" w:sz="0" w:space="0" w:color="auto"/>
        <w:bottom w:val="none" w:sz="0" w:space="0" w:color="auto"/>
        <w:right w:val="none" w:sz="0" w:space="0" w:color="auto"/>
      </w:divBdr>
    </w:div>
    <w:div w:id="177934019">
      <w:bodyDiv w:val="1"/>
      <w:marLeft w:val="0"/>
      <w:marRight w:val="0"/>
      <w:marTop w:val="0"/>
      <w:marBottom w:val="0"/>
      <w:divBdr>
        <w:top w:val="none" w:sz="0" w:space="0" w:color="auto"/>
        <w:left w:val="none" w:sz="0" w:space="0" w:color="auto"/>
        <w:bottom w:val="none" w:sz="0" w:space="0" w:color="auto"/>
        <w:right w:val="none" w:sz="0" w:space="0" w:color="auto"/>
      </w:divBdr>
    </w:div>
    <w:div w:id="269509017">
      <w:bodyDiv w:val="1"/>
      <w:marLeft w:val="0"/>
      <w:marRight w:val="0"/>
      <w:marTop w:val="0"/>
      <w:marBottom w:val="0"/>
      <w:divBdr>
        <w:top w:val="none" w:sz="0" w:space="0" w:color="auto"/>
        <w:left w:val="none" w:sz="0" w:space="0" w:color="auto"/>
        <w:bottom w:val="none" w:sz="0" w:space="0" w:color="auto"/>
        <w:right w:val="none" w:sz="0" w:space="0" w:color="auto"/>
      </w:divBdr>
    </w:div>
    <w:div w:id="382100585">
      <w:bodyDiv w:val="1"/>
      <w:marLeft w:val="0"/>
      <w:marRight w:val="0"/>
      <w:marTop w:val="0"/>
      <w:marBottom w:val="0"/>
      <w:divBdr>
        <w:top w:val="none" w:sz="0" w:space="0" w:color="auto"/>
        <w:left w:val="none" w:sz="0" w:space="0" w:color="auto"/>
        <w:bottom w:val="none" w:sz="0" w:space="0" w:color="auto"/>
        <w:right w:val="none" w:sz="0" w:space="0" w:color="auto"/>
      </w:divBdr>
    </w:div>
    <w:div w:id="419374418">
      <w:bodyDiv w:val="1"/>
      <w:marLeft w:val="0"/>
      <w:marRight w:val="0"/>
      <w:marTop w:val="0"/>
      <w:marBottom w:val="0"/>
      <w:divBdr>
        <w:top w:val="none" w:sz="0" w:space="0" w:color="auto"/>
        <w:left w:val="none" w:sz="0" w:space="0" w:color="auto"/>
        <w:bottom w:val="none" w:sz="0" w:space="0" w:color="auto"/>
        <w:right w:val="none" w:sz="0" w:space="0" w:color="auto"/>
      </w:divBdr>
    </w:div>
    <w:div w:id="508756648">
      <w:bodyDiv w:val="1"/>
      <w:marLeft w:val="0"/>
      <w:marRight w:val="0"/>
      <w:marTop w:val="0"/>
      <w:marBottom w:val="0"/>
      <w:divBdr>
        <w:top w:val="none" w:sz="0" w:space="0" w:color="auto"/>
        <w:left w:val="none" w:sz="0" w:space="0" w:color="auto"/>
        <w:bottom w:val="none" w:sz="0" w:space="0" w:color="auto"/>
        <w:right w:val="none" w:sz="0" w:space="0" w:color="auto"/>
      </w:divBdr>
    </w:div>
    <w:div w:id="582842087">
      <w:bodyDiv w:val="1"/>
      <w:marLeft w:val="0"/>
      <w:marRight w:val="0"/>
      <w:marTop w:val="0"/>
      <w:marBottom w:val="0"/>
      <w:divBdr>
        <w:top w:val="none" w:sz="0" w:space="0" w:color="auto"/>
        <w:left w:val="none" w:sz="0" w:space="0" w:color="auto"/>
        <w:bottom w:val="none" w:sz="0" w:space="0" w:color="auto"/>
        <w:right w:val="none" w:sz="0" w:space="0" w:color="auto"/>
      </w:divBdr>
    </w:div>
    <w:div w:id="610674366">
      <w:bodyDiv w:val="1"/>
      <w:marLeft w:val="0"/>
      <w:marRight w:val="0"/>
      <w:marTop w:val="0"/>
      <w:marBottom w:val="0"/>
      <w:divBdr>
        <w:top w:val="none" w:sz="0" w:space="0" w:color="auto"/>
        <w:left w:val="none" w:sz="0" w:space="0" w:color="auto"/>
        <w:bottom w:val="none" w:sz="0" w:space="0" w:color="auto"/>
        <w:right w:val="none" w:sz="0" w:space="0" w:color="auto"/>
      </w:divBdr>
    </w:div>
    <w:div w:id="631864551">
      <w:bodyDiv w:val="1"/>
      <w:marLeft w:val="0"/>
      <w:marRight w:val="0"/>
      <w:marTop w:val="0"/>
      <w:marBottom w:val="0"/>
      <w:divBdr>
        <w:top w:val="none" w:sz="0" w:space="0" w:color="auto"/>
        <w:left w:val="none" w:sz="0" w:space="0" w:color="auto"/>
        <w:bottom w:val="none" w:sz="0" w:space="0" w:color="auto"/>
        <w:right w:val="none" w:sz="0" w:space="0" w:color="auto"/>
      </w:divBdr>
    </w:div>
    <w:div w:id="656230014">
      <w:bodyDiv w:val="1"/>
      <w:marLeft w:val="0"/>
      <w:marRight w:val="0"/>
      <w:marTop w:val="0"/>
      <w:marBottom w:val="0"/>
      <w:divBdr>
        <w:top w:val="none" w:sz="0" w:space="0" w:color="auto"/>
        <w:left w:val="none" w:sz="0" w:space="0" w:color="auto"/>
        <w:bottom w:val="none" w:sz="0" w:space="0" w:color="auto"/>
        <w:right w:val="none" w:sz="0" w:space="0" w:color="auto"/>
      </w:divBdr>
    </w:div>
    <w:div w:id="721371164">
      <w:bodyDiv w:val="1"/>
      <w:marLeft w:val="0"/>
      <w:marRight w:val="0"/>
      <w:marTop w:val="0"/>
      <w:marBottom w:val="0"/>
      <w:divBdr>
        <w:top w:val="none" w:sz="0" w:space="0" w:color="auto"/>
        <w:left w:val="none" w:sz="0" w:space="0" w:color="auto"/>
        <w:bottom w:val="none" w:sz="0" w:space="0" w:color="auto"/>
        <w:right w:val="none" w:sz="0" w:space="0" w:color="auto"/>
      </w:divBdr>
    </w:div>
    <w:div w:id="845168762">
      <w:bodyDiv w:val="1"/>
      <w:marLeft w:val="0"/>
      <w:marRight w:val="0"/>
      <w:marTop w:val="0"/>
      <w:marBottom w:val="0"/>
      <w:divBdr>
        <w:top w:val="none" w:sz="0" w:space="0" w:color="auto"/>
        <w:left w:val="none" w:sz="0" w:space="0" w:color="auto"/>
        <w:bottom w:val="none" w:sz="0" w:space="0" w:color="auto"/>
        <w:right w:val="none" w:sz="0" w:space="0" w:color="auto"/>
      </w:divBdr>
    </w:div>
    <w:div w:id="858355578">
      <w:bodyDiv w:val="1"/>
      <w:marLeft w:val="0"/>
      <w:marRight w:val="0"/>
      <w:marTop w:val="0"/>
      <w:marBottom w:val="0"/>
      <w:divBdr>
        <w:top w:val="none" w:sz="0" w:space="0" w:color="auto"/>
        <w:left w:val="none" w:sz="0" w:space="0" w:color="auto"/>
        <w:bottom w:val="none" w:sz="0" w:space="0" w:color="auto"/>
        <w:right w:val="none" w:sz="0" w:space="0" w:color="auto"/>
      </w:divBdr>
    </w:div>
    <w:div w:id="877396199">
      <w:bodyDiv w:val="1"/>
      <w:marLeft w:val="0"/>
      <w:marRight w:val="0"/>
      <w:marTop w:val="0"/>
      <w:marBottom w:val="0"/>
      <w:divBdr>
        <w:top w:val="none" w:sz="0" w:space="0" w:color="auto"/>
        <w:left w:val="none" w:sz="0" w:space="0" w:color="auto"/>
        <w:bottom w:val="none" w:sz="0" w:space="0" w:color="auto"/>
        <w:right w:val="none" w:sz="0" w:space="0" w:color="auto"/>
      </w:divBdr>
    </w:div>
    <w:div w:id="906842788">
      <w:bodyDiv w:val="1"/>
      <w:marLeft w:val="0"/>
      <w:marRight w:val="0"/>
      <w:marTop w:val="0"/>
      <w:marBottom w:val="0"/>
      <w:divBdr>
        <w:top w:val="none" w:sz="0" w:space="0" w:color="auto"/>
        <w:left w:val="none" w:sz="0" w:space="0" w:color="auto"/>
        <w:bottom w:val="none" w:sz="0" w:space="0" w:color="auto"/>
        <w:right w:val="none" w:sz="0" w:space="0" w:color="auto"/>
      </w:divBdr>
    </w:div>
    <w:div w:id="932512015">
      <w:bodyDiv w:val="1"/>
      <w:marLeft w:val="0"/>
      <w:marRight w:val="0"/>
      <w:marTop w:val="0"/>
      <w:marBottom w:val="0"/>
      <w:divBdr>
        <w:top w:val="none" w:sz="0" w:space="0" w:color="auto"/>
        <w:left w:val="none" w:sz="0" w:space="0" w:color="auto"/>
        <w:bottom w:val="none" w:sz="0" w:space="0" w:color="auto"/>
        <w:right w:val="none" w:sz="0" w:space="0" w:color="auto"/>
      </w:divBdr>
    </w:div>
    <w:div w:id="944776766">
      <w:bodyDiv w:val="1"/>
      <w:marLeft w:val="0"/>
      <w:marRight w:val="0"/>
      <w:marTop w:val="0"/>
      <w:marBottom w:val="0"/>
      <w:divBdr>
        <w:top w:val="none" w:sz="0" w:space="0" w:color="auto"/>
        <w:left w:val="none" w:sz="0" w:space="0" w:color="auto"/>
        <w:bottom w:val="none" w:sz="0" w:space="0" w:color="auto"/>
        <w:right w:val="none" w:sz="0" w:space="0" w:color="auto"/>
      </w:divBdr>
    </w:div>
    <w:div w:id="946279477">
      <w:bodyDiv w:val="1"/>
      <w:marLeft w:val="0"/>
      <w:marRight w:val="0"/>
      <w:marTop w:val="0"/>
      <w:marBottom w:val="0"/>
      <w:divBdr>
        <w:top w:val="none" w:sz="0" w:space="0" w:color="auto"/>
        <w:left w:val="none" w:sz="0" w:space="0" w:color="auto"/>
        <w:bottom w:val="none" w:sz="0" w:space="0" w:color="auto"/>
        <w:right w:val="none" w:sz="0" w:space="0" w:color="auto"/>
      </w:divBdr>
      <w:divsChild>
        <w:div w:id="1219244878">
          <w:marLeft w:val="0"/>
          <w:marRight w:val="0"/>
          <w:marTop w:val="0"/>
          <w:marBottom w:val="0"/>
          <w:divBdr>
            <w:top w:val="none" w:sz="0" w:space="0" w:color="auto"/>
            <w:left w:val="none" w:sz="0" w:space="0" w:color="auto"/>
            <w:bottom w:val="none" w:sz="0" w:space="0" w:color="auto"/>
            <w:right w:val="none" w:sz="0" w:space="0" w:color="auto"/>
          </w:divBdr>
          <w:divsChild>
            <w:div w:id="1178496433">
              <w:marLeft w:val="-225"/>
              <w:marRight w:val="-225"/>
              <w:marTop w:val="0"/>
              <w:marBottom w:val="0"/>
              <w:divBdr>
                <w:top w:val="none" w:sz="0" w:space="0" w:color="auto"/>
                <w:left w:val="none" w:sz="0" w:space="0" w:color="auto"/>
                <w:bottom w:val="none" w:sz="0" w:space="0" w:color="auto"/>
                <w:right w:val="none" w:sz="0" w:space="0" w:color="auto"/>
              </w:divBdr>
            </w:div>
          </w:divsChild>
        </w:div>
        <w:div w:id="2013678810">
          <w:marLeft w:val="0"/>
          <w:marRight w:val="0"/>
          <w:marTop w:val="0"/>
          <w:marBottom w:val="0"/>
          <w:divBdr>
            <w:top w:val="none" w:sz="0" w:space="0" w:color="auto"/>
            <w:left w:val="none" w:sz="0" w:space="0" w:color="auto"/>
            <w:bottom w:val="none" w:sz="0" w:space="0" w:color="auto"/>
            <w:right w:val="none" w:sz="0" w:space="0" w:color="auto"/>
          </w:divBdr>
          <w:divsChild>
            <w:div w:id="1050809679">
              <w:marLeft w:val="-225"/>
              <w:marRight w:val="-225"/>
              <w:marTop w:val="0"/>
              <w:marBottom w:val="0"/>
              <w:divBdr>
                <w:top w:val="none" w:sz="0" w:space="0" w:color="auto"/>
                <w:left w:val="none" w:sz="0" w:space="0" w:color="auto"/>
                <w:bottom w:val="none" w:sz="0" w:space="0" w:color="auto"/>
                <w:right w:val="none" w:sz="0" w:space="0" w:color="auto"/>
              </w:divBdr>
            </w:div>
          </w:divsChild>
        </w:div>
        <w:div w:id="1548686284">
          <w:marLeft w:val="0"/>
          <w:marRight w:val="0"/>
          <w:marTop w:val="0"/>
          <w:marBottom w:val="0"/>
          <w:divBdr>
            <w:top w:val="none" w:sz="0" w:space="0" w:color="auto"/>
            <w:left w:val="none" w:sz="0" w:space="0" w:color="auto"/>
            <w:bottom w:val="none" w:sz="0" w:space="0" w:color="auto"/>
            <w:right w:val="none" w:sz="0" w:space="0" w:color="auto"/>
          </w:divBdr>
          <w:divsChild>
            <w:div w:id="1439332086">
              <w:marLeft w:val="-225"/>
              <w:marRight w:val="-225"/>
              <w:marTop w:val="0"/>
              <w:marBottom w:val="0"/>
              <w:divBdr>
                <w:top w:val="none" w:sz="0" w:space="0" w:color="auto"/>
                <w:left w:val="none" w:sz="0" w:space="0" w:color="auto"/>
                <w:bottom w:val="none" w:sz="0" w:space="0" w:color="auto"/>
                <w:right w:val="none" w:sz="0" w:space="0" w:color="auto"/>
              </w:divBdr>
            </w:div>
          </w:divsChild>
        </w:div>
        <w:div w:id="444623140">
          <w:marLeft w:val="0"/>
          <w:marRight w:val="0"/>
          <w:marTop w:val="0"/>
          <w:marBottom w:val="0"/>
          <w:divBdr>
            <w:top w:val="none" w:sz="0" w:space="0" w:color="auto"/>
            <w:left w:val="none" w:sz="0" w:space="0" w:color="auto"/>
            <w:bottom w:val="none" w:sz="0" w:space="0" w:color="auto"/>
            <w:right w:val="none" w:sz="0" w:space="0" w:color="auto"/>
          </w:divBdr>
          <w:divsChild>
            <w:div w:id="261382188">
              <w:marLeft w:val="-225"/>
              <w:marRight w:val="-225"/>
              <w:marTop w:val="0"/>
              <w:marBottom w:val="0"/>
              <w:divBdr>
                <w:top w:val="none" w:sz="0" w:space="0" w:color="auto"/>
                <w:left w:val="none" w:sz="0" w:space="0" w:color="auto"/>
                <w:bottom w:val="none" w:sz="0" w:space="0" w:color="auto"/>
                <w:right w:val="none" w:sz="0" w:space="0" w:color="auto"/>
              </w:divBdr>
            </w:div>
          </w:divsChild>
        </w:div>
        <w:div w:id="1009671753">
          <w:marLeft w:val="0"/>
          <w:marRight w:val="0"/>
          <w:marTop w:val="0"/>
          <w:marBottom w:val="0"/>
          <w:divBdr>
            <w:top w:val="none" w:sz="0" w:space="0" w:color="auto"/>
            <w:left w:val="none" w:sz="0" w:space="0" w:color="auto"/>
            <w:bottom w:val="none" w:sz="0" w:space="0" w:color="auto"/>
            <w:right w:val="none" w:sz="0" w:space="0" w:color="auto"/>
          </w:divBdr>
          <w:divsChild>
            <w:div w:id="983047365">
              <w:marLeft w:val="-225"/>
              <w:marRight w:val="-225"/>
              <w:marTop w:val="0"/>
              <w:marBottom w:val="0"/>
              <w:divBdr>
                <w:top w:val="none" w:sz="0" w:space="0" w:color="auto"/>
                <w:left w:val="none" w:sz="0" w:space="0" w:color="auto"/>
                <w:bottom w:val="none" w:sz="0" w:space="0" w:color="auto"/>
                <w:right w:val="none" w:sz="0" w:space="0" w:color="auto"/>
              </w:divBdr>
            </w:div>
          </w:divsChild>
        </w:div>
        <w:div w:id="1728989666">
          <w:marLeft w:val="0"/>
          <w:marRight w:val="0"/>
          <w:marTop w:val="0"/>
          <w:marBottom w:val="0"/>
          <w:divBdr>
            <w:top w:val="none" w:sz="0" w:space="0" w:color="auto"/>
            <w:left w:val="none" w:sz="0" w:space="0" w:color="auto"/>
            <w:bottom w:val="none" w:sz="0" w:space="0" w:color="auto"/>
            <w:right w:val="none" w:sz="0" w:space="0" w:color="auto"/>
          </w:divBdr>
          <w:divsChild>
            <w:div w:id="1245259711">
              <w:marLeft w:val="-225"/>
              <w:marRight w:val="-225"/>
              <w:marTop w:val="0"/>
              <w:marBottom w:val="0"/>
              <w:divBdr>
                <w:top w:val="none" w:sz="0" w:space="0" w:color="auto"/>
                <w:left w:val="none" w:sz="0" w:space="0" w:color="auto"/>
                <w:bottom w:val="none" w:sz="0" w:space="0" w:color="auto"/>
                <w:right w:val="none" w:sz="0" w:space="0" w:color="auto"/>
              </w:divBdr>
            </w:div>
          </w:divsChild>
        </w:div>
        <w:div w:id="726684728">
          <w:marLeft w:val="0"/>
          <w:marRight w:val="0"/>
          <w:marTop w:val="0"/>
          <w:marBottom w:val="0"/>
          <w:divBdr>
            <w:top w:val="none" w:sz="0" w:space="0" w:color="auto"/>
            <w:left w:val="none" w:sz="0" w:space="0" w:color="auto"/>
            <w:bottom w:val="none" w:sz="0" w:space="0" w:color="auto"/>
            <w:right w:val="none" w:sz="0" w:space="0" w:color="auto"/>
          </w:divBdr>
          <w:divsChild>
            <w:div w:id="292445709">
              <w:marLeft w:val="-225"/>
              <w:marRight w:val="-225"/>
              <w:marTop w:val="0"/>
              <w:marBottom w:val="0"/>
              <w:divBdr>
                <w:top w:val="none" w:sz="0" w:space="0" w:color="auto"/>
                <w:left w:val="none" w:sz="0" w:space="0" w:color="auto"/>
                <w:bottom w:val="none" w:sz="0" w:space="0" w:color="auto"/>
                <w:right w:val="none" w:sz="0" w:space="0" w:color="auto"/>
              </w:divBdr>
            </w:div>
          </w:divsChild>
        </w:div>
        <w:div w:id="2048866027">
          <w:marLeft w:val="0"/>
          <w:marRight w:val="0"/>
          <w:marTop w:val="0"/>
          <w:marBottom w:val="0"/>
          <w:divBdr>
            <w:top w:val="none" w:sz="0" w:space="0" w:color="auto"/>
            <w:left w:val="none" w:sz="0" w:space="0" w:color="auto"/>
            <w:bottom w:val="none" w:sz="0" w:space="0" w:color="auto"/>
            <w:right w:val="none" w:sz="0" w:space="0" w:color="auto"/>
          </w:divBdr>
          <w:divsChild>
            <w:div w:id="2001157534">
              <w:marLeft w:val="-225"/>
              <w:marRight w:val="-225"/>
              <w:marTop w:val="0"/>
              <w:marBottom w:val="0"/>
              <w:divBdr>
                <w:top w:val="none" w:sz="0" w:space="0" w:color="auto"/>
                <w:left w:val="none" w:sz="0" w:space="0" w:color="auto"/>
                <w:bottom w:val="none" w:sz="0" w:space="0" w:color="auto"/>
                <w:right w:val="none" w:sz="0" w:space="0" w:color="auto"/>
              </w:divBdr>
            </w:div>
          </w:divsChild>
        </w:div>
        <w:div w:id="1780448942">
          <w:marLeft w:val="0"/>
          <w:marRight w:val="0"/>
          <w:marTop w:val="0"/>
          <w:marBottom w:val="0"/>
          <w:divBdr>
            <w:top w:val="none" w:sz="0" w:space="0" w:color="auto"/>
            <w:left w:val="none" w:sz="0" w:space="0" w:color="auto"/>
            <w:bottom w:val="none" w:sz="0" w:space="0" w:color="auto"/>
            <w:right w:val="none" w:sz="0" w:space="0" w:color="auto"/>
          </w:divBdr>
          <w:divsChild>
            <w:div w:id="1568415976">
              <w:marLeft w:val="-225"/>
              <w:marRight w:val="-225"/>
              <w:marTop w:val="0"/>
              <w:marBottom w:val="0"/>
              <w:divBdr>
                <w:top w:val="none" w:sz="0" w:space="0" w:color="auto"/>
                <w:left w:val="none" w:sz="0" w:space="0" w:color="auto"/>
                <w:bottom w:val="none" w:sz="0" w:space="0" w:color="auto"/>
                <w:right w:val="none" w:sz="0" w:space="0" w:color="auto"/>
              </w:divBdr>
            </w:div>
          </w:divsChild>
        </w:div>
        <w:div w:id="769813283">
          <w:marLeft w:val="0"/>
          <w:marRight w:val="0"/>
          <w:marTop w:val="0"/>
          <w:marBottom w:val="0"/>
          <w:divBdr>
            <w:top w:val="none" w:sz="0" w:space="0" w:color="auto"/>
            <w:left w:val="none" w:sz="0" w:space="0" w:color="auto"/>
            <w:bottom w:val="none" w:sz="0" w:space="0" w:color="auto"/>
            <w:right w:val="none" w:sz="0" w:space="0" w:color="auto"/>
          </w:divBdr>
          <w:divsChild>
            <w:div w:id="318778169">
              <w:marLeft w:val="-225"/>
              <w:marRight w:val="-225"/>
              <w:marTop w:val="0"/>
              <w:marBottom w:val="0"/>
              <w:divBdr>
                <w:top w:val="none" w:sz="0" w:space="0" w:color="auto"/>
                <w:left w:val="none" w:sz="0" w:space="0" w:color="auto"/>
                <w:bottom w:val="none" w:sz="0" w:space="0" w:color="auto"/>
                <w:right w:val="none" w:sz="0" w:space="0" w:color="auto"/>
              </w:divBdr>
            </w:div>
          </w:divsChild>
        </w:div>
        <w:div w:id="1812861837">
          <w:marLeft w:val="0"/>
          <w:marRight w:val="0"/>
          <w:marTop w:val="0"/>
          <w:marBottom w:val="0"/>
          <w:divBdr>
            <w:top w:val="none" w:sz="0" w:space="0" w:color="auto"/>
            <w:left w:val="none" w:sz="0" w:space="0" w:color="auto"/>
            <w:bottom w:val="none" w:sz="0" w:space="0" w:color="auto"/>
            <w:right w:val="none" w:sz="0" w:space="0" w:color="auto"/>
          </w:divBdr>
          <w:divsChild>
            <w:div w:id="1301377942">
              <w:marLeft w:val="-225"/>
              <w:marRight w:val="-225"/>
              <w:marTop w:val="0"/>
              <w:marBottom w:val="0"/>
              <w:divBdr>
                <w:top w:val="none" w:sz="0" w:space="0" w:color="auto"/>
                <w:left w:val="none" w:sz="0" w:space="0" w:color="auto"/>
                <w:bottom w:val="none" w:sz="0" w:space="0" w:color="auto"/>
                <w:right w:val="none" w:sz="0" w:space="0" w:color="auto"/>
              </w:divBdr>
            </w:div>
          </w:divsChild>
        </w:div>
        <w:div w:id="920528097">
          <w:marLeft w:val="0"/>
          <w:marRight w:val="0"/>
          <w:marTop w:val="0"/>
          <w:marBottom w:val="0"/>
          <w:divBdr>
            <w:top w:val="none" w:sz="0" w:space="0" w:color="auto"/>
            <w:left w:val="none" w:sz="0" w:space="0" w:color="auto"/>
            <w:bottom w:val="none" w:sz="0" w:space="0" w:color="auto"/>
            <w:right w:val="none" w:sz="0" w:space="0" w:color="auto"/>
          </w:divBdr>
          <w:divsChild>
            <w:div w:id="88426125">
              <w:marLeft w:val="-225"/>
              <w:marRight w:val="-225"/>
              <w:marTop w:val="0"/>
              <w:marBottom w:val="0"/>
              <w:divBdr>
                <w:top w:val="none" w:sz="0" w:space="0" w:color="auto"/>
                <w:left w:val="none" w:sz="0" w:space="0" w:color="auto"/>
                <w:bottom w:val="none" w:sz="0" w:space="0" w:color="auto"/>
                <w:right w:val="none" w:sz="0" w:space="0" w:color="auto"/>
              </w:divBdr>
            </w:div>
          </w:divsChild>
        </w:div>
        <w:div w:id="955019905">
          <w:marLeft w:val="0"/>
          <w:marRight w:val="0"/>
          <w:marTop w:val="0"/>
          <w:marBottom w:val="0"/>
          <w:divBdr>
            <w:top w:val="none" w:sz="0" w:space="0" w:color="auto"/>
            <w:left w:val="none" w:sz="0" w:space="0" w:color="auto"/>
            <w:bottom w:val="none" w:sz="0" w:space="0" w:color="auto"/>
            <w:right w:val="none" w:sz="0" w:space="0" w:color="auto"/>
          </w:divBdr>
          <w:divsChild>
            <w:div w:id="1397053377">
              <w:marLeft w:val="-225"/>
              <w:marRight w:val="-225"/>
              <w:marTop w:val="0"/>
              <w:marBottom w:val="0"/>
              <w:divBdr>
                <w:top w:val="none" w:sz="0" w:space="0" w:color="auto"/>
                <w:left w:val="none" w:sz="0" w:space="0" w:color="auto"/>
                <w:bottom w:val="none" w:sz="0" w:space="0" w:color="auto"/>
                <w:right w:val="none" w:sz="0" w:space="0" w:color="auto"/>
              </w:divBdr>
            </w:div>
          </w:divsChild>
        </w:div>
        <w:div w:id="837188505">
          <w:marLeft w:val="0"/>
          <w:marRight w:val="0"/>
          <w:marTop w:val="0"/>
          <w:marBottom w:val="0"/>
          <w:divBdr>
            <w:top w:val="none" w:sz="0" w:space="0" w:color="auto"/>
            <w:left w:val="none" w:sz="0" w:space="0" w:color="auto"/>
            <w:bottom w:val="none" w:sz="0" w:space="0" w:color="auto"/>
            <w:right w:val="none" w:sz="0" w:space="0" w:color="auto"/>
          </w:divBdr>
          <w:divsChild>
            <w:div w:id="1635326682">
              <w:marLeft w:val="-225"/>
              <w:marRight w:val="-225"/>
              <w:marTop w:val="0"/>
              <w:marBottom w:val="0"/>
              <w:divBdr>
                <w:top w:val="none" w:sz="0" w:space="0" w:color="auto"/>
                <w:left w:val="none" w:sz="0" w:space="0" w:color="auto"/>
                <w:bottom w:val="none" w:sz="0" w:space="0" w:color="auto"/>
                <w:right w:val="none" w:sz="0" w:space="0" w:color="auto"/>
              </w:divBdr>
            </w:div>
          </w:divsChild>
        </w:div>
        <w:div w:id="785542549">
          <w:marLeft w:val="0"/>
          <w:marRight w:val="0"/>
          <w:marTop w:val="0"/>
          <w:marBottom w:val="0"/>
          <w:divBdr>
            <w:top w:val="none" w:sz="0" w:space="0" w:color="auto"/>
            <w:left w:val="none" w:sz="0" w:space="0" w:color="auto"/>
            <w:bottom w:val="none" w:sz="0" w:space="0" w:color="auto"/>
            <w:right w:val="none" w:sz="0" w:space="0" w:color="auto"/>
          </w:divBdr>
          <w:divsChild>
            <w:div w:id="625821485">
              <w:marLeft w:val="-225"/>
              <w:marRight w:val="-225"/>
              <w:marTop w:val="0"/>
              <w:marBottom w:val="0"/>
              <w:divBdr>
                <w:top w:val="none" w:sz="0" w:space="0" w:color="auto"/>
                <w:left w:val="none" w:sz="0" w:space="0" w:color="auto"/>
                <w:bottom w:val="none" w:sz="0" w:space="0" w:color="auto"/>
                <w:right w:val="none" w:sz="0" w:space="0" w:color="auto"/>
              </w:divBdr>
            </w:div>
          </w:divsChild>
        </w:div>
        <w:div w:id="1335761585">
          <w:marLeft w:val="0"/>
          <w:marRight w:val="0"/>
          <w:marTop w:val="0"/>
          <w:marBottom w:val="0"/>
          <w:divBdr>
            <w:top w:val="none" w:sz="0" w:space="0" w:color="auto"/>
            <w:left w:val="none" w:sz="0" w:space="0" w:color="auto"/>
            <w:bottom w:val="none" w:sz="0" w:space="0" w:color="auto"/>
            <w:right w:val="none" w:sz="0" w:space="0" w:color="auto"/>
          </w:divBdr>
          <w:divsChild>
            <w:div w:id="556666409">
              <w:marLeft w:val="-225"/>
              <w:marRight w:val="-225"/>
              <w:marTop w:val="0"/>
              <w:marBottom w:val="0"/>
              <w:divBdr>
                <w:top w:val="none" w:sz="0" w:space="0" w:color="auto"/>
                <w:left w:val="none" w:sz="0" w:space="0" w:color="auto"/>
                <w:bottom w:val="none" w:sz="0" w:space="0" w:color="auto"/>
                <w:right w:val="none" w:sz="0" w:space="0" w:color="auto"/>
              </w:divBdr>
            </w:div>
          </w:divsChild>
        </w:div>
        <w:div w:id="483818709">
          <w:marLeft w:val="0"/>
          <w:marRight w:val="0"/>
          <w:marTop w:val="0"/>
          <w:marBottom w:val="0"/>
          <w:divBdr>
            <w:top w:val="none" w:sz="0" w:space="0" w:color="auto"/>
            <w:left w:val="none" w:sz="0" w:space="0" w:color="auto"/>
            <w:bottom w:val="none" w:sz="0" w:space="0" w:color="auto"/>
            <w:right w:val="none" w:sz="0" w:space="0" w:color="auto"/>
          </w:divBdr>
          <w:divsChild>
            <w:div w:id="2114740145">
              <w:marLeft w:val="-225"/>
              <w:marRight w:val="-225"/>
              <w:marTop w:val="0"/>
              <w:marBottom w:val="0"/>
              <w:divBdr>
                <w:top w:val="none" w:sz="0" w:space="0" w:color="auto"/>
                <w:left w:val="none" w:sz="0" w:space="0" w:color="auto"/>
                <w:bottom w:val="none" w:sz="0" w:space="0" w:color="auto"/>
                <w:right w:val="none" w:sz="0" w:space="0" w:color="auto"/>
              </w:divBdr>
            </w:div>
          </w:divsChild>
        </w:div>
        <w:div w:id="721634321">
          <w:marLeft w:val="0"/>
          <w:marRight w:val="0"/>
          <w:marTop w:val="0"/>
          <w:marBottom w:val="0"/>
          <w:divBdr>
            <w:top w:val="none" w:sz="0" w:space="0" w:color="auto"/>
            <w:left w:val="none" w:sz="0" w:space="0" w:color="auto"/>
            <w:bottom w:val="none" w:sz="0" w:space="0" w:color="auto"/>
            <w:right w:val="none" w:sz="0" w:space="0" w:color="auto"/>
          </w:divBdr>
          <w:divsChild>
            <w:div w:id="506335971">
              <w:marLeft w:val="-225"/>
              <w:marRight w:val="-225"/>
              <w:marTop w:val="0"/>
              <w:marBottom w:val="0"/>
              <w:divBdr>
                <w:top w:val="none" w:sz="0" w:space="0" w:color="auto"/>
                <w:left w:val="none" w:sz="0" w:space="0" w:color="auto"/>
                <w:bottom w:val="none" w:sz="0" w:space="0" w:color="auto"/>
                <w:right w:val="none" w:sz="0" w:space="0" w:color="auto"/>
              </w:divBdr>
            </w:div>
          </w:divsChild>
        </w:div>
        <w:div w:id="1170605326">
          <w:marLeft w:val="0"/>
          <w:marRight w:val="0"/>
          <w:marTop w:val="0"/>
          <w:marBottom w:val="0"/>
          <w:divBdr>
            <w:top w:val="none" w:sz="0" w:space="0" w:color="auto"/>
            <w:left w:val="none" w:sz="0" w:space="0" w:color="auto"/>
            <w:bottom w:val="none" w:sz="0" w:space="0" w:color="auto"/>
            <w:right w:val="none" w:sz="0" w:space="0" w:color="auto"/>
          </w:divBdr>
          <w:divsChild>
            <w:div w:id="1466240810">
              <w:marLeft w:val="-225"/>
              <w:marRight w:val="-225"/>
              <w:marTop w:val="0"/>
              <w:marBottom w:val="0"/>
              <w:divBdr>
                <w:top w:val="none" w:sz="0" w:space="0" w:color="auto"/>
                <w:left w:val="none" w:sz="0" w:space="0" w:color="auto"/>
                <w:bottom w:val="none" w:sz="0" w:space="0" w:color="auto"/>
                <w:right w:val="none" w:sz="0" w:space="0" w:color="auto"/>
              </w:divBdr>
            </w:div>
          </w:divsChild>
        </w:div>
        <w:div w:id="128012244">
          <w:marLeft w:val="0"/>
          <w:marRight w:val="0"/>
          <w:marTop w:val="0"/>
          <w:marBottom w:val="0"/>
          <w:divBdr>
            <w:top w:val="none" w:sz="0" w:space="0" w:color="auto"/>
            <w:left w:val="none" w:sz="0" w:space="0" w:color="auto"/>
            <w:bottom w:val="none" w:sz="0" w:space="0" w:color="auto"/>
            <w:right w:val="none" w:sz="0" w:space="0" w:color="auto"/>
          </w:divBdr>
          <w:divsChild>
            <w:div w:id="1694719426">
              <w:marLeft w:val="-225"/>
              <w:marRight w:val="-225"/>
              <w:marTop w:val="0"/>
              <w:marBottom w:val="0"/>
              <w:divBdr>
                <w:top w:val="none" w:sz="0" w:space="0" w:color="auto"/>
                <w:left w:val="none" w:sz="0" w:space="0" w:color="auto"/>
                <w:bottom w:val="none" w:sz="0" w:space="0" w:color="auto"/>
                <w:right w:val="none" w:sz="0" w:space="0" w:color="auto"/>
              </w:divBdr>
            </w:div>
          </w:divsChild>
        </w:div>
        <w:div w:id="244649669">
          <w:marLeft w:val="0"/>
          <w:marRight w:val="0"/>
          <w:marTop w:val="0"/>
          <w:marBottom w:val="0"/>
          <w:divBdr>
            <w:top w:val="none" w:sz="0" w:space="0" w:color="auto"/>
            <w:left w:val="none" w:sz="0" w:space="0" w:color="auto"/>
            <w:bottom w:val="none" w:sz="0" w:space="0" w:color="auto"/>
            <w:right w:val="none" w:sz="0" w:space="0" w:color="auto"/>
          </w:divBdr>
          <w:divsChild>
            <w:div w:id="424420251">
              <w:marLeft w:val="-225"/>
              <w:marRight w:val="-225"/>
              <w:marTop w:val="0"/>
              <w:marBottom w:val="0"/>
              <w:divBdr>
                <w:top w:val="none" w:sz="0" w:space="0" w:color="auto"/>
                <w:left w:val="none" w:sz="0" w:space="0" w:color="auto"/>
                <w:bottom w:val="none" w:sz="0" w:space="0" w:color="auto"/>
                <w:right w:val="none" w:sz="0" w:space="0" w:color="auto"/>
              </w:divBdr>
            </w:div>
          </w:divsChild>
        </w:div>
        <w:div w:id="35276669">
          <w:marLeft w:val="0"/>
          <w:marRight w:val="0"/>
          <w:marTop w:val="0"/>
          <w:marBottom w:val="0"/>
          <w:divBdr>
            <w:top w:val="none" w:sz="0" w:space="0" w:color="auto"/>
            <w:left w:val="none" w:sz="0" w:space="0" w:color="auto"/>
            <w:bottom w:val="none" w:sz="0" w:space="0" w:color="auto"/>
            <w:right w:val="none" w:sz="0" w:space="0" w:color="auto"/>
          </w:divBdr>
          <w:divsChild>
            <w:div w:id="893783411">
              <w:marLeft w:val="-225"/>
              <w:marRight w:val="-225"/>
              <w:marTop w:val="0"/>
              <w:marBottom w:val="0"/>
              <w:divBdr>
                <w:top w:val="none" w:sz="0" w:space="0" w:color="auto"/>
                <w:left w:val="none" w:sz="0" w:space="0" w:color="auto"/>
                <w:bottom w:val="none" w:sz="0" w:space="0" w:color="auto"/>
                <w:right w:val="none" w:sz="0" w:space="0" w:color="auto"/>
              </w:divBdr>
            </w:div>
          </w:divsChild>
        </w:div>
        <w:div w:id="882712733">
          <w:marLeft w:val="0"/>
          <w:marRight w:val="0"/>
          <w:marTop w:val="0"/>
          <w:marBottom w:val="0"/>
          <w:divBdr>
            <w:top w:val="none" w:sz="0" w:space="0" w:color="auto"/>
            <w:left w:val="none" w:sz="0" w:space="0" w:color="auto"/>
            <w:bottom w:val="none" w:sz="0" w:space="0" w:color="auto"/>
            <w:right w:val="none" w:sz="0" w:space="0" w:color="auto"/>
          </w:divBdr>
          <w:divsChild>
            <w:div w:id="915893544">
              <w:marLeft w:val="-225"/>
              <w:marRight w:val="-225"/>
              <w:marTop w:val="0"/>
              <w:marBottom w:val="0"/>
              <w:divBdr>
                <w:top w:val="none" w:sz="0" w:space="0" w:color="auto"/>
                <w:left w:val="none" w:sz="0" w:space="0" w:color="auto"/>
                <w:bottom w:val="none" w:sz="0" w:space="0" w:color="auto"/>
                <w:right w:val="none" w:sz="0" w:space="0" w:color="auto"/>
              </w:divBdr>
            </w:div>
          </w:divsChild>
        </w:div>
        <w:div w:id="387605693">
          <w:marLeft w:val="0"/>
          <w:marRight w:val="0"/>
          <w:marTop w:val="0"/>
          <w:marBottom w:val="0"/>
          <w:divBdr>
            <w:top w:val="none" w:sz="0" w:space="0" w:color="auto"/>
            <w:left w:val="none" w:sz="0" w:space="0" w:color="auto"/>
            <w:bottom w:val="none" w:sz="0" w:space="0" w:color="auto"/>
            <w:right w:val="none" w:sz="0" w:space="0" w:color="auto"/>
          </w:divBdr>
          <w:divsChild>
            <w:div w:id="1045716929">
              <w:marLeft w:val="-225"/>
              <w:marRight w:val="-225"/>
              <w:marTop w:val="0"/>
              <w:marBottom w:val="0"/>
              <w:divBdr>
                <w:top w:val="none" w:sz="0" w:space="0" w:color="auto"/>
                <w:left w:val="none" w:sz="0" w:space="0" w:color="auto"/>
                <w:bottom w:val="none" w:sz="0" w:space="0" w:color="auto"/>
                <w:right w:val="none" w:sz="0" w:space="0" w:color="auto"/>
              </w:divBdr>
            </w:div>
          </w:divsChild>
        </w:div>
        <w:div w:id="1513766193">
          <w:marLeft w:val="0"/>
          <w:marRight w:val="0"/>
          <w:marTop w:val="0"/>
          <w:marBottom w:val="0"/>
          <w:divBdr>
            <w:top w:val="none" w:sz="0" w:space="0" w:color="auto"/>
            <w:left w:val="none" w:sz="0" w:space="0" w:color="auto"/>
            <w:bottom w:val="none" w:sz="0" w:space="0" w:color="auto"/>
            <w:right w:val="none" w:sz="0" w:space="0" w:color="auto"/>
          </w:divBdr>
          <w:divsChild>
            <w:div w:id="1472821289">
              <w:marLeft w:val="-225"/>
              <w:marRight w:val="-225"/>
              <w:marTop w:val="0"/>
              <w:marBottom w:val="0"/>
              <w:divBdr>
                <w:top w:val="none" w:sz="0" w:space="0" w:color="auto"/>
                <w:left w:val="none" w:sz="0" w:space="0" w:color="auto"/>
                <w:bottom w:val="none" w:sz="0" w:space="0" w:color="auto"/>
                <w:right w:val="none" w:sz="0" w:space="0" w:color="auto"/>
              </w:divBdr>
            </w:div>
          </w:divsChild>
        </w:div>
        <w:div w:id="1361129427">
          <w:marLeft w:val="0"/>
          <w:marRight w:val="0"/>
          <w:marTop w:val="0"/>
          <w:marBottom w:val="0"/>
          <w:divBdr>
            <w:top w:val="none" w:sz="0" w:space="0" w:color="auto"/>
            <w:left w:val="none" w:sz="0" w:space="0" w:color="auto"/>
            <w:bottom w:val="none" w:sz="0" w:space="0" w:color="auto"/>
            <w:right w:val="none" w:sz="0" w:space="0" w:color="auto"/>
          </w:divBdr>
          <w:divsChild>
            <w:div w:id="57601753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994186122">
      <w:bodyDiv w:val="1"/>
      <w:marLeft w:val="0"/>
      <w:marRight w:val="0"/>
      <w:marTop w:val="0"/>
      <w:marBottom w:val="0"/>
      <w:divBdr>
        <w:top w:val="none" w:sz="0" w:space="0" w:color="auto"/>
        <w:left w:val="none" w:sz="0" w:space="0" w:color="auto"/>
        <w:bottom w:val="none" w:sz="0" w:space="0" w:color="auto"/>
        <w:right w:val="none" w:sz="0" w:space="0" w:color="auto"/>
      </w:divBdr>
    </w:div>
    <w:div w:id="1008408817">
      <w:bodyDiv w:val="1"/>
      <w:marLeft w:val="0"/>
      <w:marRight w:val="0"/>
      <w:marTop w:val="0"/>
      <w:marBottom w:val="0"/>
      <w:divBdr>
        <w:top w:val="none" w:sz="0" w:space="0" w:color="auto"/>
        <w:left w:val="none" w:sz="0" w:space="0" w:color="auto"/>
        <w:bottom w:val="none" w:sz="0" w:space="0" w:color="auto"/>
        <w:right w:val="none" w:sz="0" w:space="0" w:color="auto"/>
      </w:divBdr>
    </w:div>
    <w:div w:id="1064910215">
      <w:bodyDiv w:val="1"/>
      <w:marLeft w:val="0"/>
      <w:marRight w:val="0"/>
      <w:marTop w:val="0"/>
      <w:marBottom w:val="0"/>
      <w:divBdr>
        <w:top w:val="none" w:sz="0" w:space="0" w:color="auto"/>
        <w:left w:val="none" w:sz="0" w:space="0" w:color="auto"/>
        <w:bottom w:val="none" w:sz="0" w:space="0" w:color="auto"/>
        <w:right w:val="none" w:sz="0" w:space="0" w:color="auto"/>
      </w:divBdr>
    </w:div>
    <w:div w:id="1094282916">
      <w:bodyDiv w:val="1"/>
      <w:marLeft w:val="0"/>
      <w:marRight w:val="0"/>
      <w:marTop w:val="0"/>
      <w:marBottom w:val="0"/>
      <w:divBdr>
        <w:top w:val="none" w:sz="0" w:space="0" w:color="auto"/>
        <w:left w:val="none" w:sz="0" w:space="0" w:color="auto"/>
        <w:bottom w:val="none" w:sz="0" w:space="0" w:color="auto"/>
        <w:right w:val="none" w:sz="0" w:space="0" w:color="auto"/>
      </w:divBdr>
    </w:div>
    <w:div w:id="1117599161">
      <w:bodyDiv w:val="1"/>
      <w:marLeft w:val="0"/>
      <w:marRight w:val="0"/>
      <w:marTop w:val="0"/>
      <w:marBottom w:val="0"/>
      <w:divBdr>
        <w:top w:val="none" w:sz="0" w:space="0" w:color="auto"/>
        <w:left w:val="none" w:sz="0" w:space="0" w:color="auto"/>
        <w:bottom w:val="none" w:sz="0" w:space="0" w:color="auto"/>
        <w:right w:val="none" w:sz="0" w:space="0" w:color="auto"/>
      </w:divBdr>
    </w:div>
    <w:div w:id="1121144157">
      <w:bodyDiv w:val="1"/>
      <w:marLeft w:val="0"/>
      <w:marRight w:val="0"/>
      <w:marTop w:val="0"/>
      <w:marBottom w:val="0"/>
      <w:divBdr>
        <w:top w:val="none" w:sz="0" w:space="0" w:color="auto"/>
        <w:left w:val="none" w:sz="0" w:space="0" w:color="auto"/>
        <w:bottom w:val="none" w:sz="0" w:space="0" w:color="auto"/>
        <w:right w:val="none" w:sz="0" w:space="0" w:color="auto"/>
      </w:divBdr>
    </w:div>
    <w:div w:id="1168788951">
      <w:bodyDiv w:val="1"/>
      <w:marLeft w:val="0"/>
      <w:marRight w:val="0"/>
      <w:marTop w:val="0"/>
      <w:marBottom w:val="0"/>
      <w:divBdr>
        <w:top w:val="none" w:sz="0" w:space="0" w:color="auto"/>
        <w:left w:val="none" w:sz="0" w:space="0" w:color="auto"/>
        <w:bottom w:val="none" w:sz="0" w:space="0" w:color="auto"/>
        <w:right w:val="none" w:sz="0" w:space="0" w:color="auto"/>
      </w:divBdr>
    </w:div>
    <w:div w:id="1190801562">
      <w:bodyDiv w:val="1"/>
      <w:marLeft w:val="0"/>
      <w:marRight w:val="0"/>
      <w:marTop w:val="0"/>
      <w:marBottom w:val="0"/>
      <w:divBdr>
        <w:top w:val="none" w:sz="0" w:space="0" w:color="auto"/>
        <w:left w:val="none" w:sz="0" w:space="0" w:color="auto"/>
        <w:bottom w:val="none" w:sz="0" w:space="0" w:color="auto"/>
        <w:right w:val="none" w:sz="0" w:space="0" w:color="auto"/>
      </w:divBdr>
    </w:div>
    <w:div w:id="1197546447">
      <w:bodyDiv w:val="1"/>
      <w:marLeft w:val="0"/>
      <w:marRight w:val="0"/>
      <w:marTop w:val="0"/>
      <w:marBottom w:val="0"/>
      <w:divBdr>
        <w:top w:val="none" w:sz="0" w:space="0" w:color="auto"/>
        <w:left w:val="none" w:sz="0" w:space="0" w:color="auto"/>
        <w:bottom w:val="none" w:sz="0" w:space="0" w:color="auto"/>
        <w:right w:val="none" w:sz="0" w:space="0" w:color="auto"/>
      </w:divBdr>
    </w:div>
    <w:div w:id="1210412856">
      <w:bodyDiv w:val="1"/>
      <w:marLeft w:val="0"/>
      <w:marRight w:val="0"/>
      <w:marTop w:val="0"/>
      <w:marBottom w:val="0"/>
      <w:divBdr>
        <w:top w:val="none" w:sz="0" w:space="0" w:color="auto"/>
        <w:left w:val="none" w:sz="0" w:space="0" w:color="auto"/>
        <w:bottom w:val="none" w:sz="0" w:space="0" w:color="auto"/>
        <w:right w:val="none" w:sz="0" w:space="0" w:color="auto"/>
      </w:divBdr>
    </w:div>
    <w:div w:id="1243567126">
      <w:bodyDiv w:val="1"/>
      <w:marLeft w:val="0"/>
      <w:marRight w:val="0"/>
      <w:marTop w:val="0"/>
      <w:marBottom w:val="0"/>
      <w:divBdr>
        <w:top w:val="none" w:sz="0" w:space="0" w:color="auto"/>
        <w:left w:val="none" w:sz="0" w:space="0" w:color="auto"/>
        <w:bottom w:val="none" w:sz="0" w:space="0" w:color="auto"/>
        <w:right w:val="none" w:sz="0" w:space="0" w:color="auto"/>
      </w:divBdr>
    </w:div>
    <w:div w:id="1281185566">
      <w:bodyDiv w:val="1"/>
      <w:marLeft w:val="0"/>
      <w:marRight w:val="0"/>
      <w:marTop w:val="0"/>
      <w:marBottom w:val="0"/>
      <w:divBdr>
        <w:top w:val="none" w:sz="0" w:space="0" w:color="auto"/>
        <w:left w:val="none" w:sz="0" w:space="0" w:color="auto"/>
        <w:bottom w:val="none" w:sz="0" w:space="0" w:color="auto"/>
        <w:right w:val="none" w:sz="0" w:space="0" w:color="auto"/>
      </w:divBdr>
    </w:div>
    <w:div w:id="1355496059">
      <w:bodyDiv w:val="1"/>
      <w:marLeft w:val="0"/>
      <w:marRight w:val="0"/>
      <w:marTop w:val="0"/>
      <w:marBottom w:val="0"/>
      <w:divBdr>
        <w:top w:val="none" w:sz="0" w:space="0" w:color="auto"/>
        <w:left w:val="none" w:sz="0" w:space="0" w:color="auto"/>
        <w:bottom w:val="none" w:sz="0" w:space="0" w:color="auto"/>
        <w:right w:val="none" w:sz="0" w:space="0" w:color="auto"/>
      </w:divBdr>
    </w:div>
    <w:div w:id="1364015444">
      <w:bodyDiv w:val="1"/>
      <w:marLeft w:val="0"/>
      <w:marRight w:val="0"/>
      <w:marTop w:val="0"/>
      <w:marBottom w:val="0"/>
      <w:divBdr>
        <w:top w:val="none" w:sz="0" w:space="0" w:color="auto"/>
        <w:left w:val="none" w:sz="0" w:space="0" w:color="auto"/>
        <w:bottom w:val="none" w:sz="0" w:space="0" w:color="auto"/>
        <w:right w:val="none" w:sz="0" w:space="0" w:color="auto"/>
      </w:divBdr>
    </w:div>
    <w:div w:id="1417555464">
      <w:bodyDiv w:val="1"/>
      <w:marLeft w:val="0"/>
      <w:marRight w:val="0"/>
      <w:marTop w:val="0"/>
      <w:marBottom w:val="0"/>
      <w:divBdr>
        <w:top w:val="none" w:sz="0" w:space="0" w:color="auto"/>
        <w:left w:val="none" w:sz="0" w:space="0" w:color="auto"/>
        <w:bottom w:val="none" w:sz="0" w:space="0" w:color="auto"/>
        <w:right w:val="none" w:sz="0" w:space="0" w:color="auto"/>
      </w:divBdr>
    </w:div>
    <w:div w:id="1419131563">
      <w:bodyDiv w:val="1"/>
      <w:marLeft w:val="0"/>
      <w:marRight w:val="0"/>
      <w:marTop w:val="0"/>
      <w:marBottom w:val="0"/>
      <w:divBdr>
        <w:top w:val="none" w:sz="0" w:space="0" w:color="auto"/>
        <w:left w:val="none" w:sz="0" w:space="0" w:color="auto"/>
        <w:bottom w:val="none" w:sz="0" w:space="0" w:color="auto"/>
        <w:right w:val="none" w:sz="0" w:space="0" w:color="auto"/>
      </w:divBdr>
    </w:div>
    <w:div w:id="1440446459">
      <w:bodyDiv w:val="1"/>
      <w:marLeft w:val="0"/>
      <w:marRight w:val="0"/>
      <w:marTop w:val="0"/>
      <w:marBottom w:val="0"/>
      <w:divBdr>
        <w:top w:val="none" w:sz="0" w:space="0" w:color="auto"/>
        <w:left w:val="none" w:sz="0" w:space="0" w:color="auto"/>
        <w:bottom w:val="none" w:sz="0" w:space="0" w:color="auto"/>
        <w:right w:val="none" w:sz="0" w:space="0" w:color="auto"/>
      </w:divBdr>
    </w:div>
    <w:div w:id="1455755349">
      <w:bodyDiv w:val="1"/>
      <w:marLeft w:val="0"/>
      <w:marRight w:val="0"/>
      <w:marTop w:val="0"/>
      <w:marBottom w:val="0"/>
      <w:divBdr>
        <w:top w:val="none" w:sz="0" w:space="0" w:color="auto"/>
        <w:left w:val="none" w:sz="0" w:space="0" w:color="auto"/>
        <w:bottom w:val="none" w:sz="0" w:space="0" w:color="auto"/>
        <w:right w:val="none" w:sz="0" w:space="0" w:color="auto"/>
      </w:divBdr>
    </w:div>
    <w:div w:id="1476141039">
      <w:bodyDiv w:val="1"/>
      <w:marLeft w:val="0"/>
      <w:marRight w:val="0"/>
      <w:marTop w:val="0"/>
      <w:marBottom w:val="0"/>
      <w:divBdr>
        <w:top w:val="none" w:sz="0" w:space="0" w:color="auto"/>
        <w:left w:val="none" w:sz="0" w:space="0" w:color="auto"/>
        <w:bottom w:val="none" w:sz="0" w:space="0" w:color="auto"/>
        <w:right w:val="none" w:sz="0" w:space="0" w:color="auto"/>
      </w:divBdr>
    </w:div>
    <w:div w:id="1546871420">
      <w:bodyDiv w:val="1"/>
      <w:marLeft w:val="0"/>
      <w:marRight w:val="0"/>
      <w:marTop w:val="0"/>
      <w:marBottom w:val="0"/>
      <w:divBdr>
        <w:top w:val="none" w:sz="0" w:space="0" w:color="auto"/>
        <w:left w:val="none" w:sz="0" w:space="0" w:color="auto"/>
        <w:bottom w:val="none" w:sz="0" w:space="0" w:color="auto"/>
        <w:right w:val="none" w:sz="0" w:space="0" w:color="auto"/>
      </w:divBdr>
    </w:div>
    <w:div w:id="1553346900">
      <w:bodyDiv w:val="1"/>
      <w:marLeft w:val="0"/>
      <w:marRight w:val="0"/>
      <w:marTop w:val="0"/>
      <w:marBottom w:val="0"/>
      <w:divBdr>
        <w:top w:val="none" w:sz="0" w:space="0" w:color="auto"/>
        <w:left w:val="none" w:sz="0" w:space="0" w:color="auto"/>
        <w:bottom w:val="none" w:sz="0" w:space="0" w:color="auto"/>
        <w:right w:val="none" w:sz="0" w:space="0" w:color="auto"/>
      </w:divBdr>
    </w:div>
    <w:div w:id="1584409288">
      <w:bodyDiv w:val="1"/>
      <w:marLeft w:val="0"/>
      <w:marRight w:val="0"/>
      <w:marTop w:val="0"/>
      <w:marBottom w:val="0"/>
      <w:divBdr>
        <w:top w:val="none" w:sz="0" w:space="0" w:color="auto"/>
        <w:left w:val="none" w:sz="0" w:space="0" w:color="auto"/>
        <w:bottom w:val="none" w:sz="0" w:space="0" w:color="auto"/>
        <w:right w:val="none" w:sz="0" w:space="0" w:color="auto"/>
      </w:divBdr>
    </w:div>
    <w:div w:id="1587836905">
      <w:bodyDiv w:val="1"/>
      <w:marLeft w:val="0"/>
      <w:marRight w:val="0"/>
      <w:marTop w:val="0"/>
      <w:marBottom w:val="0"/>
      <w:divBdr>
        <w:top w:val="none" w:sz="0" w:space="0" w:color="auto"/>
        <w:left w:val="none" w:sz="0" w:space="0" w:color="auto"/>
        <w:bottom w:val="none" w:sz="0" w:space="0" w:color="auto"/>
        <w:right w:val="none" w:sz="0" w:space="0" w:color="auto"/>
      </w:divBdr>
    </w:div>
    <w:div w:id="1589197277">
      <w:bodyDiv w:val="1"/>
      <w:marLeft w:val="0"/>
      <w:marRight w:val="0"/>
      <w:marTop w:val="0"/>
      <w:marBottom w:val="0"/>
      <w:divBdr>
        <w:top w:val="none" w:sz="0" w:space="0" w:color="auto"/>
        <w:left w:val="none" w:sz="0" w:space="0" w:color="auto"/>
        <w:bottom w:val="none" w:sz="0" w:space="0" w:color="auto"/>
        <w:right w:val="none" w:sz="0" w:space="0" w:color="auto"/>
      </w:divBdr>
    </w:div>
    <w:div w:id="1591619700">
      <w:bodyDiv w:val="1"/>
      <w:marLeft w:val="0"/>
      <w:marRight w:val="0"/>
      <w:marTop w:val="0"/>
      <w:marBottom w:val="0"/>
      <w:divBdr>
        <w:top w:val="none" w:sz="0" w:space="0" w:color="auto"/>
        <w:left w:val="none" w:sz="0" w:space="0" w:color="auto"/>
        <w:bottom w:val="none" w:sz="0" w:space="0" w:color="auto"/>
        <w:right w:val="none" w:sz="0" w:space="0" w:color="auto"/>
      </w:divBdr>
    </w:div>
    <w:div w:id="1643264521">
      <w:bodyDiv w:val="1"/>
      <w:marLeft w:val="0"/>
      <w:marRight w:val="0"/>
      <w:marTop w:val="0"/>
      <w:marBottom w:val="0"/>
      <w:divBdr>
        <w:top w:val="none" w:sz="0" w:space="0" w:color="auto"/>
        <w:left w:val="none" w:sz="0" w:space="0" w:color="auto"/>
        <w:bottom w:val="none" w:sz="0" w:space="0" w:color="auto"/>
        <w:right w:val="none" w:sz="0" w:space="0" w:color="auto"/>
      </w:divBdr>
    </w:div>
    <w:div w:id="1682664355">
      <w:bodyDiv w:val="1"/>
      <w:marLeft w:val="0"/>
      <w:marRight w:val="0"/>
      <w:marTop w:val="0"/>
      <w:marBottom w:val="0"/>
      <w:divBdr>
        <w:top w:val="none" w:sz="0" w:space="0" w:color="auto"/>
        <w:left w:val="none" w:sz="0" w:space="0" w:color="auto"/>
        <w:bottom w:val="none" w:sz="0" w:space="0" w:color="auto"/>
        <w:right w:val="none" w:sz="0" w:space="0" w:color="auto"/>
      </w:divBdr>
    </w:div>
    <w:div w:id="1713311712">
      <w:bodyDiv w:val="1"/>
      <w:marLeft w:val="0"/>
      <w:marRight w:val="0"/>
      <w:marTop w:val="0"/>
      <w:marBottom w:val="0"/>
      <w:divBdr>
        <w:top w:val="none" w:sz="0" w:space="0" w:color="auto"/>
        <w:left w:val="none" w:sz="0" w:space="0" w:color="auto"/>
        <w:bottom w:val="none" w:sz="0" w:space="0" w:color="auto"/>
        <w:right w:val="none" w:sz="0" w:space="0" w:color="auto"/>
      </w:divBdr>
    </w:div>
    <w:div w:id="1715618942">
      <w:bodyDiv w:val="1"/>
      <w:marLeft w:val="0"/>
      <w:marRight w:val="0"/>
      <w:marTop w:val="0"/>
      <w:marBottom w:val="0"/>
      <w:divBdr>
        <w:top w:val="none" w:sz="0" w:space="0" w:color="auto"/>
        <w:left w:val="none" w:sz="0" w:space="0" w:color="auto"/>
        <w:bottom w:val="none" w:sz="0" w:space="0" w:color="auto"/>
        <w:right w:val="none" w:sz="0" w:space="0" w:color="auto"/>
      </w:divBdr>
    </w:div>
    <w:div w:id="1757051774">
      <w:bodyDiv w:val="1"/>
      <w:marLeft w:val="0"/>
      <w:marRight w:val="0"/>
      <w:marTop w:val="0"/>
      <w:marBottom w:val="0"/>
      <w:divBdr>
        <w:top w:val="none" w:sz="0" w:space="0" w:color="auto"/>
        <w:left w:val="none" w:sz="0" w:space="0" w:color="auto"/>
        <w:bottom w:val="none" w:sz="0" w:space="0" w:color="auto"/>
        <w:right w:val="none" w:sz="0" w:space="0" w:color="auto"/>
      </w:divBdr>
    </w:div>
    <w:div w:id="1786465192">
      <w:bodyDiv w:val="1"/>
      <w:marLeft w:val="0"/>
      <w:marRight w:val="0"/>
      <w:marTop w:val="0"/>
      <w:marBottom w:val="0"/>
      <w:divBdr>
        <w:top w:val="none" w:sz="0" w:space="0" w:color="auto"/>
        <w:left w:val="none" w:sz="0" w:space="0" w:color="auto"/>
        <w:bottom w:val="none" w:sz="0" w:space="0" w:color="auto"/>
        <w:right w:val="none" w:sz="0" w:space="0" w:color="auto"/>
      </w:divBdr>
    </w:div>
    <w:div w:id="1820150321">
      <w:bodyDiv w:val="1"/>
      <w:marLeft w:val="0"/>
      <w:marRight w:val="0"/>
      <w:marTop w:val="0"/>
      <w:marBottom w:val="0"/>
      <w:divBdr>
        <w:top w:val="none" w:sz="0" w:space="0" w:color="auto"/>
        <w:left w:val="none" w:sz="0" w:space="0" w:color="auto"/>
        <w:bottom w:val="none" w:sz="0" w:space="0" w:color="auto"/>
        <w:right w:val="none" w:sz="0" w:space="0" w:color="auto"/>
      </w:divBdr>
    </w:div>
    <w:div w:id="1827165308">
      <w:bodyDiv w:val="1"/>
      <w:marLeft w:val="0"/>
      <w:marRight w:val="0"/>
      <w:marTop w:val="0"/>
      <w:marBottom w:val="0"/>
      <w:divBdr>
        <w:top w:val="none" w:sz="0" w:space="0" w:color="auto"/>
        <w:left w:val="none" w:sz="0" w:space="0" w:color="auto"/>
        <w:bottom w:val="none" w:sz="0" w:space="0" w:color="auto"/>
        <w:right w:val="none" w:sz="0" w:space="0" w:color="auto"/>
      </w:divBdr>
    </w:div>
    <w:div w:id="1855922728">
      <w:bodyDiv w:val="1"/>
      <w:marLeft w:val="0"/>
      <w:marRight w:val="0"/>
      <w:marTop w:val="0"/>
      <w:marBottom w:val="0"/>
      <w:divBdr>
        <w:top w:val="none" w:sz="0" w:space="0" w:color="auto"/>
        <w:left w:val="none" w:sz="0" w:space="0" w:color="auto"/>
        <w:bottom w:val="none" w:sz="0" w:space="0" w:color="auto"/>
        <w:right w:val="none" w:sz="0" w:space="0" w:color="auto"/>
      </w:divBdr>
    </w:div>
    <w:div w:id="1860393327">
      <w:bodyDiv w:val="1"/>
      <w:marLeft w:val="0"/>
      <w:marRight w:val="0"/>
      <w:marTop w:val="0"/>
      <w:marBottom w:val="0"/>
      <w:divBdr>
        <w:top w:val="none" w:sz="0" w:space="0" w:color="auto"/>
        <w:left w:val="none" w:sz="0" w:space="0" w:color="auto"/>
        <w:bottom w:val="none" w:sz="0" w:space="0" w:color="auto"/>
        <w:right w:val="none" w:sz="0" w:space="0" w:color="auto"/>
      </w:divBdr>
    </w:div>
    <w:div w:id="1922983741">
      <w:bodyDiv w:val="1"/>
      <w:marLeft w:val="0"/>
      <w:marRight w:val="0"/>
      <w:marTop w:val="0"/>
      <w:marBottom w:val="0"/>
      <w:divBdr>
        <w:top w:val="none" w:sz="0" w:space="0" w:color="auto"/>
        <w:left w:val="none" w:sz="0" w:space="0" w:color="auto"/>
        <w:bottom w:val="none" w:sz="0" w:space="0" w:color="auto"/>
        <w:right w:val="none" w:sz="0" w:space="0" w:color="auto"/>
      </w:divBdr>
    </w:div>
    <w:div w:id="1930695721">
      <w:bodyDiv w:val="1"/>
      <w:marLeft w:val="0"/>
      <w:marRight w:val="0"/>
      <w:marTop w:val="0"/>
      <w:marBottom w:val="0"/>
      <w:divBdr>
        <w:top w:val="none" w:sz="0" w:space="0" w:color="auto"/>
        <w:left w:val="none" w:sz="0" w:space="0" w:color="auto"/>
        <w:bottom w:val="none" w:sz="0" w:space="0" w:color="auto"/>
        <w:right w:val="none" w:sz="0" w:space="0" w:color="auto"/>
      </w:divBdr>
    </w:div>
    <w:div w:id="1958489919">
      <w:bodyDiv w:val="1"/>
      <w:marLeft w:val="0"/>
      <w:marRight w:val="0"/>
      <w:marTop w:val="0"/>
      <w:marBottom w:val="0"/>
      <w:divBdr>
        <w:top w:val="none" w:sz="0" w:space="0" w:color="auto"/>
        <w:left w:val="none" w:sz="0" w:space="0" w:color="auto"/>
        <w:bottom w:val="none" w:sz="0" w:space="0" w:color="auto"/>
        <w:right w:val="none" w:sz="0" w:space="0" w:color="auto"/>
      </w:divBdr>
    </w:div>
    <w:div w:id="2021277035">
      <w:bodyDiv w:val="1"/>
      <w:marLeft w:val="0"/>
      <w:marRight w:val="0"/>
      <w:marTop w:val="0"/>
      <w:marBottom w:val="0"/>
      <w:divBdr>
        <w:top w:val="none" w:sz="0" w:space="0" w:color="auto"/>
        <w:left w:val="none" w:sz="0" w:space="0" w:color="auto"/>
        <w:bottom w:val="none" w:sz="0" w:space="0" w:color="auto"/>
        <w:right w:val="none" w:sz="0" w:space="0" w:color="auto"/>
      </w:divBdr>
    </w:div>
    <w:div w:id="2080590711">
      <w:bodyDiv w:val="1"/>
      <w:marLeft w:val="0"/>
      <w:marRight w:val="0"/>
      <w:marTop w:val="0"/>
      <w:marBottom w:val="0"/>
      <w:divBdr>
        <w:top w:val="none" w:sz="0" w:space="0" w:color="auto"/>
        <w:left w:val="none" w:sz="0" w:space="0" w:color="auto"/>
        <w:bottom w:val="none" w:sz="0" w:space="0" w:color="auto"/>
        <w:right w:val="none" w:sz="0" w:space="0" w:color="auto"/>
      </w:divBdr>
    </w:div>
    <w:div w:id="210268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data.oireachtas.ie/ie/oireachtas/committee/dail/33/special_committee_on_covid_19_response/submissions/2020/2020-09-30_submission-ronnie-fay-director-pavee-point-traveller-and-roman-centre-scc19r-r-0426_en.pdf" TargetMode="External"/><Relationship Id="rId13" Type="http://schemas.openxmlformats.org/officeDocument/2006/relationships/hyperlink" Target="http://www.nda.ie/Publications/Education/Education-Publications-/Improving-the-Accessibility-of-School-Buildings-read-online/Content-Improving-the-Accessibility-of-School-Buildings/Legislation.html" TargetMode="External"/><Relationship Id="rId3" Type="http://schemas.openxmlformats.org/officeDocument/2006/relationships/hyperlink" Target="https://www.citizensinformationboard.ie/downloads/social_policy/HAP_Report_CIB_2017.pdf" TargetMode="External"/><Relationship Id="rId7" Type="http://schemas.openxmlformats.org/officeDocument/2006/relationships/hyperlink" Target="https://ec.europa.eu/info/sites/default/files/social-summit-european-pillar-social-rights-booklet_en.pdf" TargetMode="External"/><Relationship Id="rId12" Type="http://schemas.openxmlformats.org/officeDocument/2006/relationships/hyperlink" Target="http://www.ahead.ie/reasonableaccommodations" TargetMode="External"/><Relationship Id="rId2" Type="http://schemas.openxmlformats.org/officeDocument/2006/relationships/hyperlink" Target="https://www.citizensinformationboard.ie/downloads/social_policy/socialpolicy-employment-rights-for-all.pdf" TargetMode="External"/><Relationship Id="rId1" Type="http://schemas.openxmlformats.org/officeDocument/2006/relationships/hyperlink" Target="https://www.citizensinformationboard.ie/downloads/social_policy/socialpolicy-employment-rights-for-all.pdf" TargetMode="External"/><Relationship Id="rId6" Type="http://schemas.openxmlformats.org/officeDocument/2006/relationships/hyperlink" Target="https://www.citizensinformationboard.ie/downloads/social_policy/Deaf_Community_Research_Rpt_Feb2018.pdf" TargetMode="External"/><Relationship Id="rId11" Type="http://schemas.openxmlformats.org/officeDocument/2006/relationships/hyperlink" Target="https://equineteurope.org/wp-content/uploads/2021/06/Health-Perspective.pdf" TargetMode="External"/><Relationship Id="rId5" Type="http://schemas.openxmlformats.org/officeDocument/2006/relationships/hyperlink" Target="https://www.citizensinformationboard.ie/downloads/social_policy/MABS_Energy_Poverty_Report_2019.pdf" TargetMode="External"/><Relationship Id="rId10" Type="http://schemas.openxmlformats.org/officeDocument/2006/relationships/hyperlink" Target="https://www.ihrec.ie/download/doc/sub_extending_scope_emp_legislation.doc" TargetMode="External"/><Relationship Id="rId4" Type="http://schemas.openxmlformats.org/officeDocument/2006/relationships/hyperlink" Target="https://www.ihrec.ie/app/uploads/2018/06/Discrimination-and-Inequality-in-Housing-in-Ireland..pdf" TargetMode="External"/><Relationship Id="rId9" Type="http://schemas.openxmlformats.org/officeDocument/2006/relationships/hyperlink" Target="https://data.oireachtas.ie/ie/oireachtas/bill/2017/44/eng/initiated/b4417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f1a409f2-83d6-49f4-a3b5-4a34a51fa18a">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B177192AEC4B384B8E80EC3AB33A30A2" ma:contentTypeVersion="11" ma:contentTypeDescription="Create a new document for eDocs" ma:contentTypeScope="" ma:versionID="bb3b15d21b09d4fa459815e0e9552199">
  <xsd:schema xmlns:xsd="http://www.w3.org/2001/XMLSchema" xmlns:xs="http://www.w3.org/2001/XMLSchema" xmlns:p="http://schemas.microsoft.com/office/2006/metadata/properties" xmlns:ns1="http://schemas.microsoft.com/sharepoint/v3" xmlns:ns2="f534d041-ad79-4a52-b780-410adfd0608f" xmlns:ns3="0e2210f3-d997-4b15-abf5-2f9c566fe8e8" targetNamespace="http://schemas.microsoft.com/office/2006/metadata/properties" ma:root="true" ma:fieldsID="e949cefb4b8715160686fc3d010b5830" ns1:_="" ns2:_="" ns3:_="">
    <xsd:import namespace="http://schemas.microsoft.com/sharepoint/v3"/>
    <xsd:import namespace="f534d041-ad79-4a52-b780-410adfd0608f"/>
    <xsd:import namespace="0e2210f3-d997-4b15-abf5-2f9c566fe8e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f534d041-ad79-4a52-b780-410adfd0608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2210f3-d997-4b15-abf5-2f9c566fe8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13aece-1217-4d7e-8f5e-ac0c90feb4db}" ma:internalName="TaxCatchAll" ma:showField="CatchAllData" ma:web="0e2210f3-d997-4b15-abf5-2f9c566fe8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Docs_FileTopicsTaxHTField0 xmlns="f534d041-ad79-4a52-b780-410adfd0608f">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32e37c74-0cb0-48bf-b309-c6e237880be4</TermId>
        </TermInfo>
      </Terms>
    </eDocs_FileTopicsTaxHTField0>
    <eDocs_DocumentTopicsTaxHTField0 xmlns="f534d041-ad79-4a52-b780-410adfd0608f">
      <Terms xmlns="http://schemas.microsoft.com/office/infopath/2007/PartnerControls"/>
    </eDocs_DocumentTopicsTaxHTField0>
    <eDocs_FileStatus xmlns="http://schemas.microsoft.com/sharepoint/v3">Live</eDocs_FileStatus>
    <eDocs_SeriesSubSeriesTaxHTField0 xmlns="f534d041-ad79-4a52-b780-410adfd0608f">
      <Terms xmlns="http://schemas.microsoft.com/office/infopath/2007/PartnerControls">
        <TermInfo xmlns="http://schemas.microsoft.com/office/infopath/2007/PartnerControls">
          <TermName xmlns="http://schemas.microsoft.com/office/infopath/2007/PartnerControls">044</TermName>
          <TermId xmlns="http://schemas.microsoft.com/office/infopath/2007/PartnerControls">d3c4c38a-c908-41df-b6c6-0fe119a40293</TermId>
        </TermInfo>
      </Terms>
    </eDocs_SeriesSubSeriesTaxHTField0>
    <TaxCatchAll xmlns="0e2210f3-d997-4b15-abf5-2f9c566fe8e8">
      <Value>6</Value>
      <Value>1</Value>
      <Value>8</Value>
      <Value>7</Value>
    </TaxCatchAll>
    <eDocs_FileName xmlns="http://schemas.microsoft.com/sharepoint/v3">CIB044-001-2021</eDocs_FileName>
    <eDocs_YearTaxHTField0 xmlns="f534d041-ad79-4a52-b780-410adfd0608f">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0e846ee2-68d6-4f7d-bff6-25a86a327e82</TermId>
        </TermInfo>
      </Terms>
    </eDocs_YearTaxHTField0>
    <_dlc_ExpireDateSaved xmlns="http://schemas.microsoft.com/sharepoint/v3" xsi:nil="true"/>
    <_dlc_ExpireDate xmlns="http://schemas.microsoft.com/sharepoint/v3">2022-03-06T17:48:18+00:00</_dlc_ExpireDat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7CCC35-8B01-42F2-94F5-463399EE2C69}">
  <ds:schemaRefs>
    <ds:schemaRef ds:uri="office.server.policy"/>
  </ds:schemaRefs>
</ds:datastoreItem>
</file>

<file path=customXml/itemProps2.xml><?xml version="1.0" encoding="utf-8"?>
<ds:datastoreItem xmlns:ds="http://schemas.openxmlformats.org/officeDocument/2006/customXml" ds:itemID="{45A702B1-9821-4CC1-ACE8-5CAB23A5AEB0}">
  <ds:schemaRefs>
    <ds:schemaRef ds:uri="http://schemas.microsoft.com/sharepoint/events"/>
  </ds:schemaRefs>
</ds:datastoreItem>
</file>

<file path=customXml/itemProps3.xml><?xml version="1.0" encoding="utf-8"?>
<ds:datastoreItem xmlns:ds="http://schemas.openxmlformats.org/officeDocument/2006/customXml" ds:itemID="{191B8A3F-C108-42D2-9735-3600529EC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34d041-ad79-4a52-b780-410adfd0608f"/>
    <ds:schemaRef ds:uri="0e2210f3-d997-4b15-abf5-2f9c566fe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3B88C7-3FEF-4E03-A586-EAC7FDB2FA0B}">
  <ds:schemaRefs>
    <ds:schemaRef ds:uri="http://purl.org/dc/term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0e2210f3-d997-4b15-abf5-2f9c566fe8e8"/>
    <ds:schemaRef ds:uri="f534d041-ad79-4a52-b780-410adfd0608f"/>
    <ds:schemaRef ds:uri="http://www.w3.org/XML/1998/namespace"/>
    <ds:schemaRef ds:uri="http://purl.org/dc/elements/1.1/"/>
  </ds:schemaRefs>
</ds:datastoreItem>
</file>

<file path=customXml/itemProps5.xml><?xml version="1.0" encoding="utf-8"?>
<ds:datastoreItem xmlns:ds="http://schemas.openxmlformats.org/officeDocument/2006/customXml" ds:itemID="{F3E94B4F-7C5D-41E4-AB7F-6F4348042B4E}">
  <ds:schemaRefs>
    <ds:schemaRef ds:uri="http://schemas.microsoft.com/sharepoint/v3/contenttype/forms"/>
  </ds:schemaRefs>
</ds:datastoreItem>
</file>

<file path=customXml/itemProps6.xml><?xml version="1.0" encoding="utf-8"?>
<ds:datastoreItem xmlns:ds="http://schemas.openxmlformats.org/officeDocument/2006/customXml" ds:itemID="{30ABFA84-FF16-4A20-8B32-79CB6FCE1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4737</Words>
  <Characters>27003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2022-02-07T12:19:00Z</dcterms:created>
  <dcterms:modified xsi:type="dcterms:W3CDTF">2022-02-07T12:19:00Z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0x0101000BC94875665D404BB1351B53C41FD2C000B177192AEC4B384B8E80EC3AB33A30A2</vt:lpwstr>
  </property>
  <property fmtid="{D5CDD505-2E9C-101B-9397-08002B2CF9AE}" pid="3" name="eDocs_FileTopics">
    <vt:lpwstr>8;#Corporate|32e37c74-0cb0-48bf-b309-c6e237880be4</vt:lpwstr>
  </property>
  <property fmtid="{D5CDD505-2E9C-101B-9397-08002B2CF9AE}" pid="4" name="eDocs_DocumentTopics">
    <vt:lpwstr/>
  </property>
  <property fmtid="{D5CDD505-2E9C-101B-9397-08002B2CF9AE}" pid="5" name="eDocs_Year">
    <vt:lpwstr>6;#2021|0e846ee2-68d6-4f7d-bff6-25a86a327e82</vt:lpwstr>
  </property>
  <property fmtid="{D5CDD505-2E9C-101B-9397-08002B2CF9AE}" pid="6" name="eDocs_SeriesSubSeries">
    <vt:lpwstr>7;#044|d3c4c38a-c908-41df-b6c6-0fe119a40293</vt:lpwstr>
  </property>
  <property fmtid="{D5CDD505-2E9C-101B-9397-08002B2CF9AE}" pid="7" name="eDocs_SecurityClassificationTaxHTField0">
    <vt:lpwstr>Unclassified|13b0a387-28e5-4d0e-ba93-bfbfb7bc32d7</vt:lpwstr>
  </property>
  <property fmtid="{D5CDD505-2E9C-101B-9397-08002B2CF9AE}" pid="8" name="_dlc_policyId">
    <vt:lpwstr>0x0101000BC94875665D404BB1351B53C41FD2C0|151133126</vt:lpwstr>
  </property>
  <property fmtid="{D5CDD505-2E9C-101B-9397-08002B2CF9AE}" pid="9" name="ItemRetentionFormula">
    <vt:lpwstr>&lt;formula id="Microsoft.Office.RecordsManagement.PolicyFeatures.Expiration.Formula.BuiltIn"&gt;&lt;number&gt;3&lt;/number&gt;&lt;property&gt;Modified&lt;/property&gt;&lt;period&gt;months&lt;/period&gt;&lt;/formula&gt;</vt:lpwstr>
  </property>
</Properties>
</file>