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1657" w14:textId="77777777" w:rsidR="00170CF4" w:rsidRDefault="00170CF4" w:rsidP="00170CF4">
      <w:pPr>
        <w:pStyle w:val="Heading1"/>
        <w:jc w:val="center"/>
      </w:pPr>
      <w:bookmarkStart w:id="0" w:name="_GoBack"/>
      <w:bookmarkEnd w:id="0"/>
      <w:r>
        <w:rPr>
          <w:noProof/>
          <w:lang w:eastAsia="en-IE"/>
        </w:rPr>
        <w:drawing>
          <wp:inline distT="0" distB="0" distL="0" distR="0" wp14:anchorId="781AE1A2" wp14:editId="59F84C65">
            <wp:extent cx="3638550" cy="1047750"/>
            <wp:effectExtent l="0" t="0" r="0" b="0"/>
            <wp:docPr id="1" name="Picture 1" descr="CIB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1047750"/>
                    </a:xfrm>
                    <a:prstGeom prst="rect">
                      <a:avLst/>
                    </a:prstGeom>
                    <a:noFill/>
                    <a:ln>
                      <a:noFill/>
                    </a:ln>
                  </pic:spPr>
                </pic:pic>
              </a:graphicData>
            </a:graphic>
          </wp:inline>
        </w:drawing>
      </w:r>
    </w:p>
    <w:p w14:paraId="15793FA8" w14:textId="220AC252" w:rsidR="00F62536" w:rsidRPr="00F62536" w:rsidRDefault="009B7BAE" w:rsidP="00CE1CF9">
      <w:pPr>
        <w:pStyle w:val="Heading1"/>
        <w:jc w:val="center"/>
      </w:pPr>
      <w:r w:rsidRPr="00F62536">
        <w:t>A Regulatory Framework for Adult Safeguarding</w:t>
      </w:r>
      <w:r w:rsidRPr="00F62536">
        <w:br/>
        <w:t>Law Reform Commission Issues Paper</w:t>
      </w:r>
      <w:r w:rsidRPr="00F62536">
        <w:br/>
        <w:t>Submission by the Citizens Information Board – May 2020</w:t>
      </w:r>
    </w:p>
    <w:p w14:paraId="4DBBF3DE" w14:textId="77777777" w:rsidR="00F62536" w:rsidRPr="00F62536" w:rsidRDefault="00F62536" w:rsidP="00F62536"/>
    <w:p w14:paraId="6D0142B7" w14:textId="43CF0BDB" w:rsidR="00F17395" w:rsidRPr="00F62536" w:rsidRDefault="00F62536" w:rsidP="00170CF4">
      <w:pPr>
        <w:rPr>
          <w:rFonts w:asciiTheme="majorHAnsi" w:eastAsiaTheme="majorEastAsia" w:hAnsiTheme="majorHAnsi" w:cstheme="majorBidi"/>
          <w:b/>
          <w:bCs/>
          <w:sz w:val="28"/>
          <w:szCs w:val="28"/>
        </w:rPr>
      </w:pPr>
      <w:r w:rsidRPr="00CE1CF9">
        <w:rPr>
          <w:rStyle w:val="Heading2Char"/>
          <w:rFonts w:asciiTheme="minorHAnsi" w:hAnsiTheme="minorHAnsi"/>
          <w:color w:val="auto"/>
          <w:sz w:val="24"/>
          <w:szCs w:val="24"/>
        </w:rPr>
        <w:t>Introduction</w:t>
      </w:r>
      <w:r w:rsidR="00F55125" w:rsidRPr="00CE1CF9">
        <w:rPr>
          <w:rStyle w:val="Heading2Char"/>
          <w:color w:val="auto"/>
          <w:sz w:val="22"/>
          <w:szCs w:val="22"/>
        </w:rPr>
        <w:br/>
      </w:r>
      <w:r w:rsidR="00F55125" w:rsidRPr="00D568FF">
        <w:t xml:space="preserve">The Citizens Information Board (CIB) welcomes the opportunity to respond to this consultation by the Law Reform Commission on its Issues Paper, </w:t>
      </w:r>
      <w:r w:rsidR="00F55125" w:rsidRPr="00D568FF">
        <w:rPr>
          <w:rFonts w:cstheme="minorHAnsi"/>
          <w:bCs/>
          <w:i/>
          <w:iCs/>
        </w:rPr>
        <w:t>A Regulatory Framework for Adult Safeguarding</w:t>
      </w:r>
      <w:r w:rsidR="00F55125" w:rsidRPr="00D568FF">
        <w:t>.</w:t>
      </w:r>
      <w:r w:rsidR="00F17395" w:rsidRPr="00D568FF">
        <w:t xml:space="preserve"> This Paper is a very significant and necessary contribution to the ongoing debate on adult safeguarding.</w:t>
      </w:r>
    </w:p>
    <w:p w14:paraId="64696748" w14:textId="593FF399" w:rsidR="00B55AA8" w:rsidRDefault="00F55125" w:rsidP="00B55AA8">
      <w:r w:rsidRPr="00D568FF">
        <w:t>CIB is the statutory agency responsible for supporting the provision of information, advice and advocacy on public and social services</w:t>
      </w:r>
      <w:r w:rsidR="00B55AA8" w:rsidRPr="00D568FF">
        <w:t xml:space="preserve"> and </w:t>
      </w:r>
      <w:r w:rsidR="002D4B71" w:rsidRPr="00D568FF">
        <w:t>has a statutory obligation to provide advocacy</w:t>
      </w:r>
      <w:r w:rsidR="00B55AA8" w:rsidRPr="00D568FF">
        <w:t xml:space="preserve"> which the Board believes is a vital and necessary component of adult </w:t>
      </w:r>
      <w:r w:rsidR="00B55AA8">
        <w:t>safeguarding</w:t>
      </w:r>
      <w:r w:rsidR="002D4B71">
        <w:t>.</w:t>
      </w:r>
      <w:r w:rsidR="00B82616">
        <w:t xml:space="preserve"> Currently, CIB is the only body with a legislative remit to provide advocacy. </w:t>
      </w:r>
    </w:p>
    <w:p w14:paraId="3AAC1849" w14:textId="05711D1C" w:rsidR="002D4B71" w:rsidRPr="002F0DA2" w:rsidRDefault="002D4B71" w:rsidP="002D4B71">
      <w:pPr>
        <w:rPr>
          <w:color w:val="FF0000"/>
        </w:rPr>
      </w:pPr>
      <w:r>
        <w:t>The Comhairle Act 2000 as amended by the Citizens Information Act 2007 puts advocacy at the very centre of the engagement with citizens.</w:t>
      </w:r>
      <w:r w:rsidR="00B55AA8">
        <w:t xml:space="preserve"> </w:t>
      </w:r>
      <w:r>
        <w:rPr>
          <w:rFonts w:ascii="Calibri" w:hAnsi="Calibri" w:cs="Arial"/>
          <w:bCs/>
        </w:rPr>
        <w:t xml:space="preserve">The Citizens Information Act 2007 includes a requirement for the Board </w:t>
      </w:r>
      <w:r>
        <w:rPr>
          <w:rFonts w:ascii="Calibri" w:hAnsi="Calibri" w:cs="Arial"/>
          <w:bCs/>
          <w:i/>
        </w:rPr>
        <w:t>“ …to support the provision of or, where the Board considers it appropriate, to provide directly, advocacy services to individuals, in particular those with a disability, that would assist them in identifying and understanding their needs and options and in securing their entitlements to social services”.</w:t>
      </w:r>
      <w:r w:rsidR="00B55AA8">
        <w:rPr>
          <w:rFonts w:ascii="Calibri" w:hAnsi="Calibri" w:cs="Arial"/>
          <w:bCs/>
          <w:i/>
        </w:rPr>
        <w:t xml:space="preserve"> </w:t>
      </w:r>
      <w:r>
        <w:rPr>
          <w:rFonts w:ascii="Calibri" w:hAnsi="Calibri" w:cs="Arial"/>
          <w:spacing w:val="3"/>
          <w:shd w:val="clear" w:color="auto" w:fill="FFFFFF"/>
        </w:rPr>
        <w:t>The 2007 Act sets out how the Board should decide the terms and conditions under which information, advice and advocacy services are provided</w:t>
      </w:r>
      <w:r w:rsidRPr="00716835">
        <w:rPr>
          <w:rFonts w:ascii="Calibri" w:hAnsi="Calibri" w:cs="Arial"/>
          <w:spacing w:val="3"/>
          <w:shd w:val="clear" w:color="auto" w:fill="FFFFFF"/>
        </w:rPr>
        <w:t xml:space="preserve">. </w:t>
      </w:r>
      <w:r w:rsidR="00575F34" w:rsidRPr="00716835">
        <w:rPr>
          <w:rFonts w:ascii="Calibri" w:hAnsi="Calibri" w:cs="Arial"/>
          <w:spacing w:val="3"/>
          <w:shd w:val="clear" w:color="auto" w:fill="FFFFFF"/>
        </w:rPr>
        <w:t xml:space="preserve">It also </w:t>
      </w:r>
      <w:r w:rsidR="002F0DA2" w:rsidRPr="00716835">
        <w:rPr>
          <w:rFonts w:ascii="Calibri" w:hAnsi="Calibri" w:cs="Arial"/>
          <w:spacing w:val="3"/>
          <w:shd w:val="clear" w:color="auto" w:fill="FFFFFF"/>
        </w:rPr>
        <w:t xml:space="preserve">made provision </w:t>
      </w:r>
      <w:r w:rsidR="00575F34" w:rsidRPr="00716835">
        <w:rPr>
          <w:rFonts w:ascii="Calibri" w:hAnsi="Calibri" w:cs="Arial"/>
          <w:spacing w:val="3"/>
          <w:shd w:val="clear" w:color="auto" w:fill="FFFFFF"/>
        </w:rPr>
        <w:t>for the establishment of a Personal Advocacy Service (PAS)</w:t>
      </w:r>
      <w:r w:rsidR="009218C0" w:rsidRPr="00716835">
        <w:rPr>
          <w:rFonts w:ascii="Calibri" w:hAnsi="Calibri" w:cs="Arial"/>
          <w:spacing w:val="3"/>
          <w:shd w:val="clear" w:color="auto" w:fill="FFFFFF"/>
        </w:rPr>
        <w:t xml:space="preserve"> </w:t>
      </w:r>
      <w:r w:rsidR="002F0DA2" w:rsidRPr="00716835">
        <w:rPr>
          <w:rFonts w:ascii="Calibri" w:hAnsi="Calibri" w:cs="Arial"/>
          <w:spacing w:val="3"/>
          <w:shd w:val="clear" w:color="auto" w:fill="FFFFFF"/>
        </w:rPr>
        <w:t>which was</w:t>
      </w:r>
      <w:r w:rsidR="009A21B4" w:rsidRPr="00716835">
        <w:rPr>
          <w:rFonts w:ascii="Calibri" w:hAnsi="Calibri" w:cs="Arial"/>
          <w:spacing w:val="3"/>
          <w:shd w:val="clear" w:color="auto" w:fill="FFFFFF"/>
        </w:rPr>
        <w:t xml:space="preserve"> deferred by Government </w:t>
      </w:r>
      <w:r w:rsidR="00EE758E">
        <w:rPr>
          <w:rFonts w:ascii="Calibri" w:hAnsi="Calibri" w:cs="Arial"/>
          <w:spacing w:val="3"/>
          <w:shd w:val="clear" w:color="auto" w:fill="FFFFFF"/>
        </w:rPr>
        <w:t xml:space="preserve">due to </w:t>
      </w:r>
      <w:r w:rsidR="009A21B4" w:rsidRPr="00716835">
        <w:rPr>
          <w:rFonts w:ascii="Calibri" w:hAnsi="Calibri" w:cs="Arial"/>
          <w:spacing w:val="3"/>
          <w:shd w:val="clear" w:color="auto" w:fill="FFFFFF"/>
        </w:rPr>
        <w:t xml:space="preserve">the economic constraints at the time. </w:t>
      </w:r>
      <w:r w:rsidR="009A21B4" w:rsidRPr="00716835">
        <w:rPr>
          <w:rFonts w:cstheme="minorHAnsi"/>
          <w:lang w:val="en-GB"/>
        </w:rPr>
        <w:t xml:space="preserve">CIB does not support the implementation of the PAS as set out in the 2007 Act </w:t>
      </w:r>
      <w:r w:rsidR="00716835">
        <w:rPr>
          <w:rFonts w:cstheme="minorHAnsi"/>
          <w:lang w:val="en-GB"/>
        </w:rPr>
        <w:t xml:space="preserve">in light of subsequent developments, such as the establishment of the </w:t>
      </w:r>
      <w:r w:rsidR="00716835">
        <w:t>National Advocacy Service for People with Disabilities (NAS)</w:t>
      </w:r>
      <w:r w:rsidR="00716835">
        <w:rPr>
          <w:rFonts w:cstheme="minorHAnsi"/>
          <w:lang w:val="en-GB"/>
        </w:rPr>
        <w:t xml:space="preserve"> but also because </w:t>
      </w:r>
      <w:r w:rsidR="009A21B4" w:rsidRPr="00716835">
        <w:rPr>
          <w:rFonts w:cstheme="minorHAnsi"/>
          <w:lang w:val="en-GB"/>
        </w:rPr>
        <w:t>the provisions</w:t>
      </w:r>
      <w:r w:rsidR="00716835">
        <w:rPr>
          <w:rFonts w:cstheme="minorHAnsi"/>
          <w:lang w:val="en-GB"/>
        </w:rPr>
        <w:t xml:space="preserve"> of the Act </w:t>
      </w:r>
      <w:r w:rsidR="009A21B4" w:rsidRPr="00716835">
        <w:rPr>
          <w:rFonts w:cstheme="minorHAnsi"/>
          <w:lang w:val="en-GB"/>
        </w:rPr>
        <w:t xml:space="preserve">are </w:t>
      </w:r>
      <w:r w:rsidR="00716835">
        <w:rPr>
          <w:rFonts w:cstheme="minorHAnsi"/>
          <w:lang w:val="en-GB"/>
        </w:rPr>
        <w:t xml:space="preserve">now </w:t>
      </w:r>
      <w:r w:rsidR="009A21B4" w:rsidRPr="00716835">
        <w:rPr>
          <w:rFonts w:cstheme="minorHAnsi"/>
          <w:lang w:val="en-GB"/>
        </w:rPr>
        <w:t>considered too restrictive and too prescriptive</w:t>
      </w:r>
      <w:r w:rsidR="00716835">
        <w:rPr>
          <w:rFonts w:cstheme="minorHAnsi"/>
          <w:spacing w:val="3"/>
          <w:shd w:val="clear" w:color="auto" w:fill="FFFFFF"/>
        </w:rPr>
        <w:t xml:space="preserve"> </w:t>
      </w:r>
      <w:r w:rsidR="00575F34" w:rsidRPr="00716835">
        <w:rPr>
          <w:rFonts w:ascii="Calibri" w:hAnsi="Calibri" w:cs="Arial"/>
          <w:spacing w:val="3"/>
          <w:shd w:val="clear" w:color="auto" w:fill="FFFFFF"/>
        </w:rPr>
        <w:t xml:space="preserve">(see Issue 9 below). </w:t>
      </w:r>
    </w:p>
    <w:p w14:paraId="5D634DF4" w14:textId="701116A5" w:rsidR="00241129" w:rsidRDefault="00241129" w:rsidP="00B55AA8">
      <w:r>
        <w:rPr>
          <w:lang w:val="en-GB"/>
        </w:rPr>
        <w:t>CIB provides general advocacy services through the network of Citizens Information Services</w:t>
      </w:r>
      <w:r w:rsidR="006857A2">
        <w:rPr>
          <w:lang w:val="en-GB"/>
        </w:rPr>
        <w:t xml:space="preserve"> (CISs)</w:t>
      </w:r>
      <w:r>
        <w:t xml:space="preserve"> from </w:t>
      </w:r>
      <w:r w:rsidR="00342A70">
        <w:t xml:space="preserve">100 centres and a number of outreaches </w:t>
      </w:r>
      <w:r>
        <w:t>across the country</w:t>
      </w:r>
      <w:r w:rsidR="006857A2">
        <w:t xml:space="preserve"> and w</w:t>
      </w:r>
      <w:r w:rsidR="006857A2">
        <w:rPr>
          <w:rFonts w:ascii="Calibri" w:hAnsi="Calibri"/>
        </w:rPr>
        <w:t>ork</w:t>
      </w:r>
      <w:r w:rsidR="00990C39">
        <w:rPr>
          <w:rFonts w:ascii="Calibri" w:hAnsi="Calibri"/>
        </w:rPr>
        <w:t>s</w:t>
      </w:r>
      <w:r w:rsidR="006857A2">
        <w:rPr>
          <w:rFonts w:ascii="Calibri" w:hAnsi="Calibri"/>
        </w:rPr>
        <w:t xml:space="preserve"> to ensure that all citizens can exercise </w:t>
      </w:r>
      <w:r w:rsidR="00990C39">
        <w:rPr>
          <w:rFonts w:ascii="Calibri" w:hAnsi="Calibri"/>
        </w:rPr>
        <w:t>r</w:t>
      </w:r>
      <w:r w:rsidR="006857A2">
        <w:rPr>
          <w:rFonts w:ascii="Calibri" w:hAnsi="Calibri"/>
        </w:rPr>
        <w:t xml:space="preserve">ights and access the benefits and services to which they are entitled. </w:t>
      </w:r>
      <w:r>
        <w:t>Advocacy in CIS</w:t>
      </w:r>
      <w:r w:rsidR="006857A2">
        <w:t>s</w:t>
      </w:r>
      <w:r>
        <w:t xml:space="preserve"> is integrated into the existing infor</w:t>
      </w:r>
      <w:r w:rsidR="00990C39">
        <w:t xml:space="preserve">mation and advice services, which </w:t>
      </w:r>
      <w:r>
        <w:t xml:space="preserve">allows for a seamless progression from an information enquiry to assignment of an advocate.  </w:t>
      </w:r>
    </w:p>
    <w:p w14:paraId="772C8E45" w14:textId="2EB4619C" w:rsidR="00F55125" w:rsidRPr="00B55AA8" w:rsidRDefault="00241129" w:rsidP="00B55AA8">
      <w:pPr>
        <w:rPr>
          <w:rFonts w:cs="Arial"/>
          <w:spacing w:val="3"/>
        </w:rPr>
      </w:pPr>
      <w:r>
        <w:lastRenderedPageBreak/>
        <w:t xml:space="preserve">CIB </w:t>
      </w:r>
      <w:r w:rsidR="00F55125">
        <w:t>has a particular remit in the provision of advocacy to people with disabilities and a related focus on enabling people to assert their legal and human rights. In that context</w:t>
      </w:r>
      <w:r w:rsidR="00882893">
        <w:t>,</w:t>
      </w:r>
      <w:r w:rsidR="00F55125">
        <w:t xml:space="preserve"> CIB funds and supports </w:t>
      </w:r>
      <w:r w:rsidR="00716835">
        <w:t>NAS</w:t>
      </w:r>
      <w:r w:rsidR="00F55125">
        <w:rPr>
          <w:rStyle w:val="FootnoteReference"/>
        </w:rPr>
        <w:footnoteReference w:id="1"/>
      </w:r>
      <w:r w:rsidR="00716835">
        <w:t xml:space="preserve"> which</w:t>
      </w:r>
      <w:r w:rsidR="00F55125">
        <w:rPr>
          <w:rFonts w:cs="Arial"/>
          <w:spacing w:val="3"/>
        </w:rPr>
        <w:t xml:space="preserve"> provides an independent</w:t>
      </w:r>
      <w:r w:rsidR="00F55125">
        <w:rPr>
          <w:rFonts w:cs="Arial"/>
          <w:color w:val="404040"/>
          <w:spacing w:val="3"/>
        </w:rPr>
        <w:t xml:space="preserve">, </w:t>
      </w:r>
      <w:r w:rsidR="00F55125" w:rsidRPr="00B55AA8">
        <w:rPr>
          <w:rFonts w:cs="Arial"/>
          <w:spacing w:val="3"/>
        </w:rPr>
        <w:t xml:space="preserve">confidential and free, representative advocacy service that works exclusively for the person </w:t>
      </w:r>
      <w:r w:rsidR="00B55AA8" w:rsidRPr="00B55AA8">
        <w:rPr>
          <w:rFonts w:cs="Arial"/>
          <w:spacing w:val="3"/>
        </w:rPr>
        <w:t>and thus provides an important safeguarding role for very vulnerable people</w:t>
      </w:r>
      <w:r w:rsidR="00F55125" w:rsidRPr="00B55AA8">
        <w:rPr>
          <w:rFonts w:cs="Arial"/>
          <w:spacing w:val="3"/>
        </w:rPr>
        <w:t>. NAS operates on the principle that people with disabilities:</w:t>
      </w:r>
    </w:p>
    <w:p w14:paraId="035AE089" w14:textId="77777777" w:rsidR="00F55125" w:rsidRPr="00B55AA8" w:rsidRDefault="00F55125" w:rsidP="00801A05">
      <w:pPr>
        <w:numPr>
          <w:ilvl w:val="0"/>
          <w:numId w:val="15"/>
        </w:numPr>
        <w:autoSpaceDN w:val="0"/>
        <w:spacing w:after="0" w:line="240" w:lineRule="auto"/>
        <w:textAlignment w:val="baseline"/>
        <w:rPr>
          <w:rFonts w:cs="Arial"/>
          <w:spacing w:val="3"/>
        </w:rPr>
      </w:pPr>
      <w:r w:rsidRPr="00B55AA8">
        <w:rPr>
          <w:rFonts w:cs="Arial"/>
          <w:spacing w:val="3"/>
        </w:rPr>
        <w:t>Make decisions about their lives</w:t>
      </w:r>
    </w:p>
    <w:p w14:paraId="506497CC" w14:textId="77777777" w:rsidR="00F55125" w:rsidRPr="00B55AA8" w:rsidRDefault="00F55125" w:rsidP="00801A05">
      <w:pPr>
        <w:numPr>
          <w:ilvl w:val="0"/>
          <w:numId w:val="15"/>
        </w:numPr>
        <w:autoSpaceDN w:val="0"/>
        <w:spacing w:after="0" w:line="240" w:lineRule="auto"/>
        <w:textAlignment w:val="baseline"/>
        <w:rPr>
          <w:rFonts w:cs="Arial"/>
          <w:spacing w:val="3"/>
        </w:rPr>
      </w:pPr>
      <w:r w:rsidRPr="00B55AA8">
        <w:rPr>
          <w:rFonts w:cs="Arial"/>
          <w:spacing w:val="3"/>
        </w:rPr>
        <w:t>Are listened to and consulted by their families and those who provide their services</w:t>
      </w:r>
    </w:p>
    <w:p w14:paraId="3E205782" w14:textId="77777777" w:rsidR="00F55125" w:rsidRPr="00B55AA8" w:rsidRDefault="00F55125" w:rsidP="00801A05">
      <w:pPr>
        <w:numPr>
          <w:ilvl w:val="0"/>
          <w:numId w:val="15"/>
        </w:numPr>
        <w:autoSpaceDN w:val="0"/>
        <w:spacing w:after="0" w:line="240" w:lineRule="auto"/>
        <w:textAlignment w:val="baseline"/>
        <w:rPr>
          <w:rFonts w:cs="Arial"/>
          <w:spacing w:val="3"/>
        </w:rPr>
      </w:pPr>
      <w:r w:rsidRPr="00B55AA8">
        <w:rPr>
          <w:rFonts w:cs="Arial"/>
          <w:spacing w:val="3"/>
        </w:rPr>
        <w:t>Access the supports they need to enable them to live their life and enjoy meaningful participation in family, work and leisure</w:t>
      </w:r>
    </w:p>
    <w:p w14:paraId="47FD9C2F" w14:textId="132D11EC" w:rsidR="00B82616" w:rsidRPr="00882893" w:rsidRDefault="00F55125" w:rsidP="00B82616">
      <w:pPr>
        <w:numPr>
          <w:ilvl w:val="0"/>
          <w:numId w:val="15"/>
        </w:numPr>
        <w:autoSpaceDN w:val="0"/>
        <w:spacing w:after="0" w:line="240" w:lineRule="auto"/>
        <w:textAlignment w:val="baseline"/>
        <w:rPr>
          <w:rFonts w:eastAsia="Times New Roman" w:cs="Tahoma"/>
          <w:lang w:val="en-AU" w:eastAsia="en-AU"/>
        </w:rPr>
      </w:pPr>
      <w:r w:rsidRPr="00882893">
        <w:rPr>
          <w:rFonts w:cs="Arial"/>
          <w:spacing w:val="3"/>
        </w:rPr>
        <w:t>Enjoy the benefits of participation in and contribution to their local communities</w:t>
      </w:r>
      <w:r w:rsidR="00882893">
        <w:rPr>
          <w:rFonts w:cs="Arial"/>
          <w:spacing w:val="3"/>
        </w:rPr>
        <w:br/>
      </w:r>
    </w:p>
    <w:p w14:paraId="4BCA7611" w14:textId="5F767D8F" w:rsidR="00B82616" w:rsidRDefault="00882893" w:rsidP="00A02163">
      <w:pPr>
        <w:rPr>
          <w:rFonts w:eastAsia="Times New Roman" w:cs="Tahoma"/>
          <w:lang w:val="en-AU" w:eastAsia="en-AU"/>
        </w:rPr>
      </w:pPr>
      <w:r>
        <w:t>Money Advice and Budgeting Services (MABS), also funded by CIB, provide advice and advocacy to people experiencing financial difficulties</w:t>
      </w:r>
      <w:r w:rsidR="00990C39">
        <w:t xml:space="preserve"> and over indebtedness</w:t>
      </w:r>
      <w:r>
        <w:t xml:space="preserve">, including those experiencing financial abuse. </w:t>
      </w:r>
      <w:r w:rsidR="00B82616">
        <w:rPr>
          <w:rFonts w:eastAsia="Times New Roman" w:cs="Tahoma"/>
          <w:lang w:val="en-AU" w:eastAsia="en-AU"/>
        </w:rPr>
        <w:t xml:space="preserve">MABS has a special focus on people who are dependent on a low income and/or are vulnerable or disadvantaged. </w:t>
      </w:r>
      <w:r w:rsidR="00B82616">
        <w:rPr>
          <w:rFonts w:cs="Arial"/>
        </w:rPr>
        <w:t xml:space="preserve">Those who have to borrow to survive and those </w:t>
      </w:r>
      <w:r w:rsidR="00647C7A">
        <w:rPr>
          <w:rFonts w:cs="Arial"/>
        </w:rPr>
        <w:t xml:space="preserve">on low income </w:t>
      </w:r>
      <w:r w:rsidR="00B82616">
        <w:rPr>
          <w:rFonts w:cs="Arial"/>
        </w:rPr>
        <w:t xml:space="preserve">trying to repay loan instalments both face significant challenges.  </w:t>
      </w:r>
    </w:p>
    <w:p w14:paraId="52A41281" w14:textId="77777777" w:rsidR="005A7384" w:rsidRDefault="005A7384" w:rsidP="00801A05">
      <w:pPr>
        <w:pStyle w:val="NormalWeb"/>
        <w:shd w:val="clear" w:color="auto" w:fill="FFFFFF"/>
        <w:spacing w:after="336"/>
        <w:textAlignment w:val="baseline"/>
        <w:rPr>
          <w:rFonts w:asciiTheme="minorHAnsi" w:hAnsiTheme="minorHAnsi" w:cstheme="minorHAnsi"/>
          <w:sz w:val="22"/>
          <w:szCs w:val="22"/>
        </w:rPr>
      </w:pPr>
      <w:r>
        <w:rPr>
          <w:rFonts w:asciiTheme="minorHAnsi" w:hAnsiTheme="minorHAnsi" w:cstheme="minorHAnsi"/>
          <w:sz w:val="22"/>
          <w:szCs w:val="22"/>
        </w:rPr>
        <w:t xml:space="preserve">The Submission is structured as </w:t>
      </w:r>
      <w:r w:rsidR="002D4B71">
        <w:rPr>
          <w:rFonts w:asciiTheme="minorHAnsi" w:hAnsiTheme="minorHAnsi" w:cstheme="minorHAnsi"/>
          <w:sz w:val="22"/>
          <w:szCs w:val="22"/>
        </w:rPr>
        <w:t>f</w:t>
      </w:r>
      <w:r>
        <w:rPr>
          <w:rFonts w:asciiTheme="minorHAnsi" w:hAnsiTheme="minorHAnsi" w:cstheme="minorHAnsi"/>
          <w:sz w:val="22"/>
          <w:szCs w:val="22"/>
        </w:rPr>
        <w:t>ollows:</w:t>
      </w:r>
    </w:p>
    <w:p w14:paraId="7B66B34E" w14:textId="77777777" w:rsidR="005A7384" w:rsidRDefault="005A7384" w:rsidP="005A7384">
      <w:pPr>
        <w:pStyle w:val="NormalWeb"/>
        <w:numPr>
          <w:ilvl w:val="0"/>
          <w:numId w:val="16"/>
        </w:numPr>
        <w:shd w:val="clear" w:color="auto" w:fill="FFFFFF"/>
        <w:spacing w:after="336"/>
        <w:textAlignment w:val="baseline"/>
        <w:rPr>
          <w:rFonts w:asciiTheme="minorHAnsi" w:hAnsiTheme="minorHAnsi" w:cstheme="minorHAnsi"/>
          <w:sz w:val="22"/>
          <w:szCs w:val="22"/>
        </w:rPr>
      </w:pPr>
      <w:r>
        <w:rPr>
          <w:rFonts w:asciiTheme="minorHAnsi" w:hAnsiTheme="minorHAnsi" w:cstheme="minorHAnsi"/>
          <w:sz w:val="22"/>
          <w:szCs w:val="22"/>
        </w:rPr>
        <w:t xml:space="preserve">The LRC’s questions listed under each Issue are addressed </w:t>
      </w:r>
      <w:r w:rsidR="00087E88">
        <w:rPr>
          <w:rFonts w:asciiTheme="minorHAnsi" w:hAnsiTheme="minorHAnsi" w:cstheme="minorHAnsi"/>
          <w:sz w:val="22"/>
          <w:szCs w:val="22"/>
        </w:rPr>
        <w:t xml:space="preserve">generally or specifically </w:t>
      </w:r>
      <w:r>
        <w:rPr>
          <w:rFonts w:asciiTheme="minorHAnsi" w:hAnsiTheme="minorHAnsi" w:cstheme="minorHAnsi"/>
          <w:sz w:val="22"/>
          <w:szCs w:val="22"/>
        </w:rPr>
        <w:t>as far as possible.</w:t>
      </w:r>
      <w:r>
        <w:rPr>
          <w:rFonts w:asciiTheme="minorHAnsi" w:hAnsiTheme="minorHAnsi" w:cstheme="minorHAnsi"/>
          <w:sz w:val="22"/>
          <w:szCs w:val="22"/>
        </w:rPr>
        <w:br/>
      </w:r>
    </w:p>
    <w:p w14:paraId="2DF9AC60" w14:textId="77777777" w:rsidR="005A7384" w:rsidRDefault="005A7384" w:rsidP="005A7384">
      <w:pPr>
        <w:pStyle w:val="NormalWeb"/>
        <w:numPr>
          <w:ilvl w:val="0"/>
          <w:numId w:val="16"/>
        </w:numPr>
        <w:shd w:val="clear" w:color="auto" w:fill="FFFFFF"/>
        <w:spacing w:after="336"/>
        <w:textAlignment w:val="baseline"/>
        <w:rPr>
          <w:rFonts w:asciiTheme="minorHAnsi" w:hAnsiTheme="minorHAnsi" w:cstheme="minorHAnsi"/>
          <w:sz w:val="22"/>
          <w:szCs w:val="22"/>
        </w:rPr>
      </w:pPr>
      <w:r>
        <w:rPr>
          <w:rFonts w:asciiTheme="minorHAnsi" w:hAnsiTheme="minorHAnsi" w:cstheme="minorHAnsi"/>
          <w:sz w:val="22"/>
          <w:szCs w:val="22"/>
        </w:rPr>
        <w:t xml:space="preserve">There is a specific focus on Issue 9, </w:t>
      </w:r>
      <w:r w:rsidRPr="005A7384">
        <w:rPr>
          <w:rFonts w:asciiTheme="minorHAnsi" w:hAnsiTheme="minorHAnsi" w:cstheme="minorHAnsi"/>
          <w:i/>
          <w:sz w:val="22"/>
          <w:szCs w:val="22"/>
        </w:rPr>
        <w:t>Independent</w:t>
      </w:r>
      <w:r>
        <w:rPr>
          <w:rFonts w:asciiTheme="minorHAnsi" w:hAnsiTheme="minorHAnsi" w:cstheme="minorHAnsi"/>
          <w:sz w:val="22"/>
          <w:szCs w:val="22"/>
        </w:rPr>
        <w:t xml:space="preserve"> </w:t>
      </w:r>
      <w:r w:rsidRPr="005A7384">
        <w:rPr>
          <w:rFonts w:asciiTheme="minorHAnsi" w:hAnsiTheme="minorHAnsi" w:cstheme="minorHAnsi"/>
          <w:i/>
          <w:sz w:val="22"/>
          <w:szCs w:val="22"/>
        </w:rPr>
        <w:t>Advocacy</w:t>
      </w:r>
      <w:r>
        <w:rPr>
          <w:rFonts w:asciiTheme="minorHAnsi" w:hAnsiTheme="minorHAnsi" w:cstheme="minorHAnsi"/>
          <w:sz w:val="22"/>
          <w:szCs w:val="22"/>
        </w:rPr>
        <w:t>.</w:t>
      </w:r>
      <w:r>
        <w:rPr>
          <w:rFonts w:asciiTheme="minorHAnsi" w:hAnsiTheme="minorHAnsi" w:cstheme="minorHAnsi"/>
          <w:sz w:val="22"/>
          <w:szCs w:val="22"/>
        </w:rPr>
        <w:br/>
      </w:r>
    </w:p>
    <w:p w14:paraId="5E56AE39" w14:textId="5B80052B" w:rsidR="00F55125" w:rsidRPr="005A7384" w:rsidRDefault="005A7384" w:rsidP="005A7384">
      <w:pPr>
        <w:pStyle w:val="NormalWeb"/>
        <w:numPr>
          <w:ilvl w:val="0"/>
          <w:numId w:val="16"/>
        </w:numPr>
        <w:shd w:val="clear" w:color="auto" w:fill="FFFFFF"/>
        <w:spacing w:after="336"/>
        <w:textAlignment w:val="baseline"/>
        <w:rPr>
          <w:rFonts w:asciiTheme="minorHAnsi" w:hAnsiTheme="minorHAnsi" w:cstheme="minorHAnsi"/>
          <w:sz w:val="22"/>
          <w:szCs w:val="22"/>
        </w:rPr>
      </w:pPr>
      <w:r w:rsidRPr="005A7384">
        <w:rPr>
          <w:rFonts w:asciiTheme="minorHAnsi" w:hAnsiTheme="minorHAnsi"/>
          <w:sz w:val="22"/>
          <w:szCs w:val="22"/>
        </w:rPr>
        <w:t>Finally,</w:t>
      </w:r>
      <w:r w:rsidR="00801A05" w:rsidRPr="005A7384">
        <w:rPr>
          <w:rFonts w:asciiTheme="minorHAnsi" w:hAnsiTheme="minorHAnsi"/>
          <w:sz w:val="22"/>
          <w:szCs w:val="22"/>
        </w:rPr>
        <w:t xml:space="preserve"> some general observations relating to adult safeguarding in Ireland are made drawing on the experience of CIB delivery services (NAS, Citizens Information Services and MABS).</w:t>
      </w:r>
      <w:r w:rsidR="00882893">
        <w:rPr>
          <w:rFonts w:asciiTheme="minorHAnsi" w:hAnsiTheme="minorHAnsi"/>
          <w:sz w:val="22"/>
          <w:szCs w:val="22"/>
        </w:rPr>
        <w:t xml:space="preserve"> The potential role of CIB in developing an integrated approach to advocacy in the Irish con</w:t>
      </w:r>
      <w:r w:rsidR="00D53CBF">
        <w:rPr>
          <w:rFonts w:asciiTheme="minorHAnsi" w:hAnsiTheme="minorHAnsi"/>
          <w:sz w:val="22"/>
          <w:szCs w:val="22"/>
        </w:rPr>
        <w:t>t</w:t>
      </w:r>
      <w:r w:rsidR="00882893">
        <w:rPr>
          <w:rFonts w:asciiTheme="minorHAnsi" w:hAnsiTheme="minorHAnsi"/>
          <w:sz w:val="22"/>
          <w:szCs w:val="22"/>
        </w:rPr>
        <w:t>ext is outlined.</w:t>
      </w:r>
    </w:p>
    <w:p w14:paraId="3E66A842" w14:textId="77777777" w:rsidR="005A7384" w:rsidRPr="00CE1CF9" w:rsidRDefault="00F55125" w:rsidP="00CE1CF9">
      <w:pPr>
        <w:pStyle w:val="Heading2"/>
        <w:rPr>
          <w:sz w:val="22"/>
          <w:szCs w:val="22"/>
        </w:rPr>
      </w:pPr>
      <w:r>
        <w:br w:type="page"/>
      </w:r>
      <w:r w:rsidR="005A7384" w:rsidRPr="00CE1CF9">
        <w:rPr>
          <w:color w:val="auto"/>
          <w:sz w:val="22"/>
          <w:szCs w:val="22"/>
        </w:rPr>
        <w:lastRenderedPageBreak/>
        <w:t>Issue 1: Values and Principles underpinning Adult Safeguarding</w:t>
      </w:r>
    </w:p>
    <w:p w14:paraId="0351C6DE" w14:textId="77777777" w:rsidR="005A7384" w:rsidRPr="005A7384" w:rsidRDefault="005A7384" w:rsidP="005A7384">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A7384">
        <w:rPr>
          <w:rFonts w:asciiTheme="minorHAnsi" w:hAnsiTheme="minorHAnsi" w:cstheme="minorHAnsi"/>
          <w:i/>
          <w:iCs/>
          <w:sz w:val="22"/>
          <w:szCs w:val="22"/>
        </w:rPr>
        <w:t xml:space="preserve">Q. 1.1 Do you consider that the proposed guiding principles, as set out above in paragraph 1.14 of the Issues Paper, would be a suitable basis to underpin adult safeguarding legislation in Ireland? </w:t>
      </w:r>
    </w:p>
    <w:p w14:paraId="7346F2C9" w14:textId="77777777" w:rsidR="005A7384" w:rsidRPr="005A7384" w:rsidRDefault="005A7384" w:rsidP="005A7384">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03DCF572" w14:textId="77777777" w:rsidR="005A7384" w:rsidRPr="005A7384" w:rsidRDefault="005A7384" w:rsidP="005A7384">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A7384">
        <w:rPr>
          <w:rFonts w:asciiTheme="minorHAnsi" w:hAnsiTheme="minorHAnsi" w:cstheme="minorHAnsi"/>
          <w:i/>
          <w:iCs/>
          <w:sz w:val="22"/>
          <w:szCs w:val="22"/>
        </w:rPr>
        <w:t>Q. 1.2 Do you consider that additional guiding principles should underpin the legislation? If yes, please outline the relevant additional guiding principles.</w:t>
      </w:r>
    </w:p>
    <w:p w14:paraId="4EC0DA86" w14:textId="77777777" w:rsidR="005A7384" w:rsidRDefault="005A7384" w:rsidP="005A7384">
      <w:pPr>
        <w:pStyle w:val="BodyText"/>
        <w:jc w:val="center"/>
        <w:rPr>
          <w:rFonts w:asciiTheme="minorHAnsi" w:hAnsiTheme="minorHAnsi" w:cstheme="minorHAnsi"/>
          <w:b/>
          <w:i/>
          <w:iCs/>
          <w:sz w:val="22"/>
          <w:szCs w:val="22"/>
        </w:rPr>
      </w:pPr>
    </w:p>
    <w:p w14:paraId="578C24CA" w14:textId="77777777" w:rsidR="005A7384" w:rsidRDefault="00D05843" w:rsidP="005A7384">
      <w:pPr>
        <w:pStyle w:val="BodyText"/>
        <w:rPr>
          <w:rFonts w:asciiTheme="minorHAnsi" w:hAnsiTheme="minorHAnsi" w:cstheme="minorHAnsi"/>
          <w:bCs/>
          <w:sz w:val="22"/>
          <w:szCs w:val="22"/>
        </w:rPr>
      </w:pPr>
      <w:r>
        <w:rPr>
          <w:rFonts w:asciiTheme="minorHAnsi" w:hAnsiTheme="minorHAnsi" w:cstheme="minorHAnsi"/>
          <w:b/>
          <w:bCs/>
          <w:sz w:val="22"/>
          <w:szCs w:val="22"/>
        </w:rPr>
        <w:t>Q 1.1</w:t>
      </w:r>
      <w:r>
        <w:rPr>
          <w:rFonts w:asciiTheme="minorHAnsi" w:hAnsiTheme="minorHAnsi" w:cstheme="minorHAnsi"/>
          <w:bCs/>
          <w:sz w:val="22"/>
          <w:szCs w:val="22"/>
        </w:rPr>
        <w:br/>
      </w:r>
      <w:r w:rsidR="005A7384">
        <w:rPr>
          <w:rFonts w:asciiTheme="minorHAnsi" w:hAnsiTheme="minorHAnsi" w:cstheme="minorHAnsi"/>
          <w:bCs/>
          <w:sz w:val="22"/>
          <w:szCs w:val="22"/>
        </w:rPr>
        <w:t>The LRC’s suggested principles are</w:t>
      </w:r>
      <w:r w:rsidR="00EB5A2D">
        <w:rPr>
          <w:rFonts w:asciiTheme="minorHAnsi" w:hAnsiTheme="minorHAnsi" w:cstheme="minorHAnsi"/>
          <w:bCs/>
          <w:sz w:val="22"/>
          <w:szCs w:val="22"/>
        </w:rPr>
        <w:t>:</w:t>
      </w:r>
    </w:p>
    <w:p w14:paraId="366C389E" w14:textId="77777777" w:rsidR="005A7384" w:rsidRDefault="005A7384" w:rsidP="005A7384">
      <w:pPr>
        <w:pStyle w:val="BodyText"/>
        <w:rPr>
          <w:rFonts w:asciiTheme="minorHAnsi" w:hAnsiTheme="minorHAnsi" w:cstheme="minorHAnsi"/>
          <w:bCs/>
          <w:sz w:val="22"/>
          <w:szCs w:val="22"/>
        </w:rPr>
      </w:pPr>
    </w:p>
    <w:p w14:paraId="70C4DA11" w14:textId="77777777" w:rsidR="005A7384" w:rsidRDefault="00EB5A2D"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Respecting h</w:t>
      </w:r>
      <w:r w:rsidR="005A7384">
        <w:rPr>
          <w:rFonts w:asciiTheme="minorHAnsi" w:hAnsiTheme="minorHAnsi" w:cstheme="minorHAnsi"/>
          <w:bCs/>
          <w:i/>
          <w:iCs/>
          <w:sz w:val="22"/>
          <w:szCs w:val="22"/>
        </w:rPr>
        <w:t>uman rights</w:t>
      </w:r>
      <w:r>
        <w:rPr>
          <w:rFonts w:asciiTheme="minorHAnsi" w:hAnsiTheme="minorHAnsi" w:cstheme="minorHAnsi"/>
          <w:bCs/>
          <w:i/>
          <w:iCs/>
          <w:sz w:val="22"/>
          <w:szCs w:val="22"/>
        </w:rPr>
        <w:t>,</w:t>
      </w:r>
      <w:r w:rsidR="00995A8E">
        <w:rPr>
          <w:rFonts w:asciiTheme="minorHAnsi" w:hAnsiTheme="minorHAnsi" w:cstheme="minorHAnsi"/>
          <w:bCs/>
          <w:i/>
          <w:iCs/>
          <w:sz w:val="22"/>
          <w:szCs w:val="22"/>
        </w:rPr>
        <w:t xml:space="preserve"> </w:t>
      </w:r>
      <w:r w:rsidR="005A7384">
        <w:rPr>
          <w:rFonts w:asciiTheme="minorHAnsi" w:hAnsiTheme="minorHAnsi" w:cstheme="minorHAnsi"/>
          <w:bCs/>
          <w:i/>
          <w:iCs/>
          <w:sz w:val="22"/>
          <w:szCs w:val="22"/>
        </w:rPr>
        <w:t>including the rights to dignity, bodily integrity, privacy and respect for culture and beliefs;</w:t>
      </w:r>
    </w:p>
    <w:p w14:paraId="4AEEA1C1"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 xml:space="preserve">Empowerment: presumption of decision-making capacity, informed consent and the right to participation and independent advocacy;  </w:t>
      </w:r>
    </w:p>
    <w:p w14:paraId="3FC05263"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 xml:space="preserve">Protection: provision of support and care to ensure safety and dignity, and to promote individual physical, mental and emotional well-being;  </w:t>
      </w:r>
    </w:p>
    <w:p w14:paraId="502581AC"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 xml:space="preserve">Prevention: taking proactive steps to ensure that safeguarding measures are in place to prevent abuse from occurring; </w:t>
      </w:r>
    </w:p>
    <w:p w14:paraId="49EC77EE"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 xml:space="preserve">Proportionality: ensuring that any interventions are necessary with regard to the circumstances of the individual; that any interventions are the least intrusive and restrictive of a person’s freedom as possible; and that any interventions are proportionate to the level of risk presented; </w:t>
      </w:r>
    </w:p>
    <w:p w14:paraId="0FC1B424"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 xml:space="preserve">Integration and cooperation: multiagency approaches to ensuring effective safeguarding for all at risk adults on a local level;  </w:t>
      </w:r>
    </w:p>
    <w:p w14:paraId="152871EB" w14:textId="77777777" w:rsidR="005A7384" w:rsidRDefault="005A7384" w:rsidP="005A7384">
      <w:pPr>
        <w:pStyle w:val="BodyText"/>
        <w:numPr>
          <w:ilvl w:val="0"/>
          <w:numId w:val="17"/>
        </w:numPr>
        <w:rPr>
          <w:rFonts w:asciiTheme="minorHAnsi" w:hAnsiTheme="minorHAnsi" w:cstheme="minorHAnsi"/>
          <w:bCs/>
          <w:i/>
          <w:iCs/>
          <w:sz w:val="22"/>
          <w:szCs w:val="22"/>
        </w:rPr>
      </w:pPr>
      <w:r>
        <w:rPr>
          <w:rFonts w:asciiTheme="minorHAnsi" w:hAnsiTheme="minorHAnsi" w:cstheme="minorHAnsi"/>
          <w:bCs/>
          <w:i/>
          <w:iCs/>
          <w:sz w:val="22"/>
          <w:szCs w:val="22"/>
        </w:rPr>
        <w:t>Accountability: accountability and transparency in adult safeguarding.</w:t>
      </w:r>
    </w:p>
    <w:p w14:paraId="4BA6F79F" w14:textId="77777777" w:rsidR="005A7384" w:rsidRDefault="005A7384" w:rsidP="005A7384">
      <w:pPr>
        <w:pStyle w:val="BodyText"/>
        <w:rPr>
          <w:rFonts w:asciiTheme="minorHAnsi" w:hAnsiTheme="minorHAnsi" w:cstheme="minorHAnsi"/>
          <w:bCs/>
          <w:i/>
          <w:iCs/>
          <w:sz w:val="22"/>
          <w:szCs w:val="22"/>
        </w:rPr>
      </w:pPr>
    </w:p>
    <w:p w14:paraId="5F7671E4" w14:textId="36909E52" w:rsidR="0064097C" w:rsidRPr="00F54340" w:rsidRDefault="005A7384" w:rsidP="00F54340">
      <w:pPr>
        <w:pStyle w:val="NoSpacing"/>
        <w:rPr>
          <w:rFonts w:cstheme="minorHAnsi"/>
          <w:bCs/>
          <w:sz w:val="20"/>
          <w:szCs w:val="20"/>
        </w:rPr>
      </w:pPr>
      <w:r>
        <w:rPr>
          <w:rFonts w:cstheme="minorHAnsi"/>
          <w:bCs/>
        </w:rPr>
        <w:t>CIB considers that the above principles provide a useful</w:t>
      </w:r>
      <w:r w:rsidR="009325FE">
        <w:rPr>
          <w:rFonts w:cstheme="minorHAnsi"/>
          <w:bCs/>
        </w:rPr>
        <w:t xml:space="preserve"> value </w:t>
      </w:r>
      <w:r>
        <w:rPr>
          <w:rFonts w:cstheme="minorHAnsi"/>
          <w:bCs/>
        </w:rPr>
        <w:t>bas</w:t>
      </w:r>
      <w:r w:rsidR="009325FE">
        <w:rPr>
          <w:rFonts w:cstheme="minorHAnsi"/>
          <w:bCs/>
        </w:rPr>
        <w:t>e</w:t>
      </w:r>
      <w:r>
        <w:rPr>
          <w:rFonts w:cstheme="minorHAnsi"/>
          <w:bCs/>
        </w:rPr>
        <w:t xml:space="preserve"> for any legislation relating to adult safeguarding.</w:t>
      </w:r>
      <w:r w:rsidR="00D05843">
        <w:rPr>
          <w:rFonts w:cstheme="minorHAnsi"/>
          <w:bCs/>
        </w:rPr>
        <w:t xml:space="preserve"> They reflect the core components of international human rights provisions. </w:t>
      </w:r>
      <w:r>
        <w:rPr>
          <w:rFonts w:cstheme="minorHAnsi"/>
          <w:bCs/>
        </w:rPr>
        <w:t xml:space="preserve"> </w:t>
      </w:r>
      <w:r w:rsidR="00EB5A2D">
        <w:rPr>
          <w:rFonts w:cstheme="minorHAnsi"/>
          <w:bCs/>
        </w:rPr>
        <w:t xml:space="preserve"> </w:t>
      </w:r>
      <w:r w:rsidR="00D05843">
        <w:rPr>
          <w:rFonts w:cstheme="minorHAnsi"/>
          <w:bCs/>
        </w:rPr>
        <w:t xml:space="preserve">Because of </w:t>
      </w:r>
      <w:r>
        <w:rPr>
          <w:rFonts w:cstheme="minorHAnsi"/>
          <w:bCs/>
        </w:rPr>
        <w:t>the leve</w:t>
      </w:r>
      <w:r w:rsidR="009325FE">
        <w:rPr>
          <w:rFonts w:cstheme="minorHAnsi"/>
          <w:bCs/>
        </w:rPr>
        <w:t>l of financial abuse in Ireland</w:t>
      </w:r>
      <w:r>
        <w:rPr>
          <w:rFonts w:cstheme="minorHAnsi"/>
          <w:bCs/>
        </w:rPr>
        <w:t xml:space="preserve"> </w:t>
      </w:r>
      <w:r w:rsidR="009325FE">
        <w:rPr>
          <w:rFonts w:cstheme="minorHAnsi"/>
          <w:bCs/>
        </w:rPr>
        <w:t>as reported in various research studies</w:t>
      </w:r>
      <w:r w:rsidR="00F54340">
        <w:rPr>
          <w:rStyle w:val="FootnoteReference"/>
          <w:bCs/>
        </w:rPr>
        <w:footnoteReference w:id="2"/>
      </w:r>
      <w:r w:rsidR="009325FE">
        <w:rPr>
          <w:rFonts w:cstheme="minorHAnsi"/>
          <w:bCs/>
        </w:rPr>
        <w:t xml:space="preserve">, there would be merit in including </w:t>
      </w:r>
      <w:r w:rsidR="00F561A1">
        <w:rPr>
          <w:rFonts w:cstheme="minorHAnsi"/>
          <w:bCs/>
        </w:rPr>
        <w:t>“</w:t>
      </w:r>
      <w:r w:rsidR="00F561A1">
        <w:t>the protection of vulnerable persons from financial abuse”</w:t>
      </w:r>
      <w:r w:rsidR="00F561A1">
        <w:rPr>
          <w:rFonts w:cstheme="minorHAnsi"/>
          <w:bCs/>
        </w:rPr>
        <w:t xml:space="preserve"> </w:t>
      </w:r>
      <w:r w:rsidR="0064097C">
        <w:rPr>
          <w:rFonts w:cstheme="minorHAnsi"/>
          <w:bCs/>
        </w:rPr>
        <w:t>as a separate principle.</w:t>
      </w:r>
    </w:p>
    <w:p w14:paraId="5DFC1D94" w14:textId="468353AB" w:rsidR="0064097C" w:rsidRPr="0064097C" w:rsidRDefault="0064097C" w:rsidP="00882893">
      <w:pPr>
        <w:pStyle w:val="CommentText"/>
        <w:rPr>
          <w:rFonts w:cstheme="minorHAnsi"/>
          <w:bCs/>
        </w:rPr>
      </w:pPr>
      <w:r>
        <w:rPr>
          <w:rFonts w:cstheme="minorHAnsi"/>
          <w:bCs/>
        </w:rPr>
        <w:br/>
      </w:r>
      <w:r>
        <w:rPr>
          <w:rFonts w:asciiTheme="minorHAnsi" w:hAnsiTheme="minorHAnsi" w:cstheme="minorHAnsi"/>
          <w:b/>
          <w:bCs/>
          <w:sz w:val="22"/>
          <w:szCs w:val="22"/>
        </w:rPr>
        <w:t>Q 1.2</w:t>
      </w:r>
      <w:r>
        <w:rPr>
          <w:rFonts w:asciiTheme="minorHAnsi" w:hAnsiTheme="minorHAnsi" w:cstheme="minorHAnsi"/>
          <w:b/>
          <w:bCs/>
          <w:sz w:val="22"/>
          <w:szCs w:val="22"/>
        </w:rPr>
        <w:br/>
      </w:r>
      <w:r>
        <w:rPr>
          <w:rFonts w:asciiTheme="minorHAnsi" w:hAnsiTheme="minorHAnsi" w:cstheme="minorHAnsi"/>
          <w:bCs/>
          <w:sz w:val="22"/>
          <w:szCs w:val="22"/>
        </w:rPr>
        <w:t>It is suggested that the following additional principles should be included:</w:t>
      </w:r>
    </w:p>
    <w:p w14:paraId="3D1A6FC0" w14:textId="77777777" w:rsidR="0064097C" w:rsidRDefault="0064097C" w:rsidP="005A7384">
      <w:pPr>
        <w:pStyle w:val="BodyText"/>
        <w:rPr>
          <w:rFonts w:asciiTheme="minorHAnsi" w:hAnsiTheme="minorHAnsi" w:cstheme="minorHAnsi"/>
          <w:bCs/>
          <w:i/>
          <w:sz w:val="22"/>
          <w:szCs w:val="22"/>
        </w:rPr>
      </w:pPr>
    </w:p>
    <w:p w14:paraId="6BC17B41" w14:textId="77777777" w:rsidR="0019749F" w:rsidRPr="00F54340" w:rsidRDefault="0019749F" w:rsidP="0019749F">
      <w:pPr>
        <w:pStyle w:val="BodyText"/>
        <w:numPr>
          <w:ilvl w:val="0"/>
          <w:numId w:val="29"/>
        </w:numPr>
        <w:rPr>
          <w:rFonts w:asciiTheme="minorHAnsi" w:hAnsiTheme="minorHAnsi" w:cstheme="minorHAnsi"/>
          <w:bCs/>
          <w:i/>
          <w:sz w:val="22"/>
          <w:szCs w:val="22"/>
        </w:rPr>
      </w:pPr>
      <w:r w:rsidRPr="00F54340">
        <w:rPr>
          <w:rFonts w:asciiTheme="minorHAnsi" w:hAnsiTheme="minorHAnsi" w:cstheme="minorHAnsi"/>
          <w:bCs/>
          <w:i/>
          <w:sz w:val="22"/>
          <w:szCs w:val="22"/>
        </w:rPr>
        <w:t>A person-centred approach</w:t>
      </w:r>
    </w:p>
    <w:p w14:paraId="3825F54E" w14:textId="6D622514" w:rsidR="00F54340" w:rsidRPr="00F54340" w:rsidRDefault="00882893" w:rsidP="0064097C">
      <w:pPr>
        <w:pStyle w:val="BodyText"/>
        <w:numPr>
          <w:ilvl w:val="0"/>
          <w:numId w:val="29"/>
        </w:numPr>
        <w:rPr>
          <w:rFonts w:asciiTheme="minorHAnsi" w:hAnsiTheme="minorHAnsi" w:cstheme="minorHAnsi"/>
          <w:bCs/>
          <w:i/>
          <w:sz w:val="22"/>
          <w:szCs w:val="22"/>
        </w:rPr>
      </w:pPr>
      <w:r>
        <w:rPr>
          <w:rFonts w:asciiTheme="minorHAnsi" w:hAnsiTheme="minorHAnsi" w:cstheme="minorHAnsi"/>
          <w:bCs/>
          <w:i/>
          <w:sz w:val="22"/>
          <w:szCs w:val="22"/>
        </w:rPr>
        <w:t>Supporting people to have c</w:t>
      </w:r>
      <w:r w:rsidR="00F54340" w:rsidRPr="00F54340">
        <w:rPr>
          <w:rFonts w:asciiTheme="minorHAnsi" w:hAnsiTheme="minorHAnsi" w:cstheme="minorHAnsi"/>
          <w:bCs/>
          <w:i/>
          <w:sz w:val="22"/>
          <w:szCs w:val="22"/>
        </w:rPr>
        <w:t>ontrol over personal finances and property</w:t>
      </w:r>
    </w:p>
    <w:p w14:paraId="3A3DFC2E" w14:textId="11BAF5F2" w:rsidR="0064097C" w:rsidRPr="0064097C" w:rsidRDefault="00F54340" w:rsidP="0064097C">
      <w:pPr>
        <w:pStyle w:val="BodyText"/>
        <w:numPr>
          <w:ilvl w:val="0"/>
          <w:numId w:val="29"/>
        </w:numPr>
        <w:rPr>
          <w:rFonts w:asciiTheme="minorHAnsi" w:hAnsiTheme="minorHAnsi" w:cstheme="minorHAnsi"/>
          <w:bCs/>
          <w:sz w:val="22"/>
          <w:szCs w:val="22"/>
        </w:rPr>
      </w:pPr>
      <w:r>
        <w:rPr>
          <w:rFonts w:asciiTheme="minorHAnsi" w:hAnsiTheme="minorHAnsi" w:cstheme="minorHAnsi"/>
          <w:bCs/>
          <w:i/>
          <w:sz w:val="22"/>
          <w:szCs w:val="22"/>
        </w:rPr>
        <w:t>B</w:t>
      </w:r>
      <w:r w:rsidR="0064097C" w:rsidRPr="0064097C">
        <w:rPr>
          <w:rFonts w:asciiTheme="minorHAnsi" w:hAnsiTheme="minorHAnsi" w:cstheme="minorHAnsi"/>
          <w:bCs/>
          <w:i/>
          <w:sz w:val="22"/>
          <w:szCs w:val="22"/>
        </w:rPr>
        <w:t>alanc</w:t>
      </w:r>
      <w:r>
        <w:rPr>
          <w:rFonts w:asciiTheme="minorHAnsi" w:hAnsiTheme="minorHAnsi" w:cstheme="minorHAnsi"/>
          <w:bCs/>
          <w:i/>
          <w:sz w:val="22"/>
          <w:szCs w:val="22"/>
        </w:rPr>
        <w:t xml:space="preserve">ing </w:t>
      </w:r>
      <w:r w:rsidR="0064097C" w:rsidRPr="0064097C">
        <w:rPr>
          <w:rFonts w:asciiTheme="minorHAnsi" w:hAnsiTheme="minorHAnsi" w:cstheme="minorHAnsi"/>
          <w:bCs/>
          <w:i/>
          <w:sz w:val="22"/>
          <w:szCs w:val="22"/>
        </w:rPr>
        <w:t>safeguarding concerns with people’s right</w:t>
      </w:r>
      <w:r>
        <w:rPr>
          <w:rFonts w:asciiTheme="minorHAnsi" w:hAnsiTheme="minorHAnsi" w:cstheme="minorHAnsi"/>
          <w:bCs/>
          <w:i/>
          <w:sz w:val="22"/>
          <w:szCs w:val="22"/>
        </w:rPr>
        <w:t xml:space="preserve"> </w:t>
      </w:r>
      <w:r w:rsidR="0064097C" w:rsidRPr="0064097C">
        <w:rPr>
          <w:rFonts w:asciiTheme="minorHAnsi" w:hAnsiTheme="minorHAnsi" w:cstheme="minorHAnsi"/>
          <w:bCs/>
          <w:i/>
          <w:sz w:val="22"/>
          <w:szCs w:val="22"/>
        </w:rPr>
        <w:t>to engage in positive risk-taking</w:t>
      </w:r>
    </w:p>
    <w:p w14:paraId="62348C16" w14:textId="3EEADE54" w:rsidR="00F62536" w:rsidRDefault="0064097C" w:rsidP="00F62536">
      <w:pPr>
        <w:pStyle w:val="BodyText"/>
        <w:rPr>
          <w:rFonts w:cstheme="minorHAnsi"/>
          <w:bCs/>
        </w:rPr>
      </w:pPr>
      <w:r>
        <w:rPr>
          <w:rFonts w:cstheme="minorHAnsi"/>
          <w:bCs/>
        </w:rPr>
        <w:t xml:space="preserve"> </w:t>
      </w:r>
      <w:r>
        <w:rPr>
          <w:rFonts w:asciiTheme="minorHAnsi" w:hAnsiTheme="minorHAnsi" w:cstheme="minorHAnsi"/>
          <w:bCs/>
          <w:sz w:val="22"/>
          <w:szCs w:val="22"/>
        </w:rPr>
        <w:t xml:space="preserve"> </w:t>
      </w:r>
      <w:r w:rsidR="00F62536">
        <w:rPr>
          <w:rFonts w:asciiTheme="minorHAnsi" w:hAnsiTheme="minorHAnsi" w:cstheme="minorHAnsi"/>
          <w:bCs/>
          <w:sz w:val="22"/>
          <w:szCs w:val="22"/>
        </w:rPr>
        <w:br w:type="page"/>
      </w:r>
    </w:p>
    <w:p w14:paraId="1B19CCF8" w14:textId="6DF81DAA" w:rsidR="005A7384" w:rsidRPr="00A46F1C" w:rsidRDefault="00A46F1C" w:rsidP="004D54DD">
      <w:pPr>
        <w:rPr>
          <w:b/>
          <w:sz w:val="24"/>
          <w:szCs w:val="24"/>
        </w:rPr>
      </w:pPr>
      <w:r w:rsidRPr="00A46F1C">
        <w:rPr>
          <w:b/>
          <w:sz w:val="24"/>
          <w:szCs w:val="24"/>
        </w:rPr>
        <w:t>Issue 2: Defining Key Terms for Adult Safeguarding</w:t>
      </w:r>
    </w:p>
    <w:p w14:paraId="47D8FA52" w14:textId="77777777" w:rsidR="006656E3"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A46F1C">
        <w:rPr>
          <w:rFonts w:asciiTheme="minorHAnsi" w:hAnsiTheme="minorHAnsi" w:cstheme="minorHAnsi"/>
          <w:i/>
          <w:iCs/>
          <w:sz w:val="22"/>
          <w:szCs w:val="22"/>
        </w:rPr>
        <w:t>Q. 2.1 Do you consider that the statutory regulatory framework for adult safeguarding should define the categories of adults who come within its scope?</w:t>
      </w:r>
    </w:p>
    <w:p w14:paraId="6A07E66A" w14:textId="77777777" w:rsidR="00A46F1C" w:rsidRPr="00A46F1C"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br/>
      </w:r>
      <w:r w:rsidRPr="00A46F1C">
        <w:rPr>
          <w:rFonts w:asciiTheme="minorHAnsi" w:hAnsiTheme="minorHAnsi" w:cstheme="minorHAnsi"/>
          <w:i/>
          <w:iCs/>
          <w:sz w:val="22"/>
          <w:szCs w:val="22"/>
        </w:rPr>
        <w:t xml:space="preserve">Q. 2.2 If the answer to Q. 2.1 is yes, what definition of the categories of adults who come within its scope would you suggest? </w:t>
      </w:r>
      <w:r>
        <w:rPr>
          <w:rFonts w:asciiTheme="minorHAnsi" w:hAnsiTheme="minorHAnsi" w:cstheme="minorHAnsi"/>
          <w:i/>
          <w:iCs/>
          <w:sz w:val="22"/>
          <w:szCs w:val="22"/>
        </w:rPr>
        <w:br/>
      </w:r>
      <w:r w:rsidRPr="00A46F1C">
        <w:rPr>
          <w:rFonts w:asciiTheme="minorHAnsi" w:hAnsiTheme="minorHAnsi" w:cstheme="minorHAnsi"/>
          <w:i/>
          <w:iCs/>
          <w:sz w:val="22"/>
          <w:szCs w:val="22"/>
        </w:rPr>
        <w:t>Q. 2.3 Do you consider that the Commission has, in Issue 2 of the Issues Paper, defined the following terms with sufficient clarity:</w:t>
      </w:r>
    </w:p>
    <w:p w14:paraId="4C1F6D6A" w14:textId="77777777" w:rsidR="00A46F1C" w:rsidRPr="00A46F1C"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r>
      <w:r w:rsidRPr="00A46F1C">
        <w:rPr>
          <w:rFonts w:asciiTheme="minorHAnsi" w:hAnsiTheme="minorHAnsi" w:cstheme="minorHAnsi"/>
          <w:i/>
          <w:iCs/>
          <w:sz w:val="22"/>
          <w:szCs w:val="22"/>
        </w:rPr>
        <w:t xml:space="preserve">(a) “safeguarding” </w:t>
      </w:r>
    </w:p>
    <w:p w14:paraId="6CB54D7A" w14:textId="77777777" w:rsidR="00A46F1C" w:rsidRPr="00A46F1C"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r>
      <w:r w:rsidRPr="00A46F1C">
        <w:rPr>
          <w:rFonts w:asciiTheme="minorHAnsi" w:hAnsiTheme="minorHAnsi" w:cstheme="minorHAnsi"/>
          <w:i/>
          <w:iCs/>
          <w:sz w:val="22"/>
          <w:szCs w:val="22"/>
        </w:rPr>
        <w:t xml:space="preserve">(b) “abuse” and “harm” (including whether you consider that the definition of “abuse” should </w:t>
      </w:r>
      <w:r>
        <w:rPr>
          <w:rFonts w:asciiTheme="minorHAnsi" w:hAnsiTheme="minorHAnsi" w:cstheme="minorHAnsi"/>
          <w:i/>
          <w:iCs/>
          <w:sz w:val="22"/>
          <w:szCs w:val="22"/>
        </w:rPr>
        <w:tab/>
      </w:r>
      <w:r w:rsidRPr="00A46F1C">
        <w:rPr>
          <w:rFonts w:asciiTheme="minorHAnsi" w:hAnsiTheme="minorHAnsi" w:cstheme="minorHAnsi"/>
          <w:i/>
          <w:iCs/>
          <w:sz w:val="22"/>
          <w:szCs w:val="22"/>
        </w:rPr>
        <w:t>include “harm” or whether “abuse” and “harm” should be separately defined).</w:t>
      </w:r>
    </w:p>
    <w:p w14:paraId="026A3696" w14:textId="77777777" w:rsidR="00A46F1C" w:rsidRPr="00A46F1C"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t>(c) “neglect”</w:t>
      </w:r>
    </w:p>
    <w:p w14:paraId="3FBCD64F" w14:textId="77777777" w:rsidR="00A46F1C" w:rsidRPr="00A46F1C" w:rsidRDefault="00A46F1C" w:rsidP="00A46F1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r>
      <w:r w:rsidRPr="00A46F1C">
        <w:rPr>
          <w:rFonts w:asciiTheme="minorHAnsi" w:hAnsiTheme="minorHAnsi" w:cstheme="minorHAnsi"/>
          <w:i/>
          <w:iCs/>
          <w:sz w:val="22"/>
          <w:szCs w:val="22"/>
        </w:rPr>
        <w:t>(d) “capacity”</w:t>
      </w:r>
    </w:p>
    <w:p w14:paraId="4A7668EC" w14:textId="77777777" w:rsidR="008A25A9" w:rsidRDefault="0064097C" w:rsidP="00C8533F">
      <w:pPr>
        <w:pStyle w:val="NormalWeb"/>
        <w:shd w:val="clear" w:color="auto" w:fill="FFFFFF"/>
        <w:spacing w:line="276" w:lineRule="auto"/>
        <w:textAlignment w:val="baseline"/>
        <w:rPr>
          <w:rFonts w:asciiTheme="minorHAnsi" w:hAnsiTheme="minorHAnsi" w:cstheme="minorHAnsi"/>
          <w:bCs/>
          <w:sz w:val="22"/>
          <w:szCs w:val="22"/>
        </w:rPr>
      </w:pPr>
      <w:r>
        <w:rPr>
          <w:rFonts w:asciiTheme="minorHAnsi" w:hAnsiTheme="minorHAnsi" w:cstheme="minorHAnsi"/>
          <w:b/>
          <w:bCs/>
          <w:sz w:val="22"/>
          <w:szCs w:val="22"/>
        </w:rPr>
        <w:t>Q 2.1</w:t>
      </w:r>
      <w:r>
        <w:rPr>
          <w:rFonts w:asciiTheme="minorHAnsi" w:hAnsiTheme="minorHAnsi" w:cstheme="minorHAnsi"/>
          <w:bCs/>
          <w:sz w:val="22"/>
          <w:szCs w:val="22"/>
        </w:rPr>
        <w:br/>
      </w:r>
      <w:r w:rsidR="00D05843">
        <w:rPr>
          <w:rFonts w:asciiTheme="minorHAnsi" w:hAnsiTheme="minorHAnsi" w:cstheme="minorHAnsi"/>
          <w:bCs/>
          <w:sz w:val="22"/>
          <w:szCs w:val="22"/>
        </w:rPr>
        <w:t xml:space="preserve">The </w:t>
      </w:r>
      <w:r w:rsidR="00A46F1C">
        <w:rPr>
          <w:rFonts w:asciiTheme="minorHAnsi" w:hAnsiTheme="minorHAnsi" w:cstheme="minorHAnsi"/>
          <w:bCs/>
          <w:sz w:val="22"/>
          <w:szCs w:val="22"/>
        </w:rPr>
        <w:t xml:space="preserve">statutory regulatory framework for adult safeguarding </w:t>
      </w:r>
      <w:r w:rsidR="00D05843">
        <w:rPr>
          <w:rFonts w:asciiTheme="minorHAnsi" w:hAnsiTheme="minorHAnsi" w:cstheme="minorHAnsi"/>
          <w:bCs/>
          <w:sz w:val="22"/>
          <w:szCs w:val="22"/>
        </w:rPr>
        <w:t xml:space="preserve">should </w:t>
      </w:r>
      <w:r w:rsidR="00A46F1C">
        <w:rPr>
          <w:rFonts w:asciiTheme="minorHAnsi" w:hAnsiTheme="minorHAnsi" w:cstheme="minorHAnsi"/>
          <w:bCs/>
          <w:sz w:val="22"/>
          <w:szCs w:val="22"/>
        </w:rPr>
        <w:t xml:space="preserve">define </w:t>
      </w:r>
      <w:bookmarkStart w:id="1" w:name="_Hlk32567650"/>
      <w:r w:rsidR="00A46F1C">
        <w:rPr>
          <w:rFonts w:asciiTheme="minorHAnsi" w:hAnsiTheme="minorHAnsi" w:cstheme="minorHAnsi"/>
          <w:bCs/>
          <w:sz w:val="22"/>
          <w:szCs w:val="22"/>
        </w:rPr>
        <w:t xml:space="preserve">the categories of adults who come within </w:t>
      </w:r>
      <w:bookmarkEnd w:id="1"/>
      <w:r w:rsidR="00A46F1C">
        <w:rPr>
          <w:rFonts w:asciiTheme="minorHAnsi" w:hAnsiTheme="minorHAnsi" w:cstheme="minorHAnsi"/>
          <w:bCs/>
          <w:sz w:val="22"/>
          <w:szCs w:val="22"/>
        </w:rPr>
        <w:t>its scope. This would help to ensure clarity in relation to the roles of various agencies</w:t>
      </w:r>
      <w:r w:rsidR="006656E3">
        <w:rPr>
          <w:rFonts w:asciiTheme="minorHAnsi" w:hAnsiTheme="minorHAnsi" w:cstheme="minorHAnsi"/>
          <w:bCs/>
          <w:sz w:val="22"/>
          <w:szCs w:val="22"/>
        </w:rPr>
        <w:t xml:space="preserve"> likely to be involved</w:t>
      </w:r>
      <w:r w:rsidR="00A46F1C">
        <w:rPr>
          <w:rFonts w:asciiTheme="minorHAnsi" w:hAnsiTheme="minorHAnsi" w:cstheme="minorHAnsi"/>
          <w:bCs/>
          <w:sz w:val="22"/>
          <w:szCs w:val="22"/>
        </w:rPr>
        <w:t xml:space="preserve">. </w:t>
      </w:r>
      <w:r w:rsidR="006656E3">
        <w:rPr>
          <w:rFonts w:asciiTheme="minorHAnsi" w:hAnsiTheme="minorHAnsi" w:cstheme="minorHAnsi"/>
          <w:bCs/>
          <w:sz w:val="22"/>
          <w:szCs w:val="22"/>
        </w:rPr>
        <w:t>It</w:t>
      </w:r>
      <w:r w:rsidR="00A46F1C">
        <w:rPr>
          <w:rFonts w:asciiTheme="minorHAnsi" w:hAnsiTheme="minorHAnsi" w:cstheme="minorHAnsi"/>
          <w:bCs/>
          <w:sz w:val="22"/>
          <w:szCs w:val="22"/>
        </w:rPr>
        <w:t xml:space="preserve"> would also help to ensure that safeguarding </w:t>
      </w:r>
      <w:r w:rsidR="006656E3">
        <w:rPr>
          <w:rFonts w:asciiTheme="minorHAnsi" w:hAnsiTheme="minorHAnsi" w:cstheme="minorHAnsi"/>
          <w:bCs/>
          <w:sz w:val="22"/>
          <w:szCs w:val="22"/>
        </w:rPr>
        <w:t xml:space="preserve">interventions </w:t>
      </w:r>
      <w:r w:rsidR="00A46F1C">
        <w:rPr>
          <w:rFonts w:asciiTheme="minorHAnsi" w:hAnsiTheme="minorHAnsi" w:cstheme="minorHAnsi"/>
          <w:bCs/>
          <w:sz w:val="22"/>
          <w:szCs w:val="22"/>
        </w:rPr>
        <w:t>are targeted at those in need of safeguarding services</w:t>
      </w:r>
      <w:r w:rsidR="006656E3">
        <w:rPr>
          <w:rFonts w:asciiTheme="minorHAnsi" w:hAnsiTheme="minorHAnsi" w:cstheme="minorHAnsi"/>
          <w:bCs/>
          <w:sz w:val="22"/>
          <w:szCs w:val="22"/>
        </w:rPr>
        <w:t xml:space="preserve"> and facilitate inter-agency working</w:t>
      </w:r>
      <w:r w:rsidR="008A25A9">
        <w:rPr>
          <w:rFonts w:asciiTheme="minorHAnsi" w:hAnsiTheme="minorHAnsi" w:cstheme="minorHAnsi"/>
          <w:bCs/>
          <w:sz w:val="22"/>
          <w:szCs w:val="22"/>
        </w:rPr>
        <w:t>.</w:t>
      </w:r>
    </w:p>
    <w:p w14:paraId="52785864" w14:textId="5C9C6BAA" w:rsidR="004E1DFD" w:rsidRPr="0027560F" w:rsidRDefault="00882893" w:rsidP="0027560F">
      <w:pPr>
        <w:pStyle w:val="CommentText"/>
        <w:spacing w:line="276" w:lineRule="auto"/>
        <w:rPr>
          <w:b/>
          <w:sz w:val="22"/>
          <w:szCs w:val="22"/>
        </w:rPr>
      </w:pPr>
      <w:r w:rsidRPr="0027560F">
        <w:rPr>
          <w:rFonts w:asciiTheme="minorHAnsi" w:hAnsiTheme="minorHAnsi"/>
          <w:sz w:val="22"/>
          <w:szCs w:val="22"/>
        </w:rPr>
        <w:t>From a CIB perspective, i</w:t>
      </w:r>
      <w:r w:rsidR="00C83C53" w:rsidRPr="0027560F">
        <w:rPr>
          <w:rFonts w:asciiTheme="minorHAnsi" w:hAnsiTheme="minorHAnsi"/>
          <w:sz w:val="22"/>
          <w:szCs w:val="22"/>
        </w:rPr>
        <w:t>n addition to NAS, other CIB delivery services (</w:t>
      </w:r>
      <w:r w:rsidR="002F7D11" w:rsidRPr="0027560F">
        <w:rPr>
          <w:rFonts w:asciiTheme="minorHAnsi" w:hAnsiTheme="minorHAnsi"/>
          <w:sz w:val="22"/>
          <w:szCs w:val="22"/>
        </w:rPr>
        <w:t>CIS</w:t>
      </w:r>
      <w:r w:rsidR="00C83C53" w:rsidRPr="0027560F">
        <w:rPr>
          <w:rFonts w:asciiTheme="minorHAnsi" w:hAnsiTheme="minorHAnsi"/>
          <w:sz w:val="22"/>
          <w:szCs w:val="22"/>
        </w:rPr>
        <w:t>s</w:t>
      </w:r>
      <w:r w:rsidR="002F7D11" w:rsidRPr="0027560F">
        <w:rPr>
          <w:rFonts w:asciiTheme="minorHAnsi" w:hAnsiTheme="minorHAnsi"/>
          <w:sz w:val="22"/>
          <w:szCs w:val="22"/>
        </w:rPr>
        <w:t xml:space="preserve"> and MABS</w:t>
      </w:r>
      <w:r w:rsidR="00C83C53" w:rsidRPr="0027560F">
        <w:rPr>
          <w:rFonts w:asciiTheme="minorHAnsi" w:hAnsiTheme="minorHAnsi"/>
          <w:sz w:val="22"/>
          <w:szCs w:val="22"/>
        </w:rPr>
        <w:t xml:space="preserve">) work with a broad spectrum of the Irish population, some of whom </w:t>
      </w:r>
      <w:r w:rsidRPr="0027560F">
        <w:rPr>
          <w:rFonts w:asciiTheme="minorHAnsi" w:hAnsiTheme="minorHAnsi"/>
          <w:sz w:val="22"/>
          <w:szCs w:val="22"/>
        </w:rPr>
        <w:t xml:space="preserve">would come </w:t>
      </w:r>
      <w:r w:rsidR="0027560F">
        <w:rPr>
          <w:rFonts w:asciiTheme="minorHAnsi" w:hAnsiTheme="minorHAnsi"/>
          <w:sz w:val="22"/>
          <w:szCs w:val="22"/>
        </w:rPr>
        <w:t xml:space="preserve">within </w:t>
      </w:r>
      <w:r w:rsidRPr="0027560F">
        <w:rPr>
          <w:rFonts w:asciiTheme="minorHAnsi" w:hAnsiTheme="minorHAnsi"/>
          <w:sz w:val="22"/>
          <w:szCs w:val="22"/>
        </w:rPr>
        <w:t>the category of people requiring safeguarding.</w:t>
      </w:r>
      <w:r w:rsidR="00B560B9" w:rsidRPr="0027560F">
        <w:rPr>
          <w:rFonts w:asciiTheme="minorHAnsi" w:hAnsiTheme="minorHAnsi"/>
          <w:sz w:val="22"/>
          <w:szCs w:val="22"/>
        </w:rPr>
        <w:t xml:space="preserve"> These services would clearly wish </w:t>
      </w:r>
      <w:r w:rsidR="006857A2" w:rsidRPr="0027560F">
        <w:rPr>
          <w:rFonts w:asciiTheme="minorHAnsi" w:hAnsiTheme="minorHAnsi"/>
          <w:sz w:val="22"/>
          <w:szCs w:val="22"/>
        </w:rPr>
        <w:t xml:space="preserve">to apply </w:t>
      </w:r>
      <w:r w:rsidR="00C83C53" w:rsidRPr="0027560F">
        <w:rPr>
          <w:rFonts w:asciiTheme="minorHAnsi" w:hAnsiTheme="minorHAnsi"/>
          <w:sz w:val="22"/>
          <w:szCs w:val="22"/>
        </w:rPr>
        <w:t>best safeguarding practice in supporting their clients</w:t>
      </w:r>
      <w:r w:rsidR="00B560B9" w:rsidRPr="0027560F">
        <w:rPr>
          <w:rFonts w:asciiTheme="minorHAnsi" w:hAnsiTheme="minorHAnsi"/>
          <w:sz w:val="22"/>
          <w:szCs w:val="22"/>
        </w:rPr>
        <w:t xml:space="preserve"> even if not legally mandated to do so.</w:t>
      </w:r>
      <w:r w:rsidR="006857A2" w:rsidRPr="0027560F">
        <w:rPr>
          <w:rFonts w:asciiTheme="minorHAnsi" w:hAnsiTheme="minorHAnsi"/>
          <w:sz w:val="22"/>
          <w:szCs w:val="22"/>
        </w:rPr>
        <w:br/>
      </w:r>
    </w:p>
    <w:p w14:paraId="7836DE6E" w14:textId="0510914B" w:rsidR="00C83C53" w:rsidRDefault="006656E3" w:rsidP="0027560F">
      <w:pPr>
        <w:pStyle w:val="CommentText"/>
        <w:spacing w:line="276" w:lineRule="auto"/>
        <w:rPr>
          <w:rFonts w:asciiTheme="minorHAnsi" w:hAnsiTheme="minorHAnsi"/>
          <w:sz w:val="22"/>
          <w:szCs w:val="22"/>
        </w:rPr>
      </w:pPr>
      <w:r w:rsidRPr="006656E3">
        <w:rPr>
          <w:b/>
        </w:rPr>
        <w:t>Q 2.2</w:t>
      </w:r>
      <w:r w:rsidR="00CB0B23">
        <w:rPr>
          <w:b/>
        </w:rPr>
        <w:br/>
      </w:r>
      <w:r w:rsidR="008A25A9" w:rsidRPr="001E76B0">
        <w:rPr>
          <w:rFonts w:asciiTheme="minorHAnsi" w:hAnsiTheme="minorHAnsi"/>
          <w:sz w:val="22"/>
          <w:szCs w:val="22"/>
        </w:rPr>
        <w:t xml:space="preserve">CIB </w:t>
      </w:r>
      <w:r w:rsidRPr="001E76B0">
        <w:rPr>
          <w:rFonts w:asciiTheme="minorHAnsi" w:hAnsiTheme="minorHAnsi"/>
          <w:sz w:val="22"/>
          <w:szCs w:val="22"/>
        </w:rPr>
        <w:t xml:space="preserve">agrees with the proposed </w:t>
      </w:r>
      <w:r w:rsidR="008A25A9" w:rsidRPr="001E76B0">
        <w:rPr>
          <w:rFonts w:asciiTheme="minorHAnsi" w:hAnsiTheme="minorHAnsi"/>
          <w:sz w:val="22"/>
          <w:szCs w:val="22"/>
        </w:rPr>
        <w:t xml:space="preserve">shift from using </w:t>
      </w:r>
      <w:r w:rsidR="00A46F1C" w:rsidRPr="001E76B0">
        <w:rPr>
          <w:rFonts w:asciiTheme="minorHAnsi" w:hAnsiTheme="minorHAnsi"/>
          <w:sz w:val="22"/>
          <w:szCs w:val="22"/>
        </w:rPr>
        <w:t>the term “vulnerable person” or “vulnerable adult”</w:t>
      </w:r>
      <w:r w:rsidR="00B560B9">
        <w:rPr>
          <w:rFonts w:asciiTheme="minorHAnsi" w:hAnsiTheme="minorHAnsi"/>
          <w:sz w:val="22"/>
          <w:szCs w:val="22"/>
        </w:rPr>
        <w:t>.</w:t>
      </w:r>
      <w:r w:rsidRPr="001E76B0">
        <w:rPr>
          <w:rFonts w:asciiTheme="minorHAnsi" w:hAnsiTheme="minorHAnsi"/>
          <w:sz w:val="22"/>
          <w:szCs w:val="22"/>
        </w:rPr>
        <w:t xml:space="preserve"> </w:t>
      </w:r>
      <w:r w:rsidR="00B560B9">
        <w:rPr>
          <w:rFonts w:asciiTheme="minorHAnsi" w:hAnsiTheme="minorHAnsi"/>
          <w:sz w:val="22"/>
          <w:szCs w:val="22"/>
        </w:rPr>
        <w:t>P</w:t>
      </w:r>
      <w:r w:rsidRPr="001E76B0">
        <w:rPr>
          <w:rFonts w:asciiTheme="minorHAnsi" w:hAnsiTheme="minorHAnsi"/>
          <w:sz w:val="22"/>
          <w:szCs w:val="22"/>
        </w:rPr>
        <w:t xml:space="preserve">olicy and public discourse has tended to use the term ‘vulnerable’ very widely and generally and, perhaps, without a clear </w:t>
      </w:r>
      <w:r w:rsidR="00D05843" w:rsidRPr="001E76B0">
        <w:rPr>
          <w:rFonts w:asciiTheme="minorHAnsi" w:hAnsiTheme="minorHAnsi"/>
          <w:sz w:val="22"/>
          <w:szCs w:val="22"/>
        </w:rPr>
        <w:t xml:space="preserve">or </w:t>
      </w:r>
      <w:r w:rsidRPr="001E76B0">
        <w:rPr>
          <w:rFonts w:asciiTheme="minorHAnsi" w:hAnsiTheme="minorHAnsi"/>
          <w:sz w:val="22"/>
          <w:szCs w:val="22"/>
        </w:rPr>
        <w:t>agreed understanding of what the term means.</w:t>
      </w:r>
      <w:r w:rsidR="001E76B0" w:rsidRPr="001E76B0">
        <w:rPr>
          <w:rFonts w:asciiTheme="minorHAnsi" w:hAnsiTheme="minorHAnsi"/>
          <w:sz w:val="22"/>
          <w:szCs w:val="22"/>
        </w:rPr>
        <w:t xml:space="preserve"> This has happened extensively in the current narrative around Covid-19</w:t>
      </w:r>
      <w:r w:rsidR="000D2BBC">
        <w:rPr>
          <w:rFonts w:asciiTheme="minorHAnsi" w:hAnsiTheme="minorHAnsi"/>
          <w:sz w:val="22"/>
          <w:szCs w:val="22"/>
        </w:rPr>
        <w:t>.</w:t>
      </w:r>
      <w:r w:rsidR="001E76B0" w:rsidRPr="001E76B0">
        <w:rPr>
          <w:rFonts w:asciiTheme="minorHAnsi" w:hAnsiTheme="minorHAnsi"/>
          <w:sz w:val="22"/>
          <w:szCs w:val="22"/>
        </w:rPr>
        <w:t xml:space="preserve"> </w:t>
      </w:r>
      <w:r w:rsidRPr="001E76B0">
        <w:rPr>
          <w:rFonts w:asciiTheme="minorHAnsi" w:hAnsiTheme="minorHAnsi"/>
          <w:sz w:val="22"/>
          <w:szCs w:val="22"/>
        </w:rPr>
        <w:t xml:space="preserve">It is also the case that the use of the term ‘vulnerable person’ may inadvertently result in a tendency to </w:t>
      </w:r>
      <w:r w:rsidR="00CB0B23" w:rsidRPr="001E76B0">
        <w:rPr>
          <w:rFonts w:asciiTheme="minorHAnsi" w:hAnsiTheme="minorHAnsi"/>
          <w:sz w:val="22"/>
          <w:szCs w:val="22"/>
        </w:rPr>
        <w:t xml:space="preserve">locate </w:t>
      </w:r>
      <w:r w:rsidR="00C8533F" w:rsidRPr="001E76B0">
        <w:rPr>
          <w:rFonts w:asciiTheme="minorHAnsi" w:hAnsiTheme="minorHAnsi"/>
          <w:sz w:val="22"/>
          <w:szCs w:val="22"/>
        </w:rPr>
        <w:t xml:space="preserve">the </w:t>
      </w:r>
      <w:r w:rsidR="00CB0B23" w:rsidRPr="001E76B0">
        <w:rPr>
          <w:rFonts w:asciiTheme="minorHAnsi" w:hAnsiTheme="minorHAnsi"/>
          <w:sz w:val="22"/>
          <w:szCs w:val="22"/>
        </w:rPr>
        <w:t xml:space="preserve">problem in the individual person and not take into account the fact that vulnerability is </w:t>
      </w:r>
      <w:r w:rsidR="008A25A9" w:rsidRPr="001E76B0">
        <w:rPr>
          <w:rFonts w:asciiTheme="minorHAnsi" w:hAnsiTheme="minorHAnsi"/>
          <w:sz w:val="22"/>
          <w:szCs w:val="22"/>
        </w:rPr>
        <w:t>relative and fluctuates</w:t>
      </w:r>
      <w:r w:rsidR="00CB0B23" w:rsidRPr="001E76B0">
        <w:rPr>
          <w:rFonts w:asciiTheme="minorHAnsi" w:hAnsiTheme="minorHAnsi"/>
          <w:sz w:val="22"/>
          <w:szCs w:val="22"/>
        </w:rPr>
        <w:t xml:space="preserve"> and that it </w:t>
      </w:r>
      <w:r w:rsidR="008A25A9" w:rsidRPr="001E76B0">
        <w:rPr>
          <w:rFonts w:asciiTheme="minorHAnsi" w:hAnsiTheme="minorHAnsi"/>
          <w:sz w:val="22"/>
          <w:szCs w:val="22"/>
        </w:rPr>
        <w:t>may be as much to do with people’s living circumstances/environment as with their</w:t>
      </w:r>
      <w:r w:rsidR="00D05843" w:rsidRPr="001E76B0">
        <w:rPr>
          <w:rFonts w:asciiTheme="minorHAnsi" w:hAnsiTheme="minorHAnsi"/>
          <w:sz w:val="22"/>
          <w:szCs w:val="22"/>
        </w:rPr>
        <w:t xml:space="preserve"> personal disposition, </w:t>
      </w:r>
      <w:r w:rsidR="00CB0B23" w:rsidRPr="001E76B0">
        <w:rPr>
          <w:rFonts w:asciiTheme="minorHAnsi" w:hAnsiTheme="minorHAnsi"/>
          <w:sz w:val="22"/>
          <w:szCs w:val="22"/>
        </w:rPr>
        <w:t xml:space="preserve">decision-making capacity or functional </w:t>
      </w:r>
      <w:r w:rsidR="008A25A9" w:rsidRPr="001E76B0">
        <w:rPr>
          <w:rFonts w:asciiTheme="minorHAnsi" w:hAnsiTheme="minorHAnsi"/>
          <w:sz w:val="22"/>
          <w:szCs w:val="22"/>
        </w:rPr>
        <w:t>ability</w:t>
      </w:r>
      <w:r w:rsidR="00CB0B23" w:rsidRPr="001E76B0">
        <w:rPr>
          <w:rFonts w:asciiTheme="minorHAnsi" w:hAnsiTheme="minorHAnsi"/>
          <w:sz w:val="22"/>
          <w:szCs w:val="22"/>
        </w:rPr>
        <w:t xml:space="preserve">. </w:t>
      </w:r>
      <w:r w:rsidR="004F1741" w:rsidRPr="001E76B0">
        <w:rPr>
          <w:rFonts w:asciiTheme="minorHAnsi" w:hAnsiTheme="minorHAnsi"/>
          <w:sz w:val="22"/>
          <w:szCs w:val="22"/>
        </w:rPr>
        <w:t xml:space="preserve">Also, </w:t>
      </w:r>
      <w:r w:rsidR="001D1F6C" w:rsidRPr="001E76B0">
        <w:rPr>
          <w:rFonts w:asciiTheme="minorHAnsi" w:hAnsiTheme="minorHAnsi"/>
          <w:sz w:val="22"/>
          <w:szCs w:val="22"/>
        </w:rPr>
        <w:t xml:space="preserve">while the </w:t>
      </w:r>
      <w:r w:rsidR="004F1741" w:rsidRPr="001E76B0">
        <w:rPr>
          <w:rFonts w:asciiTheme="minorHAnsi" w:hAnsiTheme="minorHAnsi"/>
          <w:sz w:val="22"/>
          <w:szCs w:val="22"/>
        </w:rPr>
        <w:t xml:space="preserve">HSE definition </w:t>
      </w:r>
      <w:r w:rsidR="001D1F6C" w:rsidRPr="001E76B0">
        <w:rPr>
          <w:rFonts w:asciiTheme="minorHAnsi" w:hAnsiTheme="minorHAnsi"/>
          <w:sz w:val="22"/>
          <w:szCs w:val="22"/>
        </w:rPr>
        <w:t xml:space="preserve">of abuse </w:t>
      </w:r>
      <w:r w:rsidR="004F1741" w:rsidRPr="001E76B0">
        <w:rPr>
          <w:rFonts w:asciiTheme="minorHAnsi" w:hAnsiTheme="minorHAnsi"/>
          <w:sz w:val="22"/>
          <w:szCs w:val="22"/>
        </w:rPr>
        <w:t xml:space="preserve">focuses on acts of abuse by individuals, </w:t>
      </w:r>
      <w:r w:rsidR="001D1F6C" w:rsidRPr="001E76B0">
        <w:rPr>
          <w:rFonts w:asciiTheme="minorHAnsi" w:hAnsiTheme="minorHAnsi"/>
          <w:sz w:val="22"/>
          <w:szCs w:val="22"/>
        </w:rPr>
        <w:t xml:space="preserve">it is acknowledged that </w:t>
      </w:r>
      <w:r w:rsidR="004F1741" w:rsidRPr="001E76B0">
        <w:rPr>
          <w:rFonts w:asciiTheme="minorHAnsi" w:hAnsiTheme="minorHAnsi"/>
          <w:sz w:val="22"/>
          <w:szCs w:val="22"/>
        </w:rPr>
        <w:t>abuse can also arise from inappropriate or inadequacy of care or programmes of care.</w:t>
      </w:r>
    </w:p>
    <w:p w14:paraId="599C147D" w14:textId="77777777" w:rsidR="00C83C53" w:rsidRDefault="00C83C53" w:rsidP="0027560F">
      <w:pPr>
        <w:pStyle w:val="CommentText"/>
        <w:spacing w:line="276" w:lineRule="auto"/>
        <w:rPr>
          <w:rFonts w:asciiTheme="minorHAnsi" w:hAnsiTheme="minorHAnsi"/>
          <w:sz w:val="22"/>
          <w:szCs w:val="22"/>
        </w:rPr>
      </w:pPr>
    </w:p>
    <w:p w14:paraId="381C7217" w14:textId="58473CAB" w:rsidR="001E76B0" w:rsidRPr="001E76B0" w:rsidRDefault="00C83C53" w:rsidP="0027560F">
      <w:pPr>
        <w:pStyle w:val="CommentText"/>
        <w:spacing w:line="276" w:lineRule="auto"/>
        <w:rPr>
          <w:rFonts w:asciiTheme="minorHAnsi" w:hAnsiTheme="minorHAnsi"/>
          <w:sz w:val="22"/>
          <w:szCs w:val="22"/>
        </w:rPr>
      </w:pPr>
      <w:r>
        <w:rPr>
          <w:rFonts w:asciiTheme="minorHAnsi" w:hAnsiTheme="minorHAnsi"/>
          <w:sz w:val="22"/>
          <w:szCs w:val="22"/>
        </w:rPr>
        <w:t xml:space="preserve">One </w:t>
      </w:r>
      <w:r w:rsidR="001E76B0" w:rsidRPr="001E76B0">
        <w:rPr>
          <w:rFonts w:asciiTheme="minorHAnsi" w:hAnsiTheme="minorHAnsi"/>
          <w:sz w:val="22"/>
          <w:szCs w:val="22"/>
        </w:rPr>
        <w:t>issue that is not fully explored in the LRC paper</w:t>
      </w:r>
      <w:r>
        <w:rPr>
          <w:rFonts w:asciiTheme="minorHAnsi" w:hAnsiTheme="minorHAnsi"/>
          <w:sz w:val="22"/>
          <w:szCs w:val="22"/>
        </w:rPr>
        <w:t xml:space="preserve"> is that of </w:t>
      </w:r>
      <w:r w:rsidR="001E76B0" w:rsidRPr="001E76B0">
        <w:rPr>
          <w:rFonts w:asciiTheme="minorHAnsi" w:hAnsiTheme="minorHAnsi"/>
          <w:sz w:val="22"/>
          <w:szCs w:val="22"/>
        </w:rPr>
        <w:t>institutional or organisational abuse (including neglect)</w:t>
      </w:r>
      <w:r>
        <w:rPr>
          <w:rFonts w:asciiTheme="minorHAnsi" w:hAnsiTheme="minorHAnsi"/>
          <w:sz w:val="22"/>
          <w:szCs w:val="22"/>
        </w:rPr>
        <w:t xml:space="preserve"> arising from, for example,</w:t>
      </w:r>
      <w:r w:rsidR="001E76B0" w:rsidRPr="001E76B0">
        <w:rPr>
          <w:rFonts w:asciiTheme="minorHAnsi" w:hAnsiTheme="minorHAnsi"/>
          <w:sz w:val="22"/>
          <w:szCs w:val="22"/>
        </w:rPr>
        <w:t xml:space="preserve"> overcrowding in prisons or hospitals</w:t>
      </w:r>
      <w:r>
        <w:rPr>
          <w:rFonts w:asciiTheme="minorHAnsi" w:hAnsiTheme="minorHAnsi"/>
          <w:sz w:val="22"/>
          <w:szCs w:val="22"/>
        </w:rPr>
        <w:t xml:space="preserve">. Categories of </w:t>
      </w:r>
      <w:r w:rsidR="001E76B0" w:rsidRPr="001E76B0">
        <w:rPr>
          <w:rFonts w:asciiTheme="minorHAnsi" w:hAnsiTheme="minorHAnsi"/>
          <w:sz w:val="22"/>
          <w:szCs w:val="22"/>
        </w:rPr>
        <w:t>adults who are more at risk of abuse based on their situations</w:t>
      </w:r>
      <w:r>
        <w:rPr>
          <w:rFonts w:asciiTheme="minorHAnsi" w:hAnsiTheme="minorHAnsi"/>
          <w:sz w:val="22"/>
          <w:szCs w:val="22"/>
        </w:rPr>
        <w:t xml:space="preserve"> include, in particular, </w:t>
      </w:r>
      <w:r w:rsidR="001E76B0" w:rsidRPr="001E76B0">
        <w:rPr>
          <w:rFonts w:asciiTheme="minorHAnsi" w:hAnsiTheme="minorHAnsi"/>
          <w:sz w:val="22"/>
          <w:szCs w:val="22"/>
        </w:rPr>
        <w:t>prisoners, D</w:t>
      </w:r>
      <w:r>
        <w:rPr>
          <w:rFonts w:asciiTheme="minorHAnsi" w:hAnsiTheme="minorHAnsi"/>
          <w:sz w:val="22"/>
          <w:szCs w:val="22"/>
        </w:rPr>
        <w:t xml:space="preserve">irect </w:t>
      </w:r>
      <w:r w:rsidR="001E76B0" w:rsidRPr="001E76B0">
        <w:rPr>
          <w:rFonts w:asciiTheme="minorHAnsi" w:hAnsiTheme="minorHAnsi"/>
          <w:sz w:val="22"/>
          <w:szCs w:val="22"/>
        </w:rPr>
        <w:t>P</w:t>
      </w:r>
      <w:r>
        <w:rPr>
          <w:rFonts w:asciiTheme="minorHAnsi" w:hAnsiTheme="minorHAnsi"/>
          <w:sz w:val="22"/>
          <w:szCs w:val="22"/>
        </w:rPr>
        <w:t>rovision</w:t>
      </w:r>
      <w:r w:rsidR="001E76B0" w:rsidRPr="001E76B0">
        <w:rPr>
          <w:rFonts w:asciiTheme="minorHAnsi" w:hAnsiTheme="minorHAnsi"/>
          <w:sz w:val="22"/>
          <w:szCs w:val="22"/>
        </w:rPr>
        <w:t xml:space="preserve"> residents</w:t>
      </w:r>
      <w:r>
        <w:rPr>
          <w:rFonts w:asciiTheme="minorHAnsi" w:hAnsiTheme="minorHAnsi"/>
          <w:sz w:val="22"/>
          <w:szCs w:val="22"/>
        </w:rPr>
        <w:t xml:space="preserve"> and </w:t>
      </w:r>
      <w:r w:rsidR="001E76B0" w:rsidRPr="001E76B0">
        <w:rPr>
          <w:rFonts w:asciiTheme="minorHAnsi" w:hAnsiTheme="minorHAnsi"/>
          <w:sz w:val="22"/>
          <w:szCs w:val="22"/>
        </w:rPr>
        <w:t xml:space="preserve">undocumented </w:t>
      </w:r>
      <w:r>
        <w:rPr>
          <w:rFonts w:asciiTheme="minorHAnsi" w:hAnsiTheme="minorHAnsi"/>
          <w:sz w:val="22"/>
          <w:szCs w:val="22"/>
        </w:rPr>
        <w:t>migrants.</w:t>
      </w:r>
      <w:r w:rsidR="001E76B0" w:rsidRPr="001E76B0">
        <w:rPr>
          <w:rFonts w:asciiTheme="minorHAnsi" w:hAnsiTheme="minorHAnsi"/>
          <w:sz w:val="22"/>
          <w:szCs w:val="22"/>
        </w:rPr>
        <w:t xml:space="preserve"> </w:t>
      </w:r>
      <w:r w:rsidR="002E28F1">
        <w:rPr>
          <w:rFonts w:asciiTheme="minorHAnsi" w:hAnsiTheme="minorHAnsi"/>
          <w:sz w:val="22"/>
          <w:szCs w:val="22"/>
        </w:rPr>
        <w:t>Again, the circumstances of people in such congregated settings have come to the fore in the current pandemic crisis</w:t>
      </w:r>
      <w:r w:rsidR="00DF70D7">
        <w:rPr>
          <w:rFonts w:asciiTheme="minorHAnsi" w:hAnsiTheme="minorHAnsi"/>
          <w:sz w:val="22"/>
          <w:szCs w:val="22"/>
        </w:rPr>
        <w:t>.</w:t>
      </w:r>
    </w:p>
    <w:p w14:paraId="6DBE17C1" w14:textId="2B982B54" w:rsidR="0065425B" w:rsidRPr="00B560B9" w:rsidRDefault="00B560B9" w:rsidP="0065425B">
      <w:pPr>
        <w:rPr>
          <w:rFonts w:cstheme="minorHAnsi"/>
          <w:bCs/>
        </w:rPr>
      </w:pPr>
      <w:r>
        <w:rPr>
          <w:rFonts w:cstheme="minorHAnsi"/>
          <w:bCs/>
        </w:rPr>
        <w:br/>
      </w:r>
      <w:r w:rsidR="004644A7">
        <w:rPr>
          <w:rFonts w:cstheme="minorHAnsi"/>
          <w:bCs/>
        </w:rPr>
        <w:t xml:space="preserve">CIB </w:t>
      </w:r>
      <w:r w:rsidR="00A46F1C">
        <w:rPr>
          <w:rFonts w:cstheme="minorHAnsi"/>
          <w:bCs/>
        </w:rPr>
        <w:t>considers that many of the definitions outlined in the Issues Paper have merit but also may not capture</w:t>
      </w:r>
      <w:r w:rsidR="00CB0B23">
        <w:rPr>
          <w:rFonts w:cstheme="minorHAnsi"/>
          <w:bCs/>
        </w:rPr>
        <w:t xml:space="preserve"> all </w:t>
      </w:r>
      <w:r w:rsidR="00A46F1C">
        <w:rPr>
          <w:rFonts w:cstheme="minorHAnsi"/>
          <w:bCs/>
        </w:rPr>
        <w:t xml:space="preserve">people </w:t>
      </w:r>
      <w:r w:rsidR="00DF70D7">
        <w:rPr>
          <w:rFonts w:cstheme="minorHAnsi"/>
          <w:bCs/>
        </w:rPr>
        <w:t>who</w:t>
      </w:r>
      <w:r w:rsidR="00A46F1C">
        <w:rPr>
          <w:rFonts w:cstheme="minorHAnsi"/>
          <w:bCs/>
        </w:rPr>
        <w:t xml:space="preserve"> may need safeguarding. </w:t>
      </w:r>
      <w:r>
        <w:rPr>
          <w:rFonts w:cstheme="minorHAnsi"/>
          <w:bCs/>
        </w:rPr>
        <w:t>CIB fully a</w:t>
      </w:r>
      <w:r w:rsidR="004644A7">
        <w:rPr>
          <w:rFonts w:cstheme="minorHAnsi"/>
          <w:bCs/>
        </w:rPr>
        <w:t xml:space="preserve">grees </w:t>
      </w:r>
      <w:r w:rsidR="00A46F1C">
        <w:rPr>
          <w:rFonts w:cstheme="minorHAnsi"/>
          <w:bCs/>
        </w:rPr>
        <w:t xml:space="preserve">with the LRC </w:t>
      </w:r>
      <w:r w:rsidR="004644A7">
        <w:rPr>
          <w:rFonts w:cstheme="minorHAnsi"/>
          <w:bCs/>
        </w:rPr>
        <w:t xml:space="preserve">view </w:t>
      </w:r>
      <w:r w:rsidR="00A46F1C">
        <w:rPr>
          <w:rFonts w:cstheme="minorHAnsi"/>
          <w:bCs/>
        </w:rPr>
        <w:t>that a person may be capable of living independently without care and support but may still be at risk of abuse or harm.</w:t>
      </w:r>
      <w:r>
        <w:rPr>
          <w:rFonts w:cstheme="minorHAnsi"/>
          <w:bCs/>
        </w:rPr>
        <w:t xml:space="preserve"> </w:t>
      </w:r>
      <w:r>
        <w:rPr>
          <w:iCs/>
        </w:rPr>
        <w:t xml:space="preserve">For example, there may be </w:t>
      </w:r>
      <w:r w:rsidR="00CB0B23">
        <w:rPr>
          <w:iCs/>
        </w:rPr>
        <w:t xml:space="preserve">people </w:t>
      </w:r>
      <w:r w:rsidR="00A20C29">
        <w:rPr>
          <w:iCs/>
        </w:rPr>
        <w:t>who have suffered various kinds of trauma, e.g., sexual abuse, domestic violence, who may not have the ability to safeguard themselves or their property and may be subject to exploitation.</w:t>
      </w:r>
      <w:r w:rsidR="00F47015">
        <w:rPr>
          <w:iCs/>
        </w:rPr>
        <w:t xml:space="preserve"> </w:t>
      </w:r>
      <w:r w:rsidR="00C83C53">
        <w:rPr>
          <w:iCs/>
        </w:rPr>
        <w:br/>
      </w:r>
      <w:r w:rsidR="00C83C53">
        <w:rPr>
          <w:iCs/>
        </w:rPr>
        <w:br/>
        <w:t xml:space="preserve">The definition </w:t>
      </w:r>
      <w:r w:rsidR="0065425B">
        <w:rPr>
          <w:iCs/>
        </w:rPr>
        <w:t xml:space="preserve"> of ‘adult at risk’ </w:t>
      </w:r>
      <w:r w:rsidR="00C83C53">
        <w:rPr>
          <w:iCs/>
        </w:rPr>
        <w:t>included in the Safeguarding Bill 2017 has much merit and is the one that CIB would favour:</w:t>
      </w:r>
      <w:r w:rsidR="00C83C53">
        <w:rPr>
          <w:iCs/>
        </w:rPr>
        <w:br/>
      </w:r>
      <w:r w:rsidR="00C83C53" w:rsidRPr="00C83C53">
        <w:rPr>
          <w:i/>
          <w:iCs/>
        </w:rPr>
        <w:t xml:space="preserve">An adult at risk means a person, who has attained the age of 18 years who is unable to take care of himself or herself, or is unable to protect him or herself from </w:t>
      </w:r>
      <w:r w:rsidR="00C83C53" w:rsidRPr="0065425B">
        <w:rPr>
          <w:i/>
          <w:iCs/>
        </w:rPr>
        <w:t>abuse</w:t>
      </w:r>
      <w:r w:rsidR="0065425B" w:rsidRPr="0065425B">
        <w:rPr>
          <w:i/>
          <w:iCs/>
        </w:rPr>
        <w:t xml:space="preserve"> or harm</w:t>
      </w:r>
      <w:r w:rsidR="0065425B" w:rsidRPr="00C83C53">
        <w:rPr>
          <w:iCs/>
        </w:rPr>
        <w:t>.</w:t>
      </w:r>
      <w:r w:rsidR="0065425B">
        <w:rPr>
          <w:iCs/>
        </w:rPr>
        <w:t xml:space="preserve"> </w:t>
      </w:r>
    </w:p>
    <w:p w14:paraId="006A9686" w14:textId="507FA2D9" w:rsidR="0065425B" w:rsidRPr="0065425B" w:rsidRDefault="00C83C53" w:rsidP="0065425B">
      <w:pPr>
        <w:rPr>
          <w:rFonts w:eastAsia="Times New Roman"/>
          <w:i/>
          <w:lang w:eastAsia="en-IE"/>
        </w:rPr>
      </w:pPr>
      <w:r>
        <w:t xml:space="preserve">This is </w:t>
      </w:r>
      <w:r w:rsidR="006857A2">
        <w:t xml:space="preserve">also </w:t>
      </w:r>
      <w:r>
        <w:t>the definition that has been used by the Department of Health in</w:t>
      </w:r>
      <w:r w:rsidR="0065425B">
        <w:t xml:space="preserve"> its </w:t>
      </w:r>
      <w:r w:rsidR="00342A70">
        <w:t xml:space="preserve">Draft </w:t>
      </w:r>
      <w:r w:rsidR="0065425B" w:rsidRPr="0065425B">
        <w:rPr>
          <w:rFonts w:eastAsia="Times New Roman"/>
          <w:lang w:eastAsia="en-IE"/>
        </w:rPr>
        <w:t>Discussion Paper</w:t>
      </w:r>
      <w:r w:rsidR="0065425B">
        <w:rPr>
          <w:rFonts w:eastAsia="Times New Roman"/>
          <w:lang w:eastAsia="en-IE"/>
        </w:rPr>
        <w:t xml:space="preserve">, </w:t>
      </w:r>
      <w:r w:rsidR="0065425B" w:rsidRPr="0065425B">
        <w:rPr>
          <w:rFonts w:eastAsia="Times New Roman"/>
          <w:i/>
          <w:lang w:eastAsia="en-IE"/>
        </w:rPr>
        <w:t>Primary Definitions National Policy on Adult Safeguarding for the Health Sector</w:t>
      </w:r>
      <w:r w:rsidR="0065425B">
        <w:rPr>
          <w:rFonts w:eastAsia="Times New Roman"/>
          <w:i/>
          <w:lang w:eastAsia="en-IE"/>
        </w:rPr>
        <w:t>.</w:t>
      </w:r>
      <w:r w:rsidR="0065425B">
        <w:rPr>
          <w:rStyle w:val="FootnoteReference"/>
          <w:rFonts w:eastAsia="Times New Roman"/>
          <w:i/>
          <w:lang w:eastAsia="en-IE"/>
        </w:rPr>
        <w:footnoteReference w:id="3"/>
      </w:r>
      <w:r w:rsidR="0065425B">
        <w:rPr>
          <w:rFonts w:eastAsia="Times New Roman"/>
          <w:i/>
          <w:lang w:eastAsia="en-IE"/>
        </w:rPr>
        <w:t xml:space="preserve"> </w:t>
      </w:r>
      <w:r w:rsidR="0065425B">
        <w:rPr>
          <w:rFonts w:eastAsia="Times New Roman"/>
          <w:lang w:eastAsia="en-IE"/>
        </w:rPr>
        <w:t xml:space="preserve">The Department also adds the following important point to the definition: </w:t>
      </w:r>
      <w:r w:rsidR="0065425B" w:rsidRPr="0065425B">
        <w:rPr>
          <w:rFonts w:eastAsia="Times New Roman"/>
          <w:i/>
          <w:lang w:eastAsia="en-IE"/>
        </w:rPr>
        <w:t>A distinction is made between an adult unable to safeguard themselves or their own interests at a particular point in time, and one who is deemed</w:t>
      </w:r>
      <w:r w:rsidR="0065425B">
        <w:rPr>
          <w:rFonts w:eastAsia="Times New Roman"/>
          <w:i/>
          <w:lang w:eastAsia="en-IE"/>
        </w:rPr>
        <w:t xml:space="preserve"> </w:t>
      </w:r>
      <w:r w:rsidR="0065425B" w:rsidRPr="0065425B">
        <w:rPr>
          <w:rFonts w:eastAsia="Times New Roman"/>
          <w:i/>
          <w:lang w:eastAsia="en-IE"/>
        </w:rPr>
        <w:t>to have the skill, means, capacity and/or opportunity</w:t>
      </w:r>
      <w:r w:rsidR="0065425B">
        <w:rPr>
          <w:rFonts w:eastAsia="Times New Roman"/>
          <w:i/>
          <w:lang w:eastAsia="en-IE"/>
        </w:rPr>
        <w:t xml:space="preserve"> </w:t>
      </w:r>
      <w:r w:rsidR="0065425B" w:rsidRPr="0065425B">
        <w:rPr>
          <w:rFonts w:eastAsia="Times New Roman"/>
          <w:i/>
          <w:lang w:eastAsia="en-IE"/>
        </w:rPr>
        <w:t>to safeguard</w:t>
      </w:r>
      <w:r w:rsidR="0065425B">
        <w:rPr>
          <w:rFonts w:eastAsia="Times New Roman"/>
          <w:i/>
          <w:lang w:eastAsia="en-IE"/>
        </w:rPr>
        <w:t xml:space="preserve"> </w:t>
      </w:r>
      <w:r w:rsidR="0065425B" w:rsidRPr="0065425B">
        <w:rPr>
          <w:rFonts w:eastAsia="Times New Roman"/>
          <w:i/>
          <w:lang w:eastAsia="en-IE"/>
        </w:rPr>
        <w:t>themselves in a similar situation, but chooses not to</w:t>
      </w:r>
      <w:r w:rsidR="0065425B">
        <w:rPr>
          <w:rFonts w:eastAsia="Times New Roman"/>
          <w:i/>
          <w:lang w:eastAsia="en-IE"/>
        </w:rPr>
        <w:t>.</w:t>
      </w:r>
    </w:p>
    <w:p w14:paraId="5473E46A" w14:textId="77777777" w:rsidR="00EF26CE" w:rsidRPr="00EF26CE" w:rsidRDefault="001D1F6C" w:rsidP="00C8533F">
      <w:pPr>
        <w:pStyle w:val="NormalWeb"/>
        <w:shd w:val="clear" w:color="auto" w:fill="FFFFFF"/>
        <w:spacing w:line="276" w:lineRule="auto"/>
        <w:textAlignment w:val="baseline"/>
        <w:rPr>
          <w:rFonts w:asciiTheme="minorHAnsi" w:hAnsiTheme="minorHAnsi"/>
          <w:sz w:val="22"/>
          <w:szCs w:val="22"/>
        </w:rPr>
      </w:pPr>
      <w:r>
        <w:rPr>
          <w:rFonts w:asciiTheme="minorHAnsi" w:hAnsiTheme="minorHAnsi" w:cstheme="minorHAnsi"/>
          <w:b/>
          <w:bCs/>
          <w:sz w:val="22"/>
          <w:szCs w:val="22"/>
        </w:rPr>
        <w:t>Q.2.3</w:t>
      </w:r>
      <w:r>
        <w:rPr>
          <w:rFonts w:asciiTheme="minorHAnsi" w:hAnsiTheme="minorHAnsi" w:cstheme="minorHAnsi"/>
          <w:b/>
          <w:bCs/>
          <w:sz w:val="22"/>
          <w:szCs w:val="22"/>
        </w:rPr>
        <w:br/>
      </w:r>
      <w:r w:rsidR="00A46F1C">
        <w:rPr>
          <w:rFonts w:asciiTheme="minorHAnsi" w:hAnsiTheme="minorHAnsi" w:cstheme="minorHAnsi"/>
          <w:bCs/>
          <w:sz w:val="22"/>
          <w:szCs w:val="22"/>
        </w:rPr>
        <w:t>The L</w:t>
      </w:r>
      <w:r w:rsidR="009E29FC">
        <w:rPr>
          <w:rFonts w:asciiTheme="minorHAnsi" w:hAnsiTheme="minorHAnsi" w:cstheme="minorHAnsi"/>
          <w:bCs/>
          <w:sz w:val="22"/>
          <w:szCs w:val="22"/>
        </w:rPr>
        <w:t xml:space="preserve">RC Paper has provided </w:t>
      </w:r>
      <w:r w:rsidR="00A46F1C">
        <w:rPr>
          <w:rFonts w:asciiTheme="minorHAnsi" w:hAnsiTheme="minorHAnsi" w:cstheme="minorHAnsi"/>
          <w:bCs/>
          <w:sz w:val="22"/>
          <w:szCs w:val="22"/>
        </w:rPr>
        <w:t>a number of definitions of safeguarding, abuse and harm used in various policies and in different jurisdictions</w:t>
      </w:r>
      <w:r w:rsidR="009E29FC">
        <w:rPr>
          <w:rFonts w:asciiTheme="minorHAnsi" w:hAnsiTheme="minorHAnsi" w:cstheme="minorHAnsi"/>
          <w:bCs/>
          <w:sz w:val="22"/>
          <w:szCs w:val="22"/>
        </w:rPr>
        <w:t xml:space="preserve"> but has not opted or</w:t>
      </w:r>
      <w:r w:rsidR="00A46F1C">
        <w:rPr>
          <w:rFonts w:asciiTheme="minorHAnsi" w:hAnsiTheme="minorHAnsi" w:cstheme="minorHAnsi"/>
          <w:bCs/>
          <w:sz w:val="22"/>
          <w:szCs w:val="22"/>
        </w:rPr>
        <w:t xml:space="preserve"> proposed </w:t>
      </w:r>
      <w:r w:rsidR="009E29FC">
        <w:rPr>
          <w:rFonts w:asciiTheme="minorHAnsi" w:hAnsiTheme="minorHAnsi" w:cstheme="minorHAnsi"/>
          <w:bCs/>
          <w:sz w:val="22"/>
          <w:szCs w:val="22"/>
        </w:rPr>
        <w:t xml:space="preserve">any specific </w:t>
      </w:r>
      <w:r w:rsidR="00A46F1C">
        <w:rPr>
          <w:rFonts w:asciiTheme="minorHAnsi" w:hAnsiTheme="minorHAnsi" w:cstheme="minorHAnsi"/>
          <w:bCs/>
          <w:sz w:val="22"/>
          <w:szCs w:val="22"/>
        </w:rPr>
        <w:t>definition</w:t>
      </w:r>
      <w:r w:rsidR="009E29FC">
        <w:rPr>
          <w:rFonts w:asciiTheme="minorHAnsi" w:hAnsiTheme="minorHAnsi" w:cstheme="minorHAnsi"/>
          <w:bCs/>
          <w:sz w:val="22"/>
          <w:szCs w:val="22"/>
        </w:rPr>
        <w:t xml:space="preserve"> o</w:t>
      </w:r>
      <w:r w:rsidR="00A46F1C">
        <w:rPr>
          <w:rFonts w:asciiTheme="minorHAnsi" w:hAnsiTheme="minorHAnsi" w:cstheme="minorHAnsi"/>
          <w:bCs/>
          <w:sz w:val="22"/>
          <w:szCs w:val="22"/>
        </w:rPr>
        <w:t>f these terms.</w:t>
      </w:r>
      <w:r w:rsidR="009E29FC">
        <w:rPr>
          <w:rFonts w:asciiTheme="minorHAnsi" w:hAnsiTheme="minorHAnsi" w:cstheme="minorHAnsi"/>
          <w:bCs/>
          <w:sz w:val="22"/>
          <w:szCs w:val="22"/>
        </w:rPr>
        <w:t xml:space="preserve"> </w:t>
      </w:r>
      <w:r w:rsidR="00BF6830" w:rsidRPr="00BF6830">
        <w:rPr>
          <w:rFonts w:asciiTheme="minorHAnsi" w:hAnsiTheme="minorHAnsi" w:cstheme="minorHAnsi"/>
          <w:bCs/>
          <w:sz w:val="22"/>
          <w:szCs w:val="22"/>
        </w:rPr>
        <w:t>The HIQA/MHC National Standards for Adult Safeguarding</w:t>
      </w:r>
      <w:r w:rsidR="00BF6830">
        <w:rPr>
          <w:rFonts w:asciiTheme="minorHAnsi" w:hAnsiTheme="minorHAnsi" w:cstheme="minorHAnsi"/>
          <w:bCs/>
          <w:sz w:val="22"/>
          <w:szCs w:val="22"/>
        </w:rPr>
        <w:t xml:space="preserve"> </w:t>
      </w:r>
      <w:r w:rsidR="00BF6830" w:rsidRPr="00BF6830">
        <w:rPr>
          <w:rFonts w:asciiTheme="minorHAnsi" w:hAnsiTheme="minorHAnsi" w:cstheme="minorHAnsi"/>
          <w:bCs/>
          <w:sz w:val="22"/>
          <w:szCs w:val="22"/>
        </w:rPr>
        <w:t>refer</w:t>
      </w:r>
      <w:r w:rsidR="00BF6830">
        <w:rPr>
          <w:rFonts w:asciiTheme="minorHAnsi" w:hAnsiTheme="minorHAnsi" w:cstheme="minorHAnsi"/>
          <w:bCs/>
          <w:sz w:val="22"/>
          <w:szCs w:val="22"/>
        </w:rPr>
        <w:t>s</w:t>
      </w:r>
      <w:r w:rsidR="00BF6830" w:rsidRPr="00BF6830">
        <w:rPr>
          <w:rFonts w:asciiTheme="minorHAnsi" w:hAnsiTheme="minorHAnsi" w:cstheme="minorHAnsi"/>
          <w:bCs/>
          <w:sz w:val="22"/>
          <w:szCs w:val="22"/>
        </w:rPr>
        <w:t xml:space="preserve"> to the promotion of well-being in defining “safeguarding” in relation to adults.</w:t>
      </w:r>
      <w:r>
        <w:rPr>
          <w:rFonts w:asciiTheme="minorHAnsi" w:hAnsiTheme="minorHAnsi" w:cstheme="minorHAnsi"/>
          <w:bCs/>
          <w:sz w:val="22"/>
          <w:szCs w:val="22"/>
        </w:rPr>
        <w:t xml:space="preserve"> </w:t>
      </w:r>
      <w:r w:rsidR="00EF26CE" w:rsidRPr="00EF26CE">
        <w:rPr>
          <w:rFonts w:asciiTheme="minorHAnsi" w:hAnsiTheme="minorHAnsi"/>
          <w:sz w:val="22"/>
          <w:szCs w:val="22"/>
        </w:rPr>
        <w:t xml:space="preserve">The aims of safeguarding adults set out in the </w:t>
      </w:r>
      <w:r w:rsidR="00792368">
        <w:rPr>
          <w:rFonts w:asciiTheme="minorHAnsi" w:hAnsiTheme="minorHAnsi"/>
          <w:sz w:val="22"/>
          <w:szCs w:val="22"/>
        </w:rPr>
        <w:t xml:space="preserve">UK </w:t>
      </w:r>
      <w:r w:rsidR="00EF26CE" w:rsidRPr="00EF26CE">
        <w:rPr>
          <w:rFonts w:asciiTheme="minorHAnsi" w:hAnsiTheme="minorHAnsi"/>
          <w:sz w:val="22"/>
          <w:szCs w:val="22"/>
        </w:rPr>
        <w:t>Care Act 2014</w:t>
      </w:r>
      <w:r w:rsidR="00EF26CE">
        <w:rPr>
          <w:rStyle w:val="FootnoteReference"/>
          <w:sz w:val="22"/>
          <w:szCs w:val="22"/>
        </w:rPr>
        <w:footnoteReference w:id="4"/>
      </w:r>
      <w:r w:rsidR="00EF26CE" w:rsidRPr="00EF26CE">
        <w:rPr>
          <w:rFonts w:asciiTheme="minorHAnsi" w:hAnsiTheme="minorHAnsi"/>
          <w:sz w:val="22"/>
          <w:szCs w:val="22"/>
        </w:rPr>
        <w:t xml:space="preserve"> are clear and </w:t>
      </w:r>
      <w:r>
        <w:rPr>
          <w:rFonts w:asciiTheme="minorHAnsi" w:hAnsiTheme="minorHAnsi"/>
          <w:sz w:val="22"/>
          <w:szCs w:val="22"/>
        </w:rPr>
        <w:t>provide a useful insight into what safeguarding means</w:t>
      </w:r>
      <w:r w:rsidR="00EF26CE">
        <w:t>:</w:t>
      </w:r>
    </w:p>
    <w:p w14:paraId="7D0E9AE9"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prevent harm and reduce the risk of abuse or neglect to adults with care and support needs</w:t>
      </w:r>
    </w:p>
    <w:p w14:paraId="3459C5C5"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safeguard individuals in a way that supports them in making choices and having control in how they choose to live their lives</w:t>
      </w:r>
    </w:p>
    <w:p w14:paraId="7304EA69"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promote an outcomes approach in safeguarding that works for people resulting in the best experience possible</w:t>
      </w:r>
    </w:p>
    <w:p w14:paraId="1EA1A1CD" w14:textId="77777777" w:rsidR="00A46F1C"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raise public awareness so that professionals, other staff and communities as a whole play their part in preventing, identifying and responding to abuse and neglect</w:t>
      </w:r>
      <w:r w:rsidR="00A46F1C" w:rsidRPr="00404E0F">
        <w:rPr>
          <w:rFonts w:asciiTheme="minorHAnsi" w:hAnsiTheme="minorHAnsi" w:cstheme="minorHAnsi"/>
          <w:bCs/>
          <w:sz w:val="22"/>
          <w:szCs w:val="22"/>
        </w:rPr>
        <w:t xml:space="preserve">  </w:t>
      </w:r>
    </w:p>
    <w:p w14:paraId="39C8FF6D"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ensure that the roles and responsibilities of individuals and organisations are clearly laid out</w:t>
      </w:r>
    </w:p>
    <w:p w14:paraId="6EFBDD26"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create a strong multi-agency framework for safeguarding</w:t>
      </w:r>
    </w:p>
    <w:p w14:paraId="4F5FF1DD"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enable access to mainstream community safety measures</w:t>
      </w:r>
    </w:p>
    <w:p w14:paraId="2ECE9D41" w14:textId="77777777" w:rsidR="00EF26CE" w:rsidRPr="00404E0F" w:rsidRDefault="00EF26CE" w:rsidP="00EF26CE">
      <w:pPr>
        <w:pStyle w:val="NormalWeb"/>
        <w:numPr>
          <w:ilvl w:val="0"/>
          <w:numId w:val="30"/>
        </w:numPr>
        <w:shd w:val="clear" w:color="auto" w:fill="FFFFFF"/>
        <w:textAlignment w:val="baseline"/>
        <w:rPr>
          <w:rFonts w:asciiTheme="minorHAnsi" w:hAnsiTheme="minorHAnsi" w:cstheme="minorHAnsi"/>
          <w:bCs/>
          <w:sz w:val="22"/>
          <w:szCs w:val="22"/>
        </w:rPr>
      </w:pPr>
      <w:r w:rsidRPr="00404E0F">
        <w:rPr>
          <w:rFonts w:asciiTheme="minorHAnsi" w:hAnsiTheme="minorHAnsi"/>
          <w:sz w:val="22"/>
          <w:szCs w:val="22"/>
        </w:rPr>
        <w:t>To clarify the interface between safeguarding and quality of service provision</w:t>
      </w:r>
    </w:p>
    <w:p w14:paraId="477384A7" w14:textId="77777777" w:rsidR="009E29FC" w:rsidRDefault="008362A7" w:rsidP="00A46F1C">
      <w:pPr>
        <w:pStyle w:val="NormalWeb"/>
        <w:shd w:val="clear" w:color="auto" w:fill="FFFFFF"/>
        <w:textAlignment w:val="baseline"/>
        <w:rPr>
          <w:rFonts w:asciiTheme="minorHAnsi" w:hAnsiTheme="minorHAnsi" w:cstheme="minorHAnsi"/>
          <w:bCs/>
          <w:i/>
          <w:iCs/>
          <w:sz w:val="22"/>
          <w:szCs w:val="22"/>
        </w:rPr>
      </w:pPr>
      <w:r>
        <w:rPr>
          <w:rFonts w:asciiTheme="minorHAnsi" w:hAnsiTheme="minorHAnsi" w:cstheme="minorHAnsi"/>
          <w:bCs/>
          <w:sz w:val="22"/>
          <w:szCs w:val="22"/>
        </w:rPr>
        <w:t xml:space="preserve">This approach </w:t>
      </w:r>
      <w:r w:rsidR="00A46F1C">
        <w:rPr>
          <w:rFonts w:asciiTheme="minorHAnsi" w:hAnsiTheme="minorHAnsi" w:cstheme="minorHAnsi"/>
          <w:bCs/>
          <w:sz w:val="22"/>
          <w:szCs w:val="22"/>
        </w:rPr>
        <w:t xml:space="preserve">recognises the importance of the </w:t>
      </w:r>
      <w:r>
        <w:rPr>
          <w:rFonts w:asciiTheme="minorHAnsi" w:hAnsiTheme="minorHAnsi" w:cstheme="minorHAnsi"/>
          <w:bCs/>
          <w:sz w:val="22"/>
          <w:szCs w:val="22"/>
        </w:rPr>
        <w:t xml:space="preserve">person’s </w:t>
      </w:r>
      <w:r w:rsidR="00A46F1C">
        <w:rPr>
          <w:rFonts w:asciiTheme="minorHAnsi" w:hAnsiTheme="minorHAnsi" w:cstheme="minorHAnsi"/>
          <w:bCs/>
          <w:sz w:val="22"/>
          <w:szCs w:val="22"/>
        </w:rPr>
        <w:t>views</w:t>
      </w:r>
      <w:r>
        <w:rPr>
          <w:rFonts w:asciiTheme="minorHAnsi" w:hAnsiTheme="minorHAnsi" w:cstheme="minorHAnsi"/>
          <w:bCs/>
          <w:sz w:val="22"/>
          <w:szCs w:val="22"/>
        </w:rPr>
        <w:t xml:space="preserve"> and </w:t>
      </w:r>
      <w:r w:rsidR="001D1F6C">
        <w:rPr>
          <w:rFonts w:asciiTheme="minorHAnsi" w:hAnsiTheme="minorHAnsi" w:cstheme="minorHAnsi"/>
          <w:bCs/>
          <w:sz w:val="22"/>
          <w:szCs w:val="22"/>
        </w:rPr>
        <w:t xml:space="preserve">their </w:t>
      </w:r>
      <w:r w:rsidR="00A46F1C">
        <w:rPr>
          <w:rFonts w:asciiTheme="minorHAnsi" w:hAnsiTheme="minorHAnsi" w:cstheme="minorHAnsi"/>
          <w:bCs/>
          <w:sz w:val="22"/>
          <w:szCs w:val="22"/>
        </w:rPr>
        <w:t>wishes</w:t>
      </w:r>
      <w:r>
        <w:rPr>
          <w:rFonts w:asciiTheme="minorHAnsi" w:hAnsiTheme="minorHAnsi" w:cstheme="minorHAnsi"/>
          <w:bCs/>
          <w:sz w:val="22"/>
          <w:szCs w:val="22"/>
        </w:rPr>
        <w:t xml:space="preserve"> and preferences. It also</w:t>
      </w:r>
      <w:r w:rsidR="00A46F1C">
        <w:rPr>
          <w:rFonts w:asciiTheme="minorHAnsi" w:hAnsiTheme="minorHAnsi" w:cstheme="minorHAnsi"/>
          <w:bCs/>
          <w:sz w:val="22"/>
          <w:szCs w:val="22"/>
        </w:rPr>
        <w:t xml:space="preserve"> </w:t>
      </w:r>
      <w:r>
        <w:rPr>
          <w:rFonts w:asciiTheme="minorHAnsi" w:hAnsiTheme="minorHAnsi" w:cstheme="minorHAnsi"/>
          <w:bCs/>
          <w:sz w:val="22"/>
          <w:szCs w:val="22"/>
        </w:rPr>
        <w:t xml:space="preserve">references the </w:t>
      </w:r>
      <w:r w:rsidR="00A46F1C">
        <w:rPr>
          <w:rFonts w:asciiTheme="minorHAnsi" w:hAnsiTheme="minorHAnsi" w:cstheme="minorHAnsi"/>
          <w:bCs/>
          <w:sz w:val="22"/>
          <w:szCs w:val="22"/>
        </w:rPr>
        <w:t xml:space="preserve">need for </w:t>
      </w:r>
      <w:r w:rsidR="001D1F6C">
        <w:rPr>
          <w:rFonts w:asciiTheme="minorHAnsi" w:hAnsiTheme="minorHAnsi" w:cstheme="minorHAnsi"/>
          <w:bCs/>
          <w:sz w:val="22"/>
          <w:szCs w:val="22"/>
        </w:rPr>
        <w:t>linkages between safeguarding and access to quality services and the need to have a multi-agency response.</w:t>
      </w:r>
      <w:r w:rsidR="00A46F1C">
        <w:rPr>
          <w:rFonts w:asciiTheme="minorHAnsi" w:hAnsiTheme="minorHAnsi" w:cstheme="minorHAnsi"/>
          <w:bCs/>
          <w:i/>
          <w:iCs/>
          <w:sz w:val="22"/>
          <w:szCs w:val="22"/>
        </w:rPr>
        <w:t xml:space="preserve">  </w:t>
      </w:r>
    </w:p>
    <w:p w14:paraId="35B4E3CB" w14:textId="77777777" w:rsidR="00A46F1C" w:rsidRDefault="009E29FC" w:rsidP="00A46F1C">
      <w:pPr>
        <w:pStyle w:val="NormalWeb"/>
        <w:shd w:val="clear" w:color="auto" w:fill="FFFFFF"/>
        <w:textAlignment w:val="baseline"/>
        <w:rPr>
          <w:rFonts w:asciiTheme="minorHAnsi" w:hAnsiTheme="minorHAnsi" w:cstheme="minorHAnsi"/>
          <w:bCs/>
          <w:sz w:val="22"/>
          <w:szCs w:val="22"/>
        </w:rPr>
      </w:pPr>
      <w:r>
        <w:rPr>
          <w:rFonts w:asciiTheme="minorHAnsi" w:hAnsiTheme="minorHAnsi" w:cstheme="minorHAnsi"/>
          <w:bCs/>
          <w:sz w:val="22"/>
          <w:szCs w:val="22"/>
        </w:rPr>
        <w:t xml:space="preserve">CIB is in broad agreement with </w:t>
      </w:r>
      <w:r w:rsidR="00A46F1C">
        <w:rPr>
          <w:rFonts w:asciiTheme="minorHAnsi" w:hAnsiTheme="minorHAnsi" w:cstheme="minorHAnsi"/>
          <w:bCs/>
          <w:sz w:val="22"/>
          <w:szCs w:val="22"/>
        </w:rPr>
        <w:t xml:space="preserve">the definition </w:t>
      </w:r>
      <w:r>
        <w:rPr>
          <w:rFonts w:asciiTheme="minorHAnsi" w:hAnsiTheme="minorHAnsi" w:cstheme="minorHAnsi"/>
          <w:bCs/>
          <w:sz w:val="22"/>
          <w:szCs w:val="22"/>
        </w:rPr>
        <w:t xml:space="preserve">of ‘abuse’ </w:t>
      </w:r>
      <w:r w:rsidR="00A46F1C">
        <w:rPr>
          <w:rFonts w:asciiTheme="minorHAnsi" w:hAnsiTheme="minorHAnsi" w:cstheme="minorHAnsi"/>
          <w:bCs/>
          <w:sz w:val="22"/>
          <w:szCs w:val="22"/>
        </w:rPr>
        <w:t xml:space="preserve">outlined in the HSE’s 2014 National Policy and Procedures, and in HIQA’s and the MHC’s National Standards for Adult Safeguarding definition as: </w:t>
      </w:r>
    </w:p>
    <w:p w14:paraId="7793B683" w14:textId="77777777" w:rsidR="00A46F1C" w:rsidRPr="009E29FC" w:rsidRDefault="00A46F1C" w:rsidP="00A46F1C">
      <w:pPr>
        <w:pStyle w:val="NormalWeb"/>
        <w:shd w:val="clear" w:color="auto" w:fill="FFFFFF"/>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“A single, or repeated act, or omission, which violates a person’s human rights or causes harm or distress to a person”</w:t>
      </w:r>
    </w:p>
    <w:p w14:paraId="78CDC2A3" w14:textId="77777777" w:rsidR="00A46F1C" w:rsidRDefault="00A46F1C" w:rsidP="00A46F1C">
      <w:pPr>
        <w:pStyle w:val="NormalWeb"/>
        <w:shd w:val="clear" w:color="auto" w:fill="FFFFFF"/>
        <w:textAlignment w:val="baseline"/>
        <w:rPr>
          <w:rFonts w:asciiTheme="minorHAnsi" w:hAnsiTheme="minorHAnsi" w:cstheme="minorHAnsi"/>
          <w:bCs/>
          <w:sz w:val="22"/>
          <w:szCs w:val="22"/>
        </w:rPr>
      </w:pPr>
      <w:r>
        <w:rPr>
          <w:rFonts w:asciiTheme="minorHAnsi" w:hAnsiTheme="minorHAnsi" w:cstheme="minorHAnsi"/>
          <w:bCs/>
          <w:sz w:val="22"/>
          <w:szCs w:val="22"/>
        </w:rPr>
        <w:t xml:space="preserve">In </w:t>
      </w:r>
      <w:r w:rsidR="009E29FC">
        <w:rPr>
          <w:rFonts w:asciiTheme="minorHAnsi" w:hAnsiTheme="minorHAnsi" w:cstheme="minorHAnsi"/>
          <w:bCs/>
          <w:sz w:val="22"/>
          <w:szCs w:val="22"/>
        </w:rPr>
        <w:t>relation to the term ‘</w:t>
      </w:r>
      <w:r>
        <w:rPr>
          <w:rFonts w:asciiTheme="minorHAnsi" w:hAnsiTheme="minorHAnsi" w:cstheme="minorHAnsi"/>
          <w:bCs/>
          <w:sz w:val="22"/>
          <w:szCs w:val="22"/>
        </w:rPr>
        <w:t>harm</w:t>
      </w:r>
      <w:r w:rsidR="009E29FC">
        <w:rPr>
          <w:rFonts w:asciiTheme="minorHAnsi" w:hAnsiTheme="minorHAnsi" w:cstheme="minorHAnsi"/>
          <w:bCs/>
          <w:sz w:val="22"/>
          <w:szCs w:val="22"/>
        </w:rPr>
        <w:t>’</w:t>
      </w:r>
      <w:r>
        <w:rPr>
          <w:rFonts w:asciiTheme="minorHAnsi" w:hAnsiTheme="minorHAnsi" w:cstheme="minorHAnsi"/>
          <w:bCs/>
          <w:sz w:val="22"/>
          <w:szCs w:val="22"/>
        </w:rPr>
        <w:t xml:space="preserve">, the </w:t>
      </w:r>
      <w:r>
        <w:rPr>
          <w:rFonts w:asciiTheme="minorHAnsi" w:hAnsiTheme="minorHAnsi" w:cstheme="minorHAnsi"/>
          <w:bCs/>
          <w:i/>
          <w:iCs/>
          <w:sz w:val="22"/>
          <w:szCs w:val="22"/>
        </w:rPr>
        <w:t>Scottish Adult Support and Protection (Scotland) Act 2007</w:t>
      </w:r>
      <w:r>
        <w:rPr>
          <w:rFonts w:asciiTheme="minorHAnsi" w:hAnsiTheme="minorHAnsi" w:cstheme="minorHAnsi"/>
          <w:bCs/>
          <w:sz w:val="22"/>
          <w:szCs w:val="22"/>
        </w:rPr>
        <w:t xml:space="preserve"> </w:t>
      </w:r>
      <w:r w:rsidR="009E29FC">
        <w:rPr>
          <w:rFonts w:asciiTheme="minorHAnsi" w:hAnsiTheme="minorHAnsi" w:cstheme="minorHAnsi"/>
          <w:bCs/>
          <w:sz w:val="22"/>
          <w:szCs w:val="22"/>
        </w:rPr>
        <w:t xml:space="preserve">definition </w:t>
      </w:r>
      <w:r w:rsidR="00F47015">
        <w:rPr>
          <w:rFonts w:asciiTheme="minorHAnsi" w:hAnsiTheme="minorHAnsi" w:cstheme="minorHAnsi"/>
          <w:bCs/>
          <w:sz w:val="22"/>
          <w:szCs w:val="22"/>
        </w:rPr>
        <w:t xml:space="preserve">referenced in the LRC Paper </w:t>
      </w:r>
      <w:r w:rsidR="00E06114">
        <w:rPr>
          <w:rFonts w:asciiTheme="minorHAnsi" w:hAnsiTheme="minorHAnsi" w:cstheme="minorHAnsi"/>
          <w:bCs/>
          <w:sz w:val="22"/>
          <w:szCs w:val="22"/>
        </w:rPr>
        <w:t xml:space="preserve">at 2.34 </w:t>
      </w:r>
      <w:r w:rsidR="009E29FC">
        <w:rPr>
          <w:rFonts w:asciiTheme="minorHAnsi" w:hAnsiTheme="minorHAnsi" w:cstheme="minorHAnsi"/>
          <w:bCs/>
          <w:sz w:val="22"/>
          <w:szCs w:val="22"/>
        </w:rPr>
        <w:t xml:space="preserve">would seem </w:t>
      </w:r>
      <w:r>
        <w:rPr>
          <w:rFonts w:asciiTheme="minorHAnsi" w:hAnsiTheme="minorHAnsi" w:cstheme="minorHAnsi"/>
          <w:bCs/>
          <w:sz w:val="22"/>
          <w:szCs w:val="22"/>
        </w:rPr>
        <w:t>appropriate</w:t>
      </w:r>
      <w:r w:rsidR="009E29FC">
        <w:rPr>
          <w:rFonts w:asciiTheme="minorHAnsi" w:hAnsiTheme="minorHAnsi" w:cstheme="minorHAnsi"/>
          <w:bCs/>
          <w:sz w:val="22"/>
          <w:szCs w:val="22"/>
        </w:rPr>
        <w:t>:</w:t>
      </w:r>
      <w:r>
        <w:rPr>
          <w:rFonts w:asciiTheme="minorHAnsi" w:hAnsiTheme="minorHAnsi" w:cstheme="minorHAnsi"/>
          <w:bCs/>
          <w:sz w:val="22"/>
          <w:szCs w:val="22"/>
        </w:rPr>
        <w:t xml:space="preserve"> </w:t>
      </w:r>
    </w:p>
    <w:p w14:paraId="08B0DB95" w14:textId="77777777" w:rsidR="00A46F1C" w:rsidRPr="009E29FC" w:rsidRDefault="00A46F1C" w:rsidP="00A46F1C">
      <w:pPr>
        <w:pStyle w:val="NormalWeb"/>
        <w:shd w:val="clear" w:color="auto" w:fill="FFFFFF"/>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 xml:space="preserve">“harm” includes all harmful conduct and, in particular, includes: </w:t>
      </w:r>
    </w:p>
    <w:p w14:paraId="03E49A0E" w14:textId="77777777" w:rsidR="00A46F1C" w:rsidRPr="009E29FC" w:rsidRDefault="00A46F1C" w:rsidP="00A46F1C">
      <w:pPr>
        <w:pStyle w:val="NormalWeb"/>
        <w:widowControl w:val="0"/>
        <w:numPr>
          <w:ilvl w:val="0"/>
          <w:numId w:val="18"/>
        </w:numPr>
        <w:shd w:val="clear" w:color="auto" w:fill="FFFFFF"/>
        <w:autoSpaceDE w:val="0"/>
        <w:autoSpaceDN w:val="0"/>
        <w:spacing w:before="0" w:beforeAutospacing="0" w:after="0" w:afterAutospacing="0"/>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 xml:space="preserve">conduct which causes physical harm; </w:t>
      </w:r>
    </w:p>
    <w:p w14:paraId="73F6C407" w14:textId="77777777" w:rsidR="00A46F1C" w:rsidRPr="009E29FC" w:rsidRDefault="00A46F1C" w:rsidP="00A46F1C">
      <w:pPr>
        <w:pStyle w:val="NormalWeb"/>
        <w:widowControl w:val="0"/>
        <w:numPr>
          <w:ilvl w:val="0"/>
          <w:numId w:val="18"/>
        </w:numPr>
        <w:shd w:val="clear" w:color="auto" w:fill="FFFFFF"/>
        <w:autoSpaceDE w:val="0"/>
        <w:autoSpaceDN w:val="0"/>
        <w:spacing w:before="0" w:beforeAutospacing="0" w:after="0" w:afterAutospacing="0"/>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conduct which causes psychological harm (for example by causing fear, alarm or distress);</w:t>
      </w:r>
    </w:p>
    <w:p w14:paraId="5CCB428B" w14:textId="437BB7CA" w:rsidR="00A46F1C" w:rsidRPr="009E29FC" w:rsidRDefault="00A46F1C" w:rsidP="00A46F1C">
      <w:pPr>
        <w:pStyle w:val="NormalWeb"/>
        <w:widowControl w:val="0"/>
        <w:numPr>
          <w:ilvl w:val="0"/>
          <w:numId w:val="18"/>
        </w:numPr>
        <w:shd w:val="clear" w:color="auto" w:fill="FFFFFF"/>
        <w:autoSpaceDE w:val="0"/>
        <w:autoSpaceDN w:val="0"/>
        <w:spacing w:before="0" w:beforeAutospacing="0" w:after="0" w:afterAutospacing="0"/>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 xml:space="preserve">unlawful conduct which appropriates or adversely affects property, rights or interests (for example theft, fraud, embezzlement or extortion); or </w:t>
      </w:r>
    </w:p>
    <w:p w14:paraId="7CC4AE07" w14:textId="38D82881" w:rsidR="00A46F1C" w:rsidRPr="009E29FC" w:rsidRDefault="00A46F1C" w:rsidP="00A46F1C">
      <w:pPr>
        <w:pStyle w:val="NormalWeb"/>
        <w:widowControl w:val="0"/>
        <w:numPr>
          <w:ilvl w:val="0"/>
          <w:numId w:val="18"/>
        </w:numPr>
        <w:shd w:val="clear" w:color="auto" w:fill="FFFFFF"/>
        <w:autoSpaceDE w:val="0"/>
        <w:autoSpaceDN w:val="0"/>
        <w:spacing w:before="0" w:beforeAutospacing="0" w:after="0" w:afterAutospacing="0"/>
        <w:textAlignment w:val="baseline"/>
        <w:rPr>
          <w:rFonts w:asciiTheme="minorHAnsi" w:hAnsiTheme="minorHAnsi" w:cstheme="minorHAnsi"/>
          <w:i/>
          <w:iCs/>
          <w:sz w:val="22"/>
          <w:szCs w:val="22"/>
        </w:rPr>
      </w:pPr>
      <w:r w:rsidRPr="009E29FC">
        <w:rPr>
          <w:rFonts w:asciiTheme="minorHAnsi" w:hAnsiTheme="minorHAnsi" w:cstheme="minorHAnsi"/>
          <w:i/>
          <w:iCs/>
          <w:sz w:val="22"/>
          <w:szCs w:val="22"/>
        </w:rPr>
        <w:t xml:space="preserve">conduct which causes self-harm. </w:t>
      </w:r>
    </w:p>
    <w:p w14:paraId="58051206" w14:textId="69B5470B" w:rsidR="00DE49F1" w:rsidRPr="00DE49F1" w:rsidRDefault="00BA429F" w:rsidP="000408D5">
      <w:pPr>
        <w:pStyle w:val="CommentText"/>
        <w:spacing w:before="360" w:after="100" w:afterAutospacing="1"/>
        <w:rPr>
          <w:rFonts w:asciiTheme="minorHAnsi" w:hAnsiTheme="minorHAnsi" w:cstheme="minorHAnsi"/>
          <w:bCs/>
          <w:sz w:val="22"/>
          <w:szCs w:val="22"/>
        </w:rPr>
      </w:pPr>
      <w:r w:rsidRPr="00DE49F1">
        <w:rPr>
          <w:rFonts w:asciiTheme="minorHAnsi" w:hAnsiTheme="minorHAnsi" w:cstheme="minorHAnsi"/>
          <w:bCs/>
          <w:sz w:val="22"/>
          <w:szCs w:val="22"/>
        </w:rPr>
        <w:t xml:space="preserve">On ‘neglect’ CIB </w:t>
      </w:r>
      <w:r w:rsidR="00DE49F1" w:rsidRPr="00DE49F1">
        <w:rPr>
          <w:rFonts w:asciiTheme="minorHAnsi" w:hAnsiTheme="minorHAnsi" w:cstheme="minorHAnsi"/>
          <w:bCs/>
          <w:sz w:val="22"/>
          <w:szCs w:val="22"/>
        </w:rPr>
        <w:t xml:space="preserve">would support </w:t>
      </w:r>
      <w:r w:rsidR="00F47015" w:rsidRPr="00DE49F1">
        <w:rPr>
          <w:rFonts w:asciiTheme="minorHAnsi" w:hAnsiTheme="minorHAnsi" w:cstheme="minorHAnsi"/>
          <w:bCs/>
          <w:sz w:val="22"/>
          <w:szCs w:val="22"/>
        </w:rPr>
        <w:t xml:space="preserve">the </w:t>
      </w:r>
      <w:r w:rsidR="008A2E1D" w:rsidRPr="00DE49F1">
        <w:rPr>
          <w:rFonts w:asciiTheme="minorHAnsi" w:hAnsiTheme="minorHAnsi" w:cstheme="minorHAnsi"/>
          <w:bCs/>
          <w:sz w:val="22"/>
          <w:szCs w:val="22"/>
        </w:rPr>
        <w:t xml:space="preserve">definition in </w:t>
      </w:r>
      <w:r w:rsidR="00DE49F1" w:rsidRPr="00DE49F1">
        <w:rPr>
          <w:rFonts w:asciiTheme="minorHAnsi" w:hAnsiTheme="minorHAnsi" w:cstheme="minorHAnsi"/>
          <w:bCs/>
          <w:sz w:val="22"/>
          <w:szCs w:val="22"/>
        </w:rPr>
        <w:t xml:space="preserve">the </w:t>
      </w:r>
      <w:r w:rsidR="00DE49F1" w:rsidRPr="00DE49F1">
        <w:rPr>
          <w:rFonts w:asciiTheme="minorHAnsi" w:hAnsiTheme="minorHAnsi"/>
          <w:sz w:val="22"/>
          <w:szCs w:val="22"/>
        </w:rPr>
        <w:t>Department of Health</w:t>
      </w:r>
      <w:r w:rsidR="00C01F3D">
        <w:rPr>
          <w:rFonts w:asciiTheme="minorHAnsi" w:hAnsiTheme="minorHAnsi"/>
          <w:sz w:val="22"/>
          <w:szCs w:val="22"/>
        </w:rPr>
        <w:t xml:space="preserve"> draft</w:t>
      </w:r>
      <w:r w:rsidR="00DE49F1" w:rsidRPr="00DE49F1">
        <w:rPr>
          <w:rFonts w:asciiTheme="minorHAnsi" w:hAnsiTheme="minorHAnsi"/>
          <w:sz w:val="22"/>
          <w:szCs w:val="22"/>
        </w:rPr>
        <w:t xml:space="preserve"> </w:t>
      </w:r>
      <w:r w:rsidR="00DE49F1" w:rsidRPr="00DE49F1">
        <w:rPr>
          <w:rFonts w:asciiTheme="minorHAnsi" w:eastAsia="Times New Roman" w:hAnsiTheme="minorHAnsi"/>
          <w:sz w:val="22"/>
          <w:szCs w:val="22"/>
          <w:lang w:eastAsia="en-IE"/>
        </w:rPr>
        <w:t xml:space="preserve">Discussion Paper, </w:t>
      </w:r>
      <w:r w:rsidR="00DE49F1" w:rsidRPr="00DE49F1">
        <w:rPr>
          <w:rFonts w:asciiTheme="minorHAnsi" w:eastAsia="Times New Roman" w:hAnsiTheme="minorHAnsi"/>
          <w:i/>
          <w:sz w:val="22"/>
          <w:szCs w:val="22"/>
          <w:lang w:eastAsia="en-IE"/>
        </w:rPr>
        <w:t>Primary Definitions National Policy on Adult Safeguarding for the Health Sector</w:t>
      </w:r>
      <w:r w:rsidR="006857A2">
        <w:rPr>
          <w:rFonts w:asciiTheme="minorHAnsi" w:eastAsia="Times New Roman" w:hAnsiTheme="minorHAnsi"/>
          <w:i/>
          <w:sz w:val="22"/>
          <w:szCs w:val="22"/>
          <w:lang w:eastAsia="en-IE"/>
        </w:rPr>
        <w:t xml:space="preserve"> </w:t>
      </w:r>
      <w:r w:rsidR="006857A2">
        <w:rPr>
          <w:rFonts w:asciiTheme="minorHAnsi" w:eastAsia="Times New Roman" w:hAnsiTheme="minorHAnsi"/>
          <w:sz w:val="22"/>
          <w:szCs w:val="22"/>
          <w:lang w:eastAsia="en-IE"/>
        </w:rPr>
        <w:t>which is</w:t>
      </w:r>
      <w:r w:rsidR="000408D5">
        <w:rPr>
          <w:rFonts w:asciiTheme="minorHAnsi" w:eastAsia="Times New Roman" w:hAnsiTheme="minorHAnsi"/>
          <w:i/>
          <w:sz w:val="22"/>
          <w:szCs w:val="22"/>
          <w:lang w:eastAsia="en-IE"/>
        </w:rPr>
        <w:t>:</w:t>
      </w:r>
    </w:p>
    <w:p w14:paraId="2F4E6785" w14:textId="08CE0BAC" w:rsidR="00074C44" w:rsidRPr="00074C44" w:rsidRDefault="00DE49F1" w:rsidP="00DE49F1">
      <w:pPr>
        <w:rPr>
          <w:b/>
        </w:rPr>
      </w:pPr>
      <w:r w:rsidRPr="00DE49F1">
        <w:rPr>
          <w:rFonts w:eastAsia="Times New Roman"/>
          <w:i/>
          <w:lang w:eastAsia="en-IE"/>
        </w:rPr>
        <w:t>Withholding or failure, by a responsible party, to provide appropriate and adequate care and/or support which is required to another person which is likely to result in an impairment of the person’s health or wellbeing. It may be through a lack of knowledge or awareness, or through a failure to take reasonable action given the information and facts available to them at the time.</w:t>
      </w:r>
    </w:p>
    <w:p w14:paraId="107931A9" w14:textId="2FF6622B" w:rsidR="00885DE8" w:rsidRPr="009B7BAE" w:rsidRDefault="00F6382C" w:rsidP="009B7BAE">
      <w:pPr>
        <w:spacing w:after="0"/>
        <w:rPr>
          <w:rFonts w:cstheme="minorHAnsi"/>
          <w:i/>
          <w:iCs/>
        </w:rPr>
      </w:pPr>
      <w:r>
        <w:rPr>
          <w:rFonts w:cstheme="minorHAnsi"/>
          <w:bCs/>
        </w:rPr>
        <w:t>CIB fully endorses the view that in order to achieve clarity and certainty, it is important that there is consistency in the definition of ‘</w:t>
      </w:r>
      <w:r>
        <w:rPr>
          <w:rFonts w:cstheme="minorHAnsi"/>
          <w:bCs/>
          <w:i/>
        </w:rPr>
        <w:t xml:space="preserve">capacity’ </w:t>
      </w:r>
      <w:r>
        <w:rPr>
          <w:rFonts w:cstheme="minorHAnsi"/>
          <w:bCs/>
        </w:rPr>
        <w:t xml:space="preserve">set out in the safeguarding legislation with that provided for in the </w:t>
      </w:r>
      <w:r>
        <w:rPr>
          <w:rFonts w:cstheme="minorHAnsi"/>
          <w:bCs/>
          <w:i/>
        </w:rPr>
        <w:t>Assisted Decision-Making (Capacity) Act 2015</w:t>
      </w:r>
      <w:r>
        <w:rPr>
          <w:rFonts w:cstheme="minorHAnsi"/>
          <w:bCs/>
        </w:rPr>
        <w:t xml:space="preserve">. It is also of the utmost importance that the concept of legal capacity is fully enshrined in safeguarding legislation, </w:t>
      </w:r>
      <w:r>
        <w:rPr>
          <w:rFonts w:cstheme="minorHAnsi"/>
          <w:bCs/>
          <w:i/>
        </w:rPr>
        <w:t xml:space="preserve">viz. </w:t>
      </w:r>
      <w:r w:rsidR="001D1F6C">
        <w:rPr>
          <w:rFonts w:cstheme="minorHAnsi"/>
          <w:bCs/>
        </w:rPr>
        <w:t>a person’s</w:t>
      </w:r>
      <w:r>
        <w:t xml:space="preserve"> c</w:t>
      </w:r>
      <w:r>
        <w:rPr>
          <w:rFonts w:cstheme="minorHAnsi"/>
          <w:bCs/>
        </w:rPr>
        <w:t xml:space="preserve">apacity to be both a holder of rights and an actor under the law and to have entitlement to full protection of </w:t>
      </w:r>
      <w:r w:rsidR="00B560B9">
        <w:rPr>
          <w:rFonts w:cstheme="minorHAnsi"/>
          <w:bCs/>
        </w:rPr>
        <w:t xml:space="preserve">their </w:t>
      </w:r>
      <w:r>
        <w:rPr>
          <w:rFonts w:cstheme="minorHAnsi"/>
          <w:bCs/>
        </w:rPr>
        <w:t>rights by the legal system.</w:t>
      </w:r>
      <w:r>
        <w:rPr>
          <w:rStyle w:val="FootnoteReference"/>
          <w:bCs/>
        </w:rPr>
        <w:footnoteReference w:id="5"/>
      </w:r>
      <w:r>
        <w:rPr>
          <w:rFonts w:cstheme="minorHAnsi"/>
          <w:bCs/>
        </w:rPr>
        <w:br/>
      </w:r>
      <w:r>
        <w:rPr>
          <w:rFonts w:cstheme="minorHAnsi"/>
          <w:bCs/>
        </w:rPr>
        <w:br/>
      </w:r>
      <w:r>
        <w:rPr>
          <w:rStyle w:val="NoSpacingChar"/>
          <w:b/>
        </w:rPr>
        <w:t>Issue 3: Physical, Sexual, Discriminatory and Psychological Abuse, Neglect and Deprivation of</w:t>
      </w:r>
      <w:r w:rsidR="000408D5">
        <w:rPr>
          <w:rStyle w:val="NoSpacingChar"/>
          <w:b/>
        </w:rPr>
        <w:t xml:space="preserve"> </w:t>
      </w:r>
      <w:r>
        <w:rPr>
          <w:rStyle w:val="NoSpacingChar"/>
          <w:b/>
        </w:rPr>
        <w:t>Liberty</w:t>
      </w:r>
    </w:p>
    <w:p w14:paraId="4CE6171F" w14:textId="55EAEB15" w:rsidR="009B7BAE" w:rsidRDefault="000408D5" w:rsidP="002531F7">
      <w:pPr>
        <w:pStyle w:val="BodyText"/>
        <w:spacing w:line="276" w:lineRule="auto"/>
        <w:rPr>
          <w:rFonts w:asciiTheme="minorHAnsi" w:hAnsiTheme="minorHAnsi" w:cstheme="minorHAnsi"/>
          <w:b/>
          <w:bCs/>
          <w:sz w:val="22"/>
          <w:szCs w:val="22"/>
        </w:rPr>
      </w:pPr>
      <w:r w:rsidRPr="009B7BAE">
        <w:rPr>
          <w:rFonts w:asciiTheme="minorHAnsi" w:hAnsiTheme="minorHAnsi" w:cstheme="minorHAnsi"/>
          <w:b/>
          <w:bCs/>
          <w:noProof/>
          <w:sz w:val="22"/>
          <w:szCs w:val="22"/>
          <w:lang w:bidi="ar-SA"/>
        </w:rPr>
        <mc:AlternateContent>
          <mc:Choice Requires="wps">
            <w:drawing>
              <wp:inline distT="0" distB="0" distL="0" distR="0" wp14:anchorId="304974F3" wp14:editId="0D184C79">
                <wp:extent cx="6096000" cy="34290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0"/>
                        </a:xfrm>
                        <a:prstGeom prst="rect">
                          <a:avLst/>
                        </a:prstGeom>
                        <a:solidFill>
                          <a:srgbClr val="FFFFFF"/>
                        </a:solidFill>
                        <a:ln w="9525">
                          <a:solidFill>
                            <a:srgbClr val="000000"/>
                          </a:solidFill>
                          <a:miter lim="800000"/>
                          <a:headEnd/>
                          <a:tailEnd/>
                        </a:ln>
                      </wps:spPr>
                      <wps:txbx>
                        <w:txbxContent>
                          <w:p w14:paraId="7AE8F423" w14:textId="77777777" w:rsidR="000408D5" w:rsidRDefault="000408D5" w:rsidP="000408D5">
                            <w:pPr>
                              <w:spacing w:after="120"/>
                            </w:pPr>
                            <w:r w:rsidRPr="00404E0F">
                              <w:rPr>
                                <w:rFonts w:cstheme="minorHAnsi"/>
                                <w:i/>
                                <w:iCs/>
                              </w:rPr>
                              <w:t xml:space="preserve">Q. 3.1 Do you consider that adult safeguarding legislation should impose a statutory duty on an adult safeguarding service provider to prepare a care plan for each adult in receipt of safeguarding services? </w:t>
                            </w:r>
                            <w:r w:rsidRPr="00404E0F">
                              <w:rPr>
                                <w:rFonts w:cstheme="minorHAnsi"/>
                                <w:i/>
                                <w:iCs/>
                              </w:rPr>
                              <w:br/>
                              <w:t xml:space="preserve">Q. 3.2 Do you consider that adult safeguarding legislation should impose a duty on an adult safeguarding service provider to safeguard adults at risk?  </w:t>
                            </w:r>
                            <w:r w:rsidRPr="00404E0F">
                              <w:rPr>
                                <w:rFonts w:cstheme="minorHAnsi"/>
                                <w:i/>
                                <w:iCs/>
                              </w:rPr>
                              <w:br/>
                              <w:t>Q. 3.3 If the answer to 3.1 is yes, do you consider that such a care plan should address the prevention of physical, sexual or psychological abuse, or neglect?</w:t>
                            </w:r>
                            <w:r w:rsidRPr="00404E0F">
                              <w:rPr>
                                <w:rFonts w:cstheme="minorHAnsi"/>
                                <w:i/>
                                <w:iCs/>
                              </w:rPr>
                              <w:br/>
                              <w:t>Q. 3.4 If the answer to either 3.1 or 3.2 is yes, do you consider that breach of such a duty or, as the case may be, duties should give rise to civil liability on the part of an adult safeguarding service provider?</w:t>
                            </w:r>
                            <w:r w:rsidRPr="00404E0F">
                              <w:rPr>
                                <w:rFonts w:cstheme="minorHAnsi"/>
                                <w:i/>
                                <w:iCs/>
                              </w:rPr>
                              <w:br/>
                              <w:t xml:space="preserve">Q. 3.5 If the answer to either 3.1 or 3.2 is yes, do you consider that breach of such a duty or, as the case may be, duties should give rise to criminal liability on the part of an adult safeguarding service provider? </w:t>
                            </w:r>
                            <w:r w:rsidRPr="00404E0F">
                              <w:rPr>
                                <w:rFonts w:cstheme="minorHAnsi"/>
                                <w:i/>
                                <w:iCs/>
                              </w:rPr>
                              <w:br/>
                              <w:t xml:space="preserve">Q. 3.6 If the answer to 3.2 is yes, do you consider that breach of such a duty by a person responsible for providing adult safeguarding services, where this occurs in the course of his or her duties or, as the case may be, within the scope of employment of an adult safeguarding service provider, should give rise to a complaint to a professional body with regulatory functions in relation to a person who is a member of that professional body? </w:t>
                            </w:r>
                            <w:r w:rsidRPr="00404E0F">
                              <w:rPr>
                                <w:rFonts w:cstheme="minorHAnsi"/>
                                <w:i/>
                                <w:iCs/>
                              </w:rPr>
                              <w:br/>
                            </w:r>
                            <w:r w:rsidRPr="00D40F37">
                              <w:rPr>
                                <w:rFonts w:cstheme="minorHAnsi"/>
                                <w:i/>
                                <w:iCs/>
                              </w:rPr>
                              <w:t>Q. 3.7 Do you consider that there are any additional legal measures that could be introduced to prevent physical, sexual, psychological abuse or neglect?</w:t>
                            </w:r>
                          </w:p>
                        </w:txbxContent>
                      </wps:txbx>
                      <wps:bodyPr rot="0" vert="horz" wrap="square" lIns="91440" tIns="45720" rIns="91440" bIns="45720" anchor="t" anchorCtr="0">
                        <a:noAutofit/>
                      </wps:bodyPr>
                    </wps:wsp>
                  </a:graphicData>
                </a:graphic>
              </wp:inline>
            </w:drawing>
          </mc:Choice>
          <mc:Fallback>
            <w:pict>
              <v:shapetype w14:anchorId="304974F3" id="_x0000_t202" coordsize="21600,21600" o:spt="202" path="m,l,21600r21600,l21600,xe">
                <v:stroke joinstyle="miter"/>
                <v:path gradientshapeok="t" o:connecttype="rect"/>
              </v:shapetype>
              <v:shape id="Text Box 2" o:spid="_x0000_s1026" type="#_x0000_t202" style="width:480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">
                <v:textbox>
                  <w:txbxContent>
                    <w:p w14:paraId="7AE8F423" w14:textId="77777777" w:rsidR="000408D5" w:rsidRDefault="000408D5" w:rsidP="000408D5">
                      <w:pPr>
                        <w:spacing w:after="120"/>
                      </w:pPr>
                      <w:r w:rsidRPr="00404E0F">
                        <w:rPr>
                          <w:rFonts w:cstheme="minorHAnsi"/>
                          <w:i/>
                          <w:iCs/>
                        </w:rPr>
                        <w:t xml:space="preserve">Q. 3.1 Do you consider that adult safeguarding legislation should impose a statutory duty on an adult safeguarding service provider to prepare a care plan for each adult in receipt of safeguarding services? </w:t>
                      </w:r>
                      <w:r w:rsidRPr="00404E0F">
                        <w:rPr>
                          <w:rFonts w:cstheme="minorHAnsi"/>
                          <w:i/>
                          <w:iCs/>
                        </w:rPr>
                        <w:br/>
                        <w:t xml:space="preserve">Q. 3.2 Do you consider that adult safeguarding legislation should impose a duty on an adult safeguarding service provider to safeguard adults at risk?  </w:t>
                      </w:r>
                      <w:r w:rsidRPr="00404E0F">
                        <w:rPr>
                          <w:rFonts w:cstheme="minorHAnsi"/>
                          <w:i/>
                          <w:iCs/>
                        </w:rPr>
                        <w:br/>
                        <w:t>Q. 3.3 If the answer to 3.1 is yes, do you consider that such a care plan should address the prevention of physical, sexual or psychological abuse, or neglect?</w:t>
                      </w:r>
                      <w:r w:rsidRPr="00404E0F">
                        <w:rPr>
                          <w:rFonts w:cstheme="minorHAnsi"/>
                          <w:i/>
                          <w:iCs/>
                        </w:rPr>
                        <w:br/>
                        <w:t>Q. 3.4 If the answer to either 3.1 or 3.2 is yes, do you consider that breach of such a duty or, as the case may be, duties should give rise to civil liability on the part of an adult safeguarding service provider?</w:t>
                      </w:r>
                      <w:r w:rsidRPr="00404E0F">
                        <w:rPr>
                          <w:rFonts w:cstheme="minorHAnsi"/>
                          <w:i/>
                          <w:iCs/>
                        </w:rPr>
                        <w:br/>
                        <w:t xml:space="preserve">Q. 3.5 If the answer to either 3.1 or 3.2 is yes, do you consider that breach of such a duty or, as the case may be, duties should give rise to criminal liability on the part of an adult safeguarding service provider? </w:t>
                      </w:r>
                      <w:r w:rsidRPr="00404E0F">
                        <w:rPr>
                          <w:rFonts w:cstheme="minorHAnsi"/>
                          <w:i/>
                          <w:iCs/>
                        </w:rPr>
                        <w:br/>
                        <w:t xml:space="preserve">Q. 3.6 If the answer to 3.2 is yes, do you consider that breach of such a duty by a person responsible for providing adult safeguarding services, where this occurs in the course of his or her duties or, as the case may be, within the scope of employment of an adult safeguarding service provider, should give rise to a complaint to a professional body with regulatory functions in relation to a person who is a member of that professional body? </w:t>
                      </w:r>
                      <w:r w:rsidRPr="00404E0F">
                        <w:rPr>
                          <w:rFonts w:cstheme="minorHAnsi"/>
                          <w:i/>
                          <w:iCs/>
                        </w:rPr>
                        <w:br/>
                      </w:r>
                      <w:r w:rsidRPr="00D40F37">
                        <w:rPr>
                          <w:rFonts w:cstheme="minorHAnsi"/>
                          <w:i/>
                          <w:iCs/>
                        </w:rPr>
                        <w:t>Q. 3.7 Do you consider that there are any additional legal measures that could be introduced to prevent physical, sexual, psychological abuse or neglect?</w:t>
                      </w:r>
                    </w:p>
                  </w:txbxContent>
                </v:textbox>
                <w10:anchorlock/>
              </v:shape>
            </w:pict>
          </mc:Fallback>
        </mc:AlternateContent>
      </w:r>
    </w:p>
    <w:p w14:paraId="74E9CAE0" w14:textId="60A59F88" w:rsidR="00DE49F1" w:rsidRDefault="002849B6" w:rsidP="000408D5">
      <w:pPr>
        <w:pStyle w:val="BodyText"/>
        <w:spacing w:before="240" w:line="276" w:lineRule="auto"/>
        <w:rPr>
          <w:rFonts w:asciiTheme="minorHAnsi" w:hAnsiTheme="minorHAnsi" w:cstheme="minorHAnsi"/>
          <w:bCs/>
          <w:sz w:val="22"/>
          <w:szCs w:val="22"/>
        </w:rPr>
      </w:pPr>
      <w:r w:rsidRPr="002849B6">
        <w:rPr>
          <w:rFonts w:asciiTheme="minorHAnsi" w:hAnsiTheme="minorHAnsi" w:cstheme="minorHAnsi"/>
          <w:b/>
          <w:bCs/>
          <w:sz w:val="22"/>
          <w:szCs w:val="22"/>
        </w:rPr>
        <w:t>Q 3.1</w:t>
      </w:r>
      <w:r>
        <w:rPr>
          <w:rFonts w:asciiTheme="minorHAnsi" w:hAnsiTheme="minorHAnsi" w:cstheme="minorHAnsi"/>
          <w:b/>
          <w:bCs/>
          <w:sz w:val="22"/>
          <w:szCs w:val="22"/>
        </w:rPr>
        <w:t xml:space="preserve"> and Q.3.2</w:t>
      </w:r>
      <w:r w:rsidRPr="002849B6">
        <w:rPr>
          <w:rFonts w:asciiTheme="minorHAnsi" w:hAnsiTheme="minorHAnsi" w:cstheme="minorHAnsi"/>
          <w:b/>
          <w:bCs/>
          <w:sz w:val="22"/>
          <w:szCs w:val="22"/>
        </w:rPr>
        <w:br/>
      </w:r>
      <w:r w:rsidR="00510E6D">
        <w:rPr>
          <w:rFonts w:asciiTheme="minorHAnsi" w:hAnsiTheme="minorHAnsi" w:cstheme="minorHAnsi"/>
          <w:bCs/>
          <w:sz w:val="22"/>
          <w:szCs w:val="22"/>
        </w:rPr>
        <w:t>Adult safeguarding legislation should provide for a general statutory duty of care</w:t>
      </w:r>
      <w:r w:rsidR="00DE49F1">
        <w:rPr>
          <w:rFonts w:asciiTheme="minorHAnsi" w:hAnsiTheme="minorHAnsi" w:cstheme="minorHAnsi"/>
          <w:bCs/>
          <w:sz w:val="22"/>
          <w:szCs w:val="22"/>
        </w:rPr>
        <w:t xml:space="preserve"> on service providers (including financial institutions) </w:t>
      </w:r>
      <w:r w:rsidR="00510E6D">
        <w:rPr>
          <w:rFonts w:asciiTheme="minorHAnsi" w:hAnsiTheme="minorHAnsi" w:cstheme="minorHAnsi"/>
          <w:bCs/>
          <w:sz w:val="22"/>
          <w:szCs w:val="22"/>
        </w:rPr>
        <w:t xml:space="preserve">to </w:t>
      </w:r>
      <w:r w:rsidR="00DE49F1">
        <w:rPr>
          <w:rFonts w:asciiTheme="minorHAnsi" w:hAnsiTheme="minorHAnsi" w:cstheme="minorHAnsi"/>
          <w:bCs/>
          <w:sz w:val="22"/>
          <w:szCs w:val="22"/>
        </w:rPr>
        <w:t xml:space="preserve">safeguard people’s </w:t>
      </w:r>
      <w:r w:rsidR="00510E6D">
        <w:rPr>
          <w:rFonts w:asciiTheme="minorHAnsi" w:hAnsiTheme="minorHAnsi" w:cstheme="minorHAnsi"/>
          <w:bCs/>
          <w:sz w:val="22"/>
          <w:szCs w:val="22"/>
        </w:rPr>
        <w:t xml:space="preserve">well-being and to protect </w:t>
      </w:r>
      <w:r w:rsidR="00DE49F1">
        <w:rPr>
          <w:rFonts w:asciiTheme="minorHAnsi" w:hAnsiTheme="minorHAnsi" w:cstheme="minorHAnsi"/>
          <w:bCs/>
          <w:sz w:val="22"/>
          <w:szCs w:val="22"/>
        </w:rPr>
        <w:t>them</w:t>
      </w:r>
      <w:r w:rsidR="00510E6D">
        <w:rPr>
          <w:rFonts w:asciiTheme="minorHAnsi" w:hAnsiTheme="minorHAnsi" w:cstheme="minorHAnsi"/>
          <w:bCs/>
          <w:sz w:val="22"/>
          <w:szCs w:val="22"/>
        </w:rPr>
        <w:t xml:space="preserve"> from abuse or neglect. </w:t>
      </w:r>
      <w:r w:rsidR="00DE49F1">
        <w:rPr>
          <w:rFonts w:asciiTheme="minorHAnsi" w:hAnsiTheme="minorHAnsi" w:cstheme="minorHAnsi"/>
          <w:bCs/>
          <w:sz w:val="22"/>
          <w:szCs w:val="22"/>
        </w:rPr>
        <w:t>C</w:t>
      </w:r>
      <w:r>
        <w:rPr>
          <w:rFonts w:asciiTheme="minorHAnsi" w:hAnsiTheme="minorHAnsi" w:cstheme="minorHAnsi"/>
          <w:bCs/>
          <w:sz w:val="22"/>
          <w:szCs w:val="22"/>
        </w:rPr>
        <w:t>lear</w:t>
      </w:r>
      <w:r w:rsidR="00DE49F1">
        <w:rPr>
          <w:rFonts w:asciiTheme="minorHAnsi" w:hAnsiTheme="minorHAnsi" w:cstheme="minorHAnsi"/>
          <w:bCs/>
          <w:sz w:val="22"/>
          <w:szCs w:val="22"/>
        </w:rPr>
        <w:t xml:space="preserve">ly, </w:t>
      </w:r>
      <w:r>
        <w:rPr>
          <w:rFonts w:asciiTheme="minorHAnsi" w:hAnsiTheme="minorHAnsi" w:cstheme="minorHAnsi"/>
          <w:bCs/>
          <w:sz w:val="22"/>
          <w:szCs w:val="22"/>
        </w:rPr>
        <w:t>g</w:t>
      </w:r>
      <w:r w:rsidR="00510E6D">
        <w:rPr>
          <w:rFonts w:asciiTheme="minorHAnsi" w:hAnsiTheme="minorHAnsi" w:cstheme="minorHAnsi"/>
          <w:bCs/>
          <w:sz w:val="22"/>
          <w:szCs w:val="22"/>
        </w:rPr>
        <w:t xml:space="preserve">ood practice </w:t>
      </w:r>
      <w:r w:rsidR="008322E2">
        <w:rPr>
          <w:rFonts w:asciiTheme="minorHAnsi" w:hAnsiTheme="minorHAnsi" w:cstheme="minorHAnsi"/>
          <w:bCs/>
          <w:sz w:val="22"/>
          <w:szCs w:val="22"/>
        </w:rPr>
        <w:t xml:space="preserve">requires </w:t>
      </w:r>
      <w:r w:rsidR="00510E6D">
        <w:rPr>
          <w:rFonts w:asciiTheme="minorHAnsi" w:hAnsiTheme="minorHAnsi" w:cstheme="minorHAnsi"/>
          <w:bCs/>
          <w:sz w:val="22"/>
          <w:szCs w:val="22"/>
        </w:rPr>
        <w:t xml:space="preserve">that any adult in receipt of care services should have a care plan in place. </w:t>
      </w:r>
    </w:p>
    <w:p w14:paraId="7D9C0516" w14:textId="77777777" w:rsidR="00DE49F1" w:rsidRDefault="00DE49F1" w:rsidP="002531F7">
      <w:pPr>
        <w:pStyle w:val="BodyText"/>
        <w:spacing w:line="276" w:lineRule="auto"/>
        <w:rPr>
          <w:rFonts w:asciiTheme="minorHAnsi" w:hAnsiTheme="minorHAnsi" w:cstheme="minorHAnsi"/>
          <w:bCs/>
          <w:sz w:val="22"/>
          <w:szCs w:val="22"/>
        </w:rPr>
      </w:pPr>
    </w:p>
    <w:p w14:paraId="6C47B07B" w14:textId="6B0DF498" w:rsidR="00510E6D" w:rsidRDefault="00510E6D" w:rsidP="000408D5">
      <w:pPr>
        <w:pStyle w:val="BodyText"/>
        <w:spacing w:after="240" w:line="276" w:lineRule="auto"/>
        <w:rPr>
          <w:rFonts w:asciiTheme="minorHAnsi" w:hAnsiTheme="minorHAnsi" w:cstheme="minorHAnsi"/>
          <w:bCs/>
          <w:sz w:val="22"/>
          <w:szCs w:val="22"/>
        </w:rPr>
      </w:pPr>
      <w:r w:rsidRPr="005521A1">
        <w:rPr>
          <w:rFonts w:asciiTheme="minorHAnsi" w:hAnsiTheme="minorHAnsi" w:cstheme="minorHAnsi"/>
          <w:bCs/>
          <w:sz w:val="22"/>
          <w:szCs w:val="22"/>
        </w:rPr>
        <w:t>CIB believes that</w:t>
      </w:r>
      <w:r w:rsidR="005521A1" w:rsidRPr="005521A1">
        <w:rPr>
          <w:rFonts w:asciiTheme="minorHAnsi" w:hAnsiTheme="minorHAnsi" w:cstheme="minorHAnsi"/>
          <w:bCs/>
          <w:sz w:val="22"/>
          <w:szCs w:val="22"/>
        </w:rPr>
        <w:t xml:space="preserve"> </w:t>
      </w:r>
      <w:r w:rsidR="00B560B9">
        <w:rPr>
          <w:rFonts w:asciiTheme="minorHAnsi" w:hAnsiTheme="minorHAnsi" w:cstheme="minorHAnsi"/>
          <w:bCs/>
          <w:sz w:val="22"/>
          <w:szCs w:val="22"/>
        </w:rPr>
        <w:t xml:space="preserve">safeguarding </w:t>
      </w:r>
      <w:r w:rsidR="005521A1" w:rsidRPr="005521A1">
        <w:rPr>
          <w:rFonts w:asciiTheme="minorHAnsi" w:hAnsiTheme="minorHAnsi" w:cstheme="minorHAnsi"/>
          <w:bCs/>
          <w:sz w:val="22"/>
          <w:szCs w:val="22"/>
        </w:rPr>
        <w:t xml:space="preserve">legislation should oblige Safeguarding Teams to put </w:t>
      </w:r>
      <w:r w:rsidR="005521A1">
        <w:rPr>
          <w:rFonts w:asciiTheme="minorHAnsi" w:hAnsiTheme="minorHAnsi" w:cstheme="minorHAnsi"/>
          <w:bCs/>
          <w:sz w:val="22"/>
          <w:szCs w:val="22"/>
        </w:rPr>
        <w:t xml:space="preserve">in place </w:t>
      </w:r>
      <w:r w:rsidR="005521A1" w:rsidRPr="005521A1">
        <w:rPr>
          <w:rFonts w:asciiTheme="minorHAnsi" w:hAnsiTheme="minorHAnsi" w:cstheme="minorHAnsi"/>
          <w:bCs/>
          <w:sz w:val="22"/>
          <w:szCs w:val="22"/>
        </w:rPr>
        <w:t xml:space="preserve">a </w:t>
      </w:r>
      <w:r w:rsidR="005521A1">
        <w:rPr>
          <w:rFonts w:asciiTheme="minorHAnsi" w:hAnsiTheme="minorHAnsi" w:cstheme="minorHAnsi"/>
          <w:bCs/>
          <w:sz w:val="22"/>
          <w:szCs w:val="22"/>
        </w:rPr>
        <w:t>S</w:t>
      </w:r>
      <w:r w:rsidR="005521A1" w:rsidRPr="005521A1">
        <w:rPr>
          <w:rFonts w:asciiTheme="minorHAnsi" w:hAnsiTheme="minorHAnsi" w:cstheme="minorHAnsi"/>
          <w:bCs/>
          <w:sz w:val="22"/>
          <w:szCs w:val="22"/>
        </w:rPr>
        <w:t xml:space="preserve">afeguarding </w:t>
      </w:r>
      <w:r w:rsidR="005521A1">
        <w:rPr>
          <w:rFonts w:asciiTheme="minorHAnsi" w:hAnsiTheme="minorHAnsi" w:cstheme="minorHAnsi"/>
          <w:bCs/>
          <w:sz w:val="22"/>
          <w:szCs w:val="22"/>
        </w:rPr>
        <w:t>P</w:t>
      </w:r>
      <w:r w:rsidR="005521A1" w:rsidRPr="005521A1">
        <w:rPr>
          <w:rFonts w:asciiTheme="minorHAnsi" w:hAnsiTheme="minorHAnsi" w:cstheme="minorHAnsi"/>
          <w:bCs/>
          <w:sz w:val="22"/>
          <w:szCs w:val="22"/>
        </w:rPr>
        <w:t>lan for a</w:t>
      </w:r>
      <w:r w:rsidR="005521A1" w:rsidRPr="005521A1">
        <w:rPr>
          <w:rFonts w:asciiTheme="minorHAnsi" w:hAnsiTheme="minorHAnsi"/>
          <w:sz w:val="22"/>
          <w:szCs w:val="22"/>
        </w:rPr>
        <w:t>nyone who comes to the attention of a Safeguarding Service and is identified as needing protection</w:t>
      </w:r>
      <w:r w:rsidR="005521A1">
        <w:rPr>
          <w:rFonts w:asciiTheme="minorHAnsi" w:hAnsiTheme="minorHAnsi"/>
          <w:sz w:val="22"/>
          <w:szCs w:val="22"/>
        </w:rPr>
        <w:t>. Provision should be made for such plans to be reviewed after a set period of time (e.g., 1 year)</w:t>
      </w:r>
      <w:r w:rsidR="006857A2">
        <w:rPr>
          <w:rFonts w:asciiTheme="minorHAnsi" w:hAnsiTheme="minorHAnsi"/>
          <w:sz w:val="22"/>
          <w:szCs w:val="22"/>
        </w:rPr>
        <w:t xml:space="preserve"> and at regular intervals thereafter</w:t>
      </w:r>
      <w:r w:rsidR="005521A1">
        <w:rPr>
          <w:rFonts w:asciiTheme="minorHAnsi" w:hAnsiTheme="minorHAnsi"/>
          <w:sz w:val="22"/>
          <w:szCs w:val="22"/>
        </w:rPr>
        <w:t>.</w:t>
      </w:r>
      <w:r w:rsidR="000408D5">
        <w:rPr>
          <w:rFonts w:asciiTheme="minorHAnsi" w:hAnsiTheme="minorHAnsi" w:cstheme="minorHAnsi"/>
          <w:bCs/>
          <w:sz w:val="22"/>
          <w:szCs w:val="22"/>
        </w:rPr>
        <w:t xml:space="preserve"> </w:t>
      </w:r>
    </w:p>
    <w:p w14:paraId="601308A0" w14:textId="7E7F8B18" w:rsidR="00510E6D" w:rsidRDefault="00B82B40" w:rsidP="002531F7">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Legislation should impose a duty on adult safeguarding service providers to provide safeguarding services.</w:t>
      </w:r>
      <w:r w:rsidR="00B560B9">
        <w:rPr>
          <w:rFonts w:asciiTheme="minorHAnsi" w:hAnsiTheme="minorHAnsi" w:cstheme="minorHAnsi"/>
          <w:bCs/>
          <w:sz w:val="22"/>
          <w:szCs w:val="22"/>
        </w:rPr>
        <w:t xml:space="preserve"> </w:t>
      </w:r>
      <w:r>
        <w:rPr>
          <w:rFonts w:asciiTheme="minorHAnsi" w:hAnsiTheme="minorHAnsi" w:cstheme="minorHAnsi"/>
          <w:bCs/>
          <w:sz w:val="22"/>
          <w:szCs w:val="22"/>
        </w:rPr>
        <w:t>This is necessary in order to ensure consistency across the country</w:t>
      </w:r>
      <w:r w:rsidR="00B560B9">
        <w:rPr>
          <w:rFonts w:asciiTheme="minorHAnsi" w:hAnsiTheme="minorHAnsi" w:cstheme="minorHAnsi"/>
          <w:bCs/>
          <w:sz w:val="22"/>
          <w:szCs w:val="22"/>
        </w:rPr>
        <w:t xml:space="preserve"> and adequate prioritisation. </w:t>
      </w:r>
      <w:r w:rsidR="00273F95">
        <w:rPr>
          <w:rFonts w:asciiTheme="minorHAnsi" w:hAnsiTheme="minorHAnsi" w:cstheme="minorHAnsi"/>
          <w:bCs/>
          <w:sz w:val="22"/>
          <w:szCs w:val="22"/>
        </w:rPr>
        <w:t>CIB believes that</w:t>
      </w:r>
      <w:r w:rsidR="00481DF6">
        <w:rPr>
          <w:rFonts w:asciiTheme="minorHAnsi" w:hAnsiTheme="minorHAnsi" w:cstheme="minorHAnsi"/>
          <w:bCs/>
          <w:sz w:val="22"/>
          <w:szCs w:val="22"/>
        </w:rPr>
        <w:t xml:space="preserve">, in exploring how best to do this, there would be merit in looking at </w:t>
      </w:r>
      <w:r w:rsidR="00342A70">
        <w:rPr>
          <w:rFonts w:asciiTheme="minorHAnsi" w:hAnsiTheme="minorHAnsi" w:cstheme="minorHAnsi"/>
          <w:bCs/>
          <w:sz w:val="22"/>
          <w:szCs w:val="22"/>
        </w:rPr>
        <w:t xml:space="preserve">Section 145 of </w:t>
      </w:r>
      <w:r w:rsidR="009E6C2D">
        <w:rPr>
          <w:rFonts w:asciiTheme="minorHAnsi" w:hAnsiTheme="minorHAnsi" w:cstheme="minorHAnsi"/>
          <w:bCs/>
          <w:sz w:val="22"/>
          <w:szCs w:val="22"/>
        </w:rPr>
        <w:t>t</w:t>
      </w:r>
      <w:r w:rsidR="00510E6D">
        <w:rPr>
          <w:rFonts w:asciiTheme="minorHAnsi" w:hAnsiTheme="minorHAnsi" w:cstheme="minorHAnsi"/>
          <w:bCs/>
          <w:sz w:val="22"/>
          <w:szCs w:val="22"/>
        </w:rPr>
        <w:t xml:space="preserve">he </w:t>
      </w:r>
      <w:r w:rsidR="00510E6D">
        <w:rPr>
          <w:rFonts w:asciiTheme="minorHAnsi" w:hAnsiTheme="minorHAnsi" w:cstheme="minorHAnsi"/>
          <w:bCs/>
          <w:i/>
          <w:sz w:val="22"/>
          <w:szCs w:val="22"/>
        </w:rPr>
        <w:t xml:space="preserve">Assisted Decision-Making (Capacity) Act 2015 </w:t>
      </w:r>
      <w:r w:rsidR="00342A70">
        <w:rPr>
          <w:rFonts w:asciiTheme="minorHAnsi" w:hAnsiTheme="minorHAnsi" w:cstheme="minorHAnsi"/>
          <w:bCs/>
          <w:sz w:val="22"/>
          <w:szCs w:val="22"/>
        </w:rPr>
        <w:t xml:space="preserve">which </w:t>
      </w:r>
      <w:r w:rsidR="00510E6D">
        <w:rPr>
          <w:rFonts w:asciiTheme="minorHAnsi" w:hAnsiTheme="minorHAnsi" w:cstheme="minorHAnsi"/>
          <w:bCs/>
          <w:sz w:val="22"/>
          <w:szCs w:val="22"/>
        </w:rPr>
        <w:t xml:space="preserve">provides for an offence </w:t>
      </w:r>
      <w:r w:rsidR="00481DF6">
        <w:rPr>
          <w:rFonts w:asciiTheme="minorHAnsi" w:hAnsiTheme="minorHAnsi" w:cstheme="minorHAnsi"/>
          <w:bCs/>
          <w:sz w:val="22"/>
          <w:szCs w:val="22"/>
        </w:rPr>
        <w:t xml:space="preserve">where people involved in supported </w:t>
      </w:r>
      <w:r w:rsidR="00510E6D">
        <w:rPr>
          <w:rFonts w:asciiTheme="minorHAnsi" w:hAnsiTheme="minorHAnsi" w:cstheme="minorHAnsi"/>
          <w:bCs/>
          <w:sz w:val="22"/>
          <w:szCs w:val="22"/>
        </w:rPr>
        <w:t>decision</w:t>
      </w:r>
      <w:r w:rsidR="003A6D4F">
        <w:rPr>
          <w:rFonts w:asciiTheme="minorHAnsi" w:hAnsiTheme="minorHAnsi" w:cstheme="minorHAnsi"/>
          <w:bCs/>
          <w:sz w:val="22"/>
          <w:szCs w:val="22"/>
        </w:rPr>
        <w:t>-making</w:t>
      </w:r>
      <w:r w:rsidR="00A35437">
        <w:rPr>
          <w:rFonts w:asciiTheme="minorHAnsi" w:hAnsiTheme="minorHAnsi" w:cstheme="minorHAnsi"/>
          <w:bCs/>
          <w:sz w:val="22"/>
          <w:szCs w:val="22"/>
        </w:rPr>
        <w:t xml:space="preserve"> ill-treat or wil</w:t>
      </w:r>
      <w:r w:rsidR="00510E6D">
        <w:rPr>
          <w:rFonts w:asciiTheme="minorHAnsi" w:hAnsiTheme="minorHAnsi" w:cstheme="minorHAnsi"/>
          <w:bCs/>
          <w:sz w:val="22"/>
          <w:szCs w:val="22"/>
        </w:rPr>
        <w:t xml:space="preserve">fully neglect a relevant person. </w:t>
      </w:r>
    </w:p>
    <w:p w14:paraId="553ECE78" w14:textId="77777777" w:rsidR="00B82B40" w:rsidRDefault="00B82B40" w:rsidP="002531F7">
      <w:pPr>
        <w:pStyle w:val="BodyText"/>
        <w:spacing w:line="276" w:lineRule="auto"/>
        <w:rPr>
          <w:rFonts w:asciiTheme="minorHAnsi" w:hAnsiTheme="minorHAnsi" w:cstheme="minorHAnsi"/>
          <w:bCs/>
          <w:sz w:val="22"/>
          <w:szCs w:val="22"/>
        </w:rPr>
      </w:pPr>
    </w:p>
    <w:p w14:paraId="6583C475" w14:textId="77777777" w:rsidR="00B82B40" w:rsidRDefault="00B82B40" w:rsidP="002531F7">
      <w:pPr>
        <w:pStyle w:val="BodyText"/>
        <w:spacing w:line="276" w:lineRule="auto"/>
        <w:rPr>
          <w:rFonts w:asciiTheme="minorHAnsi" w:hAnsiTheme="minorHAnsi" w:cstheme="minorHAnsi"/>
          <w:bCs/>
          <w:sz w:val="22"/>
          <w:szCs w:val="22"/>
        </w:rPr>
      </w:pPr>
      <w:r>
        <w:rPr>
          <w:rFonts w:cstheme="minorHAnsi"/>
          <w:b/>
          <w:bCs/>
        </w:rPr>
        <w:t>Q 3.3</w:t>
      </w:r>
      <w:r>
        <w:rPr>
          <w:rFonts w:cstheme="minorHAnsi"/>
          <w:bCs/>
        </w:rPr>
        <w:br/>
      </w:r>
      <w:r>
        <w:rPr>
          <w:rFonts w:asciiTheme="minorHAnsi" w:hAnsiTheme="minorHAnsi" w:cstheme="minorHAnsi"/>
          <w:bCs/>
          <w:sz w:val="22"/>
          <w:szCs w:val="22"/>
        </w:rPr>
        <w:t>Safeguarding Plans should address the prevention of all forms of abuse –   physical, sexual</w:t>
      </w:r>
      <w:r w:rsidR="008322E2">
        <w:rPr>
          <w:rFonts w:asciiTheme="minorHAnsi" w:hAnsiTheme="minorHAnsi" w:cstheme="minorHAnsi"/>
          <w:bCs/>
          <w:sz w:val="22"/>
          <w:szCs w:val="22"/>
        </w:rPr>
        <w:t>, financial</w:t>
      </w:r>
      <w:r>
        <w:rPr>
          <w:rFonts w:asciiTheme="minorHAnsi" w:hAnsiTheme="minorHAnsi" w:cstheme="minorHAnsi"/>
          <w:bCs/>
          <w:sz w:val="22"/>
          <w:szCs w:val="22"/>
        </w:rPr>
        <w:t xml:space="preserve"> and psychological, and neglect (including self-neglect).</w:t>
      </w:r>
    </w:p>
    <w:p w14:paraId="0B14A7CE" w14:textId="77777777" w:rsidR="00B82B40" w:rsidRDefault="00B82B40" w:rsidP="002531F7">
      <w:pPr>
        <w:pStyle w:val="BodyText"/>
        <w:spacing w:line="276" w:lineRule="auto"/>
        <w:rPr>
          <w:rFonts w:asciiTheme="minorHAnsi" w:hAnsiTheme="minorHAnsi" w:cstheme="minorHAnsi"/>
          <w:b/>
          <w:sz w:val="22"/>
          <w:szCs w:val="22"/>
        </w:rPr>
      </w:pPr>
    </w:p>
    <w:p w14:paraId="32764182" w14:textId="77777777" w:rsidR="00B82B40" w:rsidRDefault="00E53608" w:rsidP="002531F7">
      <w:pPr>
        <w:pStyle w:val="BodyText"/>
        <w:spacing w:line="276" w:lineRule="auto"/>
        <w:rPr>
          <w:rFonts w:asciiTheme="minorHAnsi" w:hAnsiTheme="minorHAnsi" w:cstheme="minorHAnsi"/>
          <w:bCs/>
          <w:sz w:val="22"/>
          <w:szCs w:val="22"/>
        </w:rPr>
      </w:pPr>
      <w:r>
        <w:rPr>
          <w:rFonts w:asciiTheme="minorHAnsi" w:hAnsiTheme="minorHAnsi" w:cstheme="minorHAnsi"/>
          <w:b/>
          <w:sz w:val="22"/>
          <w:szCs w:val="22"/>
        </w:rPr>
        <w:t xml:space="preserve">Q </w:t>
      </w:r>
      <w:r w:rsidR="00B82B40">
        <w:rPr>
          <w:rFonts w:asciiTheme="minorHAnsi" w:hAnsiTheme="minorHAnsi" w:cstheme="minorHAnsi"/>
          <w:b/>
          <w:sz w:val="22"/>
          <w:szCs w:val="22"/>
        </w:rPr>
        <w:t xml:space="preserve">3.4 and </w:t>
      </w:r>
      <w:r>
        <w:rPr>
          <w:rFonts w:asciiTheme="minorHAnsi" w:hAnsiTheme="minorHAnsi" w:cstheme="minorHAnsi"/>
          <w:b/>
          <w:sz w:val="22"/>
          <w:szCs w:val="22"/>
        </w:rPr>
        <w:t xml:space="preserve">Q </w:t>
      </w:r>
      <w:r w:rsidR="00B82B40">
        <w:rPr>
          <w:rFonts w:asciiTheme="minorHAnsi" w:hAnsiTheme="minorHAnsi" w:cstheme="minorHAnsi"/>
          <w:b/>
          <w:sz w:val="22"/>
          <w:szCs w:val="22"/>
        </w:rPr>
        <w:t>3.5</w:t>
      </w:r>
    </w:p>
    <w:p w14:paraId="5B856C3E" w14:textId="0AE9C7B1" w:rsidR="00194D15" w:rsidRDefault="005521A1" w:rsidP="00194D15">
      <w:pPr>
        <w:pStyle w:val="BodyText"/>
        <w:spacing w:after="240" w:line="276" w:lineRule="auto"/>
        <w:rPr>
          <w:rFonts w:asciiTheme="minorHAnsi" w:hAnsiTheme="minorHAnsi" w:cstheme="minorHAnsi"/>
          <w:b/>
          <w:i/>
          <w:iCs/>
          <w:sz w:val="22"/>
          <w:szCs w:val="22"/>
        </w:rPr>
      </w:pPr>
      <w:r>
        <w:rPr>
          <w:rFonts w:asciiTheme="minorHAnsi" w:hAnsiTheme="minorHAnsi" w:cstheme="minorHAnsi"/>
          <w:bCs/>
          <w:sz w:val="22"/>
          <w:szCs w:val="22"/>
        </w:rPr>
        <w:t xml:space="preserve">How best to deal with the </w:t>
      </w:r>
      <w:r w:rsidR="00E53608">
        <w:rPr>
          <w:rFonts w:asciiTheme="minorHAnsi" w:hAnsiTheme="minorHAnsi" w:cstheme="minorHAnsi"/>
          <w:bCs/>
          <w:sz w:val="22"/>
          <w:szCs w:val="22"/>
        </w:rPr>
        <w:t xml:space="preserve">failure by a </w:t>
      </w:r>
      <w:r w:rsidR="00B82B40">
        <w:rPr>
          <w:rFonts w:asciiTheme="minorHAnsi" w:hAnsiTheme="minorHAnsi" w:cstheme="minorHAnsi"/>
          <w:bCs/>
          <w:sz w:val="22"/>
          <w:szCs w:val="22"/>
        </w:rPr>
        <w:t xml:space="preserve">safeguarding service provider to prepare a </w:t>
      </w:r>
      <w:r w:rsidR="00E53608">
        <w:rPr>
          <w:rFonts w:asciiTheme="minorHAnsi" w:hAnsiTheme="minorHAnsi" w:cstheme="minorHAnsi"/>
          <w:bCs/>
          <w:sz w:val="22"/>
          <w:szCs w:val="22"/>
        </w:rPr>
        <w:t xml:space="preserve">safeguarding </w:t>
      </w:r>
      <w:r w:rsidR="00B82B40">
        <w:rPr>
          <w:rFonts w:asciiTheme="minorHAnsi" w:hAnsiTheme="minorHAnsi" w:cstheme="minorHAnsi"/>
          <w:bCs/>
          <w:sz w:val="22"/>
          <w:szCs w:val="22"/>
        </w:rPr>
        <w:t xml:space="preserve">plan for each </w:t>
      </w:r>
      <w:r w:rsidR="00E53608">
        <w:rPr>
          <w:rFonts w:asciiTheme="minorHAnsi" w:hAnsiTheme="minorHAnsi" w:cstheme="minorHAnsi"/>
          <w:bCs/>
          <w:sz w:val="22"/>
          <w:szCs w:val="22"/>
        </w:rPr>
        <w:t xml:space="preserve">individual </w:t>
      </w:r>
      <w:r w:rsidR="00B82B40">
        <w:rPr>
          <w:rFonts w:asciiTheme="minorHAnsi" w:hAnsiTheme="minorHAnsi" w:cstheme="minorHAnsi"/>
          <w:bCs/>
          <w:sz w:val="22"/>
          <w:szCs w:val="22"/>
        </w:rPr>
        <w:t>in receipt of safeguarding services</w:t>
      </w:r>
      <w:r>
        <w:rPr>
          <w:rFonts w:asciiTheme="minorHAnsi" w:hAnsiTheme="minorHAnsi" w:cstheme="minorHAnsi"/>
          <w:bCs/>
          <w:sz w:val="22"/>
          <w:szCs w:val="22"/>
        </w:rPr>
        <w:t xml:space="preserve"> is a complex matter and one on which CIB does not feel that we can make a definitive statement</w:t>
      </w:r>
      <w:r w:rsidR="00380D20">
        <w:rPr>
          <w:rFonts w:asciiTheme="minorHAnsi" w:hAnsiTheme="minorHAnsi" w:cstheme="minorHAnsi"/>
          <w:bCs/>
          <w:sz w:val="22"/>
          <w:szCs w:val="22"/>
        </w:rPr>
        <w:t xml:space="preserve"> about whether this should be a civil or criminal liability or either</w:t>
      </w:r>
      <w:r>
        <w:rPr>
          <w:rFonts w:asciiTheme="minorHAnsi" w:hAnsiTheme="minorHAnsi" w:cstheme="minorHAnsi"/>
          <w:bCs/>
          <w:sz w:val="22"/>
          <w:szCs w:val="22"/>
        </w:rPr>
        <w:t>.</w:t>
      </w:r>
      <w:r w:rsidR="00380D20">
        <w:rPr>
          <w:rFonts w:asciiTheme="minorHAnsi" w:hAnsiTheme="minorHAnsi" w:cstheme="minorHAnsi"/>
          <w:bCs/>
          <w:sz w:val="22"/>
          <w:szCs w:val="22"/>
        </w:rPr>
        <w:t xml:space="preserve"> What is crucially important is that safeguarding services would develop an ethos of compliance with safeguarding legislation and protecting vulnerable adults and develop and implement standards and protocols accordingly. A potential role for HIQA in </w:t>
      </w:r>
      <w:r w:rsidR="00194D15">
        <w:rPr>
          <w:rFonts w:asciiTheme="minorHAnsi" w:hAnsiTheme="minorHAnsi" w:cstheme="minorHAnsi"/>
          <w:bCs/>
          <w:sz w:val="22"/>
          <w:szCs w:val="22"/>
        </w:rPr>
        <w:t>this regard should be explored.</w:t>
      </w:r>
    </w:p>
    <w:p w14:paraId="34047998" w14:textId="09389A55" w:rsidR="00B82B40" w:rsidRDefault="00E53608" w:rsidP="00194D15">
      <w:pPr>
        <w:pStyle w:val="BodyText"/>
        <w:spacing w:line="276" w:lineRule="auto"/>
        <w:rPr>
          <w:rFonts w:asciiTheme="minorHAnsi" w:hAnsiTheme="minorHAnsi" w:cstheme="minorHAnsi"/>
          <w:bCs/>
          <w:sz w:val="22"/>
          <w:szCs w:val="22"/>
        </w:rPr>
      </w:pPr>
      <w:r>
        <w:rPr>
          <w:rFonts w:asciiTheme="minorHAnsi" w:hAnsiTheme="minorHAnsi" w:cstheme="minorHAnsi"/>
          <w:b/>
          <w:sz w:val="22"/>
          <w:szCs w:val="22"/>
        </w:rPr>
        <w:t xml:space="preserve">Q </w:t>
      </w:r>
      <w:r w:rsidR="00B82B40">
        <w:rPr>
          <w:rFonts w:asciiTheme="minorHAnsi" w:hAnsiTheme="minorHAnsi" w:cstheme="minorHAnsi"/>
          <w:b/>
          <w:sz w:val="22"/>
          <w:szCs w:val="22"/>
        </w:rPr>
        <w:t>3.6</w:t>
      </w:r>
    </w:p>
    <w:p w14:paraId="4744F1EF" w14:textId="5D222E40" w:rsidR="00074C44" w:rsidRDefault="00E53608" w:rsidP="002531F7">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Normal requirements relating to professional accountability should apply to all </w:t>
      </w:r>
      <w:r w:rsidR="00B82B40">
        <w:rPr>
          <w:rFonts w:asciiTheme="minorHAnsi" w:hAnsiTheme="minorHAnsi" w:cstheme="minorHAnsi"/>
          <w:bCs/>
          <w:sz w:val="22"/>
          <w:szCs w:val="22"/>
        </w:rPr>
        <w:t>staff of an adult safeguarding provider</w:t>
      </w:r>
      <w:r w:rsidR="008322E2">
        <w:rPr>
          <w:rFonts w:asciiTheme="minorHAnsi" w:hAnsiTheme="minorHAnsi" w:cstheme="minorHAnsi"/>
          <w:bCs/>
          <w:sz w:val="22"/>
          <w:szCs w:val="22"/>
        </w:rPr>
        <w:t>. C</w:t>
      </w:r>
      <w:r w:rsidR="00B82B40">
        <w:rPr>
          <w:rFonts w:asciiTheme="minorHAnsi" w:hAnsiTheme="minorHAnsi" w:cstheme="minorHAnsi"/>
          <w:bCs/>
          <w:sz w:val="22"/>
          <w:szCs w:val="22"/>
        </w:rPr>
        <w:t>omplaints of poor practice regarding adult safeguarding</w:t>
      </w:r>
      <w:r>
        <w:rPr>
          <w:rFonts w:asciiTheme="minorHAnsi" w:hAnsiTheme="minorHAnsi" w:cstheme="minorHAnsi"/>
          <w:bCs/>
          <w:sz w:val="22"/>
          <w:szCs w:val="22"/>
        </w:rPr>
        <w:t xml:space="preserve"> should be dealt with by</w:t>
      </w:r>
      <w:r w:rsidR="008322E2">
        <w:rPr>
          <w:rFonts w:asciiTheme="minorHAnsi" w:hAnsiTheme="minorHAnsi" w:cstheme="minorHAnsi"/>
          <w:bCs/>
          <w:sz w:val="22"/>
          <w:szCs w:val="22"/>
        </w:rPr>
        <w:t xml:space="preserve"> </w:t>
      </w:r>
      <w:r>
        <w:rPr>
          <w:rFonts w:asciiTheme="minorHAnsi" w:hAnsiTheme="minorHAnsi" w:cstheme="minorHAnsi"/>
          <w:bCs/>
          <w:sz w:val="22"/>
          <w:szCs w:val="22"/>
        </w:rPr>
        <w:t xml:space="preserve">the </w:t>
      </w:r>
      <w:r w:rsidR="008322E2">
        <w:rPr>
          <w:rFonts w:asciiTheme="minorHAnsi" w:hAnsiTheme="minorHAnsi" w:cstheme="minorHAnsi"/>
          <w:bCs/>
          <w:sz w:val="22"/>
          <w:szCs w:val="22"/>
        </w:rPr>
        <w:t xml:space="preserve">safeguarding </w:t>
      </w:r>
      <w:r>
        <w:rPr>
          <w:rFonts w:asciiTheme="minorHAnsi" w:hAnsiTheme="minorHAnsi" w:cstheme="minorHAnsi"/>
          <w:bCs/>
          <w:sz w:val="22"/>
          <w:szCs w:val="22"/>
        </w:rPr>
        <w:t xml:space="preserve">provider and </w:t>
      </w:r>
      <w:r w:rsidR="008322E2">
        <w:rPr>
          <w:rFonts w:asciiTheme="minorHAnsi" w:hAnsiTheme="minorHAnsi" w:cstheme="minorHAnsi"/>
          <w:bCs/>
          <w:sz w:val="22"/>
          <w:szCs w:val="22"/>
        </w:rPr>
        <w:t xml:space="preserve">by </w:t>
      </w:r>
      <w:r>
        <w:rPr>
          <w:rFonts w:asciiTheme="minorHAnsi" w:hAnsiTheme="minorHAnsi" w:cstheme="minorHAnsi"/>
          <w:bCs/>
          <w:sz w:val="22"/>
          <w:szCs w:val="22"/>
        </w:rPr>
        <w:t>relevant professional body</w:t>
      </w:r>
      <w:r w:rsidR="008322E2">
        <w:rPr>
          <w:rFonts w:asciiTheme="minorHAnsi" w:hAnsiTheme="minorHAnsi" w:cstheme="minorHAnsi"/>
          <w:bCs/>
          <w:sz w:val="22"/>
          <w:szCs w:val="22"/>
        </w:rPr>
        <w:t>, the latter in accordance with their codes of practice and professional conduct</w:t>
      </w:r>
      <w:r w:rsidR="00B82B40">
        <w:rPr>
          <w:rFonts w:asciiTheme="minorHAnsi" w:hAnsiTheme="minorHAnsi" w:cstheme="minorHAnsi"/>
          <w:bCs/>
          <w:sz w:val="22"/>
          <w:szCs w:val="22"/>
        </w:rPr>
        <w:t>.</w:t>
      </w:r>
      <w:r w:rsidR="00380D20">
        <w:rPr>
          <w:rFonts w:asciiTheme="minorHAnsi" w:hAnsiTheme="minorHAnsi" w:cstheme="minorHAnsi"/>
          <w:bCs/>
          <w:sz w:val="22"/>
          <w:szCs w:val="22"/>
        </w:rPr>
        <w:t xml:space="preserve"> As stated above, the development of standards and protocols should be an integral part of the safeguarding service.</w:t>
      </w:r>
    </w:p>
    <w:p w14:paraId="2ADE84B8" w14:textId="77777777" w:rsidR="00510E6D" w:rsidRDefault="00510E6D" w:rsidP="002531F7">
      <w:pPr>
        <w:pStyle w:val="BodyText"/>
        <w:spacing w:line="276" w:lineRule="auto"/>
        <w:jc w:val="center"/>
        <w:rPr>
          <w:rFonts w:asciiTheme="minorHAnsi" w:hAnsiTheme="minorHAnsi" w:cstheme="minorHAnsi"/>
          <w:bCs/>
          <w:sz w:val="22"/>
          <w:szCs w:val="22"/>
        </w:rPr>
      </w:pPr>
    </w:p>
    <w:p w14:paraId="35965DE9" w14:textId="77777777" w:rsidR="00B82B40" w:rsidRPr="00B82B40" w:rsidRDefault="00B82B40" w:rsidP="002531F7">
      <w:pPr>
        <w:pStyle w:val="BodyText"/>
        <w:spacing w:line="276" w:lineRule="auto"/>
        <w:rPr>
          <w:rFonts w:asciiTheme="minorHAnsi" w:hAnsiTheme="minorHAnsi" w:cstheme="minorHAnsi"/>
          <w:b/>
          <w:bCs/>
          <w:sz w:val="22"/>
          <w:szCs w:val="22"/>
        </w:rPr>
      </w:pPr>
      <w:r w:rsidRPr="00B82B40">
        <w:rPr>
          <w:rFonts w:asciiTheme="minorHAnsi" w:hAnsiTheme="minorHAnsi" w:cstheme="minorHAnsi"/>
          <w:b/>
          <w:bCs/>
          <w:sz w:val="22"/>
          <w:szCs w:val="22"/>
        </w:rPr>
        <w:t>Q 3.7</w:t>
      </w:r>
    </w:p>
    <w:p w14:paraId="72E2518A" w14:textId="1146E0C4" w:rsidR="00194D15" w:rsidRDefault="00510E6D" w:rsidP="00194D15">
      <w:pPr>
        <w:pStyle w:val="BodyText"/>
        <w:spacing w:line="276" w:lineRule="auto"/>
        <w:rPr>
          <w:b/>
          <w:sz w:val="24"/>
          <w:szCs w:val="24"/>
        </w:rPr>
      </w:pPr>
      <w:r>
        <w:rPr>
          <w:rFonts w:asciiTheme="minorHAnsi" w:hAnsiTheme="minorHAnsi" w:cstheme="minorHAnsi"/>
          <w:bCs/>
          <w:sz w:val="22"/>
          <w:szCs w:val="22"/>
        </w:rPr>
        <w:t xml:space="preserve">The </w:t>
      </w:r>
      <w:r w:rsidR="00A35437">
        <w:rPr>
          <w:rFonts w:asciiTheme="minorHAnsi" w:hAnsiTheme="minorHAnsi" w:cstheme="minorHAnsi"/>
          <w:bCs/>
          <w:sz w:val="22"/>
          <w:szCs w:val="22"/>
        </w:rPr>
        <w:t xml:space="preserve">LRC </w:t>
      </w:r>
      <w:r>
        <w:rPr>
          <w:rFonts w:asciiTheme="minorHAnsi" w:hAnsiTheme="minorHAnsi" w:cstheme="minorHAnsi"/>
          <w:bCs/>
          <w:sz w:val="22"/>
          <w:szCs w:val="22"/>
        </w:rPr>
        <w:t xml:space="preserve">Paper refers to </w:t>
      </w:r>
      <w:r w:rsidR="008322E2">
        <w:rPr>
          <w:rFonts w:asciiTheme="minorHAnsi" w:hAnsiTheme="minorHAnsi" w:cstheme="minorHAnsi"/>
          <w:bCs/>
          <w:sz w:val="22"/>
          <w:szCs w:val="22"/>
        </w:rPr>
        <w:t>a</w:t>
      </w:r>
      <w:r>
        <w:rPr>
          <w:rFonts w:asciiTheme="minorHAnsi" w:hAnsiTheme="minorHAnsi" w:cstheme="minorHAnsi"/>
          <w:bCs/>
          <w:sz w:val="22"/>
          <w:szCs w:val="22"/>
        </w:rPr>
        <w:t xml:space="preserve"> gap in the </w:t>
      </w:r>
      <w:r>
        <w:rPr>
          <w:rFonts w:asciiTheme="minorHAnsi" w:hAnsiTheme="minorHAnsi" w:cstheme="minorHAnsi"/>
          <w:bCs/>
          <w:i/>
          <w:sz w:val="22"/>
          <w:szCs w:val="22"/>
        </w:rPr>
        <w:t xml:space="preserve">Domestic Violence Act 2018 </w:t>
      </w:r>
      <w:r>
        <w:rPr>
          <w:rFonts w:asciiTheme="minorHAnsi" w:hAnsiTheme="minorHAnsi" w:cstheme="minorHAnsi"/>
          <w:bCs/>
          <w:sz w:val="22"/>
          <w:szCs w:val="22"/>
        </w:rPr>
        <w:t xml:space="preserve">in that the offence of coercive control does not extend to family relationships. </w:t>
      </w:r>
      <w:r w:rsidR="009E6C2D">
        <w:rPr>
          <w:rFonts w:asciiTheme="minorHAnsi" w:hAnsiTheme="minorHAnsi" w:cstheme="minorHAnsi"/>
          <w:bCs/>
          <w:sz w:val="22"/>
          <w:szCs w:val="22"/>
        </w:rPr>
        <w:t xml:space="preserve"> It would seem appropriate that </w:t>
      </w:r>
      <w:r>
        <w:rPr>
          <w:rFonts w:asciiTheme="minorHAnsi" w:hAnsiTheme="minorHAnsi" w:cstheme="minorHAnsi"/>
          <w:bCs/>
          <w:sz w:val="22"/>
          <w:szCs w:val="22"/>
        </w:rPr>
        <w:t>the applicability of the offence of coercive control be extended to family relationships but not confined</w:t>
      </w:r>
      <w:r w:rsidR="00B560B9">
        <w:rPr>
          <w:rFonts w:asciiTheme="minorHAnsi" w:hAnsiTheme="minorHAnsi" w:cstheme="minorHAnsi"/>
          <w:bCs/>
          <w:sz w:val="22"/>
          <w:szCs w:val="22"/>
        </w:rPr>
        <w:t xml:space="preserve"> </w:t>
      </w:r>
      <w:r>
        <w:rPr>
          <w:rFonts w:asciiTheme="minorHAnsi" w:hAnsiTheme="minorHAnsi" w:cstheme="minorHAnsi"/>
          <w:bCs/>
          <w:sz w:val="22"/>
          <w:szCs w:val="22"/>
        </w:rPr>
        <w:t>to those who live together</w:t>
      </w:r>
      <w:r w:rsidR="00B560B9">
        <w:rPr>
          <w:rFonts w:asciiTheme="minorHAnsi" w:hAnsiTheme="minorHAnsi" w:cstheme="minorHAnsi"/>
          <w:bCs/>
          <w:sz w:val="22"/>
          <w:szCs w:val="22"/>
        </w:rPr>
        <w:t xml:space="preserve"> in that t</w:t>
      </w:r>
      <w:r>
        <w:rPr>
          <w:rFonts w:asciiTheme="minorHAnsi" w:hAnsiTheme="minorHAnsi" w:cstheme="minorHAnsi"/>
          <w:bCs/>
          <w:sz w:val="22"/>
          <w:szCs w:val="22"/>
        </w:rPr>
        <w:t>he</w:t>
      </w:r>
      <w:r w:rsidR="009E6C2D">
        <w:rPr>
          <w:rFonts w:asciiTheme="minorHAnsi" w:hAnsiTheme="minorHAnsi" w:cstheme="minorHAnsi"/>
          <w:bCs/>
          <w:sz w:val="22"/>
          <w:szCs w:val="22"/>
        </w:rPr>
        <w:t xml:space="preserve">re </w:t>
      </w:r>
      <w:r w:rsidR="00E53608">
        <w:rPr>
          <w:rFonts w:asciiTheme="minorHAnsi" w:hAnsiTheme="minorHAnsi" w:cstheme="minorHAnsi"/>
          <w:bCs/>
          <w:sz w:val="22"/>
          <w:szCs w:val="22"/>
        </w:rPr>
        <w:t xml:space="preserve">are likely to be situations </w:t>
      </w:r>
      <w:r w:rsidR="009E6C2D">
        <w:rPr>
          <w:rFonts w:asciiTheme="minorHAnsi" w:hAnsiTheme="minorHAnsi" w:cstheme="minorHAnsi"/>
          <w:bCs/>
          <w:sz w:val="22"/>
          <w:szCs w:val="22"/>
        </w:rPr>
        <w:t xml:space="preserve">where </w:t>
      </w:r>
      <w:r w:rsidR="00E53608">
        <w:rPr>
          <w:rFonts w:asciiTheme="minorHAnsi" w:hAnsiTheme="minorHAnsi" w:cstheme="minorHAnsi"/>
          <w:bCs/>
          <w:sz w:val="22"/>
          <w:szCs w:val="22"/>
        </w:rPr>
        <w:t xml:space="preserve">inappropriate </w:t>
      </w:r>
      <w:r>
        <w:rPr>
          <w:rFonts w:asciiTheme="minorHAnsi" w:hAnsiTheme="minorHAnsi" w:cstheme="minorHAnsi"/>
          <w:bCs/>
          <w:sz w:val="22"/>
          <w:szCs w:val="22"/>
        </w:rPr>
        <w:t xml:space="preserve">control </w:t>
      </w:r>
      <w:r w:rsidR="00E53608">
        <w:rPr>
          <w:rFonts w:asciiTheme="minorHAnsi" w:hAnsiTheme="minorHAnsi" w:cstheme="minorHAnsi"/>
          <w:bCs/>
          <w:sz w:val="22"/>
          <w:szCs w:val="22"/>
        </w:rPr>
        <w:t xml:space="preserve">is exercised </w:t>
      </w:r>
      <w:r>
        <w:rPr>
          <w:rFonts w:asciiTheme="minorHAnsi" w:hAnsiTheme="minorHAnsi" w:cstheme="minorHAnsi"/>
          <w:bCs/>
          <w:sz w:val="22"/>
          <w:szCs w:val="22"/>
        </w:rPr>
        <w:t xml:space="preserve">over a vulnerable adult by another family member </w:t>
      </w:r>
      <w:r w:rsidR="009E6C2D">
        <w:rPr>
          <w:rFonts w:asciiTheme="minorHAnsi" w:hAnsiTheme="minorHAnsi" w:cstheme="minorHAnsi"/>
          <w:bCs/>
          <w:sz w:val="22"/>
          <w:szCs w:val="22"/>
        </w:rPr>
        <w:t>not living in the same household</w:t>
      </w:r>
      <w:r>
        <w:rPr>
          <w:rFonts w:asciiTheme="minorHAnsi" w:hAnsiTheme="minorHAnsi" w:cstheme="minorHAnsi"/>
          <w:bCs/>
          <w:sz w:val="22"/>
          <w:szCs w:val="22"/>
        </w:rPr>
        <w:t>.</w:t>
      </w:r>
      <w:r w:rsidR="00885DE8">
        <w:rPr>
          <w:rFonts w:asciiTheme="minorHAnsi" w:hAnsiTheme="minorHAnsi" w:cstheme="minorHAnsi"/>
          <w:bCs/>
          <w:sz w:val="22"/>
          <w:szCs w:val="22"/>
        </w:rPr>
        <w:br/>
      </w:r>
    </w:p>
    <w:p w14:paraId="672972FA" w14:textId="77777777" w:rsidR="00194D15" w:rsidRDefault="00194D15">
      <w:pPr>
        <w:rPr>
          <w:rFonts w:ascii="Arial" w:eastAsia="Arial" w:hAnsi="Arial" w:cs="Arial"/>
          <w:b/>
          <w:sz w:val="24"/>
          <w:szCs w:val="24"/>
          <w:lang w:eastAsia="en-IE" w:bidi="en-IE"/>
        </w:rPr>
      </w:pPr>
      <w:r>
        <w:rPr>
          <w:b/>
          <w:sz w:val="24"/>
          <w:szCs w:val="24"/>
        </w:rPr>
        <w:br w:type="page"/>
      </w:r>
    </w:p>
    <w:p w14:paraId="17BE4F7B" w14:textId="173A1D1A" w:rsidR="00176004" w:rsidRDefault="00176004" w:rsidP="00194D15">
      <w:pPr>
        <w:pStyle w:val="BodyText"/>
        <w:spacing w:line="276" w:lineRule="auto"/>
        <w:rPr>
          <w:b/>
          <w:sz w:val="24"/>
          <w:szCs w:val="24"/>
        </w:rPr>
      </w:pPr>
      <w:r w:rsidRPr="00176004">
        <w:rPr>
          <w:b/>
          <w:sz w:val="24"/>
          <w:szCs w:val="24"/>
        </w:rPr>
        <w:t>Issue 4: Financial Abuse</w:t>
      </w:r>
    </w:p>
    <w:p w14:paraId="12622919" w14:textId="77777777" w:rsidR="003D7744" w:rsidRDefault="00176004" w:rsidP="003D7744">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i/>
          <w:iCs/>
          <w:sz w:val="22"/>
          <w:szCs w:val="22"/>
        </w:rPr>
      </w:pPr>
      <w:r w:rsidRPr="00176004">
        <w:rPr>
          <w:rFonts w:asciiTheme="minorHAnsi" w:hAnsiTheme="minorHAnsi" w:cstheme="minorHAnsi"/>
          <w:i/>
          <w:iCs/>
          <w:sz w:val="22"/>
          <w:szCs w:val="22"/>
        </w:rPr>
        <w:t xml:space="preserve">Q. 4.1 Do you consider that sectoral regulators and bodies such as the Central Bank of Ireland and the Department of Employment Affairs and Social Protection currently have sufficient regulatory powers to address financial abuse in the context of adult safeguarding?  </w:t>
      </w:r>
    </w:p>
    <w:p w14:paraId="2C581E9C" w14:textId="21929E31" w:rsidR="00176004" w:rsidRPr="00176004" w:rsidRDefault="00176004" w:rsidP="003D7744">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i/>
          <w:iCs/>
          <w:sz w:val="22"/>
          <w:szCs w:val="22"/>
        </w:rPr>
      </w:pPr>
      <w:r w:rsidRPr="00176004">
        <w:rPr>
          <w:rFonts w:asciiTheme="minorHAnsi" w:hAnsiTheme="minorHAnsi" w:cstheme="minorHAnsi"/>
          <w:i/>
          <w:iCs/>
          <w:sz w:val="22"/>
          <w:szCs w:val="22"/>
        </w:rPr>
        <w:t xml:space="preserve">Q. 4.2 If the answer to 4.1 is no, do you consider that either or both of the following would be suitable to address financial abuse: </w:t>
      </w:r>
    </w:p>
    <w:p w14:paraId="4B9B040A" w14:textId="36940CC8" w:rsidR="00176004" w:rsidRPr="00176004" w:rsidRDefault="00176004" w:rsidP="00176004">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r>
      <w:r w:rsidRPr="00176004">
        <w:rPr>
          <w:rFonts w:asciiTheme="minorHAnsi" w:hAnsiTheme="minorHAnsi" w:cstheme="minorHAnsi"/>
          <w:i/>
          <w:iCs/>
          <w:sz w:val="22"/>
          <w:szCs w:val="22"/>
        </w:rPr>
        <w:t xml:space="preserve">(a) a statutory financial abuse code of practice or protocol; </w:t>
      </w:r>
    </w:p>
    <w:p w14:paraId="14F6C469" w14:textId="77777777" w:rsidR="00176004" w:rsidRPr="00176004" w:rsidRDefault="00176004" w:rsidP="00176004">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ab/>
      </w:r>
      <w:r w:rsidRPr="00176004">
        <w:rPr>
          <w:rFonts w:asciiTheme="minorHAnsi" w:hAnsiTheme="minorHAnsi" w:cstheme="minorHAnsi"/>
          <w:i/>
          <w:iCs/>
          <w:sz w:val="22"/>
          <w:szCs w:val="22"/>
        </w:rPr>
        <w:t xml:space="preserve">(b) a statutory form of protected disclosure, along the lines of the Protected Disclosures Act </w:t>
      </w:r>
      <w:r>
        <w:rPr>
          <w:rFonts w:asciiTheme="minorHAnsi" w:hAnsiTheme="minorHAnsi" w:cstheme="minorHAnsi"/>
          <w:i/>
          <w:iCs/>
          <w:sz w:val="22"/>
          <w:szCs w:val="22"/>
        </w:rPr>
        <w:tab/>
      </w:r>
      <w:r w:rsidRPr="00176004">
        <w:rPr>
          <w:rFonts w:asciiTheme="minorHAnsi" w:hAnsiTheme="minorHAnsi" w:cstheme="minorHAnsi"/>
          <w:i/>
          <w:iCs/>
          <w:sz w:val="22"/>
          <w:szCs w:val="22"/>
        </w:rPr>
        <w:t xml:space="preserve">2014, for financial institutions that engage in responses to suspected financial abuse in good </w:t>
      </w:r>
      <w:r>
        <w:rPr>
          <w:rFonts w:asciiTheme="minorHAnsi" w:hAnsiTheme="minorHAnsi" w:cstheme="minorHAnsi"/>
          <w:i/>
          <w:iCs/>
          <w:sz w:val="22"/>
          <w:szCs w:val="22"/>
        </w:rPr>
        <w:tab/>
      </w:r>
      <w:r w:rsidRPr="00176004">
        <w:rPr>
          <w:rFonts w:asciiTheme="minorHAnsi" w:hAnsiTheme="minorHAnsi" w:cstheme="minorHAnsi"/>
          <w:i/>
          <w:iCs/>
          <w:sz w:val="22"/>
          <w:szCs w:val="22"/>
        </w:rPr>
        <w:t xml:space="preserve">faith.  </w:t>
      </w:r>
    </w:p>
    <w:p w14:paraId="0C4D291C" w14:textId="2ECEC4F8" w:rsidR="00176004" w:rsidRPr="003D7744" w:rsidRDefault="00176004" w:rsidP="003D7744">
      <w:pPr>
        <w:pBdr>
          <w:top w:val="single" w:sz="4" w:space="1" w:color="auto"/>
          <w:left w:val="single" w:sz="4" w:space="4" w:color="auto"/>
          <w:bottom w:val="single" w:sz="4" w:space="1" w:color="auto"/>
          <w:right w:val="single" w:sz="4" w:space="4" w:color="auto"/>
        </w:pBdr>
        <w:spacing w:before="240"/>
        <w:rPr>
          <w:sz w:val="24"/>
          <w:szCs w:val="24"/>
        </w:rPr>
      </w:pPr>
      <w:r w:rsidRPr="00176004">
        <w:rPr>
          <w:rFonts w:cstheme="minorHAnsi"/>
          <w:i/>
          <w:iCs/>
        </w:rPr>
        <w:t xml:space="preserve">Q. 4.3 Do you consider that further additional regulatory powers are required to address financial abuse? If yes, please give examples.  </w:t>
      </w:r>
    </w:p>
    <w:p w14:paraId="4B41B905" w14:textId="77777777" w:rsidR="00E04EE5" w:rsidRDefault="006A1459" w:rsidP="003D7744">
      <w:pPr>
        <w:spacing w:before="240"/>
        <w:rPr>
          <w:rFonts w:cstheme="minorHAnsi"/>
          <w:bCs/>
        </w:rPr>
      </w:pPr>
      <w:r>
        <w:rPr>
          <w:rFonts w:cstheme="minorHAnsi"/>
          <w:b/>
          <w:bCs/>
        </w:rPr>
        <w:t>Q 4.1</w:t>
      </w:r>
      <w:r>
        <w:rPr>
          <w:rFonts w:cstheme="minorHAnsi"/>
          <w:b/>
          <w:bCs/>
        </w:rPr>
        <w:br/>
      </w:r>
      <w:r w:rsidR="00C80F9A">
        <w:rPr>
          <w:rFonts w:eastAsia="Times New Roman" w:cs="Arial"/>
          <w:lang w:val="en"/>
        </w:rPr>
        <w:t>At an overall policy level, financial vulnerability needs to be given greater prominence and, generally, t</w:t>
      </w:r>
      <w:r w:rsidR="00B560B9">
        <w:rPr>
          <w:rFonts w:cstheme="minorHAnsi"/>
          <w:bCs/>
        </w:rPr>
        <w:t>here is a need for greater emphasis in regulation on addressing financial abuse</w:t>
      </w:r>
      <w:r w:rsidR="00C80F9A">
        <w:rPr>
          <w:rFonts w:cstheme="minorHAnsi"/>
          <w:bCs/>
        </w:rPr>
        <w:t xml:space="preserve">. </w:t>
      </w:r>
      <w:r w:rsidR="00176004">
        <w:rPr>
          <w:rFonts w:cstheme="minorHAnsi"/>
          <w:bCs/>
        </w:rPr>
        <w:t xml:space="preserve">The LRC Paper notes that financial abuse would appear to be prevalent in Ireland, particularly </w:t>
      </w:r>
      <w:r w:rsidR="00DF70D7">
        <w:rPr>
          <w:rFonts w:cstheme="minorHAnsi"/>
          <w:bCs/>
        </w:rPr>
        <w:t>in respect</w:t>
      </w:r>
      <w:r w:rsidR="00176004">
        <w:rPr>
          <w:rFonts w:cstheme="minorHAnsi"/>
          <w:bCs/>
        </w:rPr>
        <w:t xml:space="preserve"> </w:t>
      </w:r>
      <w:r w:rsidR="00F561A1">
        <w:rPr>
          <w:rFonts w:cstheme="minorHAnsi"/>
          <w:bCs/>
        </w:rPr>
        <w:t xml:space="preserve">of </w:t>
      </w:r>
      <w:r w:rsidR="00176004">
        <w:rPr>
          <w:rFonts w:cstheme="minorHAnsi"/>
          <w:bCs/>
        </w:rPr>
        <w:t>older people</w:t>
      </w:r>
      <w:r w:rsidR="0003662C">
        <w:rPr>
          <w:rStyle w:val="FootnoteReference"/>
          <w:bCs/>
        </w:rPr>
        <w:footnoteReference w:id="6"/>
      </w:r>
      <w:r w:rsidR="00176004">
        <w:rPr>
          <w:rFonts w:cstheme="minorHAnsi"/>
          <w:bCs/>
        </w:rPr>
        <w:t>. The abuse may be perpetrated by family members, neighbours, strangers or financial institutions. While there would seem to have been significant efforts to address financial abuse in a number of sectors over the last number of years,</w:t>
      </w:r>
      <w:r w:rsidR="00543AE7">
        <w:rPr>
          <w:rFonts w:cstheme="minorHAnsi"/>
          <w:bCs/>
        </w:rPr>
        <w:t xml:space="preserve"> more needs to be done.</w:t>
      </w:r>
      <w:r w:rsidR="00C80F9A">
        <w:rPr>
          <w:rFonts w:cstheme="minorHAnsi"/>
          <w:bCs/>
        </w:rPr>
        <w:t xml:space="preserve"> </w:t>
      </w:r>
    </w:p>
    <w:p w14:paraId="7CE15D16" w14:textId="77777777" w:rsidR="003D7744" w:rsidRDefault="00C80F9A" w:rsidP="003D7744">
      <w:pPr>
        <w:spacing w:before="240"/>
      </w:pPr>
      <w:r>
        <w:rPr>
          <w:rFonts w:cstheme="minorHAnsi"/>
          <w:bCs/>
        </w:rPr>
        <w:t xml:space="preserve">CIB believes that much more needs to be done in respect of </w:t>
      </w:r>
      <w:r w:rsidR="00A02163">
        <w:t xml:space="preserve">supporting people who are financially vulnerable </w:t>
      </w:r>
      <w:r>
        <w:t xml:space="preserve">and at risk </w:t>
      </w:r>
      <w:r w:rsidR="00A02163">
        <w:t>because of over-indebtedness or insufficient household income to meet the costs of daily living.</w:t>
      </w:r>
      <w:r w:rsidR="00E04EE5">
        <w:t xml:space="preserve"> There are also people who, for various reasons, can be susceptible to mis-selling of financial and other products. </w:t>
      </w:r>
    </w:p>
    <w:p w14:paraId="10CDFA03" w14:textId="38120261" w:rsidR="00A02163" w:rsidRDefault="00C80F9A" w:rsidP="003D7744">
      <w:pPr>
        <w:spacing w:before="240"/>
        <w:rPr>
          <w:rFonts w:eastAsia="Times New Roman" w:cs="Tahoma"/>
          <w:lang w:val="en-AU" w:eastAsia="en-AU"/>
        </w:rPr>
      </w:pPr>
      <w:r>
        <w:rPr>
          <w:rFonts w:eastAsia="Times New Roman" w:cs="Tahoma"/>
          <w:lang w:val="en-AU" w:eastAsia="en-AU"/>
        </w:rPr>
        <w:t>MABS has identified f</w:t>
      </w:r>
      <w:r w:rsidR="00A02163">
        <w:rPr>
          <w:rFonts w:eastAsia="Times New Roman" w:cs="Tahoma"/>
          <w:lang w:val="en-AU" w:eastAsia="en-AU"/>
        </w:rPr>
        <w:t xml:space="preserve">inancially vulnerable people </w:t>
      </w:r>
      <w:r>
        <w:rPr>
          <w:rFonts w:eastAsia="Times New Roman" w:cs="Tahoma"/>
          <w:lang w:val="en-AU" w:eastAsia="en-AU"/>
        </w:rPr>
        <w:t xml:space="preserve">as </w:t>
      </w:r>
      <w:r w:rsidR="00A02163">
        <w:rPr>
          <w:rFonts w:eastAsia="Times New Roman" w:cs="Tahoma"/>
          <w:lang w:val="en-AU" w:eastAsia="en-AU"/>
        </w:rPr>
        <w:t>includ</w:t>
      </w:r>
      <w:r>
        <w:rPr>
          <w:rFonts w:eastAsia="Times New Roman" w:cs="Tahoma"/>
          <w:lang w:val="en-AU" w:eastAsia="en-AU"/>
        </w:rPr>
        <w:t>ing</w:t>
      </w:r>
      <w:r w:rsidR="00A02163">
        <w:rPr>
          <w:rFonts w:eastAsia="Times New Roman" w:cs="Tahoma"/>
          <w:lang w:val="en-AU" w:eastAsia="en-AU"/>
        </w:rPr>
        <w:t>:</w:t>
      </w:r>
    </w:p>
    <w:p w14:paraId="48FCF259" w14:textId="77777777" w:rsidR="00A02163" w:rsidRDefault="00A02163" w:rsidP="00A02163">
      <w:pPr>
        <w:pStyle w:val="ListParagraph"/>
        <w:numPr>
          <w:ilvl w:val="0"/>
          <w:numId w:val="41"/>
        </w:numPr>
        <w:autoSpaceDE w:val="0"/>
        <w:autoSpaceDN w:val="0"/>
        <w:adjustRightInd w:val="0"/>
        <w:spacing w:before="170" w:after="57" w:line="240" w:lineRule="auto"/>
        <w:textAlignment w:val="center"/>
        <w:rPr>
          <w:rFonts w:eastAsia="Times New Roman" w:cs="Tahoma"/>
          <w:lang w:val="en-AU" w:eastAsia="en-AU"/>
        </w:rPr>
      </w:pPr>
      <w:r>
        <w:t>Those with a range of contractual financial commitments (defined broadly to include mortgages, household bills and consumer credit) that they are unable to meet</w:t>
      </w:r>
    </w:p>
    <w:p w14:paraId="2AEA0F15" w14:textId="310AE6A5" w:rsidR="00A02163" w:rsidRDefault="00A02163" w:rsidP="00A02163">
      <w:pPr>
        <w:pStyle w:val="ListParagraph"/>
        <w:numPr>
          <w:ilvl w:val="0"/>
          <w:numId w:val="42"/>
        </w:numPr>
        <w:autoSpaceDE w:val="0"/>
        <w:autoSpaceDN w:val="0"/>
        <w:adjustRightInd w:val="0"/>
        <w:spacing w:before="170" w:after="57"/>
        <w:textAlignment w:val="center"/>
        <w:rPr>
          <w:rFonts w:eastAsia="Times New Roman" w:cs="Tahoma"/>
          <w:lang w:val="en-AU" w:eastAsia="en-AU"/>
        </w:rPr>
      </w:pPr>
      <w:r>
        <w:rPr>
          <w:rFonts w:eastAsia="Times New Roman" w:cs="Tahoma"/>
          <w:lang w:val="en-AU" w:eastAsia="en-AU"/>
        </w:rPr>
        <w:t xml:space="preserve">People without security of housing tenure either in the rental </w:t>
      </w:r>
      <w:r w:rsidR="00CE2B6F">
        <w:rPr>
          <w:rFonts w:eastAsia="Times New Roman" w:cs="Tahoma"/>
          <w:lang w:val="en-AU" w:eastAsia="en-AU"/>
        </w:rPr>
        <w:t xml:space="preserve">or </w:t>
      </w:r>
      <w:r>
        <w:rPr>
          <w:rFonts w:eastAsia="Times New Roman" w:cs="Tahoma"/>
          <w:lang w:val="en-AU" w:eastAsia="en-AU"/>
        </w:rPr>
        <w:t>mortgaged sector</w:t>
      </w:r>
    </w:p>
    <w:p w14:paraId="70516ECB" w14:textId="77777777" w:rsidR="00A02163" w:rsidRDefault="00A02163" w:rsidP="00A02163">
      <w:pPr>
        <w:pStyle w:val="ListParagraph"/>
        <w:numPr>
          <w:ilvl w:val="0"/>
          <w:numId w:val="42"/>
        </w:numPr>
        <w:autoSpaceDE w:val="0"/>
        <w:autoSpaceDN w:val="0"/>
        <w:adjustRightInd w:val="0"/>
        <w:spacing w:before="170" w:after="57"/>
        <w:textAlignment w:val="center"/>
        <w:rPr>
          <w:rFonts w:eastAsia="Times New Roman" w:cs="Tahoma"/>
          <w:lang w:val="en-AU" w:eastAsia="en-AU"/>
        </w:rPr>
      </w:pPr>
      <w:r>
        <w:rPr>
          <w:rFonts w:eastAsia="Times New Roman" w:cs="Tahoma"/>
          <w:lang w:val="en-AU" w:eastAsia="en-AU"/>
        </w:rPr>
        <w:t xml:space="preserve">People who experience </w:t>
      </w:r>
      <w:r>
        <w:rPr>
          <w:rFonts w:cstheme="minorHAnsi"/>
        </w:rPr>
        <w:t>energy poverty</w:t>
      </w:r>
    </w:p>
    <w:p w14:paraId="7F145D99" w14:textId="77777777" w:rsidR="00A02163" w:rsidRDefault="00A02163" w:rsidP="00A02163">
      <w:pPr>
        <w:pStyle w:val="ListParagraph"/>
        <w:numPr>
          <w:ilvl w:val="0"/>
          <w:numId w:val="42"/>
        </w:numPr>
        <w:autoSpaceDE w:val="0"/>
        <w:autoSpaceDN w:val="0"/>
        <w:adjustRightInd w:val="0"/>
        <w:spacing w:before="170" w:after="57"/>
        <w:textAlignment w:val="center"/>
        <w:rPr>
          <w:rFonts w:eastAsia="Times New Roman" w:cs="Tahoma"/>
          <w:lang w:val="en-AU" w:eastAsia="en-AU"/>
        </w:rPr>
      </w:pPr>
      <w:r>
        <w:rPr>
          <w:rFonts w:eastAsia="Times New Roman" w:cs="Tahoma"/>
          <w:lang w:val="en-AU" w:eastAsia="en-AU"/>
        </w:rPr>
        <w:t>People whose health and wellbeing, morale and coping skills have suffered as a consequence of one or all of these factors.</w:t>
      </w:r>
    </w:p>
    <w:p w14:paraId="48159D90" w14:textId="25E73844" w:rsidR="00380D20" w:rsidRPr="00C01F3D" w:rsidRDefault="00380D20" w:rsidP="00380D20">
      <w:pPr>
        <w:rPr>
          <w:rFonts w:eastAsia="Times New Roman" w:cstheme="minorHAnsi"/>
          <w:lang w:val="en"/>
        </w:rPr>
      </w:pPr>
      <w:r w:rsidRPr="00C01F3D">
        <w:rPr>
          <w:rFonts w:cstheme="minorHAnsi"/>
        </w:rPr>
        <w:t>The MABS experience is that financial services, products and cus</w:t>
      </w:r>
      <w:r w:rsidRPr="00C01F3D">
        <w:rPr>
          <w:rFonts w:cstheme="minorHAnsi"/>
        </w:rPr>
        <w:softHyphen/>
        <w:t xml:space="preserve">tomer interfaces sometimes </w:t>
      </w:r>
      <w:r w:rsidRPr="00C01F3D">
        <w:rPr>
          <w:rFonts w:cstheme="minorHAnsi"/>
          <w:lang w:val="en-GB"/>
        </w:rPr>
        <w:t>fail to deal appropriately with people in distressing financial circumstances which can compound their stress and difficulty.</w:t>
      </w:r>
      <w:r w:rsidR="008D5895" w:rsidRPr="00C01F3D">
        <w:rPr>
          <w:rStyle w:val="FootnoteReference"/>
          <w:rFonts w:asciiTheme="minorHAnsi" w:hAnsiTheme="minorHAnsi" w:cstheme="minorHAnsi"/>
          <w:lang w:val="en-GB"/>
        </w:rPr>
        <w:footnoteReference w:id="7"/>
      </w:r>
      <w:r w:rsidRPr="00C01F3D">
        <w:rPr>
          <w:rFonts w:eastAsia="Times New Roman" w:cstheme="minorHAnsi"/>
          <w:lang w:val="en-AU" w:eastAsia="en-AU"/>
        </w:rPr>
        <w:t xml:space="preserve"> </w:t>
      </w:r>
      <w:r w:rsidRPr="00C01F3D">
        <w:rPr>
          <w:rFonts w:eastAsia="Times New Roman" w:cstheme="minorHAnsi"/>
          <w:lang w:val="en"/>
        </w:rPr>
        <w:t>Protecting financially vulnerable people from exploitation is a key component of overall safeguarding and CIB would greatly welcome more</w:t>
      </w:r>
      <w:r w:rsidR="0003662C" w:rsidRPr="00C01F3D">
        <w:rPr>
          <w:rFonts w:eastAsia="Times New Roman" w:cstheme="minorHAnsi"/>
          <w:lang w:val="en"/>
        </w:rPr>
        <w:t xml:space="preserve"> of</w:t>
      </w:r>
      <w:r w:rsidRPr="00C01F3D">
        <w:rPr>
          <w:rFonts w:eastAsia="Times New Roman" w:cstheme="minorHAnsi"/>
          <w:lang w:val="en"/>
        </w:rPr>
        <w:t xml:space="preserve"> a focus on financial vulnerability </w:t>
      </w:r>
      <w:r w:rsidR="00C80F9A" w:rsidRPr="00C01F3D">
        <w:rPr>
          <w:rFonts w:eastAsia="Times New Roman" w:cstheme="minorHAnsi"/>
          <w:lang w:val="en"/>
        </w:rPr>
        <w:t>as a</w:t>
      </w:r>
      <w:r w:rsidRPr="00C01F3D">
        <w:rPr>
          <w:rFonts w:eastAsia="Times New Roman" w:cstheme="minorHAnsi"/>
          <w:lang w:val="en"/>
        </w:rPr>
        <w:t xml:space="preserve"> safeguarding </w:t>
      </w:r>
      <w:r w:rsidR="00C80F9A" w:rsidRPr="00C01F3D">
        <w:rPr>
          <w:rFonts w:eastAsia="Times New Roman" w:cstheme="minorHAnsi"/>
          <w:lang w:val="en"/>
        </w:rPr>
        <w:t>matter</w:t>
      </w:r>
      <w:r w:rsidRPr="00C01F3D">
        <w:rPr>
          <w:rFonts w:eastAsia="Times New Roman" w:cstheme="minorHAnsi"/>
          <w:lang w:val="en"/>
        </w:rPr>
        <w:t>.</w:t>
      </w:r>
    </w:p>
    <w:p w14:paraId="705C53E5" w14:textId="2CA15EDB" w:rsidR="0003598C" w:rsidRPr="00C01F3D" w:rsidRDefault="006E5E09" w:rsidP="006E5E09">
      <w:pPr>
        <w:rPr>
          <w:rFonts w:cstheme="minorHAnsi"/>
        </w:rPr>
      </w:pPr>
      <w:r w:rsidRPr="00C01F3D">
        <w:rPr>
          <w:rFonts w:cstheme="minorHAnsi"/>
        </w:rPr>
        <w:t>CIB and MABS have made various submissions to reviews of the Consumer Protection Code aimed at protecting vulnerable consumers</w:t>
      </w:r>
      <w:r w:rsidRPr="00C01F3D">
        <w:rPr>
          <w:rStyle w:val="FootnoteReference"/>
          <w:rFonts w:asciiTheme="minorHAnsi" w:hAnsiTheme="minorHAnsi" w:cstheme="minorHAnsi"/>
        </w:rPr>
        <w:footnoteReference w:id="8"/>
      </w:r>
      <w:r w:rsidRPr="00C01F3D">
        <w:rPr>
          <w:rFonts w:cstheme="minorHAnsi"/>
        </w:rPr>
        <w:t xml:space="preserve"> and have argued </w:t>
      </w:r>
      <w:r w:rsidR="0003598C" w:rsidRPr="00C01F3D">
        <w:rPr>
          <w:rFonts w:eastAsia="Times New Roman" w:cstheme="minorHAnsi"/>
          <w:color w:val="323130"/>
          <w:bdr w:val="none" w:sz="0" w:space="0" w:color="auto" w:frame="1"/>
          <w:lang w:eastAsia="en-IE"/>
        </w:rPr>
        <w:t xml:space="preserve">for wider definitions of ‘vulnerable consumers’ </w:t>
      </w:r>
      <w:r w:rsidR="000938B7" w:rsidRPr="00C01F3D">
        <w:rPr>
          <w:rFonts w:eastAsia="Times New Roman" w:cstheme="minorHAnsi"/>
          <w:color w:val="323130"/>
          <w:bdr w:val="none" w:sz="0" w:space="0" w:color="auto" w:frame="1"/>
          <w:lang w:eastAsia="en-IE"/>
        </w:rPr>
        <w:t xml:space="preserve">in consumer protection codes </w:t>
      </w:r>
      <w:r w:rsidR="0003598C" w:rsidRPr="00C01F3D">
        <w:rPr>
          <w:rFonts w:eastAsia="Times New Roman" w:cstheme="minorHAnsi"/>
          <w:color w:val="323130"/>
          <w:bdr w:val="none" w:sz="0" w:space="0" w:color="auto" w:frame="1"/>
          <w:lang w:eastAsia="en-IE"/>
        </w:rPr>
        <w:t xml:space="preserve">that would take account of low income and poverty and </w:t>
      </w:r>
      <w:r w:rsidR="00234FF9" w:rsidRPr="00C01F3D">
        <w:rPr>
          <w:rFonts w:eastAsia="Times New Roman" w:cstheme="minorHAnsi"/>
          <w:color w:val="323130"/>
          <w:bdr w:val="none" w:sz="0" w:space="0" w:color="auto" w:frame="1"/>
          <w:lang w:eastAsia="en-IE"/>
        </w:rPr>
        <w:t>the very specific risks fac</w:t>
      </w:r>
      <w:r w:rsidRPr="00C01F3D">
        <w:rPr>
          <w:rFonts w:eastAsia="Times New Roman" w:cstheme="minorHAnsi"/>
          <w:color w:val="323130"/>
          <w:bdr w:val="none" w:sz="0" w:space="0" w:color="auto" w:frame="1"/>
          <w:lang w:eastAsia="en-IE"/>
        </w:rPr>
        <w:t xml:space="preserve">ed by </w:t>
      </w:r>
      <w:r w:rsidR="00234FF9" w:rsidRPr="00C01F3D">
        <w:rPr>
          <w:rFonts w:eastAsia="Times New Roman" w:cstheme="minorHAnsi"/>
          <w:color w:val="323130"/>
          <w:bdr w:val="none" w:sz="0" w:space="0" w:color="auto" w:frame="1"/>
          <w:lang w:eastAsia="en-IE"/>
        </w:rPr>
        <w:t>consumers of high-cost credit</w:t>
      </w:r>
      <w:r w:rsidR="00D04821" w:rsidRPr="00C01F3D">
        <w:rPr>
          <w:rFonts w:eastAsia="Times New Roman" w:cstheme="minorHAnsi"/>
          <w:color w:val="323130"/>
          <w:bdr w:val="none" w:sz="0" w:space="0" w:color="auto" w:frame="1"/>
          <w:lang w:eastAsia="en-IE"/>
        </w:rPr>
        <w:t>.</w:t>
      </w:r>
      <w:r w:rsidR="0003598C" w:rsidRPr="00C01F3D">
        <w:rPr>
          <w:rFonts w:eastAsia="Times New Roman" w:cstheme="minorHAnsi"/>
          <w:color w:val="323130"/>
          <w:bdr w:val="none" w:sz="0" w:space="0" w:color="auto" w:frame="1"/>
          <w:lang w:eastAsia="en-IE"/>
        </w:rPr>
        <w:t xml:space="preserve"> CIB has also highlighted the specific risks facing such consumers in a digitalised economy.</w:t>
      </w:r>
      <w:r w:rsidR="00234FF9" w:rsidRPr="00C01F3D">
        <w:rPr>
          <w:rStyle w:val="FootnoteReference"/>
          <w:rFonts w:asciiTheme="minorHAnsi" w:eastAsia="Times New Roman" w:hAnsiTheme="minorHAnsi" w:cstheme="minorHAnsi"/>
          <w:color w:val="323130"/>
          <w:bdr w:val="none" w:sz="0" w:space="0" w:color="auto" w:frame="1"/>
          <w:lang w:eastAsia="en-IE"/>
        </w:rPr>
        <w:footnoteReference w:id="9"/>
      </w:r>
      <w:r w:rsidR="0003598C" w:rsidRPr="00C01F3D">
        <w:rPr>
          <w:rFonts w:eastAsia="Times New Roman" w:cstheme="minorHAnsi"/>
          <w:color w:val="323130"/>
          <w:bdr w:val="none" w:sz="0" w:space="0" w:color="auto" w:frame="1"/>
          <w:lang w:eastAsia="en-IE"/>
        </w:rPr>
        <w:t xml:space="preserve"> </w:t>
      </w:r>
    </w:p>
    <w:p w14:paraId="5ED7644E" w14:textId="6F0DC46D" w:rsidR="00E220C8" w:rsidRPr="003D7744" w:rsidRDefault="0003598C" w:rsidP="003D7744">
      <w:pPr>
        <w:spacing w:after="0"/>
        <w:textAlignment w:val="baseline"/>
        <w:rPr>
          <w:rFonts w:eastAsia="Times New Roman"/>
          <w:color w:val="000000"/>
        </w:rPr>
      </w:pPr>
      <w:r>
        <w:rPr>
          <w:rFonts w:ascii="Calibri" w:eastAsia="Times New Roman" w:hAnsi="Calibri" w:cs="Times New Roman"/>
          <w:color w:val="323130"/>
          <w:bdr w:val="none" w:sz="0" w:space="0" w:color="auto" w:frame="1"/>
          <w:lang w:eastAsia="en-IE"/>
        </w:rPr>
        <w:t xml:space="preserve">CIB believes that it would </w:t>
      </w:r>
      <w:r w:rsidR="00C01F3D">
        <w:rPr>
          <w:rFonts w:ascii="Calibri" w:eastAsia="Times New Roman" w:hAnsi="Calibri" w:cs="Times New Roman"/>
          <w:color w:val="323130"/>
          <w:bdr w:val="none" w:sz="0" w:space="0" w:color="auto" w:frame="1"/>
          <w:lang w:eastAsia="en-IE"/>
        </w:rPr>
        <w:t xml:space="preserve">be </w:t>
      </w:r>
      <w:r>
        <w:rPr>
          <w:rFonts w:ascii="Calibri" w:eastAsia="Times New Roman" w:hAnsi="Calibri" w:cs="Times New Roman"/>
          <w:color w:val="323130"/>
          <w:bdr w:val="none" w:sz="0" w:space="0" w:color="auto" w:frame="1"/>
          <w:lang w:eastAsia="en-IE"/>
        </w:rPr>
        <w:t>important to ensure</w:t>
      </w:r>
      <w:r w:rsidRPr="0003598C">
        <w:rPr>
          <w:rFonts w:ascii="Calibri" w:eastAsia="Times New Roman" w:hAnsi="Calibri" w:cs="Times New Roman"/>
          <w:color w:val="323130"/>
          <w:bdr w:val="none" w:sz="0" w:space="0" w:color="auto" w:frame="1"/>
          <w:lang w:eastAsia="en-IE"/>
        </w:rPr>
        <w:t xml:space="preserve"> </w:t>
      </w:r>
      <w:r>
        <w:rPr>
          <w:rFonts w:ascii="Calibri" w:eastAsia="Times New Roman" w:hAnsi="Calibri" w:cs="Times New Roman"/>
          <w:color w:val="323130"/>
          <w:bdr w:val="none" w:sz="0" w:space="0" w:color="auto" w:frame="1"/>
          <w:lang w:eastAsia="en-IE"/>
        </w:rPr>
        <w:t xml:space="preserve">that a new regulatory framework takes into consideration existing legislation and regulation for financial services. </w:t>
      </w:r>
      <w:r w:rsidR="00592FCB">
        <w:rPr>
          <w:rFonts w:ascii="Calibri" w:eastAsia="Times New Roman" w:hAnsi="Calibri" w:cs="Times New Roman"/>
          <w:color w:val="323130"/>
          <w:bdr w:val="none" w:sz="0" w:space="0" w:color="auto" w:frame="1"/>
          <w:lang w:eastAsia="en-IE"/>
        </w:rPr>
        <w:t>For example, t</w:t>
      </w:r>
      <w:r w:rsidR="00592FCB">
        <w:rPr>
          <w:rFonts w:eastAsia="Times New Roman"/>
          <w:color w:val="000000"/>
        </w:rPr>
        <w:t xml:space="preserve">he Central Bank of Ireland is currently undertaking a review of the Consumer Protection Code. </w:t>
      </w:r>
      <w:r w:rsidR="00E220C8">
        <w:t>The current version of the Code states that “where a regulated entity has identified that a personal consumer is a vulnerable consumer, the regulated entity must ensure that the vulnerable consumer</w:t>
      </w:r>
      <w:r w:rsidR="006E5E09">
        <w:t xml:space="preserve"> is provided with such reasonable arrangements and/or assistance that may be necessary to facilitate him or her in his or her dealings with the regulated entity”.</w:t>
      </w:r>
      <w:r w:rsidR="00E220C8">
        <w:rPr>
          <w:rStyle w:val="FootnoteReference"/>
          <w:bCs/>
        </w:rPr>
        <w:footnoteReference w:id="10"/>
      </w:r>
      <w:r w:rsidR="00E220C8">
        <w:t xml:space="preserve"> </w:t>
      </w:r>
    </w:p>
    <w:p w14:paraId="35002A76" w14:textId="29F5A57F" w:rsidR="0003598C" w:rsidRDefault="00E220C8" w:rsidP="003D7744">
      <w:pPr>
        <w:spacing w:before="240" w:after="0"/>
        <w:textAlignment w:val="baseline"/>
        <w:rPr>
          <w:rFonts w:ascii="Times New Roman" w:eastAsia="Times New Roman" w:hAnsi="Times New Roman" w:cs="Times New Roman"/>
          <w:color w:val="323130"/>
          <w:sz w:val="24"/>
          <w:szCs w:val="24"/>
          <w:lang w:eastAsia="en-IE"/>
        </w:rPr>
      </w:pPr>
      <w:r>
        <w:rPr>
          <w:rFonts w:eastAsia="Times New Roman"/>
          <w:color w:val="000000"/>
        </w:rPr>
        <w:t xml:space="preserve">CIB believes that </w:t>
      </w:r>
      <w:r w:rsidR="002531F7">
        <w:rPr>
          <w:rFonts w:eastAsia="Times New Roman"/>
          <w:color w:val="000000"/>
        </w:rPr>
        <w:t xml:space="preserve">the </w:t>
      </w:r>
      <w:r>
        <w:rPr>
          <w:rFonts w:eastAsia="Times New Roman"/>
          <w:color w:val="000000"/>
        </w:rPr>
        <w:t xml:space="preserve">Consumer </w:t>
      </w:r>
      <w:r w:rsidR="006E5E09">
        <w:rPr>
          <w:rFonts w:eastAsia="Times New Roman"/>
          <w:color w:val="000000"/>
        </w:rPr>
        <w:t>P</w:t>
      </w:r>
      <w:r>
        <w:rPr>
          <w:rFonts w:eastAsia="Times New Roman"/>
          <w:color w:val="000000"/>
        </w:rPr>
        <w:t xml:space="preserve">rotection Code </w:t>
      </w:r>
      <w:r w:rsidR="00A43984">
        <w:rPr>
          <w:rFonts w:eastAsia="Times New Roman"/>
          <w:color w:val="000000"/>
        </w:rPr>
        <w:t xml:space="preserve">should </w:t>
      </w:r>
      <w:r>
        <w:rPr>
          <w:rFonts w:eastAsia="Times New Roman"/>
          <w:color w:val="000000"/>
        </w:rPr>
        <w:t xml:space="preserve">have a stronger focus on </w:t>
      </w:r>
      <w:r w:rsidR="00592FCB">
        <w:rPr>
          <w:rFonts w:eastAsia="Times New Roman"/>
          <w:color w:val="000000"/>
        </w:rPr>
        <w:t xml:space="preserve">financial safeguarding </w:t>
      </w:r>
      <w:r w:rsidR="00A43984">
        <w:rPr>
          <w:rFonts w:eastAsia="Times New Roman"/>
          <w:color w:val="000000"/>
        </w:rPr>
        <w:t>matters</w:t>
      </w:r>
      <w:r>
        <w:rPr>
          <w:rFonts w:eastAsia="Times New Roman"/>
          <w:color w:val="000000"/>
        </w:rPr>
        <w:t xml:space="preserve"> in relation to vulnerable adults, including </w:t>
      </w:r>
      <w:r w:rsidR="00A43984">
        <w:rPr>
          <w:rFonts w:eastAsia="Times New Roman"/>
          <w:color w:val="000000"/>
        </w:rPr>
        <w:t>ways of</w:t>
      </w:r>
      <w:r>
        <w:rPr>
          <w:rFonts w:eastAsia="Times New Roman"/>
          <w:color w:val="000000"/>
        </w:rPr>
        <w:t xml:space="preserve"> </w:t>
      </w:r>
      <w:r w:rsidR="00A43984">
        <w:rPr>
          <w:rFonts w:eastAsia="Times New Roman"/>
          <w:color w:val="000000"/>
        </w:rPr>
        <w:t>preventing</w:t>
      </w:r>
      <w:r>
        <w:rPr>
          <w:rFonts w:eastAsia="Times New Roman"/>
          <w:color w:val="000000"/>
        </w:rPr>
        <w:t xml:space="preserve"> </w:t>
      </w:r>
      <w:r w:rsidR="00A43984">
        <w:rPr>
          <w:rFonts w:eastAsia="Times New Roman"/>
          <w:color w:val="000000"/>
        </w:rPr>
        <w:t xml:space="preserve">abuse and </w:t>
      </w:r>
      <w:r>
        <w:rPr>
          <w:rFonts w:eastAsia="Times New Roman"/>
          <w:color w:val="000000"/>
        </w:rPr>
        <w:t xml:space="preserve">ways of </w:t>
      </w:r>
      <w:r w:rsidR="00A43984">
        <w:rPr>
          <w:rFonts w:eastAsia="Times New Roman"/>
          <w:color w:val="000000"/>
        </w:rPr>
        <w:t>dealing with it when it does occur</w:t>
      </w:r>
      <w:r w:rsidR="00592FCB">
        <w:rPr>
          <w:rFonts w:eastAsia="Times New Roman"/>
          <w:color w:val="000000"/>
        </w:rPr>
        <w:t>.</w:t>
      </w:r>
      <w:r w:rsidR="00A43984">
        <w:rPr>
          <w:rFonts w:eastAsia="Times New Roman"/>
          <w:color w:val="000000"/>
        </w:rPr>
        <w:t xml:space="preserve"> While the </w:t>
      </w:r>
      <w:r w:rsidR="00A43984">
        <w:t xml:space="preserve">Banking and Payments Federation Ireland and </w:t>
      </w:r>
      <w:r w:rsidR="00A43984">
        <w:rPr>
          <w:rFonts w:eastAsia="Times New Roman"/>
          <w:color w:val="000000"/>
        </w:rPr>
        <w:t>i</w:t>
      </w:r>
      <w:r w:rsidR="00592FCB">
        <w:t xml:space="preserve">ndividual banks </w:t>
      </w:r>
      <w:r w:rsidR="00A43984">
        <w:t>h</w:t>
      </w:r>
      <w:r w:rsidR="00592FCB">
        <w:t xml:space="preserve">ave </w:t>
      </w:r>
      <w:r w:rsidR="00A43984">
        <w:t>systems</w:t>
      </w:r>
      <w:r w:rsidR="00592FCB">
        <w:t xml:space="preserve"> </w:t>
      </w:r>
      <w:r w:rsidR="00A43984">
        <w:t xml:space="preserve">and </w:t>
      </w:r>
      <w:r w:rsidR="00592FCB">
        <w:t>processes</w:t>
      </w:r>
      <w:r w:rsidR="00A43984">
        <w:t xml:space="preserve"> in place to deal with financial abuse, these are very dependent on banking staff</w:t>
      </w:r>
      <w:r w:rsidR="00592FCB">
        <w:t>.</w:t>
      </w:r>
      <w:r w:rsidR="00A43984">
        <w:t xml:space="preserve"> The LRC Paper</w:t>
      </w:r>
      <w:r w:rsidR="006716BC">
        <w:t xml:space="preserve"> (4.9)</w:t>
      </w:r>
      <w:r w:rsidR="00A43984">
        <w:t xml:space="preserve"> has </w:t>
      </w:r>
      <w:r w:rsidR="006716BC">
        <w:t xml:space="preserve">identified </w:t>
      </w:r>
      <w:r w:rsidR="006716BC" w:rsidRPr="006716BC">
        <w:t>a number of factors</w:t>
      </w:r>
      <w:r>
        <w:t xml:space="preserve"> that </w:t>
      </w:r>
      <w:r w:rsidR="006716BC" w:rsidRPr="006716BC">
        <w:t xml:space="preserve">undermine the </w:t>
      </w:r>
      <w:r w:rsidR="006716BC">
        <w:t xml:space="preserve">financial </w:t>
      </w:r>
      <w:r w:rsidR="006716BC" w:rsidRPr="006716BC">
        <w:t>sector’s ability to effe</w:t>
      </w:r>
      <w:r w:rsidR="006716BC">
        <w:t xml:space="preserve">ctively address financial abuse, including </w:t>
      </w:r>
      <w:r w:rsidR="006716BC" w:rsidRPr="006716BC">
        <w:t>how financial abuse of at risk adults is defined</w:t>
      </w:r>
      <w:r w:rsidR="006716BC">
        <w:t>. The Paper note</w:t>
      </w:r>
      <w:r w:rsidR="000938B7">
        <w:t>s</w:t>
      </w:r>
      <w:r w:rsidR="006716BC">
        <w:t xml:space="preserve"> t</w:t>
      </w:r>
      <w:r w:rsidR="006716BC" w:rsidRPr="006716BC">
        <w:t>he importance of adequate training for staff of financial institutions</w:t>
      </w:r>
      <w:r w:rsidR="000938B7">
        <w:t xml:space="preserve">. </w:t>
      </w:r>
      <w:r w:rsidR="006716BC">
        <w:t xml:space="preserve">CIB would </w:t>
      </w:r>
      <w:r w:rsidR="00D04821">
        <w:t>strongly concur with this.</w:t>
      </w:r>
    </w:p>
    <w:p w14:paraId="6A45C2A3" w14:textId="34BC779C" w:rsidR="006E5E09" w:rsidRDefault="00C6449E" w:rsidP="006E5E09">
      <w:pPr>
        <w:rPr>
          <w:rFonts w:cstheme="minorHAnsi"/>
          <w:b/>
          <w:bCs/>
        </w:rPr>
      </w:pPr>
      <w:r>
        <w:br/>
      </w:r>
      <w:r w:rsidR="006E5E09">
        <w:t xml:space="preserve">The Banking and Payments Federation of Ireland </w:t>
      </w:r>
      <w:r w:rsidR="006E5E09">
        <w:rPr>
          <w:i/>
        </w:rPr>
        <w:t>Guide to Safeguarding your Money Now and in the Future</w:t>
      </w:r>
      <w:r w:rsidR="006E5E09">
        <w:rPr>
          <w:rStyle w:val="FootnoteReference"/>
          <w:i/>
        </w:rPr>
        <w:footnoteReference w:id="11"/>
      </w:r>
      <w:r w:rsidR="006E5E09">
        <w:rPr>
          <w:i/>
        </w:rPr>
        <w:t xml:space="preserve"> </w:t>
      </w:r>
      <w:r w:rsidR="006E5E09">
        <w:t xml:space="preserve">provides valuable guidance on, </w:t>
      </w:r>
      <w:r w:rsidR="006E5E09">
        <w:rPr>
          <w:i/>
        </w:rPr>
        <w:t>inter alia</w:t>
      </w:r>
      <w:r w:rsidR="006E5E09">
        <w:t>, managing everyday banking, getting another person involved in money management, setting up a joint bank account, setting up a third-party authority and setting up a power of attorney. Its provisions provide a useful basis for developing a statutory Code of Practice for Financial Institutions.</w:t>
      </w:r>
      <w:r w:rsidR="006E5E09">
        <w:rPr>
          <w:b/>
        </w:rPr>
        <w:t xml:space="preserve"> </w:t>
      </w:r>
    </w:p>
    <w:p w14:paraId="75704881" w14:textId="0FCB8097" w:rsidR="00C80F9A" w:rsidRDefault="00C80F9A" w:rsidP="00C80F9A">
      <w:pPr>
        <w:autoSpaceDE w:val="0"/>
        <w:autoSpaceDN w:val="0"/>
        <w:adjustRightInd w:val="0"/>
        <w:spacing w:before="170" w:after="57"/>
        <w:textAlignment w:val="center"/>
      </w:pPr>
      <w:r>
        <w:rPr>
          <w:rFonts w:eastAsia="Times New Roman" w:cs="Arial"/>
          <w:lang w:val="en"/>
        </w:rPr>
        <w:t>Frontline staff in health services and those involved in the provision of goods and services to financially</w:t>
      </w:r>
      <w:r w:rsidR="00234FF9">
        <w:rPr>
          <w:rFonts w:eastAsia="Times New Roman" w:cs="Arial"/>
          <w:lang w:val="en"/>
        </w:rPr>
        <w:t xml:space="preserve"> </w:t>
      </w:r>
      <w:r>
        <w:rPr>
          <w:rFonts w:eastAsia="Times New Roman" w:cs="Arial"/>
          <w:lang w:val="en"/>
        </w:rPr>
        <w:t xml:space="preserve">vulnerable people should be required to take financial vulnerability into account, particularly, the impact on people’s mental health and well-being of not being able to afford key essentials for living (accommodation, light and heat, access to money for unanticipated costs). </w:t>
      </w:r>
    </w:p>
    <w:p w14:paraId="65D0727B" w14:textId="6E3675D5" w:rsidR="00142205" w:rsidRPr="00142205" w:rsidRDefault="00957D2E" w:rsidP="003D7744">
      <w:pPr>
        <w:pStyle w:val="CommentText"/>
        <w:spacing w:before="240" w:line="276" w:lineRule="auto"/>
        <w:rPr>
          <w:b/>
        </w:rPr>
      </w:pPr>
      <w:r w:rsidRPr="00142205">
        <w:rPr>
          <w:rFonts w:asciiTheme="minorHAnsi" w:hAnsiTheme="minorHAnsi"/>
          <w:sz w:val="22"/>
          <w:szCs w:val="22"/>
        </w:rPr>
        <w:t>It should be noted that financial abuse is broader than abuse relating to personal finances</w:t>
      </w:r>
      <w:r w:rsidR="008322E2" w:rsidRPr="00142205">
        <w:rPr>
          <w:rFonts w:asciiTheme="minorHAnsi" w:hAnsiTheme="minorHAnsi"/>
          <w:sz w:val="22"/>
          <w:szCs w:val="22"/>
        </w:rPr>
        <w:t xml:space="preserve"> and can </w:t>
      </w:r>
      <w:r w:rsidRPr="00142205">
        <w:rPr>
          <w:rFonts w:asciiTheme="minorHAnsi" w:hAnsiTheme="minorHAnsi"/>
          <w:sz w:val="22"/>
          <w:szCs w:val="22"/>
        </w:rPr>
        <w:t>include the illegal or improper use of property, the misuse of an adult’s home, theft of possessions, inappropriate use of resources such as utilities, food and transfer of resources such as prop</w:t>
      </w:r>
      <w:r w:rsidR="00C14A6E">
        <w:rPr>
          <w:rFonts w:asciiTheme="minorHAnsi" w:hAnsiTheme="minorHAnsi"/>
          <w:sz w:val="22"/>
          <w:szCs w:val="22"/>
        </w:rPr>
        <w:t xml:space="preserve">erty and assets and coercion, </w:t>
      </w:r>
      <w:r w:rsidRPr="00142205">
        <w:rPr>
          <w:rFonts w:asciiTheme="minorHAnsi" w:hAnsiTheme="minorHAnsi"/>
          <w:sz w:val="22"/>
          <w:szCs w:val="22"/>
        </w:rPr>
        <w:t>intimidation</w:t>
      </w:r>
      <w:r w:rsidR="00C14A6E">
        <w:rPr>
          <w:rFonts w:asciiTheme="minorHAnsi" w:hAnsiTheme="minorHAnsi"/>
          <w:sz w:val="22"/>
          <w:szCs w:val="22"/>
        </w:rPr>
        <w:t xml:space="preserve"> and fraud</w:t>
      </w:r>
      <w:r w:rsidRPr="00142205">
        <w:rPr>
          <w:rFonts w:asciiTheme="minorHAnsi" w:hAnsiTheme="minorHAnsi"/>
          <w:sz w:val="22"/>
          <w:szCs w:val="22"/>
        </w:rPr>
        <w:t xml:space="preserve"> to gain access to assets including gift giving and creating a will. The HIQA National Standards for Residential Services include the protection of both personal property and finances (3.6.1).</w:t>
      </w:r>
      <w:r w:rsidR="00142205" w:rsidRPr="00142205">
        <w:t xml:space="preserve"> </w:t>
      </w:r>
    </w:p>
    <w:p w14:paraId="3F3B7820" w14:textId="2A03129A" w:rsidR="00B61C56" w:rsidRDefault="00B61C56" w:rsidP="00B61C56">
      <w:pPr>
        <w:rPr>
          <w:rFonts w:cstheme="minorHAnsi"/>
          <w:bCs/>
        </w:rPr>
      </w:pPr>
      <w:r>
        <w:t xml:space="preserve">As a general point, it needs to be stated that </w:t>
      </w:r>
      <w:r>
        <w:rPr>
          <w:rFonts w:cstheme="minorHAnsi"/>
          <w:bCs/>
        </w:rPr>
        <w:t xml:space="preserve">there should be an absolute requirement that the money belonging to people in residential care facilities must at all times be kept separate from the funds of the organisation. This requirement is clearly set out in the HSE </w:t>
      </w:r>
      <w:r>
        <w:rPr>
          <w:rFonts w:cstheme="minorHAnsi"/>
          <w:bCs/>
          <w:i/>
        </w:rPr>
        <w:t>Guidelines on Patients Private Property Accounts</w:t>
      </w:r>
      <w:r>
        <w:rPr>
          <w:rStyle w:val="FootnoteReference"/>
          <w:rFonts w:cstheme="minorHAnsi"/>
          <w:bCs/>
          <w:i/>
        </w:rPr>
        <w:footnoteReference w:id="12"/>
      </w:r>
    </w:p>
    <w:p w14:paraId="5321D96B" w14:textId="52ED59E3" w:rsidR="00B61C56" w:rsidRDefault="00957D2E" w:rsidP="0073289D">
      <w:pPr>
        <w:rPr>
          <w:rFonts w:cstheme="minorHAnsi"/>
          <w:bCs/>
        </w:rPr>
      </w:pPr>
      <w:r>
        <w:t>There remains inadequate protection f</w:t>
      </w:r>
      <w:r w:rsidR="00CE1E7A">
        <w:t xml:space="preserve">rom financial abuse for </w:t>
      </w:r>
      <w:r>
        <w:t>vulnerable adults</w:t>
      </w:r>
      <w:r w:rsidR="00CE1E7A">
        <w:t xml:space="preserve"> living in the community</w:t>
      </w:r>
      <w:r>
        <w:t xml:space="preserve"> </w:t>
      </w:r>
      <w:r w:rsidR="00CE1E7A">
        <w:t>(e.g., people with an intellectual disability or those with reduced capacity as a result of dementia). For example, a</w:t>
      </w:r>
      <w:r w:rsidR="00CE1E7A">
        <w:rPr>
          <w:rFonts w:cstheme="minorHAnsi"/>
          <w:bCs/>
        </w:rPr>
        <w:t xml:space="preserve"> recent Red C public opinion survey</w:t>
      </w:r>
      <w:r w:rsidR="00CE1E7A">
        <w:rPr>
          <w:rStyle w:val="FootnoteReference"/>
          <w:rFonts w:cstheme="minorHAnsi"/>
          <w:bCs/>
        </w:rPr>
        <w:footnoteReference w:id="13"/>
      </w:r>
      <w:r w:rsidR="00CE1E7A">
        <w:rPr>
          <w:rFonts w:cstheme="minorHAnsi"/>
          <w:bCs/>
        </w:rPr>
        <w:t xml:space="preserve"> indicated that a majority were of the view that they could make decisions for another person who may be frail but have decision-making capacity and that the consent of the person is not required.</w:t>
      </w:r>
      <w:r w:rsidR="0073289D">
        <w:rPr>
          <w:rFonts w:cstheme="minorHAnsi"/>
          <w:bCs/>
        </w:rPr>
        <w:t xml:space="preserve"> </w:t>
      </w:r>
    </w:p>
    <w:p w14:paraId="4A725E5A" w14:textId="299D7C27" w:rsidR="0073289D" w:rsidRDefault="00957D2E" w:rsidP="0073289D">
      <w:pPr>
        <w:rPr>
          <w:rFonts w:ascii="Calibri" w:eastAsia="Times New Roman" w:hAnsi="Calibri" w:cs="Times New Roman"/>
          <w:color w:val="212121"/>
          <w:lang w:eastAsia="en-IE"/>
        </w:rPr>
      </w:pPr>
      <w:r>
        <w:t>DEASP requirements in respect of Social Welfare Payments</w:t>
      </w:r>
      <w:r w:rsidR="00E220C8">
        <w:t xml:space="preserve"> Agents </w:t>
      </w:r>
      <w:r>
        <w:t>provides some protection</w:t>
      </w:r>
      <w:r w:rsidR="00E220C8">
        <w:t xml:space="preserve"> for people who need to avail of an agency arrangement</w:t>
      </w:r>
      <w:r w:rsidR="006E5E09">
        <w:t xml:space="preserve"> to manage their social welfare payments</w:t>
      </w:r>
      <w:r w:rsidR="00E220C8">
        <w:t>. However, i</w:t>
      </w:r>
      <w:r w:rsidR="0073289D">
        <w:t xml:space="preserve">t is necessary to ensure that there is a </w:t>
      </w:r>
      <w:r w:rsidR="00E220C8">
        <w:t xml:space="preserve">stronger </w:t>
      </w:r>
      <w:r w:rsidR="0073289D">
        <w:t>regulatory approach to the appointment of and review and oversight of social welfare agents. It is noted that the DEASP is in the process</w:t>
      </w:r>
      <w:r w:rsidR="0073289D">
        <w:rPr>
          <w:rStyle w:val="FootnoteReference"/>
        </w:rPr>
        <w:footnoteReference w:id="14"/>
      </w:r>
      <w:r w:rsidR="0073289D">
        <w:t xml:space="preserve">  of reviewing and revising the general use of Agents for receiving the State payments of adults who may be vulnerable to financial abuse and to this end has </w:t>
      </w:r>
      <w:r w:rsidR="0073289D">
        <w:rPr>
          <w:rFonts w:ascii="Calibri" w:eastAsia="Times New Roman" w:hAnsi="Calibri" w:cs="Times New Roman"/>
          <w:color w:val="212121"/>
          <w:lang w:eastAsia="en-IE"/>
        </w:rPr>
        <w:t>established a Working Group to examine and make recommendations on the adequacy of the current procedures and processes for:</w:t>
      </w:r>
    </w:p>
    <w:p w14:paraId="209A8E99" w14:textId="77777777" w:rsidR="0073289D" w:rsidRDefault="0073289D" w:rsidP="0073289D">
      <w:pPr>
        <w:pStyle w:val="ListParagraph"/>
        <w:numPr>
          <w:ilvl w:val="0"/>
          <w:numId w:val="43"/>
        </w:numPr>
        <w:shd w:val="clear" w:color="auto" w:fill="FFFFFF"/>
        <w:spacing w:after="0" w:line="240" w:lineRule="auto"/>
        <w:rPr>
          <w:rFonts w:ascii="Calibri" w:eastAsia="Times New Roman" w:hAnsi="Calibri" w:cs="Times New Roman"/>
          <w:color w:val="212121"/>
          <w:lang w:eastAsia="en-IE"/>
        </w:rPr>
      </w:pPr>
      <w:r>
        <w:rPr>
          <w:rFonts w:ascii="Calibri" w:eastAsia="Times New Roman" w:hAnsi="Calibri" w:cs="Times New Roman"/>
          <w:color w:val="212121"/>
          <w:lang w:eastAsia="en-IE"/>
        </w:rPr>
        <w:t>Appointing agents for social welfare payments</w:t>
      </w:r>
    </w:p>
    <w:p w14:paraId="645D3D46" w14:textId="77777777" w:rsidR="0073289D" w:rsidRDefault="0073289D" w:rsidP="0073289D">
      <w:pPr>
        <w:pStyle w:val="ListParagraph"/>
        <w:numPr>
          <w:ilvl w:val="0"/>
          <w:numId w:val="43"/>
        </w:numPr>
        <w:shd w:val="clear" w:color="auto" w:fill="FFFFFF"/>
        <w:spacing w:after="0" w:line="240" w:lineRule="auto"/>
        <w:rPr>
          <w:rFonts w:ascii="Calibri" w:eastAsia="Times New Roman" w:hAnsi="Calibri" w:cs="Times New Roman"/>
          <w:color w:val="212121"/>
          <w:lang w:eastAsia="en-IE"/>
        </w:rPr>
      </w:pPr>
      <w:r>
        <w:rPr>
          <w:rFonts w:ascii="Calibri" w:eastAsia="Times New Roman" w:hAnsi="Calibri" w:cs="Times New Roman"/>
          <w:color w:val="212121"/>
          <w:lang w:eastAsia="en-IE"/>
        </w:rPr>
        <w:t>Reviewing existing agent arrangements</w:t>
      </w:r>
    </w:p>
    <w:p w14:paraId="6804A163" w14:textId="77777777" w:rsidR="0073289D" w:rsidRDefault="0073289D" w:rsidP="0073289D">
      <w:pPr>
        <w:pStyle w:val="ListParagraph"/>
        <w:numPr>
          <w:ilvl w:val="0"/>
          <w:numId w:val="43"/>
        </w:numPr>
        <w:shd w:val="clear" w:color="auto" w:fill="FFFFFF"/>
        <w:spacing w:after="0" w:line="240" w:lineRule="auto"/>
        <w:rPr>
          <w:rFonts w:ascii="Calibri" w:eastAsia="Times New Roman" w:hAnsi="Calibri" w:cs="Times New Roman"/>
          <w:color w:val="212121"/>
          <w:lang w:eastAsia="en-IE"/>
        </w:rPr>
      </w:pPr>
      <w:r>
        <w:rPr>
          <w:rFonts w:ascii="Calibri" w:eastAsia="Times New Roman" w:hAnsi="Calibri" w:cs="Times New Roman"/>
          <w:color w:val="212121"/>
          <w:lang w:eastAsia="en-IE"/>
        </w:rPr>
        <w:t>Dealing with specific complaints regarding named agents when they arise (with the involvement of relevant external agencies as necessary) and</w:t>
      </w:r>
    </w:p>
    <w:p w14:paraId="14B02F94" w14:textId="77777777" w:rsidR="0073289D" w:rsidRDefault="0073289D" w:rsidP="0073289D">
      <w:pPr>
        <w:pStyle w:val="ListParagraph"/>
        <w:numPr>
          <w:ilvl w:val="0"/>
          <w:numId w:val="43"/>
        </w:numPr>
        <w:shd w:val="clear" w:color="auto" w:fill="FFFFFF"/>
        <w:spacing w:after="0" w:line="240" w:lineRule="auto"/>
        <w:rPr>
          <w:rFonts w:ascii="Calibri" w:eastAsia="Times New Roman" w:hAnsi="Calibri" w:cs="Times New Roman"/>
          <w:color w:val="212121"/>
          <w:lang w:eastAsia="en-IE"/>
        </w:rPr>
      </w:pPr>
      <w:r>
        <w:rPr>
          <w:rFonts w:ascii="Calibri" w:eastAsia="Times New Roman" w:hAnsi="Calibri" w:cs="Times New Roman"/>
          <w:color w:val="212121"/>
          <w:lang w:eastAsia="en-IE"/>
        </w:rPr>
        <w:t>Continuing to raise the awareness of staff on safeguarding and protection of vulnerable adults, with a particular emphasis on financial abuse</w:t>
      </w:r>
    </w:p>
    <w:p w14:paraId="461E07B9" w14:textId="77777777" w:rsidR="0073289D" w:rsidRDefault="0073289D" w:rsidP="0073289D">
      <w:pPr>
        <w:shd w:val="clear" w:color="auto" w:fill="FFFFFF"/>
        <w:spacing w:after="0" w:line="240" w:lineRule="auto"/>
        <w:ind w:firstLine="45"/>
        <w:rPr>
          <w:rFonts w:ascii="Calibri" w:eastAsia="Times New Roman" w:hAnsi="Calibri" w:cs="Times New Roman"/>
          <w:color w:val="212121"/>
          <w:lang w:eastAsia="en-IE"/>
        </w:rPr>
      </w:pPr>
    </w:p>
    <w:p w14:paraId="091B1E93" w14:textId="03453625" w:rsidR="0073289D" w:rsidRDefault="0073289D" w:rsidP="0073289D">
      <w:pPr>
        <w:rPr>
          <w:lang w:eastAsia="en-IE"/>
        </w:rPr>
      </w:pPr>
      <w:r>
        <w:rPr>
          <w:lang w:eastAsia="en-IE"/>
        </w:rPr>
        <w:t xml:space="preserve">The Working Group is also assessing the implications for processes and procedures for agent arrangements in the context of the Assisted Decision-Making (Capacity) Act 2015 and related Codes of Practice and will make recommendations for changes necessary in order for the Department to comply with that legislation. </w:t>
      </w:r>
      <w:r w:rsidR="00236D6F">
        <w:rPr>
          <w:lang w:eastAsia="en-IE"/>
        </w:rPr>
        <w:t>I</w:t>
      </w:r>
      <w:r>
        <w:rPr>
          <w:lang w:eastAsia="en-IE"/>
        </w:rPr>
        <w:t>t is understood that the Group has submitted its Report and Recommendations to the Management Board</w:t>
      </w:r>
      <w:r w:rsidR="00236D6F">
        <w:rPr>
          <w:lang w:eastAsia="en-IE"/>
        </w:rPr>
        <w:t>.</w:t>
      </w:r>
    </w:p>
    <w:p w14:paraId="7070A320" w14:textId="2DCE6EDE" w:rsidR="0073289D" w:rsidRDefault="0073289D" w:rsidP="0073289D">
      <w:pPr>
        <w:rPr>
          <w:rFonts w:cstheme="minorHAnsi"/>
          <w:bCs/>
        </w:rPr>
      </w:pPr>
      <w:r>
        <w:t>It is likely that the need for a ‘Type 2’ Agent</w:t>
      </w:r>
      <w:r>
        <w:rPr>
          <w:rStyle w:val="FootnoteReference"/>
        </w:rPr>
        <w:footnoteReference w:id="15"/>
      </w:r>
      <w:r>
        <w:t xml:space="preserve"> will no longer be necessary following the commencement of the </w:t>
      </w:r>
      <w:r>
        <w:rPr>
          <w:i/>
        </w:rPr>
        <w:t>Assisted Decision-Making (Capacity) Act 2015</w:t>
      </w:r>
      <w:r>
        <w:t>.</w:t>
      </w:r>
      <w:r>
        <w:rPr>
          <w:rStyle w:val="FootnoteReference"/>
        </w:rPr>
        <w:footnoteReference w:id="16"/>
      </w:r>
      <w:r>
        <w:t xml:space="preserve"> The Act provides for reporting obligations to and oversight by the Director of the Decision Support Service of persons whose decision-making capacity is in question or who lack capacity and need support and assistance in relation to payments they are entitled to receive from the State.  </w:t>
      </w:r>
    </w:p>
    <w:p w14:paraId="6CC877FB" w14:textId="77777777" w:rsidR="00773A87" w:rsidRPr="00773A87" w:rsidRDefault="00773A87" w:rsidP="00176004">
      <w:pPr>
        <w:pStyle w:val="BodyText"/>
        <w:rPr>
          <w:rFonts w:asciiTheme="minorHAnsi" w:hAnsiTheme="minorHAnsi" w:cstheme="minorHAnsi"/>
          <w:b/>
          <w:bCs/>
          <w:sz w:val="22"/>
          <w:szCs w:val="22"/>
        </w:rPr>
      </w:pPr>
      <w:r>
        <w:rPr>
          <w:rFonts w:asciiTheme="minorHAnsi" w:hAnsiTheme="minorHAnsi" w:cstheme="minorHAnsi"/>
          <w:b/>
          <w:bCs/>
          <w:sz w:val="22"/>
          <w:szCs w:val="22"/>
        </w:rPr>
        <w:t>Q 4.2</w:t>
      </w:r>
    </w:p>
    <w:p w14:paraId="61AFDB3B" w14:textId="4FAF9149" w:rsidR="00176004" w:rsidRDefault="00176004" w:rsidP="00C14A6E">
      <w:pPr>
        <w:pStyle w:val="CommentTex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As suggested in the Issues Paper, a statutory financial abuse </w:t>
      </w:r>
      <w:r w:rsidR="00543AE7">
        <w:rPr>
          <w:rFonts w:asciiTheme="minorHAnsi" w:hAnsiTheme="minorHAnsi" w:cstheme="minorHAnsi"/>
          <w:bCs/>
          <w:sz w:val="22"/>
          <w:szCs w:val="22"/>
        </w:rPr>
        <w:t>C</w:t>
      </w:r>
      <w:r>
        <w:rPr>
          <w:rFonts w:asciiTheme="minorHAnsi" w:hAnsiTheme="minorHAnsi" w:cstheme="minorHAnsi"/>
          <w:bCs/>
          <w:sz w:val="22"/>
          <w:szCs w:val="22"/>
        </w:rPr>
        <w:t xml:space="preserve">ode of </w:t>
      </w:r>
      <w:r w:rsidR="00543AE7">
        <w:rPr>
          <w:rFonts w:asciiTheme="minorHAnsi" w:hAnsiTheme="minorHAnsi" w:cstheme="minorHAnsi"/>
          <w:bCs/>
          <w:sz w:val="22"/>
          <w:szCs w:val="22"/>
        </w:rPr>
        <w:t>P</w:t>
      </w:r>
      <w:r>
        <w:rPr>
          <w:rFonts w:asciiTheme="minorHAnsi" w:hAnsiTheme="minorHAnsi" w:cstheme="minorHAnsi"/>
          <w:bCs/>
          <w:sz w:val="22"/>
          <w:szCs w:val="22"/>
        </w:rPr>
        <w:t xml:space="preserve">ractice for </w:t>
      </w:r>
      <w:r w:rsidR="00543AE7">
        <w:rPr>
          <w:rFonts w:asciiTheme="minorHAnsi" w:hAnsiTheme="minorHAnsi" w:cstheme="minorHAnsi"/>
          <w:bCs/>
          <w:sz w:val="22"/>
          <w:szCs w:val="22"/>
        </w:rPr>
        <w:t>F</w:t>
      </w:r>
      <w:r>
        <w:rPr>
          <w:rFonts w:asciiTheme="minorHAnsi" w:hAnsiTheme="minorHAnsi" w:cstheme="minorHAnsi"/>
          <w:bCs/>
          <w:sz w:val="22"/>
          <w:szCs w:val="22"/>
        </w:rPr>
        <w:t xml:space="preserve">inancial </w:t>
      </w:r>
      <w:r w:rsidR="00543AE7">
        <w:rPr>
          <w:rFonts w:asciiTheme="minorHAnsi" w:hAnsiTheme="minorHAnsi" w:cstheme="minorHAnsi"/>
          <w:bCs/>
          <w:sz w:val="22"/>
          <w:szCs w:val="22"/>
        </w:rPr>
        <w:t>In</w:t>
      </w:r>
      <w:r>
        <w:rPr>
          <w:rFonts w:asciiTheme="minorHAnsi" w:hAnsiTheme="minorHAnsi" w:cstheme="minorHAnsi"/>
          <w:bCs/>
          <w:sz w:val="22"/>
          <w:szCs w:val="22"/>
        </w:rPr>
        <w:t>stitutions should be introduced to combat financial abuse.</w:t>
      </w:r>
      <w:r w:rsidR="00A05DC2">
        <w:rPr>
          <w:rFonts w:asciiTheme="minorHAnsi" w:hAnsiTheme="minorHAnsi" w:cstheme="minorHAnsi"/>
          <w:bCs/>
          <w:sz w:val="22"/>
          <w:szCs w:val="22"/>
        </w:rPr>
        <w:t xml:space="preserve"> Additionally, as suggested in the LRC Paper (5.37), the option of providing </w:t>
      </w:r>
      <w:r w:rsidR="00A05DC2" w:rsidRPr="00A05DC2">
        <w:rPr>
          <w:rFonts w:asciiTheme="minorHAnsi" w:hAnsiTheme="minorHAnsi" w:cstheme="minorHAnsi"/>
          <w:bCs/>
          <w:sz w:val="22"/>
          <w:szCs w:val="22"/>
        </w:rPr>
        <w:t xml:space="preserve">additional powers </w:t>
      </w:r>
      <w:r w:rsidR="00A05DC2">
        <w:rPr>
          <w:rFonts w:asciiTheme="minorHAnsi" w:hAnsiTheme="minorHAnsi" w:cstheme="minorHAnsi"/>
          <w:bCs/>
          <w:sz w:val="22"/>
          <w:szCs w:val="22"/>
        </w:rPr>
        <w:t>to</w:t>
      </w:r>
      <w:r w:rsidR="00A05DC2" w:rsidRPr="00A05DC2">
        <w:rPr>
          <w:rFonts w:asciiTheme="minorHAnsi" w:hAnsiTheme="minorHAnsi" w:cstheme="minorHAnsi"/>
          <w:bCs/>
          <w:sz w:val="22"/>
          <w:szCs w:val="22"/>
        </w:rPr>
        <w:t xml:space="preserve"> the D</w:t>
      </w:r>
      <w:r w:rsidR="00A05DC2">
        <w:rPr>
          <w:rFonts w:asciiTheme="minorHAnsi" w:hAnsiTheme="minorHAnsi" w:cstheme="minorHAnsi"/>
          <w:bCs/>
          <w:sz w:val="22"/>
          <w:szCs w:val="22"/>
        </w:rPr>
        <w:t xml:space="preserve">EASP </w:t>
      </w:r>
      <w:r w:rsidR="00A05DC2" w:rsidRPr="00A05DC2">
        <w:rPr>
          <w:rFonts w:asciiTheme="minorHAnsi" w:hAnsiTheme="minorHAnsi" w:cstheme="minorHAnsi"/>
          <w:bCs/>
          <w:sz w:val="22"/>
          <w:szCs w:val="22"/>
        </w:rPr>
        <w:t>to investigate cases of suspected social welfare abuse of at risk adults</w:t>
      </w:r>
      <w:r w:rsidR="00A05DC2">
        <w:rPr>
          <w:rFonts w:asciiTheme="minorHAnsi" w:hAnsiTheme="minorHAnsi" w:cstheme="minorHAnsi"/>
          <w:bCs/>
          <w:sz w:val="22"/>
          <w:szCs w:val="22"/>
        </w:rPr>
        <w:t xml:space="preserve"> </w:t>
      </w:r>
      <w:r w:rsidR="002662AB">
        <w:rPr>
          <w:rFonts w:asciiTheme="minorHAnsi" w:hAnsiTheme="minorHAnsi" w:cstheme="minorHAnsi"/>
          <w:bCs/>
          <w:sz w:val="22"/>
          <w:szCs w:val="22"/>
        </w:rPr>
        <w:t>should be considered further</w:t>
      </w:r>
      <w:r w:rsidR="00C33DA2">
        <w:rPr>
          <w:rFonts w:asciiTheme="minorHAnsi" w:hAnsiTheme="minorHAnsi" w:cstheme="minorHAnsi"/>
          <w:bCs/>
          <w:sz w:val="22"/>
          <w:szCs w:val="22"/>
        </w:rPr>
        <w:t xml:space="preserve"> with a view to determining whether there is a need for extension of powers and to ensure that there are reasonable  protections for those involved</w:t>
      </w:r>
      <w:r w:rsidR="00A05DC2" w:rsidRPr="00A05DC2">
        <w:rPr>
          <w:rFonts w:asciiTheme="minorHAnsi" w:hAnsiTheme="minorHAnsi" w:cstheme="minorHAnsi"/>
          <w:bCs/>
          <w:sz w:val="22"/>
          <w:szCs w:val="22"/>
        </w:rPr>
        <w:t>.</w:t>
      </w:r>
      <w:r w:rsidR="00142205">
        <w:rPr>
          <w:rFonts w:asciiTheme="minorHAnsi" w:hAnsiTheme="minorHAnsi" w:cstheme="minorHAnsi"/>
          <w:bCs/>
          <w:sz w:val="22"/>
          <w:szCs w:val="22"/>
        </w:rPr>
        <w:t xml:space="preserve"> </w:t>
      </w:r>
      <w:r>
        <w:rPr>
          <w:rFonts w:asciiTheme="minorHAnsi" w:hAnsiTheme="minorHAnsi" w:cstheme="minorHAnsi"/>
          <w:bCs/>
          <w:sz w:val="22"/>
          <w:szCs w:val="22"/>
        </w:rPr>
        <w:t>Th</w:t>
      </w:r>
      <w:r w:rsidR="00543AE7">
        <w:rPr>
          <w:rFonts w:asciiTheme="minorHAnsi" w:hAnsiTheme="minorHAnsi" w:cstheme="minorHAnsi"/>
          <w:bCs/>
          <w:sz w:val="22"/>
          <w:szCs w:val="22"/>
        </w:rPr>
        <w:t>ese Codes of P</w:t>
      </w:r>
      <w:r>
        <w:rPr>
          <w:rFonts w:asciiTheme="minorHAnsi" w:hAnsiTheme="minorHAnsi" w:cstheme="minorHAnsi"/>
          <w:bCs/>
          <w:sz w:val="22"/>
          <w:szCs w:val="22"/>
        </w:rPr>
        <w:t xml:space="preserve">ractice </w:t>
      </w:r>
      <w:r w:rsidR="00543AE7">
        <w:rPr>
          <w:rFonts w:asciiTheme="minorHAnsi" w:hAnsiTheme="minorHAnsi" w:cstheme="minorHAnsi"/>
          <w:bCs/>
          <w:sz w:val="22"/>
          <w:szCs w:val="22"/>
        </w:rPr>
        <w:t xml:space="preserve">could usefully </w:t>
      </w:r>
      <w:r>
        <w:rPr>
          <w:rFonts w:asciiTheme="minorHAnsi" w:hAnsiTheme="minorHAnsi" w:cstheme="minorHAnsi"/>
          <w:bCs/>
          <w:sz w:val="22"/>
          <w:szCs w:val="22"/>
        </w:rPr>
        <w:t xml:space="preserve">include the provision </w:t>
      </w:r>
      <w:r w:rsidR="00773A87">
        <w:rPr>
          <w:rFonts w:asciiTheme="minorHAnsi" w:hAnsiTheme="minorHAnsi" w:cstheme="minorHAnsi"/>
          <w:bCs/>
          <w:sz w:val="22"/>
          <w:szCs w:val="22"/>
        </w:rPr>
        <w:t xml:space="preserve">for </w:t>
      </w:r>
      <w:r>
        <w:rPr>
          <w:rFonts w:asciiTheme="minorHAnsi" w:hAnsiTheme="minorHAnsi" w:cstheme="minorHAnsi"/>
          <w:bCs/>
          <w:sz w:val="22"/>
          <w:szCs w:val="22"/>
        </w:rPr>
        <w:t xml:space="preserve">protected disclosure </w:t>
      </w:r>
      <w:r w:rsidR="00773A87">
        <w:rPr>
          <w:rFonts w:asciiTheme="minorHAnsi" w:hAnsiTheme="minorHAnsi" w:cstheme="minorHAnsi"/>
          <w:bCs/>
          <w:sz w:val="22"/>
          <w:szCs w:val="22"/>
        </w:rPr>
        <w:t xml:space="preserve">to include both </w:t>
      </w:r>
      <w:r>
        <w:rPr>
          <w:rFonts w:asciiTheme="minorHAnsi" w:hAnsiTheme="minorHAnsi" w:cstheme="minorHAnsi"/>
          <w:bCs/>
          <w:sz w:val="22"/>
          <w:szCs w:val="22"/>
        </w:rPr>
        <w:t xml:space="preserve">financial institutions </w:t>
      </w:r>
      <w:r w:rsidR="00773A87">
        <w:rPr>
          <w:rFonts w:asciiTheme="minorHAnsi" w:hAnsiTheme="minorHAnsi" w:cstheme="minorHAnsi"/>
          <w:bCs/>
          <w:sz w:val="22"/>
          <w:szCs w:val="22"/>
        </w:rPr>
        <w:t xml:space="preserve">and statutory agencies </w:t>
      </w:r>
      <w:r>
        <w:rPr>
          <w:rFonts w:asciiTheme="minorHAnsi" w:hAnsiTheme="minorHAnsi" w:cstheme="minorHAnsi"/>
          <w:bCs/>
          <w:sz w:val="22"/>
          <w:szCs w:val="22"/>
        </w:rPr>
        <w:t>wh</w:t>
      </w:r>
      <w:r w:rsidR="00773A87">
        <w:rPr>
          <w:rFonts w:asciiTheme="minorHAnsi" w:hAnsiTheme="minorHAnsi" w:cstheme="minorHAnsi"/>
          <w:bCs/>
          <w:sz w:val="22"/>
          <w:szCs w:val="22"/>
        </w:rPr>
        <w:t xml:space="preserve">ere </w:t>
      </w:r>
      <w:r>
        <w:rPr>
          <w:rFonts w:asciiTheme="minorHAnsi" w:hAnsiTheme="minorHAnsi" w:cstheme="minorHAnsi"/>
          <w:bCs/>
          <w:sz w:val="22"/>
          <w:szCs w:val="22"/>
        </w:rPr>
        <w:t>financial abuse</w:t>
      </w:r>
      <w:r w:rsidR="00773A87">
        <w:rPr>
          <w:rFonts w:asciiTheme="minorHAnsi" w:hAnsiTheme="minorHAnsi" w:cstheme="minorHAnsi"/>
          <w:bCs/>
          <w:sz w:val="22"/>
          <w:szCs w:val="22"/>
        </w:rPr>
        <w:t xml:space="preserve"> is suspected</w:t>
      </w:r>
      <w:r>
        <w:rPr>
          <w:rFonts w:asciiTheme="minorHAnsi" w:hAnsiTheme="minorHAnsi" w:cstheme="minorHAnsi"/>
          <w:bCs/>
          <w:sz w:val="22"/>
          <w:szCs w:val="22"/>
        </w:rPr>
        <w:t xml:space="preserve">. </w:t>
      </w:r>
    </w:p>
    <w:p w14:paraId="72B962B0" w14:textId="77777777" w:rsidR="007E4987" w:rsidRPr="007E4987" w:rsidRDefault="007E4987" w:rsidP="007E4987">
      <w:pPr>
        <w:pStyle w:val="BodyText"/>
        <w:ind w:left="768"/>
        <w:rPr>
          <w:rFonts w:asciiTheme="minorHAnsi" w:hAnsiTheme="minorHAnsi" w:cstheme="minorHAnsi"/>
          <w:bCs/>
          <w:sz w:val="22"/>
          <w:szCs w:val="22"/>
        </w:rPr>
      </w:pPr>
    </w:p>
    <w:p w14:paraId="0D6E453F" w14:textId="326A6D1B" w:rsidR="009A0519" w:rsidRDefault="0073289D" w:rsidP="0073289D">
      <w:pPr>
        <w:rPr>
          <w:lang w:val="en-US"/>
        </w:rPr>
      </w:pPr>
      <w:r w:rsidRPr="00B61C56">
        <w:t xml:space="preserve">Of particular concern in relation to financial institutions is the issue of </w:t>
      </w:r>
      <w:r w:rsidR="007E4987" w:rsidRPr="00B61C56">
        <w:t xml:space="preserve">a person having a joint account </w:t>
      </w:r>
      <w:r w:rsidRPr="00B61C56">
        <w:t xml:space="preserve">with another person which has been </w:t>
      </w:r>
      <w:r w:rsidR="007E4987" w:rsidRPr="00B61C56">
        <w:t xml:space="preserve">highlighted </w:t>
      </w:r>
      <w:r w:rsidR="00B61C56" w:rsidRPr="00B61C56">
        <w:t>by t</w:t>
      </w:r>
      <w:r w:rsidR="00C24875" w:rsidRPr="00B61C56">
        <w:t>he</w:t>
      </w:r>
      <w:r w:rsidR="00B61C56">
        <w:t xml:space="preserve"> LRC</w:t>
      </w:r>
      <w:r w:rsidR="00C33DA2">
        <w:t>.</w:t>
      </w:r>
      <w:r w:rsidR="00200135" w:rsidRPr="00B61C56">
        <w:t xml:space="preserve"> Some vulnerable account holders may want support or assistance with paying bills or withdrawing funds for daily living</w:t>
      </w:r>
      <w:r w:rsidR="00200135">
        <w:rPr>
          <w:lang w:val="en-US"/>
        </w:rPr>
        <w:t xml:space="preserve"> and may </w:t>
      </w:r>
      <w:r w:rsidR="009A0519">
        <w:rPr>
          <w:lang w:val="en-US"/>
        </w:rPr>
        <w:t xml:space="preserve">see </w:t>
      </w:r>
      <w:r w:rsidR="00200135">
        <w:rPr>
          <w:lang w:val="en-US"/>
        </w:rPr>
        <w:t xml:space="preserve">that the option of placing their bank or credit union account into the joint names of themselves and another person who is prepared to support them </w:t>
      </w:r>
      <w:r w:rsidR="009A0519">
        <w:rPr>
          <w:lang w:val="en-US"/>
        </w:rPr>
        <w:t>as</w:t>
      </w:r>
      <w:r w:rsidR="00200135">
        <w:rPr>
          <w:lang w:val="en-US"/>
        </w:rPr>
        <w:t xml:space="preserve"> a way of achieving this. </w:t>
      </w:r>
    </w:p>
    <w:p w14:paraId="5A63368F" w14:textId="6B704E56" w:rsidR="00827BD9" w:rsidRDefault="0073289D" w:rsidP="009A0519">
      <w:pPr>
        <w:rPr>
          <w:rFonts w:cstheme="minorHAnsi"/>
          <w:bCs/>
        </w:rPr>
      </w:pPr>
      <w:r>
        <w:rPr>
          <w:lang w:val="en-US"/>
        </w:rPr>
        <w:t>T</w:t>
      </w:r>
      <w:r w:rsidR="00200135">
        <w:rPr>
          <w:lang w:val="en-US"/>
        </w:rPr>
        <w:t>h</w:t>
      </w:r>
      <w:r w:rsidR="009A0519">
        <w:rPr>
          <w:lang w:val="en-US"/>
        </w:rPr>
        <w:t xml:space="preserve">e matter of joint accounts </w:t>
      </w:r>
      <w:r w:rsidR="00200135">
        <w:rPr>
          <w:lang w:val="en-US"/>
        </w:rPr>
        <w:t xml:space="preserve">is </w:t>
      </w:r>
      <w:r w:rsidR="009A0519">
        <w:rPr>
          <w:lang w:val="en-US"/>
        </w:rPr>
        <w:t xml:space="preserve">not </w:t>
      </w:r>
      <w:r w:rsidR="00200135">
        <w:rPr>
          <w:lang w:val="en-US"/>
        </w:rPr>
        <w:t>straightforward</w:t>
      </w:r>
      <w:r w:rsidR="009A0519">
        <w:rPr>
          <w:lang w:val="en-US"/>
        </w:rPr>
        <w:t xml:space="preserve"> in that there is inherent potential for financial abuse if not set up in a clear and unambiguous manner.</w:t>
      </w:r>
      <w:r w:rsidR="00827BD9">
        <w:rPr>
          <w:rFonts w:cstheme="minorHAnsi"/>
          <w:bCs/>
        </w:rPr>
        <w:t xml:space="preserve"> </w:t>
      </w:r>
      <w:r w:rsidR="007E4987">
        <w:rPr>
          <w:rFonts w:cstheme="minorHAnsi"/>
          <w:bCs/>
        </w:rPr>
        <w:t xml:space="preserve">The intention of persons opening joint accounts is critical as to the ownership of such accounts, </w:t>
      </w:r>
      <w:r w:rsidR="009A0519">
        <w:rPr>
          <w:rFonts w:cstheme="minorHAnsi"/>
          <w:bCs/>
          <w:i/>
        </w:rPr>
        <w:t xml:space="preserve">viz. </w:t>
      </w:r>
      <w:r w:rsidR="007E4987">
        <w:rPr>
          <w:rFonts w:cstheme="minorHAnsi"/>
          <w:bCs/>
        </w:rPr>
        <w:t xml:space="preserve">whether there is an intention to make a gift at the time of the opening of the account or at a later stage, whether the joint account holders benefit by survivorship. </w:t>
      </w:r>
      <w:r w:rsidR="00827BD9">
        <w:rPr>
          <w:rFonts w:cstheme="minorHAnsi"/>
          <w:bCs/>
        </w:rPr>
        <w:t>There is also a need to highlight the issue of undue influence and withholding of information relevant to a vulnerable adult making a decision about opening a joint account.</w:t>
      </w:r>
    </w:p>
    <w:p w14:paraId="2B310064" w14:textId="7E41F796" w:rsidR="008535EE" w:rsidRPr="00FD161C" w:rsidRDefault="00A856BA" w:rsidP="00A856BA">
      <w:r>
        <w:t>T</w:t>
      </w:r>
      <w:r w:rsidR="007E4987">
        <w:t>he Law Society</w:t>
      </w:r>
      <w:r>
        <w:t xml:space="preserve"> has guidance on the matter of joint accounts</w:t>
      </w:r>
      <w:r>
        <w:rPr>
          <w:rStyle w:val="FootnoteReference"/>
          <w:bCs/>
        </w:rPr>
        <w:footnoteReference w:id="17"/>
      </w:r>
      <w:r>
        <w:t xml:space="preserve"> </w:t>
      </w:r>
      <w:r w:rsidR="007E4987">
        <w:t xml:space="preserve">which sets out the legal implications of such accounts.  </w:t>
      </w:r>
      <w:r w:rsidR="00C24875">
        <w:t xml:space="preserve">However, additionally, there should </w:t>
      </w:r>
      <w:r>
        <w:t xml:space="preserve">be </w:t>
      </w:r>
      <w:r w:rsidR="007E4987">
        <w:t>statutory clarification with regard to such accounts</w:t>
      </w:r>
      <w:r w:rsidR="00C24875">
        <w:t>, especially</w:t>
      </w:r>
      <w:r w:rsidR="007E4987">
        <w:t xml:space="preserve"> the need to clearly state the intention of the parties when opening a joint account</w:t>
      </w:r>
      <w:r w:rsidR="00142205" w:rsidRPr="00142205">
        <w:rPr>
          <w:b/>
        </w:rPr>
        <w:t xml:space="preserve">, </w:t>
      </w:r>
      <w:r w:rsidR="00142205" w:rsidRPr="00FD161C">
        <w:t>for example, in relation to who inherit</w:t>
      </w:r>
      <w:r w:rsidR="00FD161C" w:rsidRPr="00FD161C">
        <w:t xml:space="preserve">s the funds in the account following the death of the actual owner of the money in the account. </w:t>
      </w:r>
      <w:r w:rsidR="009A0519" w:rsidRPr="00FD161C">
        <w:t xml:space="preserve"> </w:t>
      </w:r>
    </w:p>
    <w:p w14:paraId="2839F1AA" w14:textId="333514EF" w:rsidR="00201BF7" w:rsidRPr="00201BF7" w:rsidRDefault="00201BF7" w:rsidP="00201BF7">
      <w:pPr>
        <w:rPr>
          <w:b/>
        </w:rPr>
      </w:pPr>
      <w:r w:rsidRPr="00201BF7">
        <w:rPr>
          <w:b/>
        </w:rPr>
        <w:t>Issue 5: What body or bodies should have responsibility for the Regulation of Adult Safeguarding?</w:t>
      </w:r>
    </w:p>
    <w:p w14:paraId="51F8C087"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Q. 5.1 The Commission has discussed the following 5 possible institutional or organisational models for the regulation of adult safeguarding:</w:t>
      </w:r>
    </w:p>
    <w:p w14:paraId="4EFED69B"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217BD0CD"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w:t>
      </w:r>
      <w:r w:rsidRPr="00201BF7">
        <w:rPr>
          <w:rFonts w:asciiTheme="minorHAnsi" w:hAnsiTheme="minorHAnsi" w:cstheme="minorHAnsi"/>
          <w:i/>
          <w:iCs/>
          <w:sz w:val="22"/>
          <w:szCs w:val="22"/>
        </w:rPr>
        <w:t>Establishing a regulatory body within the Health Service Executive;</w:t>
      </w:r>
    </w:p>
    <w:p w14:paraId="26060FCE"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 xml:space="preserve">- </w:t>
      </w:r>
      <w:r w:rsidRPr="00201BF7">
        <w:rPr>
          <w:rFonts w:asciiTheme="minorHAnsi" w:hAnsiTheme="minorHAnsi" w:cstheme="minorHAnsi"/>
          <w:i/>
          <w:iCs/>
          <w:sz w:val="22"/>
          <w:szCs w:val="22"/>
        </w:rPr>
        <w:t>Establishing a regulatory body as an executive office of the Department of Health;</w:t>
      </w:r>
    </w:p>
    <w:p w14:paraId="519928AD"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 xml:space="preserve">- </w:t>
      </w:r>
      <w:r w:rsidRPr="00201BF7">
        <w:rPr>
          <w:rFonts w:asciiTheme="minorHAnsi" w:hAnsiTheme="minorHAnsi" w:cstheme="minorHAnsi"/>
          <w:i/>
          <w:iCs/>
          <w:sz w:val="22"/>
          <w:szCs w:val="22"/>
        </w:rPr>
        <w:t>Establishing a regulatory body as an independent agency;</w:t>
      </w:r>
    </w:p>
    <w:p w14:paraId="7BBA62B0"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 xml:space="preserve">- </w:t>
      </w:r>
      <w:r w:rsidRPr="00201BF7">
        <w:rPr>
          <w:rFonts w:asciiTheme="minorHAnsi" w:hAnsiTheme="minorHAnsi" w:cstheme="minorHAnsi"/>
          <w:i/>
          <w:iCs/>
          <w:sz w:val="22"/>
          <w:szCs w:val="22"/>
        </w:rPr>
        <w:t>Amalgamating a regulatory body with an existing agency;</w:t>
      </w:r>
    </w:p>
    <w:p w14:paraId="38690515"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 xml:space="preserve">- </w:t>
      </w:r>
      <w:r w:rsidRPr="00201BF7">
        <w:rPr>
          <w:rFonts w:asciiTheme="minorHAnsi" w:hAnsiTheme="minorHAnsi" w:cstheme="minorHAnsi"/>
          <w:i/>
          <w:iCs/>
          <w:sz w:val="22"/>
          <w:szCs w:val="22"/>
        </w:rPr>
        <w:t xml:space="preserve">Conferring additional regulatory powers on an existing body or bodies </w:t>
      </w:r>
    </w:p>
    <w:p w14:paraId="2FF4B5F2"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59F4CB0C"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 xml:space="preserve">In your view:  </w:t>
      </w:r>
    </w:p>
    <w:p w14:paraId="1F1E65CD"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 xml:space="preserve">(a) which of the above is the most appropriate institutional or organisational model for the regulation of adult safeguarding?  </w:t>
      </w:r>
    </w:p>
    <w:p w14:paraId="6C34262A"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 xml:space="preserve">(b) do you consider that any of the models discussed would be completely inappropriate?  </w:t>
      </w:r>
    </w:p>
    <w:p w14:paraId="27A8F80B"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 xml:space="preserve">Please give reasons for your answers to (a) and (b). </w:t>
      </w:r>
    </w:p>
    <w:p w14:paraId="18408F4C"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7FC60D27"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 xml:space="preserve">Q. 5.2 Do you consider that any, or all, of the 6 core regulatory powers that the Commission has identified in paragraph 5.38 of the Issues Paper should be applied in the case of adult safeguarding and, if so, whether they would be sufficient in the context of adult safeguarding legislation? </w:t>
      </w:r>
    </w:p>
    <w:p w14:paraId="6BF39A5C" w14:textId="77777777" w:rsid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7B75ABBC" w14:textId="77777777" w:rsidR="00201BF7" w:rsidRPr="00201BF7" w:rsidRDefault="00201BF7" w:rsidP="00201BF7">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201BF7">
        <w:rPr>
          <w:rFonts w:asciiTheme="minorHAnsi" w:hAnsiTheme="minorHAnsi" w:cstheme="minorHAnsi"/>
          <w:i/>
          <w:iCs/>
          <w:sz w:val="22"/>
          <w:szCs w:val="22"/>
        </w:rPr>
        <w:t>Q. 5. 3 Do you consider that there is a need for a statutory regional adult safeguarding structure, which would have a broad remit in respect of all safeguarding services for adults? If so, how would such a regional</w:t>
      </w:r>
      <w:r w:rsidRPr="00201BF7">
        <w:t xml:space="preserve"> </w:t>
      </w:r>
      <w:r w:rsidRPr="00201BF7">
        <w:rPr>
          <w:rFonts w:asciiTheme="minorHAnsi" w:hAnsiTheme="minorHAnsi" w:cstheme="minorHAnsi"/>
          <w:i/>
          <w:iCs/>
          <w:sz w:val="22"/>
          <w:szCs w:val="22"/>
        </w:rPr>
        <w:t>structure be best integrated into existing structures?</w:t>
      </w:r>
    </w:p>
    <w:p w14:paraId="7ADD2C9F" w14:textId="77777777" w:rsidR="00201BF7" w:rsidRDefault="00201BF7" w:rsidP="00201BF7">
      <w:pPr>
        <w:pStyle w:val="BodyText"/>
        <w:rPr>
          <w:rFonts w:asciiTheme="minorHAnsi" w:hAnsiTheme="minorHAnsi" w:cstheme="minorHAnsi"/>
          <w:bCs/>
          <w:sz w:val="22"/>
          <w:szCs w:val="22"/>
        </w:rPr>
      </w:pPr>
    </w:p>
    <w:p w14:paraId="1205C494" w14:textId="77777777" w:rsidR="00450D71" w:rsidRPr="00450D71" w:rsidRDefault="00450D71" w:rsidP="00201BF7">
      <w:pPr>
        <w:pStyle w:val="BodyText"/>
        <w:rPr>
          <w:rFonts w:asciiTheme="minorHAnsi" w:hAnsiTheme="minorHAnsi" w:cstheme="minorHAnsi"/>
          <w:b/>
          <w:bCs/>
          <w:sz w:val="22"/>
          <w:szCs w:val="22"/>
        </w:rPr>
      </w:pPr>
      <w:r w:rsidRPr="00450D71">
        <w:rPr>
          <w:rFonts w:asciiTheme="minorHAnsi" w:hAnsiTheme="minorHAnsi" w:cstheme="minorHAnsi"/>
          <w:b/>
          <w:bCs/>
          <w:sz w:val="22"/>
          <w:szCs w:val="22"/>
        </w:rPr>
        <w:t>Q 5.1</w:t>
      </w:r>
    </w:p>
    <w:p w14:paraId="02531C24" w14:textId="77777777" w:rsidR="00201BF7" w:rsidRDefault="00201BF7" w:rsidP="000649C9">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The organisational models outlined in the LRC Paper need to be looked at in the co</w:t>
      </w:r>
      <w:r w:rsidR="00450D71">
        <w:rPr>
          <w:rFonts w:asciiTheme="minorHAnsi" w:hAnsiTheme="minorHAnsi" w:cstheme="minorHAnsi"/>
          <w:bCs/>
          <w:sz w:val="22"/>
          <w:szCs w:val="22"/>
        </w:rPr>
        <w:t xml:space="preserve">ntext of existing organisational </w:t>
      </w:r>
      <w:r>
        <w:rPr>
          <w:rFonts w:asciiTheme="minorHAnsi" w:hAnsiTheme="minorHAnsi" w:cstheme="minorHAnsi"/>
          <w:bCs/>
          <w:sz w:val="22"/>
          <w:szCs w:val="22"/>
        </w:rPr>
        <w:t>arrangements</w:t>
      </w:r>
      <w:r w:rsidR="00450D71">
        <w:rPr>
          <w:rFonts w:asciiTheme="minorHAnsi" w:hAnsiTheme="minorHAnsi" w:cstheme="minorHAnsi"/>
          <w:bCs/>
          <w:sz w:val="22"/>
          <w:szCs w:val="22"/>
        </w:rPr>
        <w:t xml:space="preserve"> and responsibilities</w:t>
      </w:r>
      <w:r>
        <w:rPr>
          <w:rFonts w:asciiTheme="minorHAnsi" w:hAnsiTheme="minorHAnsi" w:cstheme="minorHAnsi"/>
          <w:bCs/>
          <w:sz w:val="22"/>
          <w:szCs w:val="22"/>
        </w:rPr>
        <w:t>. T</w:t>
      </w:r>
      <w:r w:rsidR="00F8651B">
        <w:rPr>
          <w:rFonts w:asciiTheme="minorHAnsi" w:hAnsiTheme="minorHAnsi" w:cstheme="minorHAnsi"/>
          <w:bCs/>
          <w:sz w:val="22"/>
          <w:szCs w:val="22"/>
        </w:rPr>
        <w:t>o date</w:t>
      </w:r>
      <w:r>
        <w:rPr>
          <w:rFonts w:asciiTheme="minorHAnsi" w:hAnsiTheme="minorHAnsi" w:cstheme="minorHAnsi"/>
          <w:bCs/>
          <w:sz w:val="22"/>
          <w:szCs w:val="22"/>
        </w:rPr>
        <w:t xml:space="preserve">, the HSE has been </w:t>
      </w:r>
      <w:r w:rsidR="00F8651B">
        <w:rPr>
          <w:rFonts w:asciiTheme="minorHAnsi" w:hAnsiTheme="minorHAnsi" w:cstheme="minorHAnsi"/>
          <w:bCs/>
          <w:sz w:val="22"/>
          <w:szCs w:val="22"/>
        </w:rPr>
        <w:t xml:space="preserve">the body with the main responsibility for </w:t>
      </w:r>
      <w:r>
        <w:rPr>
          <w:rFonts w:asciiTheme="minorHAnsi" w:hAnsiTheme="minorHAnsi" w:cstheme="minorHAnsi"/>
          <w:bCs/>
          <w:sz w:val="22"/>
          <w:szCs w:val="22"/>
        </w:rPr>
        <w:t>the provision of adult safeguarding services</w:t>
      </w:r>
      <w:r w:rsidR="00F8651B">
        <w:rPr>
          <w:rFonts w:asciiTheme="minorHAnsi" w:hAnsiTheme="minorHAnsi" w:cstheme="minorHAnsi"/>
          <w:bCs/>
          <w:sz w:val="22"/>
          <w:szCs w:val="22"/>
        </w:rPr>
        <w:t xml:space="preserve"> while both </w:t>
      </w:r>
      <w:r>
        <w:rPr>
          <w:rFonts w:asciiTheme="minorHAnsi" w:hAnsiTheme="minorHAnsi" w:cstheme="minorHAnsi"/>
          <w:bCs/>
          <w:sz w:val="22"/>
          <w:szCs w:val="22"/>
        </w:rPr>
        <w:t>HIQA and the Mental Health Commission provid</w:t>
      </w:r>
      <w:r w:rsidR="00F8651B">
        <w:rPr>
          <w:rFonts w:asciiTheme="minorHAnsi" w:hAnsiTheme="minorHAnsi" w:cstheme="minorHAnsi"/>
          <w:bCs/>
          <w:sz w:val="22"/>
          <w:szCs w:val="22"/>
        </w:rPr>
        <w:t xml:space="preserve">e important </w:t>
      </w:r>
      <w:r>
        <w:rPr>
          <w:rFonts w:asciiTheme="minorHAnsi" w:hAnsiTheme="minorHAnsi" w:cstheme="minorHAnsi"/>
          <w:bCs/>
          <w:sz w:val="22"/>
          <w:szCs w:val="22"/>
        </w:rPr>
        <w:t xml:space="preserve">elements of safeguarding in designated centres and settings. </w:t>
      </w:r>
      <w:r w:rsidR="00F8651B">
        <w:rPr>
          <w:rFonts w:asciiTheme="minorHAnsi" w:hAnsiTheme="minorHAnsi" w:cstheme="minorHAnsi"/>
          <w:bCs/>
          <w:sz w:val="22"/>
          <w:szCs w:val="22"/>
        </w:rPr>
        <w:t>There are clear advantages and disadvantages to each model</w:t>
      </w:r>
      <w:r w:rsidR="008535EE">
        <w:rPr>
          <w:rFonts w:asciiTheme="minorHAnsi" w:hAnsiTheme="minorHAnsi" w:cstheme="minorHAnsi"/>
          <w:bCs/>
          <w:sz w:val="22"/>
          <w:szCs w:val="22"/>
        </w:rPr>
        <w:t xml:space="preserve"> outlined</w:t>
      </w:r>
      <w:r w:rsidR="00F8651B">
        <w:rPr>
          <w:rFonts w:asciiTheme="minorHAnsi" w:hAnsiTheme="minorHAnsi" w:cstheme="minorHAnsi"/>
          <w:bCs/>
          <w:sz w:val="22"/>
          <w:szCs w:val="22"/>
        </w:rPr>
        <w:t>.</w:t>
      </w:r>
    </w:p>
    <w:p w14:paraId="496B314C" w14:textId="77777777" w:rsidR="00201BF7" w:rsidRDefault="00201BF7" w:rsidP="000649C9">
      <w:pPr>
        <w:pStyle w:val="BodyText"/>
        <w:spacing w:line="276" w:lineRule="auto"/>
        <w:rPr>
          <w:rFonts w:asciiTheme="minorHAnsi" w:hAnsiTheme="minorHAnsi" w:cstheme="minorHAnsi"/>
          <w:bCs/>
          <w:sz w:val="22"/>
          <w:szCs w:val="22"/>
        </w:rPr>
      </w:pPr>
    </w:p>
    <w:p w14:paraId="46477271" w14:textId="37DEFF66" w:rsidR="00C24875" w:rsidRDefault="00C24875" w:rsidP="000649C9">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Amalgamating the propose</w:t>
      </w:r>
      <w:r w:rsidR="00FA1490">
        <w:rPr>
          <w:rFonts w:asciiTheme="minorHAnsi" w:hAnsiTheme="minorHAnsi" w:cstheme="minorHAnsi"/>
          <w:bCs/>
          <w:sz w:val="22"/>
          <w:szCs w:val="22"/>
        </w:rPr>
        <w:t>d</w:t>
      </w:r>
      <w:r>
        <w:rPr>
          <w:rFonts w:asciiTheme="minorHAnsi" w:hAnsiTheme="minorHAnsi" w:cstheme="minorHAnsi"/>
          <w:bCs/>
          <w:sz w:val="22"/>
          <w:szCs w:val="22"/>
        </w:rPr>
        <w:t xml:space="preserve"> </w:t>
      </w:r>
      <w:r w:rsidR="00226478">
        <w:rPr>
          <w:rFonts w:asciiTheme="minorHAnsi" w:hAnsiTheme="minorHAnsi" w:cstheme="minorHAnsi"/>
          <w:bCs/>
          <w:sz w:val="22"/>
          <w:szCs w:val="22"/>
        </w:rPr>
        <w:t>r</w:t>
      </w:r>
      <w:r w:rsidR="003A6D4F">
        <w:rPr>
          <w:rFonts w:asciiTheme="minorHAnsi" w:hAnsiTheme="minorHAnsi" w:cstheme="minorHAnsi"/>
          <w:bCs/>
          <w:sz w:val="22"/>
          <w:szCs w:val="22"/>
        </w:rPr>
        <w:t xml:space="preserve">egulatory </w:t>
      </w:r>
      <w:r w:rsidR="00226478">
        <w:rPr>
          <w:rFonts w:asciiTheme="minorHAnsi" w:hAnsiTheme="minorHAnsi" w:cstheme="minorHAnsi"/>
          <w:bCs/>
          <w:sz w:val="22"/>
          <w:szCs w:val="22"/>
        </w:rPr>
        <w:t>b</w:t>
      </w:r>
      <w:r w:rsidR="003A6D4F">
        <w:rPr>
          <w:rFonts w:asciiTheme="minorHAnsi" w:hAnsiTheme="minorHAnsi" w:cstheme="minorHAnsi"/>
          <w:bCs/>
          <w:sz w:val="22"/>
          <w:szCs w:val="22"/>
        </w:rPr>
        <w:t>ody</w:t>
      </w:r>
      <w:r w:rsidR="00226478">
        <w:rPr>
          <w:rFonts w:asciiTheme="minorHAnsi" w:hAnsiTheme="minorHAnsi" w:cstheme="minorHAnsi"/>
          <w:bCs/>
          <w:sz w:val="22"/>
          <w:szCs w:val="22"/>
        </w:rPr>
        <w:t xml:space="preserve"> </w:t>
      </w:r>
      <w:r>
        <w:rPr>
          <w:rFonts w:asciiTheme="minorHAnsi" w:hAnsiTheme="minorHAnsi" w:cstheme="minorHAnsi"/>
          <w:bCs/>
          <w:sz w:val="22"/>
          <w:szCs w:val="22"/>
        </w:rPr>
        <w:t>with an existing agency may not be a viable option for a number of reasons. The agencies suggested are the Mental Health Commission, the Health Information and Quality Authority and TUSLA. Each of these has very specific and defined functions. Apart from the obvious concerns relating to expansion of the roles, legislative requirements and capacity concerns, an amalgamation of the authority with any of these agencies would dilute their current well identi</w:t>
      </w:r>
      <w:r w:rsidR="00FA1490">
        <w:rPr>
          <w:rFonts w:asciiTheme="minorHAnsi" w:hAnsiTheme="minorHAnsi" w:cstheme="minorHAnsi"/>
          <w:bCs/>
          <w:sz w:val="22"/>
          <w:szCs w:val="22"/>
        </w:rPr>
        <w:t>fied</w:t>
      </w:r>
      <w:r>
        <w:rPr>
          <w:rFonts w:asciiTheme="minorHAnsi" w:hAnsiTheme="minorHAnsi" w:cstheme="minorHAnsi"/>
          <w:bCs/>
          <w:sz w:val="22"/>
          <w:szCs w:val="22"/>
        </w:rPr>
        <w:t xml:space="preserve"> functions.</w:t>
      </w:r>
    </w:p>
    <w:p w14:paraId="5C6EC0F0" w14:textId="77777777" w:rsidR="00C24875" w:rsidRDefault="00C24875" w:rsidP="000649C9">
      <w:pPr>
        <w:pStyle w:val="BodyText"/>
        <w:spacing w:line="276" w:lineRule="auto"/>
        <w:rPr>
          <w:rFonts w:asciiTheme="minorHAnsi" w:hAnsiTheme="minorHAnsi" w:cstheme="minorHAnsi"/>
          <w:bCs/>
          <w:sz w:val="22"/>
          <w:szCs w:val="22"/>
        </w:rPr>
      </w:pPr>
    </w:p>
    <w:p w14:paraId="304F0E80" w14:textId="05D11B20" w:rsidR="00201BF7" w:rsidRDefault="00F8651B" w:rsidP="000649C9">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While the </w:t>
      </w:r>
      <w:r w:rsidR="00201BF7">
        <w:rPr>
          <w:rFonts w:asciiTheme="minorHAnsi" w:hAnsiTheme="minorHAnsi" w:cstheme="minorHAnsi"/>
          <w:bCs/>
          <w:sz w:val="22"/>
          <w:szCs w:val="22"/>
        </w:rPr>
        <w:t xml:space="preserve">HSE </w:t>
      </w:r>
      <w:r>
        <w:rPr>
          <w:rFonts w:asciiTheme="minorHAnsi" w:hAnsiTheme="minorHAnsi" w:cstheme="minorHAnsi"/>
          <w:bCs/>
          <w:sz w:val="22"/>
          <w:szCs w:val="22"/>
        </w:rPr>
        <w:t xml:space="preserve">currently plays </w:t>
      </w:r>
      <w:r w:rsidR="00201BF7">
        <w:rPr>
          <w:rFonts w:asciiTheme="minorHAnsi" w:hAnsiTheme="minorHAnsi" w:cstheme="minorHAnsi"/>
          <w:bCs/>
          <w:sz w:val="22"/>
          <w:szCs w:val="22"/>
        </w:rPr>
        <w:t xml:space="preserve">a </w:t>
      </w:r>
      <w:r>
        <w:rPr>
          <w:rFonts w:asciiTheme="minorHAnsi" w:hAnsiTheme="minorHAnsi" w:cstheme="minorHAnsi"/>
          <w:bCs/>
          <w:sz w:val="22"/>
          <w:szCs w:val="22"/>
        </w:rPr>
        <w:t xml:space="preserve">central </w:t>
      </w:r>
      <w:r w:rsidR="00201BF7">
        <w:rPr>
          <w:rFonts w:asciiTheme="minorHAnsi" w:hAnsiTheme="minorHAnsi" w:cstheme="minorHAnsi"/>
          <w:bCs/>
          <w:sz w:val="22"/>
          <w:szCs w:val="22"/>
        </w:rPr>
        <w:t>role in adult safeguarding</w:t>
      </w:r>
      <w:r>
        <w:rPr>
          <w:rFonts w:asciiTheme="minorHAnsi" w:hAnsiTheme="minorHAnsi" w:cstheme="minorHAnsi"/>
          <w:bCs/>
          <w:sz w:val="22"/>
          <w:szCs w:val="22"/>
        </w:rPr>
        <w:t xml:space="preserve">, safeguarding is clearly a cross-cutting </w:t>
      </w:r>
      <w:r w:rsidR="00C24875">
        <w:rPr>
          <w:rFonts w:asciiTheme="minorHAnsi" w:hAnsiTheme="minorHAnsi" w:cstheme="minorHAnsi"/>
          <w:bCs/>
          <w:sz w:val="22"/>
          <w:szCs w:val="22"/>
        </w:rPr>
        <w:t>matter</w:t>
      </w:r>
      <w:r>
        <w:rPr>
          <w:rFonts w:asciiTheme="minorHAnsi" w:hAnsiTheme="minorHAnsi" w:cstheme="minorHAnsi"/>
          <w:bCs/>
          <w:sz w:val="22"/>
          <w:szCs w:val="22"/>
        </w:rPr>
        <w:t xml:space="preserve"> involving </w:t>
      </w:r>
      <w:r w:rsidR="00201BF7">
        <w:rPr>
          <w:rFonts w:asciiTheme="minorHAnsi" w:hAnsiTheme="minorHAnsi" w:cstheme="minorHAnsi"/>
          <w:bCs/>
          <w:sz w:val="22"/>
          <w:szCs w:val="22"/>
        </w:rPr>
        <w:t xml:space="preserve">agencies in the statutory, </w:t>
      </w:r>
      <w:r>
        <w:rPr>
          <w:rFonts w:asciiTheme="minorHAnsi" w:hAnsiTheme="minorHAnsi" w:cstheme="minorHAnsi"/>
          <w:bCs/>
          <w:sz w:val="22"/>
          <w:szCs w:val="22"/>
        </w:rPr>
        <w:t xml:space="preserve">NGO </w:t>
      </w:r>
      <w:r w:rsidR="00201BF7">
        <w:rPr>
          <w:rFonts w:asciiTheme="minorHAnsi" w:hAnsiTheme="minorHAnsi" w:cstheme="minorHAnsi"/>
          <w:bCs/>
          <w:sz w:val="22"/>
          <w:szCs w:val="22"/>
        </w:rPr>
        <w:t xml:space="preserve">and </w:t>
      </w:r>
      <w:r w:rsidR="008535EE">
        <w:rPr>
          <w:rFonts w:asciiTheme="minorHAnsi" w:hAnsiTheme="minorHAnsi" w:cstheme="minorHAnsi"/>
          <w:bCs/>
          <w:sz w:val="22"/>
          <w:szCs w:val="22"/>
        </w:rPr>
        <w:t xml:space="preserve">financial </w:t>
      </w:r>
      <w:r w:rsidR="00201BF7">
        <w:rPr>
          <w:rFonts w:asciiTheme="minorHAnsi" w:hAnsiTheme="minorHAnsi" w:cstheme="minorHAnsi"/>
          <w:bCs/>
          <w:sz w:val="22"/>
          <w:szCs w:val="22"/>
        </w:rPr>
        <w:t>sectors</w:t>
      </w:r>
      <w:r w:rsidR="008535EE">
        <w:rPr>
          <w:rFonts w:asciiTheme="minorHAnsi" w:hAnsiTheme="minorHAnsi" w:cstheme="minorHAnsi"/>
          <w:bCs/>
          <w:sz w:val="22"/>
          <w:szCs w:val="22"/>
        </w:rPr>
        <w:t>. M</w:t>
      </w:r>
      <w:r w:rsidR="009A27AE">
        <w:rPr>
          <w:rFonts w:asciiTheme="minorHAnsi" w:hAnsiTheme="minorHAnsi" w:cstheme="minorHAnsi"/>
          <w:bCs/>
          <w:sz w:val="22"/>
          <w:szCs w:val="22"/>
        </w:rPr>
        <w:t>any of the</w:t>
      </w:r>
      <w:r w:rsidR="00201BF7">
        <w:rPr>
          <w:rFonts w:asciiTheme="minorHAnsi" w:hAnsiTheme="minorHAnsi" w:cstheme="minorHAnsi"/>
          <w:bCs/>
          <w:sz w:val="22"/>
          <w:szCs w:val="22"/>
        </w:rPr>
        <w:t xml:space="preserve"> issues </w:t>
      </w:r>
      <w:r>
        <w:rPr>
          <w:rFonts w:asciiTheme="minorHAnsi" w:hAnsiTheme="minorHAnsi" w:cstheme="minorHAnsi"/>
          <w:bCs/>
          <w:sz w:val="22"/>
          <w:szCs w:val="22"/>
        </w:rPr>
        <w:t xml:space="preserve">which </w:t>
      </w:r>
      <w:r w:rsidR="00201BF7">
        <w:rPr>
          <w:rFonts w:asciiTheme="minorHAnsi" w:hAnsiTheme="minorHAnsi" w:cstheme="minorHAnsi"/>
          <w:bCs/>
          <w:sz w:val="22"/>
          <w:szCs w:val="22"/>
        </w:rPr>
        <w:t xml:space="preserve">arise </w:t>
      </w:r>
      <w:r>
        <w:rPr>
          <w:rFonts w:asciiTheme="minorHAnsi" w:hAnsiTheme="minorHAnsi" w:cstheme="minorHAnsi"/>
          <w:bCs/>
          <w:sz w:val="22"/>
          <w:szCs w:val="22"/>
        </w:rPr>
        <w:t xml:space="preserve">in relation to safeguarding </w:t>
      </w:r>
      <w:r w:rsidR="00201BF7">
        <w:rPr>
          <w:rFonts w:asciiTheme="minorHAnsi" w:hAnsiTheme="minorHAnsi" w:cstheme="minorHAnsi"/>
          <w:bCs/>
          <w:sz w:val="22"/>
          <w:szCs w:val="22"/>
        </w:rPr>
        <w:t xml:space="preserve">require a multi-agency response. </w:t>
      </w:r>
      <w:r w:rsidR="00C24875">
        <w:rPr>
          <w:rFonts w:asciiTheme="minorHAnsi" w:hAnsiTheme="minorHAnsi" w:cstheme="minorHAnsi"/>
          <w:bCs/>
          <w:sz w:val="22"/>
          <w:szCs w:val="22"/>
        </w:rPr>
        <w:t>T</w:t>
      </w:r>
      <w:r w:rsidR="00201BF7">
        <w:rPr>
          <w:rFonts w:asciiTheme="minorHAnsi" w:hAnsiTheme="minorHAnsi" w:cstheme="minorHAnsi"/>
          <w:bCs/>
          <w:sz w:val="22"/>
          <w:szCs w:val="22"/>
        </w:rPr>
        <w:t xml:space="preserve">he HSE is </w:t>
      </w:r>
      <w:r w:rsidR="00C24875">
        <w:rPr>
          <w:rFonts w:asciiTheme="minorHAnsi" w:hAnsiTheme="minorHAnsi" w:cstheme="minorHAnsi"/>
          <w:bCs/>
          <w:sz w:val="22"/>
          <w:szCs w:val="22"/>
        </w:rPr>
        <w:t xml:space="preserve">currently </w:t>
      </w:r>
      <w:r w:rsidR="00201BF7">
        <w:rPr>
          <w:rFonts w:asciiTheme="minorHAnsi" w:hAnsiTheme="minorHAnsi" w:cstheme="minorHAnsi"/>
          <w:bCs/>
          <w:sz w:val="22"/>
          <w:szCs w:val="22"/>
        </w:rPr>
        <w:t xml:space="preserve">restricted </w:t>
      </w:r>
      <w:r w:rsidR="00C24875">
        <w:rPr>
          <w:rFonts w:asciiTheme="minorHAnsi" w:hAnsiTheme="minorHAnsi" w:cstheme="minorHAnsi"/>
          <w:bCs/>
          <w:sz w:val="22"/>
          <w:szCs w:val="22"/>
        </w:rPr>
        <w:t xml:space="preserve">in that it does not have statutory </w:t>
      </w:r>
      <w:r w:rsidR="00201BF7">
        <w:rPr>
          <w:rFonts w:asciiTheme="minorHAnsi" w:hAnsiTheme="minorHAnsi" w:cstheme="minorHAnsi"/>
          <w:bCs/>
          <w:sz w:val="22"/>
          <w:szCs w:val="22"/>
        </w:rPr>
        <w:t xml:space="preserve">powers </w:t>
      </w:r>
      <w:r w:rsidR="00C24875">
        <w:rPr>
          <w:rFonts w:asciiTheme="minorHAnsi" w:hAnsiTheme="minorHAnsi" w:cstheme="minorHAnsi"/>
          <w:bCs/>
          <w:sz w:val="22"/>
          <w:szCs w:val="22"/>
        </w:rPr>
        <w:t>to</w:t>
      </w:r>
      <w:r w:rsidR="00201BF7">
        <w:rPr>
          <w:rFonts w:asciiTheme="minorHAnsi" w:hAnsiTheme="minorHAnsi" w:cstheme="minorHAnsi"/>
          <w:bCs/>
          <w:sz w:val="22"/>
          <w:szCs w:val="22"/>
        </w:rPr>
        <w:t xml:space="preserve"> investigat</w:t>
      </w:r>
      <w:r w:rsidR="00C24875">
        <w:rPr>
          <w:rFonts w:asciiTheme="minorHAnsi" w:hAnsiTheme="minorHAnsi" w:cstheme="minorHAnsi"/>
          <w:bCs/>
          <w:sz w:val="22"/>
          <w:szCs w:val="22"/>
        </w:rPr>
        <w:t>e</w:t>
      </w:r>
      <w:r w:rsidR="00201BF7">
        <w:rPr>
          <w:rFonts w:asciiTheme="minorHAnsi" w:hAnsiTheme="minorHAnsi" w:cstheme="minorHAnsi"/>
          <w:bCs/>
          <w:sz w:val="22"/>
          <w:szCs w:val="22"/>
        </w:rPr>
        <w:t xml:space="preserve"> concerns of abuse, neglect or exploitation outside of HSE settings</w:t>
      </w:r>
      <w:r>
        <w:rPr>
          <w:rFonts w:asciiTheme="minorHAnsi" w:hAnsiTheme="minorHAnsi" w:cstheme="minorHAnsi"/>
          <w:bCs/>
          <w:sz w:val="22"/>
          <w:szCs w:val="22"/>
        </w:rPr>
        <w:t xml:space="preserve">, including </w:t>
      </w:r>
      <w:r w:rsidR="00201BF7">
        <w:rPr>
          <w:rFonts w:asciiTheme="minorHAnsi" w:hAnsiTheme="minorHAnsi" w:cstheme="minorHAnsi"/>
          <w:bCs/>
          <w:sz w:val="22"/>
          <w:szCs w:val="22"/>
        </w:rPr>
        <w:t xml:space="preserve">concerns that might arise in </w:t>
      </w:r>
      <w:r w:rsidR="00C24875">
        <w:rPr>
          <w:rFonts w:asciiTheme="minorHAnsi" w:hAnsiTheme="minorHAnsi" w:cstheme="minorHAnsi"/>
          <w:bCs/>
          <w:sz w:val="22"/>
          <w:szCs w:val="22"/>
        </w:rPr>
        <w:t>priv</w:t>
      </w:r>
      <w:r w:rsidR="00201BF7">
        <w:rPr>
          <w:rFonts w:asciiTheme="minorHAnsi" w:hAnsiTheme="minorHAnsi" w:cstheme="minorHAnsi"/>
          <w:bCs/>
          <w:sz w:val="22"/>
          <w:szCs w:val="22"/>
        </w:rPr>
        <w:t xml:space="preserve">ate </w:t>
      </w:r>
      <w:r w:rsidR="00C24875">
        <w:rPr>
          <w:rFonts w:asciiTheme="minorHAnsi" w:hAnsiTheme="minorHAnsi" w:cstheme="minorHAnsi"/>
          <w:bCs/>
          <w:sz w:val="22"/>
          <w:szCs w:val="22"/>
        </w:rPr>
        <w:t xml:space="preserve">or </w:t>
      </w:r>
      <w:r w:rsidR="00201BF7">
        <w:rPr>
          <w:rFonts w:asciiTheme="minorHAnsi" w:hAnsiTheme="minorHAnsi" w:cstheme="minorHAnsi"/>
          <w:bCs/>
          <w:sz w:val="22"/>
          <w:szCs w:val="22"/>
        </w:rPr>
        <w:t>voluntary nursing home</w:t>
      </w:r>
      <w:r w:rsidR="00FA1490">
        <w:rPr>
          <w:rFonts w:asciiTheme="minorHAnsi" w:hAnsiTheme="minorHAnsi" w:cstheme="minorHAnsi"/>
          <w:bCs/>
          <w:sz w:val="22"/>
          <w:szCs w:val="22"/>
        </w:rPr>
        <w:t>s</w:t>
      </w:r>
      <w:r w:rsidR="00201BF7">
        <w:rPr>
          <w:rFonts w:asciiTheme="minorHAnsi" w:hAnsiTheme="minorHAnsi" w:cstheme="minorHAnsi"/>
          <w:bCs/>
          <w:sz w:val="22"/>
          <w:szCs w:val="22"/>
        </w:rPr>
        <w:t>.</w:t>
      </w:r>
      <w:r>
        <w:rPr>
          <w:rFonts w:asciiTheme="minorHAnsi" w:hAnsiTheme="minorHAnsi" w:cstheme="minorHAnsi"/>
          <w:bCs/>
          <w:sz w:val="22"/>
          <w:szCs w:val="22"/>
        </w:rPr>
        <w:t xml:space="preserve"> Also, </w:t>
      </w:r>
      <w:r w:rsidR="00C24875">
        <w:rPr>
          <w:rFonts w:asciiTheme="minorHAnsi" w:hAnsiTheme="minorHAnsi" w:cstheme="minorHAnsi"/>
          <w:bCs/>
          <w:sz w:val="22"/>
          <w:szCs w:val="22"/>
        </w:rPr>
        <w:t xml:space="preserve">clearly, </w:t>
      </w:r>
      <w:r>
        <w:rPr>
          <w:rFonts w:asciiTheme="minorHAnsi" w:hAnsiTheme="minorHAnsi" w:cstheme="minorHAnsi"/>
          <w:bCs/>
          <w:sz w:val="22"/>
          <w:szCs w:val="22"/>
        </w:rPr>
        <w:t xml:space="preserve">the </w:t>
      </w:r>
      <w:r w:rsidR="00201BF7">
        <w:rPr>
          <w:rFonts w:asciiTheme="minorHAnsi" w:hAnsiTheme="minorHAnsi" w:cstheme="minorHAnsi"/>
          <w:bCs/>
          <w:sz w:val="22"/>
          <w:szCs w:val="22"/>
        </w:rPr>
        <w:t xml:space="preserve">HSE has </w:t>
      </w:r>
      <w:r w:rsidR="008535EE">
        <w:rPr>
          <w:rFonts w:asciiTheme="minorHAnsi" w:hAnsiTheme="minorHAnsi" w:cstheme="minorHAnsi"/>
          <w:bCs/>
          <w:sz w:val="22"/>
          <w:szCs w:val="22"/>
        </w:rPr>
        <w:t xml:space="preserve">a </w:t>
      </w:r>
      <w:r w:rsidR="00AF60F7">
        <w:rPr>
          <w:rFonts w:asciiTheme="minorHAnsi" w:hAnsiTheme="minorHAnsi" w:cstheme="minorHAnsi"/>
          <w:bCs/>
          <w:sz w:val="22"/>
          <w:szCs w:val="22"/>
        </w:rPr>
        <w:t xml:space="preserve">very </w:t>
      </w:r>
      <w:r w:rsidR="008535EE">
        <w:rPr>
          <w:rFonts w:asciiTheme="minorHAnsi" w:hAnsiTheme="minorHAnsi" w:cstheme="minorHAnsi"/>
          <w:bCs/>
          <w:sz w:val="22"/>
          <w:szCs w:val="22"/>
        </w:rPr>
        <w:t xml:space="preserve">wide range of </w:t>
      </w:r>
      <w:r w:rsidR="00201BF7">
        <w:rPr>
          <w:rFonts w:asciiTheme="minorHAnsi" w:hAnsiTheme="minorHAnsi" w:cstheme="minorHAnsi"/>
          <w:bCs/>
          <w:sz w:val="22"/>
          <w:szCs w:val="22"/>
        </w:rPr>
        <w:t>competing demands</w:t>
      </w:r>
      <w:r w:rsidR="008535EE">
        <w:rPr>
          <w:rFonts w:asciiTheme="minorHAnsi" w:hAnsiTheme="minorHAnsi" w:cstheme="minorHAnsi"/>
          <w:bCs/>
          <w:sz w:val="22"/>
          <w:szCs w:val="22"/>
        </w:rPr>
        <w:t>,</w:t>
      </w:r>
      <w:r w:rsidR="00AF60F7">
        <w:rPr>
          <w:rFonts w:asciiTheme="minorHAnsi" w:hAnsiTheme="minorHAnsi" w:cstheme="minorHAnsi"/>
          <w:bCs/>
          <w:sz w:val="22"/>
          <w:szCs w:val="22"/>
        </w:rPr>
        <w:t xml:space="preserve"> as a primary deliverer of services.</w:t>
      </w:r>
      <w:r w:rsidR="008535EE">
        <w:rPr>
          <w:rFonts w:asciiTheme="minorHAnsi" w:hAnsiTheme="minorHAnsi" w:cstheme="minorHAnsi"/>
          <w:bCs/>
          <w:sz w:val="22"/>
          <w:szCs w:val="22"/>
        </w:rPr>
        <w:t xml:space="preserve"> </w:t>
      </w:r>
    </w:p>
    <w:p w14:paraId="326E9120" w14:textId="77777777" w:rsidR="00FD161C" w:rsidRDefault="00FD161C" w:rsidP="000649C9">
      <w:pPr>
        <w:pStyle w:val="CommentText"/>
        <w:spacing w:line="276" w:lineRule="auto"/>
        <w:rPr>
          <w:b/>
        </w:rPr>
      </w:pPr>
    </w:p>
    <w:p w14:paraId="0861B7D7" w14:textId="07949A71" w:rsidR="008535EE" w:rsidRPr="005031A3" w:rsidRDefault="00C24875" w:rsidP="000649C9">
      <w:pPr>
        <w:pStyle w:val="BodyText"/>
        <w:spacing w:line="276" w:lineRule="auto"/>
        <w:rPr>
          <w:rFonts w:asciiTheme="minorHAnsi" w:hAnsiTheme="minorHAnsi"/>
          <w:sz w:val="22"/>
          <w:szCs w:val="22"/>
        </w:rPr>
      </w:pPr>
      <w:r w:rsidRPr="00DC1C82">
        <w:rPr>
          <w:rFonts w:asciiTheme="minorHAnsi" w:hAnsiTheme="minorHAnsi" w:cstheme="minorHAnsi"/>
          <w:bCs/>
          <w:sz w:val="22"/>
          <w:szCs w:val="22"/>
        </w:rPr>
        <w:t>While t</w:t>
      </w:r>
      <w:r w:rsidR="00F8651B" w:rsidRPr="00DC1C82">
        <w:rPr>
          <w:rFonts w:asciiTheme="minorHAnsi" w:hAnsiTheme="minorHAnsi" w:cstheme="minorHAnsi"/>
          <w:bCs/>
          <w:sz w:val="22"/>
          <w:szCs w:val="22"/>
        </w:rPr>
        <w:t xml:space="preserve">he </w:t>
      </w:r>
      <w:r w:rsidR="00201BF7" w:rsidRPr="00DC1C82">
        <w:rPr>
          <w:rFonts w:asciiTheme="minorHAnsi" w:hAnsiTheme="minorHAnsi" w:cstheme="minorHAnsi"/>
          <w:bCs/>
          <w:sz w:val="22"/>
          <w:szCs w:val="22"/>
        </w:rPr>
        <w:t xml:space="preserve">option of establishing the authority as an executive office of the Department of Health </w:t>
      </w:r>
      <w:r w:rsidR="00F8651B" w:rsidRPr="00DC1C82">
        <w:rPr>
          <w:rFonts w:asciiTheme="minorHAnsi" w:hAnsiTheme="minorHAnsi" w:cstheme="minorHAnsi"/>
          <w:bCs/>
          <w:sz w:val="22"/>
          <w:szCs w:val="22"/>
        </w:rPr>
        <w:t>is</w:t>
      </w:r>
      <w:r w:rsidR="00FD161C" w:rsidRPr="00DC1C82">
        <w:rPr>
          <w:rFonts w:asciiTheme="minorHAnsi" w:hAnsiTheme="minorHAnsi" w:cstheme="minorHAnsi"/>
          <w:bCs/>
          <w:sz w:val="22"/>
          <w:szCs w:val="22"/>
        </w:rPr>
        <w:t xml:space="preserve"> </w:t>
      </w:r>
      <w:r w:rsidR="00F8651B" w:rsidRPr="00DC1C82">
        <w:rPr>
          <w:rFonts w:asciiTheme="minorHAnsi" w:hAnsiTheme="minorHAnsi" w:cstheme="minorHAnsi"/>
          <w:bCs/>
          <w:sz w:val="22"/>
          <w:szCs w:val="22"/>
        </w:rPr>
        <w:t xml:space="preserve">likely to </w:t>
      </w:r>
      <w:r w:rsidR="00201BF7" w:rsidRPr="00DC1C82">
        <w:rPr>
          <w:rFonts w:asciiTheme="minorHAnsi" w:hAnsiTheme="minorHAnsi" w:cstheme="minorHAnsi"/>
          <w:bCs/>
          <w:sz w:val="22"/>
          <w:szCs w:val="22"/>
        </w:rPr>
        <w:t xml:space="preserve">present </w:t>
      </w:r>
      <w:r w:rsidRPr="00DC1C82">
        <w:rPr>
          <w:rFonts w:asciiTheme="minorHAnsi" w:hAnsiTheme="minorHAnsi" w:cstheme="minorHAnsi"/>
          <w:bCs/>
          <w:sz w:val="22"/>
          <w:szCs w:val="22"/>
        </w:rPr>
        <w:t xml:space="preserve">some </w:t>
      </w:r>
      <w:r w:rsidR="00201BF7" w:rsidRPr="00DC1C82">
        <w:rPr>
          <w:rFonts w:asciiTheme="minorHAnsi" w:hAnsiTheme="minorHAnsi" w:cstheme="minorHAnsi"/>
          <w:bCs/>
          <w:sz w:val="22"/>
          <w:szCs w:val="22"/>
        </w:rPr>
        <w:t>difficulties</w:t>
      </w:r>
      <w:r w:rsidRPr="00DC1C82">
        <w:rPr>
          <w:rFonts w:asciiTheme="minorHAnsi" w:hAnsiTheme="minorHAnsi" w:cstheme="minorHAnsi"/>
          <w:bCs/>
          <w:sz w:val="22"/>
          <w:szCs w:val="22"/>
        </w:rPr>
        <w:t xml:space="preserve">, CIB believes </w:t>
      </w:r>
      <w:r w:rsidR="00201BF7" w:rsidRPr="00DC1C82">
        <w:rPr>
          <w:rFonts w:asciiTheme="minorHAnsi" w:hAnsiTheme="minorHAnsi" w:cstheme="minorHAnsi"/>
          <w:bCs/>
          <w:sz w:val="22"/>
          <w:szCs w:val="22"/>
        </w:rPr>
        <w:t xml:space="preserve">that </w:t>
      </w:r>
      <w:r w:rsidR="00FD161C" w:rsidRPr="00DC1C82">
        <w:rPr>
          <w:rFonts w:asciiTheme="minorHAnsi" w:hAnsiTheme="minorHAnsi" w:cstheme="minorHAnsi"/>
          <w:bCs/>
          <w:sz w:val="22"/>
          <w:szCs w:val="22"/>
        </w:rPr>
        <w:t>this option should be explored further</w:t>
      </w:r>
      <w:r w:rsidR="00201BF7" w:rsidRPr="00DC1C82">
        <w:rPr>
          <w:rFonts w:asciiTheme="minorHAnsi" w:hAnsiTheme="minorHAnsi" w:cstheme="minorHAnsi"/>
          <w:bCs/>
          <w:sz w:val="22"/>
          <w:szCs w:val="22"/>
        </w:rPr>
        <w:t>.</w:t>
      </w:r>
      <w:r w:rsidR="00962083" w:rsidRPr="00DC1C82">
        <w:rPr>
          <w:rFonts w:asciiTheme="minorHAnsi" w:hAnsiTheme="minorHAnsi"/>
          <w:b/>
          <w:sz w:val="22"/>
          <w:szCs w:val="22"/>
        </w:rPr>
        <w:t xml:space="preserve"> </w:t>
      </w:r>
      <w:r w:rsidRPr="00DC1C82">
        <w:rPr>
          <w:rFonts w:asciiTheme="minorHAnsi" w:hAnsiTheme="minorHAnsi"/>
          <w:sz w:val="22"/>
          <w:szCs w:val="22"/>
        </w:rPr>
        <w:t>It could also be argued that the safeguarding role is complementary to HIQA’s current regulatory role and that the Safeguarding Authority could come within its remit – again this opt</w:t>
      </w:r>
      <w:r w:rsidR="005031A3">
        <w:rPr>
          <w:rFonts w:asciiTheme="minorHAnsi" w:hAnsiTheme="minorHAnsi"/>
          <w:sz w:val="22"/>
          <w:szCs w:val="22"/>
        </w:rPr>
        <w:t xml:space="preserve">ion should be explored further. </w:t>
      </w:r>
      <w:r w:rsidR="00201BF7">
        <w:rPr>
          <w:rFonts w:asciiTheme="minorHAnsi" w:hAnsiTheme="minorHAnsi" w:cstheme="minorHAnsi"/>
          <w:bCs/>
          <w:sz w:val="22"/>
          <w:szCs w:val="22"/>
        </w:rPr>
        <w:t>T</w:t>
      </w:r>
      <w:r w:rsidR="005031A3">
        <w:rPr>
          <w:rFonts w:asciiTheme="minorHAnsi" w:hAnsiTheme="minorHAnsi" w:cstheme="minorHAnsi"/>
          <w:bCs/>
          <w:sz w:val="22"/>
          <w:szCs w:val="22"/>
        </w:rPr>
        <w:t>usla</w:t>
      </w:r>
      <w:r w:rsidR="00201BF7">
        <w:rPr>
          <w:rFonts w:asciiTheme="minorHAnsi" w:hAnsiTheme="minorHAnsi" w:cstheme="minorHAnsi"/>
          <w:bCs/>
          <w:sz w:val="22"/>
          <w:szCs w:val="22"/>
        </w:rPr>
        <w:t xml:space="preserve"> is </w:t>
      </w:r>
      <w:r w:rsidR="008535EE">
        <w:rPr>
          <w:rFonts w:asciiTheme="minorHAnsi" w:hAnsiTheme="minorHAnsi" w:cstheme="minorHAnsi"/>
          <w:bCs/>
          <w:sz w:val="22"/>
          <w:szCs w:val="22"/>
        </w:rPr>
        <w:t xml:space="preserve">now </w:t>
      </w:r>
      <w:r w:rsidR="00201BF7">
        <w:rPr>
          <w:rFonts w:asciiTheme="minorHAnsi" w:hAnsiTheme="minorHAnsi" w:cstheme="minorHAnsi"/>
          <w:bCs/>
          <w:sz w:val="22"/>
          <w:szCs w:val="22"/>
        </w:rPr>
        <w:t>well established and recognized for its role with children</w:t>
      </w:r>
      <w:r w:rsidR="00DC1C82">
        <w:rPr>
          <w:rFonts w:asciiTheme="minorHAnsi" w:hAnsiTheme="minorHAnsi" w:cstheme="minorHAnsi"/>
          <w:bCs/>
          <w:sz w:val="22"/>
          <w:szCs w:val="22"/>
        </w:rPr>
        <w:t xml:space="preserve"> and families </w:t>
      </w:r>
      <w:r w:rsidR="00201BF7">
        <w:rPr>
          <w:rFonts w:asciiTheme="minorHAnsi" w:hAnsiTheme="minorHAnsi" w:cstheme="minorHAnsi"/>
          <w:bCs/>
          <w:sz w:val="22"/>
          <w:szCs w:val="22"/>
        </w:rPr>
        <w:t xml:space="preserve">and </w:t>
      </w:r>
      <w:r w:rsidR="008535EE">
        <w:rPr>
          <w:rFonts w:asciiTheme="minorHAnsi" w:hAnsiTheme="minorHAnsi" w:cstheme="minorHAnsi"/>
          <w:bCs/>
          <w:sz w:val="22"/>
          <w:szCs w:val="22"/>
        </w:rPr>
        <w:t xml:space="preserve">placing </w:t>
      </w:r>
      <w:r w:rsidR="00201BF7">
        <w:rPr>
          <w:rFonts w:asciiTheme="minorHAnsi" w:hAnsiTheme="minorHAnsi" w:cstheme="minorHAnsi"/>
          <w:bCs/>
          <w:sz w:val="22"/>
          <w:szCs w:val="22"/>
        </w:rPr>
        <w:t xml:space="preserve">an adult safeguarding authority within its </w:t>
      </w:r>
      <w:r w:rsidR="008535EE">
        <w:rPr>
          <w:rFonts w:asciiTheme="minorHAnsi" w:hAnsiTheme="minorHAnsi" w:cstheme="minorHAnsi"/>
          <w:bCs/>
          <w:sz w:val="22"/>
          <w:szCs w:val="22"/>
        </w:rPr>
        <w:t xml:space="preserve">remit </w:t>
      </w:r>
      <w:r w:rsidR="00DC1C82">
        <w:rPr>
          <w:rFonts w:asciiTheme="minorHAnsi" w:hAnsiTheme="minorHAnsi" w:cstheme="minorHAnsi"/>
          <w:bCs/>
          <w:sz w:val="22"/>
          <w:szCs w:val="22"/>
        </w:rPr>
        <w:t>would have some clear advantages.</w:t>
      </w:r>
      <w:r w:rsidR="00201BF7">
        <w:rPr>
          <w:rFonts w:asciiTheme="minorHAnsi" w:hAnsiTheme="minorHAnsi" w:cstheme="minorHAnsi"/>
          <w:bCs/>
          <w:sz w:val="22"/>
          <w:szCs w:val="22"/>
        </w:rPr>
        <w:t xml:space="preserve"> </w:t>
      </w:r>
    </w:p>
    <w:p w14:paraId="27D658A5" w14:textId="77777777" w:rsidR="008535EE" w:rsidRDefault="008535EE" w:rsidP="000649C9">
      <w:pPr>
        <w:pStyle w:val="BodyText"/>
        <w:spacing w:line="276" w:lineRule="auto"/>
        <w:rPr>
          <w:rFonts w:asciiTheme="minorHAnsi" w:hAnsiTheme="minorHAnsi" w:cstheme="minorHAnsi"/>
          <w:bCs/>
          <w:sz w:val="22"/>
          <w:szCs w:val="22"/>
        </w:rPr>
      </w:pPr>
    </w:p>
    <w:p w14:paraId="39E92933" w14:textId="68CDF9B6" w:rsidR="00450D71" w:rsidRPr="00C224AE" w:rsidRDefault="00C224AE" w:rsidP="000649C9">
      <w:r w:rsidRPr="00C224AE">
        <w:t xml:space="preserve">While there is no obvious option, on balance, CIB would favour further exploration of locating the </w:t>
      </w:r>
      <w:r w:rsidR="0076635D">
        <w:t xml:space="preserve">regulatory authority </w:t>
      </w:r>
      <w:r w:rsidRPr="00C224AE">
        <w:t xml:space="preserve">within Tusla or as an </w:t>
      </w:r>
      <w:r w:rsidR="00962083" w:rsidRPr="00C224AE">
        <w:t>Executive Office of</w:t>
      </w:r>
      <w:r w:rsidRPr="00C224AE">
        <w:t xml:space="preserve"> the Department of Health or within a multi-agency framework </w:t>
      </w:r>
      <w:r w:rsidR="00962083" w:rsidRPr="00C224AE">
        <w:t xml:space="preserve">with Tusla as </w:t>
      </w:r>
      <w:r w:rsidR="00DC1C82">
        <w:t xml:space="preserve">the </w:t>
      </w:r>
      <w:r w:rsidR="00962083" w:rsidRPr="00C224AE">
        <w:t>lead agency.</w:t>
      </w:r>
      <w:r w:rsidR="005031A3">
        <w:t xml:space="preserve"> We believe that each of these options should be explored to determine whether or not the establishment of a stand-alone </w:t>
      </w:r>
      <w:r w:rsidR="0076635D">
        <w:t xml:space="preserve">regulatory body </w:t>
      </w:r>
      <w:r w:rsidR="005031A3">
        <w:t xml:space="preserve">is required.  </w:t>
      </w:r>
    </w:p>
    <w:p w14:paraId="40DE5ECC" w14:textId="77777777" w:rsidR="00201BF7" w:rsidRPr="00450D71" w:rsidRDefault="00450D71" w:rsidP="00201BF7">
      <w:pPr>
        <w:pStyle w:val="BodyText"/>
        <w:rPr>
          <w:rFonts w:asciiTheme="minorHAnsi" w:hAnsiTheme="minorHAnsi" w:cstheme="minorHAnsi"/>
          <w:b/>
          <w:bCs/>
          <w:sz w:val="22"/>
          <w:szCs w:val="22"/>
        </w:rPr>
      </w:pPr>
      <w:r w:rsidRPr="00450D71">
        <w:rPr>
          <w:rFonts w:asciiTheme="minorHAnsi" w:hAnsiTheme="minorHAnsi" w:cstheme="minorHAnsi"/>
          <w:b/>
          <w:bCs/>
          <w:sz w:val="22"/>
          <w:szCs w:val="22"/>
        </w:rPr>
        <w:t>Q 5.2</w:t>
      </w:r>
    </w:p>
    <w:p w14:paraId="2DE786B6" w14:textId="2A4EA02B" w:rsidR="00201BF7" w:rsidRDefault="00201BF7" w:rsidP="00201BF7">
      <w:pPr>
        <w:pStyle w:val="BodyText"/>
        <w:rPr>
          <w:rFonts w:asciiTheme="minorHAnsi" w:hAnsiTheme="minorHAnsi" w:cstheme="minorHAnsi"/>
          <w:bCs/>
          <w:sz w:val="22"/>
          <w:szCs w:val="22"/>
        </w:rPr>
      </w:pPr>
      <w:r>
        <w:rPr>
          <w:rFonts w:asciiTheme="minorHAnsi" w:hAnsiTheme="minorHAnsi" w:cstheme="minorHAnsi"/>
          <w:bCs/>
          <w:sz w:val="22"/>
          <w:szCs w:val="22"/>
        </w:rPr>
        <w:t xml:space="preserve">The six core regulatory powers outlined in </w:t>
      </w:r>
      <w:r w:rsidR="009D4038">
        <w:rPr>
          <w:rFonts w:asciiTheme="minorHAnsi" w:hAnsiTheme="minorHAnsi" w:cstheme="minorHAnsi"/>
          <w:bCs/>
          <w:sz w:val="22"/>
          <w:szCs w:val="22"/>
        </w:rPr>
        <w:t>the LRC Paper (5.38) would appear to be both valid and necessary</w:t>
      </w:r>
      <w:r w:rsidR="005031A3">
        <w:rPr>
          <w:rFonts w:asciiTheme="minorHAnsi" w:hAnsiTheme="minorHAnsi" w:cstheme="minorHAnsi"/>
          <w:bCs/>
          <w:sz w:val="22"/>
          <w:szCs w:val="22"/>
        </w:rPr>
        <w:t>:</w:t>
      </w:r>
      <w:r w:rsidR="005031A3">
        <w:rPr>
          <w:rFonts w:asciiTheme="minorHAnsi" w:hAnsiTheme="minorHAnsi" w:cstheme="minorHAnsi"/>
          <w:bCs/>
          <w:sz w:val="22"/>
          <w:szCs w:val="22"/>
        </w:rPr>
        <w:br/>
      </w:r>
    </w:p>
    <w:p w14:paraId="2627BC5A" w14:textId="77777777" w:rsidR="00201BF7" w:rsidRDefault="00201BF7" w:rsidP="009D4038">
      <w:pPr>
        <w:pStyle w:val="BodyText"/>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Power to issue a range of warning directions or notices, including to obtain information by written request, and “cease and desist” notices;  </w:t>
      </w:r>
    </w:p>
    <w:p w14:paraId="5D718011" w14:textId="77777777" w:rsidR="009D4038" w:rsidRDefault="00201BF7" w:rsidP="009D4038">
      <w:pPr>
        <w:pStyle w:val="BodyText"/>
        <w:numPr>
          <w:ilvl w:val="0"/>
          <w:numId w:val="21"/>
        </w:numPr>
        <w:rPr>
          <w:rFonts w:asciiTheme="minorHAnsi" w:hAnsiTheme="minorHAnsi" w:cstheme="minorHAnsi"/>
          <w:bCs/>
          <w:sz w:val="22"/>
          <w:szCs w:val="22"/>
        </w:rPr>
      </w:pPr>
      <w:r>
        <w:rPr>
          <w:rFonts w:asciiTheme="minorHAnsi" w:hAnsiTheme="minorHAnsi" w:cstheme="minorHAnsi"/>
          <w:bCs/>
          <w:sz w:val="22"/>
          <w:szCs w:val="22"/>
        </w:rPr>
        <w:t>Power to enter and search premises and take documents and other material;</w:t>
      </w:r>
    </w:p>
    <w:p w14:paraId="664AEEEE" w14:textId="77777777" w:rsidR="009D4038" w:rsidRPr="007B74E2" w:rsidRDefault="00201BF7" w:rsidP="00201BF7">
      <w:pPr>
        <w:pStyle w:val="BodyText"/>
        <w:numPr>
          <w:ilvl w:val="0"/>
          <w:numId w:val="21"/>
        </w:numPr>
        <w:rPr>
          <w:rFonts w:asciiTheme="minorHAnsi" w:hAnsiTheme="minorHAnsi" w:cstheme="minorHAnsi"/>
          <w:bCs/>
          <w:sz w:val="22"/>
          <w:szCs w:val="22"/>
        </w:rPr>
      </w:pPr>
      <w:r w:rsidRPr="007B74E2">
        <w:rPr>
          <w:rFonts w:asciiTheme="minorHAnsi" w:hAnsiTheme="minorHAnsi" w:cstheme="minorHAnsi"/>
          <w:bCs/>
          <w:sz w:val="22"/>
          <w:szCs w:val="22"/>
        </w:rPr>
        <w:t>Power to require persons to attend in person before the regulator, or an authorised officer, to give evidence or produce documents (including provision for determining issues of privilege);</w:t>
      </w:r>
    </w:p>
    <w:p w14:paraId="63BD09BC" w14:textId="0EEAF095" w:rsidR="00201BF7" w:rsidRDefault="00201BF7" w:rsidP="009D4038">
      <w:pPr>
        <w:pStyle w:val="BodyText"/>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Power to impose administrative financial sanctions (subject to court oversight, to ensure compliance with constitutional requirements);  </w:t>
      </w:r>
    </w:p>
    <w:p w14:paraId="662B5300" w14:textId="6EB11BC7" w:rsidR="00201BF7" w:rsidRDefault="00201BF7" w:rsidP="009D4038">
      <w:pPr>
        <w:pStyle w:val="BodyText"/>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Power to enter into wide-ranging regulatory compliance agreements or settlements, including consumer redress schemes;  </w:t>
      </w:r>
    </w:p>
    <w:p w14:paraId="271C21CF" w14:textId="77777777" w:rsidR="00201BF7" w:rsidRDefault="00201BF7" w:rsidP="00201BF7">
      <w:pPr>
        <w:pStyle w:val="BodyText"/>
        <w:numPr>
          <w:ilvl w:val="0"/>
          <w:numId w:val="21"/>
        </w:numPr>
        <w:rPr>
          <w:rFonts w:asciiTheme="minorHAnsi" w:hAnsiTheme="minorHAnsi" w:cstheme="minorHAnsi"/>
          <w:bCs/>
          <w:sz w:val="22"/>
          <w:szCs w:val="22"/>
        </w:rPr>
      </w:pPr>
      <w:r w:rsidRPr="009D4038">
        <w:rPr>
          <w:rFonts w:asciiTheme="minorHAnsi" w:hAnsiTheme="minorHAnsi" w:cstheme="minorHAnsi"/>
          <w:bCs/>
          <w:sz w:val="22"/>
          <w:szCs w:val="22"/>
        </w:rPr>
        <w:t xml:space="preserve">Power to bring summary criminal prosecutions </w:t>
      </w:r>
    </w:p>
    <w:p w14:paraId="7D49D0DF" w14:textId="77777777" w:rsidR="00450D71" w:rsidRDefault="00450D71" w:rsidP="00450D71">
      <w:pPr>
        <w:pStyle w:val="BodyText"/>
        <w:ind w:left="720"/>
        <w:rPr>
          <w:rFonts w:asciiTheme="minorHAnsi" w:hAnsiTheme="minorHAnsi" w:cstheme="minorHAnsi"/>
          <w:bCs/>
          <w:sz w:val="22"/>
          <w:szCs w:val="22"/>
        </w:rPr>
      </w:pPr>
    </w:p>
    <w:p w14:paraId="6AC01117" w14:textId="05F0D74E" w:rsidR="00201BF7" w:rsidRPr="009A27AE" w:rsidRDefault="00450D71" w:rsidP="009A27AE">
      <w:r>
        <w:t>CIB believes that these r</w:t>
      </w:r>
      <w:r w:rsidR="009A27AE">
        <w:t>egulatory powers are sufficient</w:t>
      </w:r>
      <w:r w:rsidR="00FA1490">
        <w:t>.</w:t>
      </w:r>
    </w:p>
    <w:p w14:paraId="1790A594" w14:textId="77777777" w:rsidR="00450D71" w:rsidRPr="00450D71" w:rsidRDefault="00450D71" w:rsidP="009D4038">
      <w:pPr>
        <w:pStyle w:val="BodyText"/>
        <w:rPr>
          <w:rFonts w:asciiTheme="minorHAnsi" w:hAnsiTheme="minorHAnsi" w:cstheme="minorHAnsi"/>
          <w:b/>
          <w:bCs/>
          <w:sz w:val="22"/>
          <w:szCs w:val="22"/>
        </w:rPr>
      </w:pPr>
      <w:r>
        <w:rPr>
          <w:rFonts w:asciiTheme="minorHAnsi" w:hAnsiTheme="minorHAnsi" w:cstheme="minorHAnsi"/>
          <w:b/>
          <w:bCs/>
          <w:sz w:val="22"/>
          <w:szCs w:val="22"/>
        </w:rPr>
        <w:t>Q 5.3</w:t>
      </w:r>
    </w:p>
    <w:p w14:paraId="232CED98" w14:textId="00F8BA82" w:rsidR="009D4038" w:rsidRDefault="00450D71" w:rsidP="008D6514">
      <w:pPr>
        <w:spacing w:after="0"/>
        <w:rPr>
          <w:rFonts w:eastAsia="Times New Roman"/>
        </w:rPr>
      </w:pPr>
      <w:r>
        <w:t>T</w:t>
      </w:r>
      <w:r w:rsidR="009D4038">
        <w:t>he need for a regional adult safeguarding structure</w:t>
      </w:r>
      <w:r>
        <w:t xml:space="preserve"> evidently depends on the extent of the issue. Research suggests that abuse of vulnerable adults is pervasive in Irish society. </w:t>
      </w:r>
      <w:r w:rsidR="00DC1C82">
        <w:t xml:space="preserve">Alleged </w:t>
      </w:r>
      <w:r>
        <w:rPr>
          <w:rFonts w:eastAsia="Times New Roman"/>
          <w:lang w:eastAsia="en-IE"/>
        </w:rPr>
        <w:t>financial abuse increases with age, with the highest level of reporting in those over 80 years.</w:t>
      </w:r>
      <w:r w:rsidR="00DC1C82" w:rsidRPr="00DC1C82">
        <w:rPr>
          <w:rStyle w:val="Heading4Char"/>
        </w:rPr>
        <w:t xml:space="preserve"> </w:t>
      </w:r>
      <w:r w:rsidR="00DC1C82">
        <w:rPr>
          <w:rStyle w:val="FootnoteReference"/>
        </w:rPr>
        <w:footnoteReference w:id="18"/>
      </w:r>
      <w:r w:rsidR="00DC1C82">
        <w:t xml:space="preserve"> </w:t>
      </w:r>
      <w:r>
        <w:rPr>
          <w:rFonts w:eastAsia="Times New Roman"/>
          <w:lang w:eastAsia="en-IE"/>
        </w:rPr>
        <w:t xml:space="preserve"> </w:t>
      </w:r>
      <w:r>
        <w:t>In a Red C Poll</w:t>
      </w:r>
      <w:r w:rsidR="00687EAC">
        <w:rPr>
          <w:rStyle w:val="FootnoteReference"/>
        </w:rPr>
        <w:footnoteReference w:id="19"/>
      </w:r>
      <w:r>
        <w:t xml:space="preserve">, </w:t>
      </w:r>
      <w:r w:rsidR="007B74E2">
        <w:t xml:space="preserve">one in six people reported </w:t>
      </w:r>
      <w:r w:rsidR="00687EAC">
        <w:t xml:space="preserve">experiencing or witnessing </w:t>
      </w:r>
      <w:r>
        <w:t>financial abuse</w:t>
      </w:r>
      <w:r w:rsidR="00687EAC">
        <w:t>.</w:t>
      </w:r>
      <w:r>
        <w:rPr>
          <w:rFonts w:eastAsia="Times New Roman"/>
        </w:rPr>
        <w:t xml:space="preserve"> </w:t>
      </w:r>
    </w:p>
    <w:p w14:paraId="2648E642" w14:textId="77777777" w:rsidR="00DC1C82" w:rsidRPr="00DC1C82" w:rsidRDefault="00DC1C82" w:rsidP="00DC1C82">
      <w:pPr>
        <w:spacing w:after="0" w:line="240" w:lineRule="auto"/>
        <w:rPr>
          <w:rFonts w:ascii="Times New Roman" w:hAnsi="Times New Roman" w:cs="Times New Roman"/>
          <w:sz w:val="24"/>
          <w:szCs w:val="24"/>
          <w:lang w:eastAsia="en-IE"/>
        </w:rPr>
      </w:pPr>
    </w:p>
    <w:p w14:paraId="0DA396FF" w14:textId="5958287D" w:rsidR="009D4038" w:rsidRDefault="00C224AE" w:rsidP="009A27AE">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While there is a wide preponderance of a</w:t>
      </w:r>
      <w:r w:rsidR="00211590">
        <w:rPr>
          <w:rFonts w:asciiTheme="minorHAnsi" w:hAnsiTheme="minorHAnsi" w:cstheme="minorHAnsi"/>
          <w:bCs/>
          <w:sz w:val="22"/>
          <w:szCs w:val="22"/>
        </w:rPr>
        <w:t>buse (reported and unreported)</w:t>
      </w:r>
      <w:r>
        <w:rPr>
          <w:rFonts w:asciiTheme="minorHAnsi" w:hAnsiTheme="minorHAnsi" w:cstheme="minorHAnsi"/>
          <w:bCs/>
          <w:sz w:val="22"/>
          <w:szCs w:val="22"/>
        </w:rPr>
        <w:t xml:space="preserve"> across Ireland,</w:t>
      </w:r>
      <w:r w:rsidR="00211590">
        <w:rPr>
          <w:rFonts w:asciiTheme="minorHAnsi" w:hAnsiTheme="minorHAnsi" w:cstheme="minorHAnsi"/>
          <w:bCs/>
          <w:sz w:val="22"/>
          <w:szCs w:val="22"/>
        </w:rPr>
        <w:t xml:space="preserve"> the establishment of regional </w:t>
      </w:r>
      <w:r w:rsidR="009D4038">
        <w:rPr>
          <w:rFonts w:asciiTheme="minorHAnsi" w:hAnsiTheme="minorHAnsi" w:cstheme="minorHAnsi"/>
          <w:bCs/>
          <w:sz w:val="22"/>
          <w:szCs w:val="22"/>
        </w:rPr>
        <w:t>safeguarding offices</w:t>
      </w:r>
      <w:r w:rsidR="00211590">
        <w:rPr>
          <w:rFonts w:asciiTheme="minorHAnsi" w:hAnsiTheme="minorHAnsi" w:cstheme="minorHAnsi"/>
          <w:bCs/>
          <w:sz w:val="22"/>
          <w:szCs w:val="22"/>
        </w:rPr>
        <w:t xml:space="preserve"> across the country</w:t>
      </w:r>
      <w:r w:rsidR="00687EAC">
        <w:rPr>
          <w:rFonts w:asciiTheme="minorHAnsi" w:hAnsiTheme="minorHAnsi" w:cstheme="minorHAnsi"/>
          <w:bCs/>
          <w:sz w:val="22"/>
          <w:szCs w:val="22"/>
        </w:rPr>
        <w:t xml:space="preserve"> </w:t>
      </w:r>
      <w:r>
        <w:rPr>
          <w:rFonts w:asciiTheme="minorHAnsi" w:hAnsiTheme="minorHAnsi" w:cstheme="minorHAnsi"/>
          <w:bCs/>
          <w:sz w:val="22"/>
          <w:szCs w:val="22"/>
        </w:rPr>
        <w:t>may not be the best use of resources</w:t>
      </w:r>
      <w:r w:rsidR="00FA1490">
        <w:rPr>
          <w:rFonts w:asciiTheme="minorHAnsi" w:hAnsiTheme="minorHAnsi" w:cstheme="minorHAnsi"/>
          <w:bCs/>
          <w:sz w:val="22"/>
          <w:szCs w:val="22"/>
        </w:rPr>
        <w:t xml:space="preserve"> and</w:t>
      </w:r>
      <w:r w:rsidR="00DC1C82">
        <w:rPr>
          <w:rFonts w:asciiTheme="minorHAnsi" w:hAnsiTheme="minorHAnsi" w:cstheme="minorHAnsi"/>
          <w:bCs/>
          <w:sz w:val="22"/>
          <w:szCs w:val="22"/>
        </w:rPr>
        <w:t>, a</w:t>
      </w:r>
      <w:r w:rsidR="009D4038">
        <w:rPr>
          <w:rFonts w:asciiTheme="minorHAnsi" w:hAnsiTheme="minorHAnsi" w:cstheme="minorHAnsi"/>
          <w:bCs/>
          <w:sz w:val="22"/>
          <w:szCs w:val="22"/>
        </w:rPr>
        <w:t xml:space="preserve">s </w:t>
      </w:r>
      <w:r w:rsidR="00DC1C82">
        <w:rPr>
          <w:rFonts w:asciiTheme="minorHAnsi" w:hAnsiTheme="minorHAnsi" w:cstheme="minorHAnsi"/>
          <w:bCs/>
          <w:sz w:val="22"/>
          <w:szCs w:val="22"/>
        </w:rPr>
        <w:t xml:space="preserve">stated </w:t>
      </w:r>
      <w:r w:rsidR="009D4038">
        <w:rPr>
          <w:rFonts w:asciiTheme="minorHAnsi" w:hAnsiTheme="minorHAnsi" w:cstheme="minorHAnsi"/>
          <w:bCs/>
          <w:sz w:val="22"/>
          <w:szCs w:val="22"/>
        </w:rPr>
        <w:t>in the LRC Issues Paper, a regional multi-agency structure, established by the HSE, already exists in the nine HSE administrative areas.</w:t>
      </w:r>
      <w:r w:rsidR="00F66E60">
        <w:rPr>
          <w:rStyle w:val="FootnoteReference"/>
          <w:bCs/>
          <w:sz w:val="22"/>
          <w:szCs w:val="22"/>
        </w:rPr>
        <w:footnoteReference w:id="20"/>
      </w:r>
      <w:r w:rsidR="00211590">
        <w:rPr>
          <w:rFonts w:asciiTheme="minorHAnsi" w:hAnsiTheme="minorHAnsi" w:cstheme="minorHAnsi"/>
          <w:bCs/>
          <w:sz w:val="22"/>
          <w:szCs w:val="22"/>
        </w:rPr>
        <w:t xml:space="preserve"> As an interim measure, t</w:t>
      </w:r>
      <w:r w:rsidR="009D4038">
        <w:rPr>
          <w:rFonts w:asciiTheme="minorHAnsi" w:hAnsiTheme="minorHAnsi" w:cstheme="minorHAnsi"/>
          <w:bCs/>
          <w:sz w:val="22"/>
          <w:szCs w:val="22"/>
        </w:rPr>
        <w:t>he roles and functions of these committees could be strengthened</w:t>
      </w:r>
      <w:r w:rsidR="00211590">
        <w:rPr>
          <w:rFonts w:asciiTheme="minorHAnsi" w:hAnsiTheme="minorHAnsi" w:cstheme="minorHAnsi"/>
          <w:bCs/>
          <w:sz w:val="22"/>
          <w:szCs w:val="22"/>
        </w:rPr>
        <w:t xml:space="preserve"> with a view to developing a more effective model for a new </w:t>
      </w:r>
      <w:r w:rsidR="009D4038">
        <w:rPr>
          <w:rFonts w:asciiTheme="minorHAnsi" w:hAnsiTheme="minorHAnsi" w:cstheme="minorHAnsi"/>
          <w:bCs/>
          <w:sz w:val="22"/>
          <w:szCs w:val="22"/>
        </w:rPr>
        <w:t>statutory safeguarding service</w:t>
      </w:r>
      <w:r w:rsidR="00687EAC">
        <w:rPr>
          <w:rFonts w:asciiTheme="minorHAnsi" w:hAnsiTheme="minorHAnsi" w:cstheme="minorHAnsi"/>
          <w:bCs/>
          <w:sz w:val="22"/>
          <w:szCs w:val="22"/>
        </w:rPr>
        <w:t xml:space="preserve"> and exploring a multi-agency approach.</w:t>
      </w:r>
    </w:p>
    <w:p w14:paraId="0BDBA066" w14:textId="77777777" w:rsidR="00DC1C82" w:rsidRDefault="00DC1C82" w:rsidP="009A27AE">
      <w:pPr>
        <w:pStyle w:val="BodyText"/>
        <w:spacing w:line="276" w:lineRule="auto"/>
        <w:rPr>
          <w:rFonts w:asciiTheme="minorHAnsi" w:hAnsiTheme="minorHAnsi" w:cstheme="minorHAnsi"/>
          <w:bCs/>
          <w:sz w:val="22"/>
          <w:szCs w:val="22"/>
        </w:rPr>
      </w:pPr>
    </w:p>
    <w:p w14:paraId="6F3620D1" w14:textId="77777777" w:rsidR="009D4038" w:rsidRDefault="009D4038" w:rsidP="009D4038">
      <w:r w:rsidRPr="009D4038">
        <w:rPr>
          <w:b/>
          <w:sz w:val="24"/>
          <w:szCs w:val="24"/>
        </w:rPr>
        <w:t>Issue 6: Powers of Entry and Inspection</w:t>
      </w:r>
    </w:p>
    <w:p w14:paraId="0A95F701"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Q. 6.1 Do you consider that adult safeguarding legislation should include a statutory power of entry and inspection of premises, including a private dwelling, where there is a reasonable belief on the part of a safeguarding professional, a health care professional or a member of An Garda Síochána that an adult within the scope of the legislation may be at risk of abuse or neglect in the premises or dwelling, and where either a third party is preventing them from gaining access or an adult within the scope of the legislation appears to lack capacity to refuse access? Please give reasons for your answer. </w:t>
      </w:r>
    </w:p>
    <w:p w14:paraId="36318541"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Q. 6.2 If the answer to Q.6.1 is yes, do you consider that evidence of reasonable belief that a person may be at risk of abuse or neglect would constitute a sufficient safeguard to ensure that such a power would be used effectively and proportionately, or would any other safeguards be required? </w:t>
      </w:r>
    </w:p>
    <w:p w14:paraId="24D1E8AE"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Q. 6.3 If the answer to Q.6.1 is yes, do you consider that such a power of entry and inspection: </w:t>
      </w:r>
    </w:p>
    <w:p w14:paraId="23D81B6D"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(a) should be conferred directly on a safeguarding professional, a health care professional or a member of An Garda Síochána, or  </w:t>
      </w:r>
    </w:p>
    <w:p w14:paraId="34A0F1A0"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(b) that such entry and inspection should require an application to court for a search warrant, whether in all instances or only where entry and inspection is to a private dwelling. </w:t>
      </w:r>
    </w:p>
    <w:p w14:paraId="1D62567A"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Please give reasons for your answers to (a) and (b).  </w:t>
      </w:r>
    </w:p>
    <w:p w14:paraId="609C4782" w14:textId="77777777" w:rsidR="009D4038" w:rsidRPr="009D4038" w:rsidRDefault="009D4038" w:rsidP="009D403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9D4038">
        <w:rPr>
          <w:rFonts w:asciiTheme="minorHAnsi" w:hAnsiTheme="minorHAnsi" w:cstheme="minorHAnsi"/>
          <w:i/>
          <w:iCs/>
          <w:sz w:val="22"/>
          <w:szCs w:val="22"/>
        </w:rPr>
        <w:t xml:space="preserve">Q. 6.4 If a power of entry and inspection to a private dwelling were to be conferred on a member of An Garda Síochána, do you believe that a member should be permitted to use reasonable force, if necessary, to gain access to a dwelling?  </w:t>
      </w:r>
    </w:p>
    <w:p w14:paraId="3392FB00" w14:textId="77777777" w:rsidR="003D7744" w:rsidRDefault="003D7744">
      <w:pPr>
        <w:rPr>
          <w:b/>
        </w:rPr>
      </w:pPr>
      <w:r>
        <w:rPr>
          <w:b/>
        </w:rPr>
        <w:br w:type="page"/>
      </w:r>
    </w:p>
    <w:p w14:paraId="4FFBC8CD" w14:textId="265F5D82" w:rsidR="00EB4EDD" w:rsidRPr="00EB4EDD" w:rsidRDefault="00F66E60" w:rsidP="00F66E60">
      <w:pPr>
        <w:rPr>
          <w:rFonts w:cstheme="minorHAnsi"/>
          <w:bCs/>
        </w:rPr>
      </w:pPr>
      <w:r>
        <w:rPr>
          <w:b/>
        </w:rPr>
        <w:t>Q 6.1</w:t>
      </w:r>
      <w:r>
        <w:rPr>
          <w:b/>
        </w:rPr>
        <w:br/>
      </w:r>
      <w:r w:rsidR="00C224AE">
        <w:rPr>
          <w:rFonts w:cstheme="minorHAnsi"/>
          <w:bCs/>
        </w:rPr>
        <w:t xml:space="preserve">The LRC Paper </w:t>
      </w:r>
      <w:r w:rsidR="00EB4EDD">
        <w:rPr>
          <w:rFonts w:cstheme="minorHAnsi"/>
          <w:bCs/>
        </w:rPr>
        <w:t xml:space="preserve">(6.31) </w:t>
      </w:r>
      <w:r w:rsidR="00C224AE">
        <w:rPr>
          <w:rFonts w:cstheme="minorHAnsi"/>
          <w:bCs/>
        </w:rPr>
        <w:t xml:space="preserve">refers to the apparent </w:t>
      </w:r>
      <w:r w:rsidR="00C224AE" w:rsidRPr="00C224AE">
        <w:rPr>
          <w:rFonts w:cstheme="minorHAnsi"/>
          <w:bCs/>
        </w:rPr>
        <w:t>lack of research or published evidence in the Irish context regarding the need for a statutory power of entry to private dwellings for the purposes of</w:t>
      </w:r>
      <w:r w:rsidR="00C224AE">
        <w:rPr>
          <w:rFonts w:cstheme="minorHAnsi"/>
          <w:bCs/>
        </w:rPr>
        <w:t xml:space="preserve"> adult safeguarding. </w:t>
      </w:r>
      <w:r w:rsidR="00EB4EDD">
        <w:rPr>
          <w:rFonts w:cstheme="minorHAnsi"/>
          <w:bCs/>
        </w:rPr>
        <w:t xml:space="preserve">CIB does not feel that we can take a specific position on the matter but would be of the view that </w:t>
      </w:r>
      <w:r w:rsidR="00B4507A">
        <w:rPr>
          <w:rFonts w:cstheme="minorHAnsi"/>
          <w:bCs/>
        </w:rPr>
        <w:t xml:space="preserve">the </w:t>
      </w:r>
      <w:r w:rsidR="009D4038">
        <w:rPr>
          <w:rFonts w:cstheme="minorHAnsi"/>
          <w:bCs/>
        </w:rPr>
        <w:t xml:space="preserve">majority of </w:t>
      </w:r>
      <w:r w:rsidR="00687EAC">
        <w:rPr>
          <w:rFonts w:cstheme="minorHAnsi"/>
          <w:bCs/>
        </w:rPr>
        <w:t xml:space="preserve">safeguarding </w:t>
      </w:r>
      <w:r w:rsidR="009D4038">
        <w:rPr>
          <w:rFonts w:cstheme="minorHAnsi"/>
          <w:bCs/>
        </w:rPr>
        <w:t xml:space="preserve">cases can be dealt with without the need to resort to a power of entry. </w:t>
      </w:r>
      <w:r w:rsidR="00EB4EDD">
        <w:rPr>
          <w:rFonts w:cstheme="minorHAnsi"/>
          <w:bCs/>
        </w:rPr>
        <w:t>The general approach should be that normally social workers or other professionals should have the skills to gain entry where required</w:t>
      </w:r>
      <w:r w:rsidR="00DC1C82">
        <w:rPr>
          <w:rFonts w:cstheme="minorHAnsi"/>
          <w:bCs/>
        </w:rPr>
        <w:t xml:space="preserve"> without having to have recourse to legal powers of entry and that this approach should be strongly articulated and reinforced throughout all safeguarding services.</w:t>
      </w:r>
    </w:p>
    <w:p w14:paraId="551311B1" w14:textId="77777777" w:rsidR="009D4038" w:rsidRDefault="009D4038" w:rsidP="009D4038">
      <w:pPr>
        <w:pStyle w:val="BodyText"/>
        <w:rPr>
          <w:rFonts w:asciiTheme="minorHAnsi" w:hAnsiTheme="minorHAnsi" w:cstheme="minorHAnsi"/>
          <w:bCs/>
          <w:color w:val="000000" w:themeColor="text1"/>
          <w:sz w:val="22"/>
          <w:szCs w:val="22"/>
        </w:rPr>
      </w:pPr>
    </w:p>
    <w:p w14:paraId="579A86D8" w14:textId="67025F9F" w:rsidR="00F66E60" w:rsidRDefault="00F66E60" w:rsidP="00F66E60">
      <w:pPr>
        <w:pStyle w:val="BodyText"/>
        <w:rPr>
          <w:rFonts w:asciiTheme="minorHAnsi" w:hAnsiTheme="minorHAnsi" w:cstheme="minorHAnsi"/>
          <w:b/>
          <w:bCs/>
          <w:sz w:val="22"/>
          <w:szCs w:val="22"/>
        </w:rPr>
      </w:pPr>
      <w:r>
        <w:rPr>
          <w:rFonts w:asciiTheme="minorHAnsi" w:hAnsiTheme="minorHAnsi" w:cstheme="minorHAnsi"/>
          <w:b/>
          <w:bCs/>
          <w:sz w:val="22"/>
          <w:szCs w:val="22"/>
        </w:rPr>
        <w:t>Q 6.2</w:t>
      </w:r>
      <w:r w:rsidR="00EB4EDD">
        <w:rPr>
          <w:rFonts w:asciiTheme="minorHAnsi" w:hAnsiTheme="minorHAnsi" w:cstheme="minorHAnsi"/>
          <w:b/>
          <w:bCs/>
          <w:sz w:val="22"/>
          <w:szCs w:val="22"/>
        </w:rPr>
        <w:t>, Q.6.2 and Q.6.3</w:t>
      </w:r>
    </w:p>
    <w:p w14:paraId="4D3B50FC" w14:textId="779EAB96" w:rsidR="00EB4EDD" w:rsidRDefault="00EB4EDD" w:rsidP="00EB4EDD">
      <w:r>
        <w:t>As in answer to 6.1</w:t>
      </w:r>
    </w:p>
    <w:p w14:paraId="63CF8764" w14:textId="161DA25E" w:rsidR="00000D9F" w:rsidRDefault="00000D9F" w:rsidP="00000D9F">
      <w:pPr>
        <w:rPr>
          <w:b/>
          <w:sz w:val="24"/>
          <w:szCs w:val="24"/>
        </w:rPr>
      </w:pPr>
      <w:r w:rsidRPr="00000D9F">
        <w:rPr>
          <w:b/>
          <w:sz w:val="24"/>
          <w:szCs w:val="24"/>
        </w:rPr>
        <w:t>Issue 7: Safeguarding Investigative Powers</w:t>
      </w:r>
    </w:p>
    <w:p w14:paraId="2B8A05F5" w14:textId="77777777" w:rsidR="00000D9F" w:rsidRPr="00000D9F" w:rsidRDefault="00000D9F" w:rsidP="00000D9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000D9F">
        <w:rPr>
          <w:rFonts w:asciiTheme="minorHAnsi" w:hAnsiTheme="minorHAnsi" w:cstheme="minorHAnsi"/>
          <w:i/>
          <w:iCs/>
          <w:sz w:val="22"/>
          <w:szCs w:val="22"/>
        </w:rPr>
        <w:t xml:space="preserve">Q. 7.1 Do you consider that adult safeguarding legislation should include a statutory duty on relevant regulatory bodies to make inquiries with a view to assessing whether to apply for a court order for the removal of a person or for a safety order, barring order or protection order, similar to the orders in the Domestic Violence Act 2018, as discussed in Issue 7 of the Issues Paper? Please give reasons for your answer. </w:t>
      </w:r>
      <w:r>
        <w:rPr>
          <w:rFonts w:asciiTheme="minorHAnsi" w:hAnsiTheme="minorHAnsi" w:cstheme="minorHAnsi"/>
          <w:i/>
          <w:iCs/>
          <w:sz w:val="22"/>
          <w:szCs w:val="22"/>
        </w:rPr>
        <w:br/>
      </w:r>
    </w:p>
    <w:p w14:paraId="7DFC181A" w14:textId="10AA4DD0" w:rsidR="00194D15" w:rsidRPr="00000D9F" w:rsidRDefault="00000D9F" w:rsidP="00000D9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000D9F">
        <w:rPr>
          <w:rFonts w:asciiTheme="minorHAnsi" w:hAnsiTheme="minorHAnsi" w:cstheme="minorHAnsi"/>
          <w:i/>
          <w:iCs/>
          <w:sz w:val="22"/>
          <w:szCs w:val="22"/>
        </w:rPr>
        <w:t xml:space="preserve">Q. 7.2 Do you consider that the Domestic Violence Act 2018 should be amended to empower bodies other than the Child and Family Agency, such as for example the Health Service Executive or any other adult safeguarding regulatory body, to apply to court for an order under the 2018 Act?  </w:t>
      </w:r>
    </w:p>
    <w:p w14:paraId="27752EF4" w14:textId="67352B6E" w:rsidR="00000D9F" w:rsidRPr="00000D9F" w:rsidRDefault="00000D9F" w:rsidP="003D7744">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i/>
          <w:iCs/>
          <w:sz w:val="22"/>
          <w:szCs w:val="22"/>
        </w:rPr>
      </w:pPr>
      <w:r w:rsidRPr="00000D9F">
        <w:rPr>
          <w:rFonts w:asciiTheme="minorHAnsi" w:hAnsiTheme="minorHAnsi" w:cstheme="minorHAnsi"/>
          <w:i/>
          <w:iCs/>
          <w:sz w:val="22"/>
          <w:szCs w:val="22"/>
        </w:rPr>
        <w:t xml:space="preserve">Q. 7.3 Do you consider that </w:t>
      </w:r>
      <w:bookmarkStart w:id="2" w:name="_Hlk32757975"/>
      <w:r w:rsidRPr="00000D9F">
        <w:rPr>
          <w:rFonts w:asciiTheme="minorHAnsi" w:hAnsiTheme="minorHAnsi" w:cstheme="minorHAnsi"/>
          <w:i/>
          <w:iCs/>
          <w:sz w:val="22"/>
          <w:szCs w:val="22"/>
        </w:rPr>
        <w:t>adult safeguarding legislation should include separate provisions for barring orders, protection orders and safety orders that would apply in situations outside of the circumstances set out in the Domestic Violence Act 2018 or section 10 of the Non-Fatal Offences Against the Person Act 1997</w:t>
      </w:r>
      <w:bookmarkEnd w:id="2"/>
      <w:r w:rsidRPr="00000D9F">
        <w:rPr>
          <w:rFonts w:asciiTheme="minorHAnsi" w:hAnsiTheme="minorHAnsi" w:cstheme="minorHAnsi"/>
          <w:i/>
          <w:iCs/>
          <w:sz w:val="22"/>
          <w:szCs w:val="22"/>
        </w:rPr>
        <w:t xml:space="preserve">?  </w:t>
      </w:r>
    </w:p>
    <w:p w14:paraId="1EDA81FC" w14:textId="77777777" w:rsidR="00AA3C21" w:rsidRDefault="00AA3C21" w:rsidP="00AA3C21">
      <w:pPr>
        <w:pStyle w:val="BodyText"/>
        <w:rPr>
          <w:rFonts w:asciiTheme="minorHAnsi" w:hAnsiTheme="minorHAnsi" w:cstheme="minorHAnsi"/>
          <w:b/>
          <w:bCs/>
          <w:sz w:val="22"/>
          <w:szCs w:val="22"/>
        </w:rPr>
      </w:pPr>
      <w:r>
        <w:rPr>
          <w:rFonts w:asciiTheme="minorHAnsi" w:hAnsiTheme="minorHAnsi" w:cstheme="minorHAnsi"/>
          <w:b/>
          <w:bCs/>
          <w:sz w:val="22"/>
          <w:szCs w:val="22"/>
        </w:rPr>
        <w:t>Q 7.1</w:t>
      </w:r>
    </w:p>
    <w:p w14:paraId="3FB950E0" w14:textId="611B4B59" w:rsidR="00A83724" w:rsidRDefault="00AA3C21" w:rsidP="000649C9">
      <w:pPr>
        <w:pStyle w:val="BodyText"/>
        <w:spacing w:line="276" w:lineRule="auto"/>
        <w:rPr>
          <w:rFonts w:asciiTheme="minorHAnsi" w:hAnsiTheme="minorHAnsi" w:cstheme="minorHAnsi"/>
          <w:bCs/>
          <w:sz w:val="22"/>
          <w:szCs w:val="22"/>
        </w:rPr>
      </w:pPr>
      <w:r>
        <w:rPr>
          <w:rFonts w:asciiTheme="minorHAnsi" w:hAnsiTheme="minorHAnsi" w:cstheme="minorHAnsi"/>
          <w:bCs/>
          <w:sz w:val="22"/>
          <w:szCs w:val="22"/>
        </w:rPr>
        <w:t>Adult</w:t>
      </w:r>
      <w:r w:rsidR="00000D9F">
        <w:rPr>
          <w:rFonts w:asciiTheme="minorHAnsi" w:hAnsiTheme="minorHAnsi" w:cstheme="minorHAnsi"/>
          <w:bCs/>
          <w:sz w:val="22"/>
          <w:szCs w:val="22"/>
        </w:rPr>
        <w:t xml:space="preserve"> safeguarding legislation should include a statutory duty on a safeguarding authority to make enquiries, interview and/or make assessments in cases of concern reported to it. Safety orders, barring orders and protections orders should be available to the safeguarding authority</w:t>
      </w:r>
      <w:r w:rsidR="00D51749">
        <w:rPr>
          <w:rFonts w:asciiTheme="minorHAnsi" w:hAnsiTheme="minorHAnsi" w:cstheme="minorHAnsi"/>
          <w:bCs/>
          <w:sz w:val="22"/>
          <w:szCs w:val="22"/>
        </w:rPr>
        <w:t xml:space="preserve"> on application to the Courts</w:t>
      </w:r>
      <w:r w:rsidR="00EB4EDD">
        <w:rPr>
          <w:rFonts w:asciiTheme="minorHAnsi" w:hAnsiTheme="minorHAnsi" w:cstheme="minorHAnsi"/>
          <w:bCs/>
          <w:sz w:val="22"/>
          <w:szCs w:val="22"/>
        </w:rPr>
        <w:t>.</w:t>
      </w:r>
      <w:r w:rsidR="00000D9F">
        <w:rPr>
          <w:rFonts w:asciiTheme="minorHAnsi" w:hAnsiTheme="minorHAnsi" w:cstheme="minorHAnsi"/>
          <w:bCs/>
          <w:sz w:val="22"/>
          <w:szCs w:val="22"/>
        </w:rPr>
        <w:t xml:space="preserve"> </w:t>
      </w:r>
    </w:p>
    <w:p w14:paraId="43608149" w14:textId="77777777" w:rsidR="00A83724" w:rsidRDefault="00A83724" w:rsidP="000649C9">
      <w:pPr>
        <w:pStyle w:val="BodyText"/>
        <w:spacing w:line="276" w:lineRule="auto"/>
        <w:rPr>
          <w:rFonts w:asciiTheme="minorHAnsi" w:hAnsiTheme="minorHAnsi" w:cstheme="minorHAnsi"/>
          <w:bCs/>
          <w:sz w:val="22"/>
          <w:szCs w:val="22"/>
        </w:rPr>
      </w:pPr>
    </w:p>
    <w:p w14:paraId="34CCFC19" w14:textId="77777777" w:rsidR="00000D9F" w:rsidRDefault="00000D9F" w:rsidP="000649C9">
      <w:pPr>
        <w:pStyle w:val="CommentTex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In order to further strengthen the safeguarding response, </w:t>
      </w:r>
      <w:r w:rsidR="0030699D">
        <w:rPr>
          <w:rFonts w:asciiTheme="minorHAnsi" w:hAnsiTheme="minorHAnsi" w:cstheme="minorHAnsi"/>
          <w:bCs/>
          <w:sz w:val="22"/>
          <w:szCs w:val="22"/>
        </w:rPr>
        <w:t xml:space="preserve">CIB believes </w:t>
      </w:r>
      <w:r>
        <w:rPr>
          <w:rFonts w:asciiTheme="minorHAnsi" w:hAnsiTheme="minorHAnsi" w:cstheme="minorHAnsi"/>
          <w:bCs/>
          <w:sz w:val="22"/>
          <w:szCs w:val="22"/>
        </w:rPr>
        <w:t>that the Domestic Violence Act 2018 should be amended to empower a safeguarding authority to apply to the courts for an order under the 2018 Act.</w:t>
      </w:r>
      <w:r>
        <w:rPr>
          <w:rFonts w:asciiTheme="minorHAnsi" w:hAnsiTheme="minorHAnsi" w:cstheme="minorHAnsi"/>
          <w:b/>
          <w:i/>
          <w:iCs/>
          <w:sz w:val="22"/>
          <w:szCs w:val="22"/>
        </w:rPr>
        <w:t xml:space="preserve">  </w:t>
      </w:r>
      <w:r w:rsidR="0030699D" w:rsidRPr="0030699D">
        <w:rPr>
          <w:rFonts w:asciiTheme="minorHAnsi" w:hAnsiTheme="minorHAnsi" w:cstheme="minorHAnsi"/>
          <w:iCs/>
          <w:sz w:val="22"/>
          <w:szCs w:val="22"/>
        </w:rPr>
        <w:t>It is reasonable to assume that</w:t>
      </w:r>
      <w:r w:rsidR="0030699D">
        <w:rPr>
          <w:rFonts w:asciiTheme="minorHAnsi" w:hAnsiTheme="minorHAnsi" w:cstheme="minorHAnsi"/>
          <w:b/>
          <w:iCs/>
          <w:sz w:val="22"/>
          <w:szCs w:val="22"/>
        </w:rPr>
        <w:t xml:space="preserve"> </w:t>
      </w:r>
      <w:r>
        <w:rPr>
          <w:rFonts w:asciiTheme="minorHAnsi" w:hAnsiTheme="minorHAnsi" w:cstheme="minorHAnsi"/>
          <w:bCs/>
          <w:sz w:val="22"/>
          <w:szCs w:val="22"/>
        </w:rPr>
        <w:t>an independent safeguarding authority w</w:t>
      </w:r>
      <w:r w:rsidR="0030699D">
        <w:rPr>
          <w:rFonts w:asciiTheme="minorHAnsi" w:hAnsiTheme="minorHAnsi" w:cstheme="minorHAnsi"/>
          <w:bCs/>
          <w:sz w:val="22"/>
          <w:szCs w:val="22"/>
        </w:rPr>
        <w:t xml:space="preserve">ould </w:t>
      </w:r>
      <w:r>
        <w:rPr>
          <w:rFonts w:asciiTheme="minorHAnsi" w:hAnsiTheme="minorHAnsi" w:cstheme="minorHAnsi"/>
          <w:bCs/>
          <w:sz w:val="22"/>
          <w:szCs w:val="22"/>
        </w:rPr>
        <w:t xml:space="preserve">have the expertise </w:t>
      </w:r>
      <w:r w:rsidR="0030699D">
        <w:rPr>
          <w:rFonts w:asciiTheme="minorHAnsi" w:hAnsiTheme="minorHAnsi" w:cstheme="minorHAnsi"/>
          <w:bCs/>
          <w:sz w:val="22"/>
          <w:szCs w:val="22"/>
        </w:rPr>
        <w:t>to decide when an a</w:t>
      </w:r>
      <w:r>
        <w:rPr>
          <w:rFonts w:asciiTheme="minorHAnsi" w:hAnsiTheme="minorHAnsi" w:cstheme="minorHAnsi"/>
          <w:bCs/>
          <w:sz w:val="22"/>
          <w:szCs w:val="22"/>
        </w:rPr>
        <w:t>pplication to the courts for such orders</w:t>
      </w:r>
      <w:r w:rsidR="0030699D">
        <w:rPr>
          <w:rFonts w:asciiTheme="minorHAnsi" w:hAnsiTheme="minorHAnsi" w:cstheme="minorHAnsi"/>
          <w:bCs/>
          <w:sz w:val="22"/>
          <w:szCs w:val="22"/>
        </w:rPr>
        <w:t xml:space="preserve"> would be necessary.</w:t>
      </w:r>
    </w:p>
    <w:p w14:paraId="36F02C7D" w14:textId="77777777" w:rsidR="00000D9F" w:rsidRDefault="00000D9F" w:rsidP="00000D9F">
      <w:pPr>
        <w:pStyle w:val="CommentText"/>
        <w:rPr>
          <w:rFonts w:asciiTheme="minorHAnsi" w:hAnsiTheme="minorHAnsi" w:cstheme="minorHAnsi"/>
          <w:b/>
          <w:bCs/>
          <w:sz w:val="22"/>
          <w:szCs w:val="22"/>
        </w:rPr>
      </w:pPr>
    </w:p>
    <w:p w14:paraId="5155F8B0" w14:textId="1A5E422D" w:rsidR="00A83724" w:rsidRDefault="00000D9F" w:rsidP="00EF663B">
      <w:pPr>
        <w:rPr>
          <w:rFonts w:cstheme="minorHAnsi"/>
          <w:bCs/>
        </w:rPr>
      </w:pPr>
      <w:r w:rsidRPr="0030699D">
        <w:rPr>
          <w:b/>
        </w:rPr>
        <w:t xml:space="preserve">Q 7.2 </w:t>
      </w:r>
      <w:r w:rsidR="0030699D" w:rsidRPr="0030699D">
        <w:rPr>
          <w:b/>
        </w:rPr>
        <w:br/>
      </w:r>
      <w:r>
        <w:t xml:space="preserve">CIB believes that there would be merit in amending the </w:t>
      </w:r>
      <w:r>
        <w:rPr>
          <w:i/>
        </w:rPr>
        <w:t xml:space="preserve">Domestic Violence Act 2018 </w:t>
      </w:r>
      <w:r>
        <w:t>to empower bodies other than the Child and Family Agency to apply to court for an order under the 2018 Act</w:t>
      </w:r>
      <w:r w:rsidR="00EF663B">
        <w:t xml:space="preserve">. Amended </w:t>
      </w:r>
      <w:r w:rsidR="00A83724">
        <w:t>legislation should include separate provisions for situations outside of the circumstances set out in the Domestic Violence Act 2018, e.g., in respect</w:t>
      </w:r>
      <w:r w:rsidR="00EF663B">
        <w:t xml:space="preserve"> of financial abuse by an</w:t>
      </w:r>
      <w:r w:rsidR="00EF663B" w:rsidRPr="00EF663B">
        <w:t xml:space="preserve"> adult child or grandchild, niece or nephew</w:t>
      </w:r>
      <w:r w:rsidR="00EF663B">
        <w:t>.</w:t>
      </w:r>
    </w:p>
    <w:p w14:paraId="666EF8FA" w14:textId="77777777" w:rsidR="008D6514" w:rsidRDefault="008D6514" w:rsidP="009718EC">
      <w:pPr>
        <w:pStyle w:val="BodyText"/>
        <w:spacing w:line="276" w:lineRule="auto"/>
        <w:rPr>
          <w:rFonts w:asciiTheme="minorHAnsi" w:hAnsiTheme="minorHAnsi" w:cstheme="minorHAnsi"/>
          <w:b/>
          <w:bCs/>
          <w:sz w:val="22"/>
          <w:szCs w:val="22"/>
        </w:rPr>
      </w:pPr>
    </w:p>
    <w:p w14:paraId="6A325FB6" w14:textId="0A0056BE" w:rsidR="00000D9F" w:rsidRPr="00A83724" w:rsidRDefault="00000D9F" w:rsidP="009718EC">
      <w:pPr>
        <w:pStyle w:val="BodyText"/>
        <w:spacing w:line="276" w:lineRule="auto"/>
        <w:rPr>
          <w:rFonts w:asciiTheme="minorHAnsi" w:hAnsiTheme="minorHAnsi" w:cstheme="minorHAnsi"/>
          <w:bCs/>
          <w:sz w:val="22"/>
          <w:szCs w:val="22"/>
        </w:rPr>
      </w:pPr>
      <w:r w:rsidRPr="0030699D">
        <w:rPr>
          <w:rFonts w:asciiTheme="minorHAnsi" w:hAnsiTheme="minorHAnsi" w:cstheme="minorHAnsi"/>
          <w:b/>
          <w:bCs/>
          <w:sz w:val="22"/>
          <w:szCs w:val="22"/>
        </w:rPr>
        <w:t>Q 7.3</w:t>
      </w:r>
      <w:r>
        <w:rPr>
          <w:rFonts w:asciiTheme="minorHAnsi" w:hAnsiTheme="minorHAnsi" w:cstheme="minorHAnsi"/>
          <w:bCs/>
          <w:sz w:val="22"/>
          <w:szCs w:val="22"/>
        </w:rPr>
        <w:t xml:space="preserve"> </w:t>
      </w:r>
      <w:r w:rsidR="0030699D">
        <w:rPr>
          <w:rFonts w:asciiTheme="minorHAnsi" w:hAnsiTheme="minorHAnsi" w:cstheme="minorHAnsi"/>
          <w:bCs/>
          <w:sz w:val="22"/>
          <w:szCs w:val="22"/>
        </w:rPr>
        <w:br/>
      </w:r>
      <w:r w:rsidR="0030699D" w:rsidRPr="00A83724">
        <w:rPr>
          <w:rFonts w:asciiTheme="minorHAnsi" w:hAnsiTheme="minorHAnsi" w:cstheme="minorHAnsi"/>
          <w:bCs/>
          <w:sz w:val="22"/>
          <w:szCs w:val="22"/>
        </w:rPr>
        <w:t xml:space="preserve">This is a hugely important question which requires careful consideration. While </w:t>
      </w:r>
      <w:r w:rsidRPr="00A83724">
        <w:rPr>
          <w:rFonts w:asciiTheme="minorHAnsi" w:hAnsiTheme="minorHAnsi" w:cstheme="minorHAnsi"/>
          <w:bCs/>
          <w:sz w:val="22"/>
          <w:szCs w:val="22"/>
        </w:rPr>
        <w:t xml:space="preserve">CIB </w:t>
      </w:r>
      <w:r w:rsidR="0030699D" w:rsidRPr="00A83724">
        <w:rPr>
          <w:rFonts w:asciiTheme="minorHAnsi" w:hAnsiTheme="minorHAnsi" w:cstheme="minorHAnsi"/>
          <w:bCs/>
          <w:sz w:val="22"/>
          <w:szCs w:val="22"/>
        </w:rPr>
        <w:t>does not feel that we are in a posit</w:t>
      </w:r>
      <w:r w:rsidRPr="00A83724">
        <w:rPr>
          <w:rFonts w:asciiTheme="minorHAnsi" w:hAnsiTheme="minorHAnsi" w:cstheme="minorHAnsi"/>
          <w:bCs/>
          <w:sz w:val="22"/>
          <w:szCs w:val="22"/>
        </w:rPr>
        <w:t>i</w:t>
      </w:r>
      <w:r w:rsidR="0030699D" w:rsidRPr="00A83724">
        <w:rPr>
          <w:rFonts w:asciiTheme="minorHAnsi" w:hAnsiTheme="minorHAnsi" w:cstheme="minorHAnsi"/>
          <w:bCs/>
          <w:sz w:val="22"/>
          <w:szCs w:val="22"/>
        </w:rPr>
        <w:t>on to provide a fully informed meaningful answer, we are of the view that safeguarding legi</w:t>
      </w:r>
      <w:r w:rsidR="00A83724">
        <w:rPr>
          <w:rFonts w:asciiTheme="minorHAnsi" w:hAnsiTheme="minorHAnsi" w:cstheme="minorHAnsi"/>
          <w:bCs/>
          <w:sz w:val="22"/>
          <w:szCs w:val="22"/>
        </w:rPr>
        <w:t>slation should include an offenc</w:t>
      </w:r>
      <w:r w:rsidR="0030699D" w:rsidRPr="00A83724">
        <w:rPr>
          <w:rFonts w:asciiTheme="minorHAnsi" w:hAnsiTheme="minorHAnsi" w:cstheme="minorHAnsi"/>
          <w:bCs/>
          <w:sz w:val="22"/>
          <w:szCs w:val="22"/>
        </w:rPr>
        <w:t xml:space="preserve">e of coercive control irrespective of family relationships. However, </w:t>
      </w:r>
      <w:r w:rsidR="00A83724">
        <w:rPr>
          <w:rFonts w:asciiTheme="minorHAnsi" w:hAnsiTheme="minorHAnsi" w:cstheme="minorHAnsi"/>
          <w:bCs/>
          <w:sz w:val="22"/>
          <w:szCs w:val="22"/>
        </w:rPr>
        <w:t>w</w:t>
      </w:r>
      <w:r w:rsidR="00FA0C83" w:rsidRPr="00A83724">
        <w:rPr>
          <w:rFonts w:asciiTheme="minorHAnsi" w:hAnsiTheme="minorHAnsi" w:cstheme="minorHAnsi"/>
          <w:bCs/>
          <w:sz w:val="22"/>
          <w:szCs w:val="22"/>
        </w:rPr>
        <w:t>hile d</w:t>
      </w:r>
      <w:r w:rsidR="0030699D" w:rsidRPr="00A83724">
        <w:rPr>
          <w:rFonts w:asciiTheme="minorHAnsi" w:hAnsiTheme="minorHAnsi" w:cstheme="minorHAnsi"/>
          <w:bCs/>
          <w:sz w:val="22"/>
          <w:szCs w:val="22"/>
        </w:rPr>
        <w:t xml:space="preserve">omestic violence legislation is </w:t>
      </w:r>
      <w:r w:rsidR="00FA0C83" w:rsidRPr="00A83724">
        <w:rPr>
          <w:rFonts w:asciiTheme="minorHAnsi" w:hAnsiTheme="minorHAnsi" w:cstheme="minorHAnsi"/>
          <w:bCs/>
          <w:sz w:val="22"/>
          <w:szCs w:val="22"/>
        </w:rPr>
        <w:t xml:space="preserve">an integral part </w:t>
      </w:r>
      <w:r w:rsidR="0030699D" w:rsidRPr="00A83724">
        <w:rPr>
          <w:rFonts w:asciiTheme="minorHAnsi" w:hAnsiTheme="minorHAnsi" w:cstheme="minorHAnsi"/>
          <w:bCs/>
          <w:sz w:val="22"/>
          <w:szCs w:val="22"/>
        </w:rPr>
        <w:t>of family law</w:t>
      </w:r>
      <w:r w:rsidR="00FA0C83" w:rsidRPr="00A83724">
        <w:rPr>
          <w:rFonts w:asciiTheme="minorHAnsi" w:hAnsiTheme="minorHAnsi" w:cstheme="minorHAnsi"/>
          <w:bCs/>
          <w:sz w:val="22"/>
          <w:szCs w:val="22"/>
        </w:rPr>
        <w:t>,</w:t>
      </w:r>
      <w:r w:rsidR="0030699D" w:rsidRPr="00A83724">
        <w:rPr>
          <w:rFonts w:asciiTheme="minorHAnsi" w:hAnsiTheme="minorHAnsi" w:cstheme="minorHAnsi"/>
          <w:bCs/>
          <w:sz w:val="22"/>
          <w:szCs w:val="22"/>
        </w:rPr>
        <w:t xml:space="preserve"> adult safeguarding legislation must be capable of addressing </w:t>
      </w:r>
      <w:r w:rsidR="00FA0C83" w:rsidRPr="00A83724">
        <w:rPr>
          <w:rFonts w:asciiTheme="minorHAnsi" w:hAnsiTheme="minorHAnsi" w:cstheme="minorHAnsi"/>
          <w:bCs/>
          <w:sz w:val="22"/>
          <w:szCs w:val="22"/>
        </w:rPr>
        <w:t xml:space="preserve">other broader </w:t>
      </w:r>
      <w:r w:rsidR="0030699D" w:rsidRPr="00A83724">
        <w:rPr>
          <w:rFonts w:asciiTheme="minorHAnsi" w:hAnsiTheme="minorHAnsi" w:cstheme="minorHAnsi"/>
          <w:bCs/>
          <w:sz w:val="22"/>
          <w:szCs w:val="22"/>
        </w:rPr>
        <w:t xml:space="preserve">issues </w:t>
      </w:r>
      <w:r w:rsidR="00FA0C83" w:rsidRPr="00A83724">
        <w:rPr>
          <w:rFonts w:asciiTheme="minorHAnsi" w:hAnsiTheme="minorHAnsi" w:cstheme="minorHAnsi"/>
          <w:bCs/>
          <w:sz w:val="22"/>
          <w:szCs w:val="22"/>
        </w:rPr>
        <w:t>relating to abuse of adults</w:t>
      </w:r>
      <w:r w:rsidR="00A83724">
        <w:rPr>
          <w:rFonts w:asciiTheme="minorHAnsi" w:hAnsiTheme="minorHAnsi" w:cstheme="minorHAnsi"/>
          <w:bCs/>
          <w:sz w:val="22"/>
          <w:szCs w:val="22"/>
        </w:rPr>
        <w:t>, including financial abuse.</w:t>
      </w:r>
    </w:p>
    <w:p w14:paraId="63589CC8" w14:textId="42B2B4B4" w:rsidR="00576F40" w:rsidRDefault="00576F40" w:rsidP="00194D15">
      <w:pPr>
        <w:spacing w:before="240"/>
        <w:rPr>
          <w:b/>
          <w:sz w:val="24"/>
          <w:szCs w:val="24"/>
        </w:rPr>
      </w:pPr>
      <w:r w:rsidRPr="00576F40">
        <w:rPr>
          <w:b/>
          <w:sz w:val="24"/>
          <w:szCs w:val="24"/>
        </w:rPr>
        <w:t>Issue 8: Reporting</w:t>
      </w:r>
    </w:p>
    <w:p w14:paraId="59839233" w14:textId="77777777" w:rsidR="00576F40" w:rsidRPr="00576F40" w:rsidRDefault="00FA0C83"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t xml:space="preserve">Q. 8.1 </w:t>
      </w:r>
      <w:r w:rsidR="00576F40" w:rsidRPr="00576F40">
        <w:rPr>
          <w:rFonts w:asciiTheme="minorHAnsi" w:hAnsiTheme="minorHAnsi" w:cstheme="minorHAnsi"/>
          <w:i/>
          <w:iCs/>
          <w:sz w:val="22"/>
          <w:szCs w:val="22"/>
        </w:rPr>
        <w:t xml:space="preserve">There are four possible reporting models for suspicions of abuse or neglect concerning adults within the scope of adult safeguarding legislation: </w:t>
      </w:r>
    </w:p>
    <w:p w14:paraId="278C9DCC"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76F40">
        <w:rPr>
          <w:rFonts w:asciiTheme="minorHAnsi" w:hAnsiTheme="minorHAnsi" w:cstheme="minorHAnsi"/>
          <w:i/>
          <w:iCs/>
          <w:sz w:val="22"/>
          <w:szCs w:val="22"/>
        </w:rPr>
        <w:t xml:space="preserve">(i) permissive reporting; </w:t>
      </w:r>
    </w:p>
    <w:p w14:paraId="588E6AD5"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76F40">
        <w:rPr>
          <w:rFonts w:asciiTheme="minorHAnsi" w:hAnsiTheme="minorHAnsi" w:cstheme="minorHAnsi"/>
          <w:i/>
          <w:iCs/>
          <w:sz w:val="22"/>
          <w:szCs w:val="22"/>
        </w:rPr>
        <w:t xml:space="preserve">(ii) universal mandatory reporting; </w:t>
      </w:r>
    </w:p>
    <w:p w14:paraId="6AA55168"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76F40">
        <w:rPr>
          <w:rFonts w:asciiTheme="minorHAnsi" w:hAnsiTheme="minorHAnsi" w:cstheme="minorHAnsi"/>
          <w:i/>
          <w:iCs/>
          <w:sz w:val="22"/>
          <w:szCs w:val="22"/>
        </w:rPr>
        <w:t xml:space="preserve">(iii) mandatory reporting by specific persons; </w:t>
      </w:r>
    </w:p>
    <w:p w14:paraId="6330EF6D"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76F40">
        <w:rPr>
          <w:rFonts w:asciiTheme="minorHAnsi" w:hAnsiTheme="minorHAnsi" w:cstheme="minorHAnsi"/>
          <w:i/>
          <w:iCs/>
          <w:sz w:val="22"/>
          <w:szCs w:val="22"/>
        </w:rPr>
        <w:t xml:space="preserve">(iv) a hybrid or “reportable incidents” model. </w:t>
      </w:r>
    </w:p>
    <w:p w14:paraId="675E10F8"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Pr>
          <w:rFonts w:asciiTheme="minorHAnsi" w:hAnsiTheme="minorHAnsi" w:cstheme="minorHAnsi"/>
          <w:i/>
          <w:iCs/>
          <w:sz w:val="22"/>
          <w:szCs w:val="22"/>
        </w:rPr>
        <w:br/>
      </w:r>
      <w:r w:rsidRPr="00576F40">
        <w:rPr>
          <w:rFonts w:asciiTheme="minorHAnsi" w:hAnsiTheme="minorHAnsi" w:cstheme="minorHAnsi"/>
          <w:i/>
          <w:iCs/>
          <w:sz w:val="22"/>
          <w:szCs w:val="22"/>
        </w:rPr>
        <w:t xml:space="preserve">In your opinion, which of these is the most appropriate model for reporting incidents of the abuse of adults within the scope of adult safeguarding legislation, or reporting reasonable suspicions regarding abuse of those adults? Please give reasons for your answer.  </w:t>
      </w:r>
    </w:p>
    <w:p w14:paraId="7922D24C" w14:textId="77777777" w:rsidR="00194D15" w:rsidRDefault="00576F40" w:rsidP="00194D15">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i/>
          <w:iCs/>
          <w:sz w:val="22"/>
          <w:szCs w:val="22"/>
        </w:rPr>
      </w:pPr>
      <w:r w:rsidRPr="00576F40">
        <w:rPr>
          <w:rFonts w:asciiTheme="minorHAnsi" w:hAnsiTheme="minorHAnsi" w:cstheme="minorHAnsi"/>
          <w:i/>
          <w:iCs/>
          <w:sz w:val="22"/>
          <w:szCs w:val="22"/>
        </w:rPr>
        <w:t xml:space="preserve">Q. 8.2 If the current permissive reporting model were to be retained, should it be placed on a statutory basis? If yes, should statutory protections be enacted for those who report concerns in good faith?  </w:t>
      </w:r>
    </w:p>
    <w:p w14:paraId="0F0F8F21" w14:textId="05365559" w:rsidR="00576F40" w:rsidRPr="00576F40" w:rsidRDefault="00576F40" w:rsidP="00194D15">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i/>
          <w:iCs/>
          <w:sz w:val="22"/>
          <w:szCs w:val="22"/>
        </w:rPr>
      </w:pPr>
      <w:r w:rsidRPr="00576F40">
        <w:rPr>
          <w:rFonts w:asciiTheme="minorHAnsi" w:hAnsiTheme="minorHAnsi" w:cstheme="minorHAnsi"/>
          <w:i/>
          <w:iCs/>
          <w:sz w:val="22"/>
          <w:szCs w:val="22"/>
        </w:rPr>
        <w:t xml:space="preserve">Q. 8.3 If a hybrid or “reportable incidents” model were to be enacted, to what incidents of abuse or neglect should mandatory reporting apply? Should mandatory reporting apply to financial abuse, for example? </w:t>
      </w:r>
    </w:p>
    <w:p w14:paraId="62F291DE" w14:textId="77777777" w:rsidR="00576F40" w:rsidRPr="00576F40" w:rsidRDefault="00576F40" w:rsidP="00576F40">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C72B6EE" w14:textId="77777777" w:rsidR="00FA0C83" w:rsidRPr="00FA0C83" w:rsidRDefault="00FA0C83" w:rsidP="003D7744">
      <w:pPr>
        <w:pStyle w:val="NoSpacing"/>
        <w:spacing w:before="240"/>
        <w:rPr>
          <w:rFonts w:cstheme="minorHAnsi"/>
          <w:b/>
          <w:bCs/>
        </w:rPr>
      </w:pPr>
      <w:r w:rsidRPr="00FA0C83">
        <w:rPr>
          <w:rFonts w:cstheme="minorHAnsi"/>
          <w:b/>
          <w:bCs/>
        </w:rPr>
        <w:t>Q 8.1</w:t>
      </w:r>
    </w:p>
    <w:p w14:paraId="67E09C14" w14:textId="32F3C633" w:rsidR="002C415F" w:rsidRDefault="00576F40" w:rsidP="00E10F49">
      <w:pPr>
        <w:pStyle w:val="NoSpacing"/>
        <w:spacing w:line="276" w:lineRule="auto"/>
        <w:rPr>
          <w:shd w:val="clear" w:color="auto" w:fill="FFFFFF"/>
        </w:rPr>
      </w:pPr>
      <w:r>
        <w:rPr>
          <w:rFonts w:cstheme="minorHAnsi"/>
          <w:bCs/>
        </w:rPr>
        <w:t xml:space="preserve">CIB believes that </w:t>
      </w:r>
      <w:r w:rsidR="00FA0C83">
        <w:rPr>
          <w:rFonts w:cstheme="minorHAnsi"/>
          <w:bCs/>
        </w:rPr>
        <w:t xml:space="preserve">the matter of universal </w:t>
      </w:r>
      <w:r>
        <w:rPr>
          <w:rFonts w:cstheme="minorHAnsi"/>
          <w:bCs/>
        </w:rPr>
        <w:t xml:space="preserve">mandatory reporting as outlined in the LRC Paper </w:t>
      </w:r>
      <w:r w:rsidR="00FA0C83">
        <w:rPr>
          <w:rFonts w:cstheme="minorHAnsi"/>
          <w:bCs/>
        </w:rPr>
        <w:t>should be looked at with caution. For example, t</w:t>
      </w:r>
      <w:r w:rsidR="002C415F">
        <w:rPr>
          <w:rFonts w:cstheme="minorHAnsi"/>
          <w:bCs/>
        </w:rPr>
        <w:t>here is a danger that</w:t>
      </w:r>
      <w:r w:rsidR="002C415F">
        <w:rPr>
          <w:shd w:val="clear" w:color="auto" w:fill="FFFFFF"/>
        </w:rPr>
        <w:t xml:space="preserve"> mandatory reporting could result in a situation where </w:t>
      </w:r>
      <w:r w:rsidR="00E10F49">
        <w:rPr>
          <w:shd w:val="clear" w:color="auto" w:fill="FFFFFF"/>
        </w:rPr>
        <w:t xml:space="preserve">a </w:t>
      </w:r>
      <w:r w:rsidR="0076635D">
        <w:rPr>
          <w:shd w:val="clear" w:color="auto" w:fill="FFFFFF"/>
        </w:rPr>
        <w:t xml:space="preserve">regulatory body </w:t>
      </w:r>
      <w:r w:rsidR="002C415F">
        <w:rPr>
          <w:shd w:val="clear" w:color="auto" w:fill="FFFFFF"/>
        </w:rPr>
        <w:t xml:space="preserve">would not be able to carry out its </w:t>
      </w:r>
      <w:r w:rsidR="00FA0C83">
        <w:rPr>
          <w:shd w:val="clear" w:color="auto" w:fill="FFFFFF"/>
        </w:rPr>
        <w:t xml:space="preserve">primary </w:t>
      </w:r>
      <w:r w:rsidR="002C415F">
        <w:rPr>
          <w:shd w:val="clear" w:color="auto" w:fill="FFFFFF"/>
        </w:rPr>
        <w:t>functions because of having to deal with a very high number of reports</w:t>
      </w:r>
      <w:r w:rsidR="00FA0C83">
        <w:rPr>
          <w:shd w:val="clear" w:color="auto" w:fill="FFFFFF"/>
        </w:rPr>
        <w:t xml:space="preserve"> of alleged abuse</w:t>
      </w:r>
      <w:r w:rsidR="002C415F">
        <w:rPr>
          <w:shd w:val="clear" w:color="auto" w:fill="FFFFFF"/>
        </w:rPr>
        <w:t>.</w:t>
      </w:r>
    </w:p>
    <w:p w14:paraId="2ED0A061" w14:textId="77777777" w:rsidR="00FA0C83" w:rsidRDefault="00FA0C83" w:rsidP="002C415F">
      <w:pPr>
        <w:pStyle w:val="NoSpacing"/>
        <w:rPr>
          <w:shd w:val="clear" w:color="auto" w:fill="FFFFFF"/>
        </w:rPr>
      </w:pPr>
    </w:p>
    <w:p w14:paraId="14A57F69" w14:textId="5BDEBCB6" w:rsidR="00576F40" w:rsidRDefault="003A1022" w:rsidP="009718EC">
      <w:pPr>
        <w:pStyle w:val="NoSpacing"/>
        <w:spacing w:line="276" w:lineRule="auto"/>
        <w:rPr>
          <w:rFonts w:cstheme="minorHAnsi"/>
          <w:bCs/>
        </w:rPr>
      </w:pPr>
      <w:r>
        <w:rPr>
          <w:shd w:val="clear" w:color="auto" w:fill="FFFFFF"/>
        </w:rPr>
        <w:t xml:space="preserve">While there are plausible arguments for universal mandatory reporting, on balance, </w:t>
      </w:r>
      <w:r w:rsidR="0072009A">
        <w:rPr>
          <w:shd w:val="clear" w:color="auto" w:fill="FFFFFF"/>
        </w:rPr>
        <w:t xml:space="preserve">CIB would favour a model of mandatory reporting by specified persons – social and health care professionals and volunteers working with </w:t>
      </w:r>
      <w:r>
        <w:rPr>
          <w:shd w:val="clear" w:color="auto" w:fill="FFFFFF"/>
        </w:rPr>
        <w:t xml:space="preserve">organisations registered under charities regulation legislation. </w:t>
      </w:r>
      <w:r w:rsidR="00576F40">
        <w:rPr>
          <w:rFonts w:cstheme="minorHAnsi"/>
          <w:bCs/>
        </w:rPr>
        <w:t xml:space="preserve">There should </w:t>
      </w:r>
      <w:r w:rsidR="002C415F">
        <w:rPr>
          <w:rFonts w:cstheme="minorHAnsi"/>
          <w:bCs/>
        </w:rPr>
        <w:t>also</w:t>
      </w:r>
      <w:r w:rsidR="00576F40">
        <w:rPr>
          <w:rFonts w:cstheme="minorHAnsi"/>
          <w:bCs/>
        </w:rPr>
        <w:t xml:space="preserve"> be a strong emphasis in the legislation and any related regulatory provisions on developing an ethos for the prevention of abuse and internal systems within organisations for monitoring compliance with such systems</w:t>
      </w:r>
      <w:r w:rsidR="00FA0C83">
        <w:rPr>
          <w:rFonts w:cstheme="minorHAnsi"/>
          <w:bCs/>
        </w:rPr>
        <w:t>, e.g., in financial institutions</w:t>
      </w:r>
      <w:r w:rsidR="00DC1C82">
        <w:rPr>
          <w:rFonts w:cstheme="minorHAnsi"/>
          <w:bCs/>
        </w:rPr>
        <w:t xml:space="preserve"> and </w:t>
      </w:r>
      <w:r w:rsidR="00FA0C83">
        <w:rPr>
          <w:rFonts w:cstheme="minorHAnsi"/>
          <w:bCs/>
        </w:rPr>
        <w:t xml:space="preserve">in </w:t>
      </w:r>
      <w:r w:rsidR="00654F77">
        <w:rPr>
          <w:rFonts w:cstheme="minorHAnsi"/>
          <w:bCs/>
        </w:rPr>
        <w:t xml:space="preserve">the </w:t>
      </w:r>
      <w:r w:rsidR="00FA0C83">
        <w:rPr>
          <w:rFonts w:cstheme="minorHAnsi"/>
          <w:bCs/>
        </w:rPr>
        <w:t>social welfare payment agency system.</w:t>
      </w:r>
      <w:r w:rsidR="00576F40">
        <w:rPr>
          <w:rFonts w:cstheme="minorHAnsi"/>
          <w:bCs/>
        </w:rPr>
        <w:t xml:space="preserve"> </w:t>
      </w:r>
    </w:p>
    <w:p w14:paraId="2C158E47" w14:textId="77777777" w:rsidR="002C415F" w:rsidRDefault="002C415F" w:rsidP="00576F40">
      <w:pPr>
        <w:pStyle w:val="BodyText"/>
        <w:rPr>
          <w:rFonts w:asciiTheme="minorHAnsi" w:hAnsiTheme="minorHAnsi" w:cstheme="minorHAnsi"/>
          <w:bCs/>
          <w:sz w:val="22"/>
          <w:szCs w:val="22"/>
        </w:rPr>
      </w:pPr>
    </w:p>
    <w:p w14:paraId="51FFF6EF" w14:textId="3C65E15F" w:rsidR="00576F40" w:rsidRDefault="00576F40" w:rsidP="009718EC">
      <w:pPr>
        <w:pStyle w:val="BodyText"/>
        <w:spacing w:line="276" w:lineRule="auto"/>
        <w:rPr>
          <w:rFonts w:asciiTheme="minorHAnsi" w:hAnsiTheme="minorHAnsi" w:cstheme="minorHAnsi"/>
          <w:bCs/>
          <w:sz w:val="22"/>
          <w:szCs w:val="22"/>
        </w:rPr>
      </w:pPr>
      <w:r>
        <w:rPr>
          <w:rFonts w:asciiTheme="minorHAnsi" w:hAnsiTheme="minorHAnsi"/>
          <w:sz w:val="22"/>
          <w:szCs w:val="22"/>
          <w:shd w:val="clear" w:color="auto" w:fill="FFFFFF"/>
        </w:rPr>
        <w:t>I</w:t>
      </w:r>
      <w:r w:rsidR="002C415F">
        <w:rPr>
          <w:rFonts w:asciiTheme="minorHAnsi" w:hAnsiTheme="minorHAnsi"/>
          <w:sz w:val="22"/>
          <w:szCs w:val="22"/>
          <w:shd w:val="clear" w:color="auto" w:fill="FFFFFF"/>
        </w:rPr>
        <w:t>t is likely that i</w:t>
      </w:r>
      <w:r>
        <w:rPr>
          <w:rFonts w:asciiTheme="minorHAnsi" w:hAnsiTheme="minorHAnsi"/>
          <w:sz w:val="22"/>
          <w:szCs w:val="22"/>
          <w:shd w:val="clear" w:color="auto" w:fill="FFFFFF"/>
        </w:rPr>
        <w:t>n many cases issues of abuse or neglect of vulnerable adults</w:t>
      </w:r>
      <w:r w:rsidR="002C415F">
        <w:rPr>
          <w:rFonts w:asciiTheme="minorHAnsi" w:hAnsiTheme="minorHAnsi"/>
          <w:sz w:val="22"/>
          <w:szCs w:val="22"/>
          <w:shd w:val="clear" w:color="auto" w:fill="FFFFFF"/>
        </w:rPr>
        <w:t xml:space="preserve"> can be resolved by the</w:t>
      </w:r>
      <w:r>
        <w:rPr>
          <w:rFonts w:asciiTheme="minorHAnsi" w:hAnsiTheme="minorHAnsi"/>
          <w:sz w:val="22"/>
          <w:szCs w:val="22"/>
          <w:shd w:val="clear" w:color="auto" w:fill="FFFFFF"/>
        </w:rPr>
        <w:t xml:space="preserve"> social worker or professional </w:t>
      </w:r>
      <w:r w:rsidR="00654F77">
        <w:rPr>
          <w:rFonts w:asciiTheme="minorHAnsi" w:hAnsiTheme="minorHAnsi"/>
          <w:sz w:val="22"/>
          <w:szCs w:val="22"/>
          <w:shd w:val="clear" w:color="auto" w:fill="FFFFFF"/>
        </w:rPr>
        <w:t xml:space="preserve">or service provider </w:t>
      </w:r>
      <w:r>
        <w:rPr>
          <w:rFonts w:asciiTheme="minorHAnsi" w:hAnsiTheme="minorHAnsi"/>
          <w:sz w:val="22"/>
          <w:szCs w:val="22"/>
          <w:shd w:val="clear" w:color="auto" w:fill="FFFFFF"/>
        </w:rPr>
        <w:t xml:space="preserve">involved establishing relationships and engendering trust in the relationship with both the </w:t>
      </w:r>
      <w:r w:rsidR="004D54DD">
        <w:rPr>
          <w:rFonts w:asciiTheme="minorHAnsi" w:hAnsiTheme="minorHAnsi"/>
          <w:sz w:val="22"/>
          <w:szCs w:val="22"/>
          <w:shd w:val="clear" w:color="auto" w:fill="FFFFFF"/>
        </w:rPr>
        <w:t xml:space="preserve">person experiencing abuse </w:t>
      </w:r>
      <w:r>
        <w:rPr>
          <w:rFonts w:asciiTheme="minorHAnsi" w:hAnsiTheme="minorHAnsi"/>
          <w:sz w:val="22"/>
          <w:szCs w:val="22"/>
          <w:shd w:val="clear" w:color="auto" w:fill="FFFFFF"/>
        </w:rPr>
        <w:t>and their family members. Mandatory reporting could adversely change the dynamic of relationships within families, and between families and professionals.</w:t>
      </w:r>
    </w:p>
    <w:p w14:paraId="184FD6C9" w14:textId="77777777" w:rsidR="00E10F49" w:rsidRDefault="00E10F49" w:rsidP="009718EC">
      <w:pPr>
        <w:rPr>
          <w:rFonts w:eastAsia="Times New Roman"/>
          <w:b/>
          <w:lang w:eastAsia="en-IE"/>
        </w:rPr>
      </w:pPr>
    </w:p>
    <w:p w14:paraId="1AE824F3" w14:textId="2576219A" w:rsidR="00D14AD9" w:rsidRDefault="00576F40" w:rsidP="009718EC">
      <w:pPr>
        <w:rPr>
          <w:rFonts w:eastAsia="Times New Roman"/>
          <w:lang w:eastAsia="en-IE"/>
        </w:rPr>
      </w:pPr>
      <w:r w:rsidRPr="002C415F">
        <w:rPr>
          <w:rFonts w:eastAsia="Times New Roman"/>
          <w:b/>
          <w:lang w:eastAsia="en-IE"/>
        </w:rPr>
        <w:t>Q 8.2</w:t>
      </w:r>
      <w:r w:rsidR="00FA0C83">
        <w:rPr>
          <w:rFonts w:eastAsia="Times New Roman"/>
          <w:b/>
          <w:lang w:eastAsia="en-IE"/>
        </w:rPr>
        <w:br/>
      </w:r>
      <w:r w:rsidR="002C415F" w:rsidRPr="00FA0C83">
        <w:rPr>
          <w:rFonts w:eastAsia="Times New Roman"/>
          <w:lang w:eastAsia="en-IE"/>
        </w:rPr>
        <w:t xml:space="preserve">CIB believes that </w:t>
      </w:r>
      <w:r w:rsidRPr="00FA0C83">
        <w:rPr>
          <w:rFonts w:eastAsia="Times New Roman"/>
          <w:lang w:eastAsia="en-IE"/>
        </w:rPr>
        <w:t xml:space="preserve">permissive reporting should be </w:t>
      </w:r>
      <w:r w:rsidR="003A1022">
        <w:rPr>
          <w:rFonts w:eastAsia="Times New Roman"/>
          <w:lang w:eastAsia="en-IE"/>
        </w:rPr>
        <w:t>encouraged but that this should not be a legislative requirement a</w:t>
      </w:r>
      <w:r w:rsidRPr="00FA0C83">
        <w:rPr>
          <w:rFonts w:eastAsia="Times New Roman"/>
          <w:lang w:eastAsia="en-IE"/>
        </w:rPr>
        <w:t>nd</w:t>
      </w:r>
      <w:r w:rsidR="002C415F" w:rsidRPr="00FA0C83">
        <w:rPr>
          <w:rFonts w:eastAsia="Times New Roman"/>
          <w:lang w:eastAsia="en-IE"/>
        </w:rPr>
        <w:t xml:space="preserve"> </w:t>
      </w:r>
      <w:r w:rsidRPr="00FA0C83">
        <w:rPr>
          <w:rFonts w:eastAsia="Times New Roman"/>
          <w:lang w:eastAsia="en-IE"/>
        </w:rPr>
        <w:t>that statutory protection should be available to those who report concerns in good faith.</w:t>
      </w:r>
      <w:r w:rsidR="00D14AD9">
        <w:rPr>
          <w:rFonts w:eastAsia="Times New Roman"/>
          <w:lang w:eastAsia="en-IE"/>
        </w:rPr>
        <w:t xml:space="preserve"> However, caution is required to minimise the number of unsubstantiated or vexatious allegations.</w:t>
      </w:r>
    </w:p>
    <w:p w14:paraId="1E33FD3E" w14:textId="77777777" w:rsidR="00716835" w:rsidRDefault="00716835" w:rsidP="000523AF">
      <w:pPr>
        <w:pStyle w:val="BodyText"/>
        <w:ind w:right="-1304"/>
        <w:rPr>
          <w:rFonts w:asciiTheme="minorHAnsi" w:hAnsiTheme="minorHAnsi" w:cstheme="minorHAnsi"/>
          <w:b/>
          <w:bCs/>
          <w:sz w:val="22"/>
          <w:szCs w:val="22"/>
        </w:rPr>
      </w:pPr>
    </w:p>
    <w:p w14:paraId="793385B2" w14:textId="5183E311" w:rsidR="00706B8C" w:rsidRDefault="00D14AD9" w:rsidP="000523AF">
      <w:pPr>
        <w:pStyle w:val="BodyText"/>
        <w:ind w:right="-1304"/>
        <w:rPr>
          <w:rFonts w:asciiTheme="minorHAnsi" w:hAnsiTheme="minorHAnsi" w:cstheme="minorHAnsi"/>
          <w:b/>
          <w:bCs/>
          <w:sz w:val="22"/>
          <w:szCs w:val="22"/>
        </w:rPr>
      </w:pPr>
      <w:r>
        <w:rPr>
          <w:rFonts w:asciiTheme="minorHAnsi" w:hAnsiTheme="minorHAnsi" w:cstheme="minorHAnsi"/>
          <w:b/>
          <w:bCs/>
          <w:sz w:val="22"/>
          <w:szCs w:val="22"/>
        </w:rPr>
        <w:t>Q 8.3</w:t>
      </w:r>
    </w:p>
    <w:p w14:paraId="53BDA691" w14:textId="50461C0F" w:rsidR="007059BF" w:rsidRDefault="003A1022" w:rsidP="007059BF">
      <w:r>
        <w:t xml:space="preserve">The </w:t>
      </w:r>
      <w:r w:rsidR="007059BF">
        <w:t>r</w:t>
      </w:r>
      <w:r>
        <w:t>e</w:t>
      </w:r>
      <w:r w:rsidR="007059BF">
        <w:t>fe</w:t>
      </w:r>
      <w:r>
        <w:t>renc</w:t>
      </w:r>
      <w:r w:rsidR="007059BF">
        <w:t xml:space="preserve">e </w:t>
      </w:r>
      <w:r>
        <w:t xml:space="preserve">in the LRC Paper (8.12) </w:t>
      </w:r>
      <w:r w:rsidR="007059BF">
        <w:t>to a</w:t>
      </w:r>
      <w:r w:rsidR="00DC1C82">
        <w:t>n Australian</w:t>
      </w:r>
      <w:r w:rsidR="00E03318" w:rsidRPr="00E03318">
        <w:t xml:space="preserve"> Law Reform Commissio</w:t>
      </w:r>
      <w:r w:rsidR="00E03318">
        <w:t xml:space="preserve">n </w:t>
      </w:r>
      <w:r w:rsidR="00DC1C82">
        <w:t xml:space="preserve">proposal </w:t>
      </w:r>
      <w:r w:rsidR="00E03318">
        <w:t xml:space="preserve">for </w:t>
      </w:r>
      <w:r w:rsidR="00DC1C82">
        <w:t>a</w:t>
      </w:r>
      <w:r w:rsidR="007059BF" w:rsidRPr="007059BF">
        <w:t xml:space="preserve"> reportable incidents type model or “serious incident response scheme”</w:t>
      </w:r>
      <w:r w:rsidR="007059BF">
        <w:t xml:space="preserve"> is worth further consideration. This </w:t>
      </w:r>
      <w:r w:rsidR="007059BF" w:rsidRPr="007059BF">
        <w:t>would require approved providers to notify to an independent oversight body: (a) an allegation or a suspicion on reasonable grounds of</w:t>
      </w:r>
      <w:r w:rsidR="007059BF">
        <w:t xml:space="preserve"> </w:t>
      </w:r>
      <w:r w:rsidR="007059BF" w:rsidRPr="007059BF">
        <w:t>a serious incident; and (b) the outcome of an investigation into a serious incident, incl</w:t>
      </w:r>
      <w:r w:rsidR="007059BF">
        <w:t>uding findings and action taken is useful. T</w:t>
      </w:r>
      <w:r w:rsidR="007059BF" w:rsidRPr="007059BF">
        <w:t xml:space="preserve">he </w:t>
      </w:r>
      <w:r w:rsidR="007059BF">
        <w:t>list of</w:t>
      </w:r>
      <w:r w:rsidR="007059BF" w:rsidRPr="007059BF">
        <w:t xml:space="preserve"> reportable incidents </w:t>
      </w:r>
      <w:r w:rsidR="007059BF">
        <w:t xml:space="preserve">included was </w:t>
      </w:r>
      <w:r w:rsidR="007059BF" w:rsidRPr="007059BF">
        <w:t xml:space="preserve">physical, sexual or financial abuse; seriously inappropriate, improper, inhumane or cruel treatment; unexplained serious injury; and neglect. </w:t>
      </w:r>
    </w:p>
    <w:p w14:paraId="67EFC0DB" w14:textId="110C2DAC" w:rsidR="004947FE" w:rsidRDefault="004947FE" w:rsidP="007059BF">
      <w:pPr>
        <w:rPr>
          <w:rFonts w:cstheme="minorHAnsi"/>
          <w:bCs/>
        </w:rPr>
      </w:pPr>
      <w:r>
        <w:rPr>
          <w:rFonts w:cstheme="minorHAnsi"/>
          <w:bCs/>
        </w:rPr>
        <w:t xml:space="preserve">CIB is of the view that </w:t>
      </w:r>
      <w:r w:rsidR="007059BF">
        <w:rPr>
          <w:rFonts w:cstheme="minorHAnsi"/>
          <w:bCs/>
        </w:rPr>
        <w:t xml:space="preserve">this </w:t>
      </w:r>
      <w:r>
        <w:rPr>
          <w:rFonts w:cstheme="minorHAnsi"/>
          <w:bCs/>
        </w:rPr>
        <w:t xml:space="preserve">‘reportable incidents’ </w:t>
      </w:r>
      <w:r w:rsidR="007059BF">
        <w:rPr>
          <w:rFonts w:cstheme="minorHAnsi"/>
          <w:bCs/>
        </w:rPr>
        <w:t xml:space="preserve">type </w:t>
      </w:r>
      <w:r>
        <w:rPr>
          <w:rFonts w:cstheme="minorHAnsi"/>
          <w:bCs/>
        </w:rPr>
        <w:t xml:space="preserve">model </w:t>
      </w:r>
      <w:r w:rsidR="007059BF">
        <w:rPr>
          <w:rFonts w:cstheme="minorHAnsi"/>
          <w:bCs/>
        </w:rPr>
        <w:t>h</w:t>
      </w:r>
      <w:r>
        <w:rPr>
          <w:rFonts w:cstheme="minorHAnsi"/>
          <w:bCs/>
        </w:rPr>
        <w:t xml:space="preserve">as </w:t>
      </w:r>
      <w:r w:rsidR="007059BF">
        <w:rPr>
          <w:rFonts w:cstheme="minorHAnsi"/>
          <w:bCs/>
        </w:rPr>
        <w:t xml:space="preserve">merit but may be </w:t>
      </w:r>
      <w:r>
        <w:rPr>
          <w:rFonts w:cstheme="minorHAnsi"/>
          <w:bCs/>
        </w:rPr>
        <w:t>difficult to implement in practice, in particular, identifying which type of incidents would be reportable.</w:t>
      </w:r>
      <w:r w:rsidR="007059BF">
        <w:rPr>
          <w:rFonts w:cstheme="minorHAnsi"/>
          <w:bCs/>
        </w:rPr>
        <w:t xml:space="preserve"> </w:t>
      </w:r>
      <w:r>
        <w:rPr>
          <w:rFonts w:cstheme="minorHAnsi"/>
          <w:bCs/>
        </w:rPr>
        <w:t>We are of the view that</w:t>
      </w:r>
      <w:r w:rsidR="005031A3">
        <w:rPr>
          <w:rFonts w:cstheme="minorHAnsi"/>
          <w:bCs/>
        </w:rPr>
        <w:t xml:space="preserve"> </w:t>
      </w:r>
      <w:r>
        <w:rPr>
          <w:rFonts w:cstheme="minorHAnsi"/>
          <w:bCs/>
        </w:rPr>
        <w:t xml:space="preserve">more </w:t>
      </w:r>
      <w:r w:rsidR="005031A3">
        <w:rPr>
          <w:rFonts w:cstheme="minorHAnsi"/>
          <w:bCs/>
        </w:rPr>
        <w:t>consideration n</w:t>
      </w:r>
      <w:r>
        <w:rPr>
          <w:rFonts w:cstheme="minorHAnsi"/>
          <w:bCs/>
        </w:rPr>
        <w:t xml:space="preserve">eeds to be </w:t>
      </w:r>
      <w:r w:rsidR="00E10F49">
        <w:rPr>
          <w:rFonts w:cstheme="minorHAnsi"/>
          <w:bCs/>
        </w:rPr>
        <w:t xml:space="preserve">given </w:t>
      </w:r>
      <w:r w:rsidR="005031A3">
        <w:rPr>
          <w:rFonts w:cstheme="minorHAnsi"/>
          <w:bCs/>
        </w:rPr>
        <w:t xml:space="preserve">to </w:t>
      </w:r>
      <w:r>
        <w:rPr>
          <w:rFonts w:cstheme="minorHAnsi"/>
          <w:bCs/>
        </w:rPr>
        <w:t>this complex area of mandatory reporting versus</w:t>
      </w:r>
      <w:r w:rsidR="007059BF">
        <w:rPr>
          <w:rFonts w:cstheme="minorHAnsi"/>
          <w:bCs/>
        </w:rPr>
        <w:t xml:space="preserve"> </w:t>
      </w:r>
      <w:r>
        <w:rPr>
          <w:rFonts w:cstheme="minorHAnsi"/>
          <w:bCs/>
        </w:rPr>
        <w:t xml:space="preserve">permissive reporting and that a further analysis of international experience </w:t>
      </w:r>
      <w:r w:rsidR="00E03318">
        <w:rPr>
          <w:rFonts w:cstheme="minorHAnsi"/>
          <w:bCs/>
        </w:rPr>
        <w:t xml:space="preserve">is warranted </w:t>
      </w:r>
      <w:r>
        <w:rPr>
          <w:rFonts w:cstheme="minorHAnsi"/>
          <w:bCs/>
        </w:rPr>
        <w:t xml:space="preserve">before finalising a </w:t>
      </w:r>
      <w:r w:rsidR="005031A3">
        <w:rPr>
          <w:rFonts w:cstheme="minorHAnsi"/>
          <w:bCs/>
        </w:rPr>
        <w:t xml:space="preserve">system </w:t>
      </w:r>
      <w:r>
        <w:rPr>
          <w:rFonts w:cstheme="minorHAnsi"/>
          <w:bCs/>
        </w:rPr>
        <w:t>for the Irish context.</w:t>
      </w:r>
      <w:r>
        <w:rPr>
          <w:rStyle w:val="FootnoteReference"/>
          <w:bCs/>
        </w:rPr>
        <w:footnoteReference w:id="21"/>
      </w:r>
    </w:p>
    <w:p w14:paraId="24E84DA2" w14:textId="77777777" w:rsidR="000C410A" w:rsidRDefault="000C410A" w:rsidP="004F41DF">
      <w:pPr>
        <w:spacing w:before="240"/>
        <w:rPr>
          <w:b/>
          <w:sz w:val="24"/>
          <w:szCs w:val="24"/>
        </w:rPr>
      </w:pPr>
      <w:r w:rsidRPr="000C410A">
        <w:rPr>
          <w:b/>
          <w:sz w:val="24"/>
          <w:szCs w:val="24"/>
        </w:rPr>
        <w:t>Issue 9: Independent Advocacy</w:t>
      </w:r>
    </w:p>
    <w:p w14:paraId="7EF700D0" w14:textId="5836BBE5"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B436A">
        <w:rPr>
          <w:rFonts w:asciiTheme="minorHAnsi" w:hAnsiTheme="minorHAnsi" w:cstheme="minorHAnsi"/>
          <w:i/>
          <w:iCs/>
          <w:sz w:val="22"/>
          <w:szCs w:val="22"/>
        </w:rPr>
        <w:t>Q. 9.1 Do you consider that there should be statutory provision for independent advocacy in the context of adult safeguarding?</w:t>
      </w:r>
      <w:r w:rsidR="00194D15">
        <w:rPr>
          <w:rFonts w:asciiTheme="minorHAnsi" w:hAnsiTheme="minorHAnsi" w:cstheme="minorHAnsi"/>
          <w:i/>
          <w:iCs/>
          <w:sz w:val="22"/>
          <w:szCs w:val="22"/>
        </w:rPr>
        <w:br/>
        <w:t xml:space="preserve"> </w:t>
      </w:r>
    </w:p>
    <w:p w14:paraId="64E717E8" w14:textId="77777777"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B436A">
        <w:rPr>
          <w:rFonts w:asciiTheme="minorHAnsi" w:hAnsiTheme="minorHAnsi" w:cstheme="minorHAnsi"/>
          <w:i/>
          <w:iCs/>
          <w:sz w:val="22"/>
          <w:szCs w:val="22"/>
        </w:rPr>
        <w:t xml:space="preserve">Q. 9.2 If the answer to Q.9.1 is yes, do you consider that: </w:t>
      </w:r>
    </w:p>
    <w:p w14:paraId="108D124D" w14:textId="77777777"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B436A">
        <w:rPr>
          <w:rFonts w:asciiTheme="minorHAnsi" w:hAnsiTheme="minorHAnsi" w:cstheme="minorHAnsi"/>
          <w:i/>
          <w:iCs/>
          <w:sz w:val="22"/>
          <w:szCs w:val="22"/>
        </w:rPr>
        <w:t xml:space="preserve">(a) it would be sufficient to commence the relevant provisions of the Citizens Information Act 2007 providing for a Personal Advocacy Service; or </w:t>
      </w:r>
    </w:p>
    <w:p w14:paraId="0F03C07C" w14:textId="77777777"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B436A">
        <w:rPr>
          <w:rFonts w:asciiTheme="minorHAnsi" w:hAnsiTheme="minorHAnsi" w:cstheme="minorHAnsi"/>
          <w:i/>
          <w:iCs/>
          <w:sz w:val="22"/>
          <w:szCs w:val="22"/>
        </w:rPr>
        <w:t xml:space="preserve">(b) additional statutory provisions should be enacted providing that advocacy services could be provided in addition to those under the 2007 Act?  </w:t>
      </w:r>
    </w:p>
    <w:p w14:paraId="1DFC047B" w14:textId="77777777"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5B436A">
        <w:rPr>
          <w:rFonts w:asciiTheme="minorHAnsi" w:hAnsiTheme="minorHAnsi" w:cstheme="minorHAnsi"/>
          <w:i/>
          <w:iCs/>
          <w:sz w:val="22"/>
          <w:szCs w:val="22"/>
        </w:rPr>
        <w:t xml:space="preserve">Please give reasons for your answer to (a) and (b). </w:t>
      </w:r>
    </w:p>
    <w:p w14:paraId="68449555" w14:textId="77777777" w:rsidR="009E57CB" w:rsidRPr="005B436A" w:rsidRDefault="009E57CB" w:rsidP="009E57CB">
      <w:pPr>
        <w:pStyle w:val="BodyText"/>
        <w:pBdr>
          <w:top w:val="single" w:sz="4" w:space="1" w:color="auto"/>
          <w:left w:val="single" w:sz="4" w:space="4" w:color="auto"/>
          <w:bottom w:val="single" w:sz="4" w:space="1" w:color="auto"/>
          <w:right w:val="single" w:sz="4" w:space="4" w:color="auto"/>
        </w:pBdr>
        <w:rPr>
          <w:i/>
          <w:sz w:val="22"/>
          <w:szCs w:val="22"/>
        </w:rPr>
      </w:pPr>
      <w:r w:rsidRPr="005B436A">
        <w:rPr>
          <w:rFonts w:asciiTheme="minorHAnsi" w:hAnsiTheme="minorHAnsi" w:cstheme="minorHAnsi"/>
          <w:i/>
          <w:iCs/>
          <w:sz w:val="22"/>
          <w:szCs w:val="22"/>
        </w:rPr>
        <w:br/>
        <w:t xml:space="preserve">Q. 9.3 If the answer to Q. 9.2(b) is yes, do you consider that there is a need for a national advocacy body in the context of adult safeguarding? If yes, do you believe that this should operate as an independent agency or that it should be located within an existing agency? </w:t>
      </w:r>
    </w:p>
    <w:p w14:paraId="2A21D5FE" w14:textId="77777777" w:rsidR="002D4B71" w:rsidRPr="005B436A" w:rsidRDefault="002D4B71" w:rsidP="004F41DF">
      <w:pPr>
        <w:rPr>
          <w:bdr w:val="none" w:sz="0" w:space="0" w:color="auto" w:frame="1"/>
        </w:rPr>
      </w:pPr>
    </w:p>
    <w:p w14:paraId="6F1B2B44" w14:textId="72EBD107" w:rsidR="00654F77" w:rsidRDefault="00D14AD9" w:rsidP="004F41DF">
      <w:r w:rsidRPr="005B436A">
        <w:rPr>
          <w:b/>
          <w:bdr w:val="none" w:sz="0" w:space="0" w:color="auto" w:frame="1"/>
        </w:rPr>
        <w:t>Q 9.1</w:t>
      </w:r>
      <w:r w:rsidR="000523AF">
        <w:rPr>
          <w:b/>
          <w:sz w:val="20"/>
          <w:szCs w:val="20"/>
          <w:bdr w:val="none" w:sz="0" w:space="0" w:color="auto" w:frame="1"/>
        </w:rPr>
        <w:br/>
      </w:r>
      <w:r w:rsidR="00B55AA8" w:rsidRPr="00FB007F">
        <w:rPr>
          <w:bdr w:val="none" w:sz="0" w:space="0" w:color="auto" w:frame="1"/>
        </w:rPr>
        <w:t>CIB operates on the basis that i</w:t>
      </w:r>
      <w:r w:rsidR="00B55AA8" w:rsidRPr="00FB007F">
        <w:t xml:space="preserve">ndependent advocacy has a </w:t>
      </w:r>
      <w:r w:rsidR="002E30B7">
        <w:t xml:space="preserve">fundamental </w:t>
      </w:r>
      <w:r w:rsidR="00B55AA8" w:rsidRPr="00FB007F">
        <w:t xml:space="preserve">role in </w:t>
      </w:r>
      <w:r w:rsidRPr="00FB007F">
        <w:t>enabling citizens generally to assert their rights and to access their statutory entitlements. A</w:t>
      </w:r>
      <w:r w:rsidRPr="00FB007F">
        <w:rPr>
          <w:bdr w:val="none" w:sz="0" w:space="0" w:color="auto" w:frame="1"/>
        </w:rPr>
        <w:t xml:space="preserve">s stated above under </w:t>
      </w:r>
      <w:r w:rsidRPr="00FB007F">
        <w:rPr>
          <w:i/>
          <w:bdr w:val="none" w:sz="0" w:space="0" w:color="auto" w:frame="1"/>
        </w:rPr>
        <w:t xml:space="preserve">Issue 1, </w:t>
      </w:r>
      <w:r w:rsidRPr="00FB007F">
        <w:rPr>
          <w:bdr w:val="none" w:sz="0" w:space="0" w:color="auto" w:frame="1"/>
        </w:rPr>
        <w:t xml:space="preserve">CIB delivery services (CISs, MABS and NAS) include advocacy as a key component of the services offered to the public. </w:t>
      </w:r>
      <w:r w:rsidR="00B55AA8" w:rsidRPr="00FB007F">
        <w:t>The principles of the UN Convention on the Rights of Persons with Disabilities and the provisions of the Assisted Decision-making (Capacity) Act are applied</w:t>
      </w:r>
      <w:r w:rsidR="00706B8C">
        <w:t xml:space="preserve"> by CIB delivery services</w:t>
      </w:r>
      <w:r w:rsidR="00E03318">
        <w:t xml:space="preserve">. </w:t>
      </w:r>
      <w:r>
        <w:t xml:space="preserve">Also, as stated above, NAS has a key role in ensuring that people with disabilities are safeguarded and that they are enabled to assert their rights and to have their voice heard. The role of NAS is particularly important in </w:t>
      </w:r>
      <w:r w:rsidR="004C3111">
        <w:t xml:space="preserve">residential care facilities </w:t>
      </w:r>
      <w:r w:rsidR="00654F77">
        <w:t xml:space="preserve">where </w:t>
      </w:r>
      <w:r w:rsidR="004C3111">
        <w:t xml:space="preserve">there are many adults </w:t>
      </w:r>
      <w:r w:rsidR="00654F77">
        <w:t>who are especially in need of safeguarding</w:t>
      </w:r>
      <w:r w:rsidR="004C3111">
        <w:t>.</w:t>
      </w:r>
    </w:p>
    <w:p w14:paraId="0057C02D" w14:textId="075A34EB" w:rsidR="00CE77FA" w:rsidRPr="002E30B7" w:rsidRDefault="00CE77FA" w:rsidP="004F41DF">
      <w:pPr>
        <w:rPr>
          <w:b/>
          <w:bdr w:val="none" w:sz="0" w:space="0" w:color="auto" w:frame="1"/>
        </w:rPr>
      </w:pPr>
      <w:r w:rsidRPr="002E30B7">
        <w:rPr>
          <w:bdr w:val="none" w:sz="0" w:space="0" w:color="auto" w:frame="1"/>
        </w:rPr>
        <w:t>The Áras Attracta Swinford Review Group (McCoy Review)</w:t>
      </w:r>
      <w:r w:rsidR="007059BF">
        <w:rPr>
          <w:rStyle w:val="FootnoteReference"/>
          <w:bdr w:val="none" w:sz="0" w:space="0" w:color="auto" w:frame="1"/>
        </w:rPr>
        <w:footnoteReference w:id="22"/>
      </w:r>
      <w:r w:rsidRPr="002E30B7">
        <w:rPr>
          <w:bdr w:val="none" w:sz="0" w:space="0" w:color="auto" w:frame="1"/>
        </w:rPr>
        <w:t xml:space="preserve"> i</w:t>
      </w:r>
      <w:r w:rsidR="00B80164" w:rsidRPr="002E30B7">
        <w:rPr>
          <w:bdr w:val="none" w:sz="0" w:space="0" w:color="auto" w:frame="1"/>
        </w:rPr>
        <w:t xml:space="preserve">ncluded </w:t>
      </w:r>
      <w:r w:rsidRPr="002E30B7">
        <w:rPr>
          <w:bdr w:val="none" w:sz="0" w:space="0" w:color="auto" w:frame="1"/>
        </w:rPr>
        <w:t>NAS as an instrumental part</w:t>
      </w:r>
      <w:r w:rsidR="00B80164" w:rsidRPr="002E30B7">
        <w:rPr>
          <w:bdr w:val="none" w:sz="0" w:space="0" w:color="auto" w:frame="1"/>
        </w:rPr>
        <w:t xml:space="preserve"> </w:t>
      </w:r>
      <w:r w:rsidRPr="002E30B7">
        <w:rPr>
          <w:bdr w:val="none" w:sz="0" w:space="0" w:color="auto" w:frame="1"/>
        </w:rPr>
        <w:t>of th</w:t>
      </w:r>
      <w:r w:rsidR="008A60D0" w:rsidRPr="002E30B7">
        <w:rPr>
          <w:bdr w:val="none" w:sz="0" w:space="0" w:color="auto" w:frame="1"/>
        </w:rPr>
        <w:t xml:space="preserve">e </w:t>
      </w:r>
      <w:r w:rsidRPr="002E30B7">
        <w:rPr>
          <w:bdr w:val="none" w:sz="0" w:space="0" w:color="auto" w:frame="1"/>
        </w:rPr>
        <w:t>revie</w:t>
      </w:r>
      <w:r w:rsidR="008A60D0" w:rsidRPr="002E30B7">
        <w:rPr>
          <w:bdr w:val="none" w:sz="0" w:space="0" w:color="auto" w:frame="1"/>
        </w:rPr>
        <w:t xml:space="preserve">w and recommended that the Department of Social Protection (now DEASP) should develop, in consultation with stakeholders, a strategy for developing advocacy and a code of practice for advocates, clearly setting out how the </w:t>
      </w:r>
      <w:r w:rsidR="00E03318">
        <w:rPr>
          <w:bdr w:val="none" w:sz="0" w:space="0" w:color="auto" w:frame="1"/>
        </w:rPr>
        <w:t xml:space="preserve">legal </w:t>
      </w:r>
      <w:r w:rsidR="008A60D0" w:rsidRPr="002E30B7">
        <w:rPr>
          <w:bdr w:val="none" w:sz="0" w:space="0" w:color="auto" w:frame="1"/>
        </w:rPr>
        <w:t xml:space="preserve">provisions </w:t>
      </w:r>
      <w:r w:rsidR="00E03318">
        <w:rPr>
          <w:bdr w:val="none" w:sz="0" w:space="0" w:color="auto" w:frame="1"/>
        </w:rPr>
        <w:t>would be</w:t>
      </w:r>
      <w:r w:rsidR="008A60D0" w:rsidRPr="002E30B7">
        <w:rPr>
          <w:bdr w:val="none" w:sz="0" w:space="0" w:color="auto" w:frame="1"/>
        </w:rPr>
        <w:t xml:space="preserve"> enacted. </w:t>
      </w:r>
    </w:p>
    <w:p w14:paraId="41742430" w14:textId="25252C61" w:rsidR="00D97236" w:rsidRPr="004F41DF" w:rsidRDefault="00CE77FA" w:rsidP="00D97236">
      <w:pPr>
        <w:rPr>
          <w:sz w:val="20"/>
          <w:szCs w:val="20"/>
        </w:rPr>
      </w:pPr>
      <w:r w:rsidRPr="002E30B7">
        <w:rPr>
          <w:bdr w:val="none" w:sz="0" w:space="0" w:color="auto" w:frame="1"/>
        </w:rPr>
        <w:t xml:space="preserve">In recent years, </w:t>
      </w:r>
      <w:r w:rsidR="002E30B7">
        <w:rPr>
          <w:bdr w:val="none" w:sz="0" w:space="0" w:color="auto" w:frame="1"/>
        </w:rPr>
        <w:t xml:space="preserve">CIB and </w:t>
      </w:r>
      <w:r w:rsidRPr="002E30B7">
        <w:rPr>
          <w:bdr w:val="none" w:sz="0" w:space="0" w:color="auto" w:frame="1"/>
        </w:rPr>
        <w:t xml:space="preserve">NAS has </w:t>
      </w:r>
      <w:r w:rsidR="00D97236" w:rsidRPr="002E30B7">
        <w:rPr>
          <w:bdr w:val="none" w:sz="0" w:space="0" w:color="auto" w:frame="1"/>
        </w:rPr>
        <w:t xml:space="preserve">sought legislation to give NAS statutory powers of access to people, services, documents, meetings and decision makers. </w:t>
      </w:r>
      <w:r w:rsidR="004F41DF" w:rsidRPr="002E30B7">
        <w:t xml:space="preserve">The need for statutory powers arises from resistance by </w:t>
      </w:r>
      <w:r w:rsidR="003830BD">
        <w:t xml:space="preserve">some </w:t>
      </w:r>
      <w:r w:rsidR="004F41DF" w:rsidRPr="002E30B7">
        <w:t xml:space="preserve">service providers to </w:t>
      </w:r>
      <w:r w:rsidR="003830BD">
        <w:t xml:space="preserve">the practice of independent </w:t>
      </w:r>
      <w:r w:rsidR="004F41DF" w:rsidRPr="002E30B7">
        <w:t xml:space="preserve">advocacy. </w:t>
      </w:r>
      <w:r w:rsidR="004C3111" w:rsidRPr="002E30B7">
        <w:rPr>
          <w:rFonts w:cs="Arial"/>
          <w:bdr w:val="none" w:sz="0" w:space="0" w:color="auto" w:frame="1"/>
        </w:rPr>
        <w:t>T</w:t>
      </w:r>
      <w:r w:rsidR="004F41DF" w:rsidRPr="002E30B7">
        <w:t xml:space="preserve">here </w:t>
      </w:r>
      <w:r w:rsidR="000523AF" w:rsidRPr="002E30B7">
        <w:t>is</w:t>
      </w:r>
      <w:r w:rsidR="004C3111" w:rsidRPr="002E30B7">
        <w:t xml:space="preserve"> </w:t>
      </w:r>
      <w:r w:rsidR="004F41DF" w:rsidRPr="002E30B7">
        <w:t xml:space="preserve">no current effective mechanism to compel service providers to support people with disabilities </w:t>
      </w:r>
      <w:r w:rsidR="004C3111" w:rsidRPr="002E30B7">
        <w:t xml:space="preserve">to </w:t>
      </w:r>
      <w:r w:rsidR="004F41DF" w:rsidRPr="002E30B7">
        <w:t>exercise their autonomy</w:t>
      </w:r>
      <w:r w:rsidR="004C3111" w:rsidRPr="002E30B7">
        <w:t xml:space="preserve"> and to a</w:t>
      </w:r>
      <w:r w:rsidR="003830BD">
        <w:t>cc</w:t>
      </w:r>
      <w:r w:rsidR="004C3111" w:rsidRPr="002E30B7">
        <w:t xml:space="preserve">ess an independent advocate which is a requirement </w:t>
      </w:r>
      <w:r w:rsidR="004F41DF" w:rsidRPr="002E30B7">
        <w:t>under HIQA standards</w:t>
      </w:r>
      <w:r w:rsidR="004C3111" w:rsidRPr="002E30B7">
        <w:t xml:space="preserve">. </w:t>
      </w:r>
      <w:r w:rsidR="004F41DF" w:rsidRPr="002E30B7">
        <w:t xml:space="preserve"> Statutory </w:t>
      </w:r>
      <w:r w:rsidR="00D97236" w:rsidRPr="002E30B7">
        <w:rPr>
          <w:rFonts w:cs="Arial"/>
          <w:bdr w:val="none" w:sz="0" w:space="0" w:color="auto" w:frame="1"/>
        </w:rPr>
        <w:t xml:space="preserve">powers are </w:t>
      </w:r>
      <w:r w:rsidR="004F41DF" w:rsidRPr="002E30B7">
        <w:rPr>
          <w:rFonts w:cs="Arial"/>
          <w:bdr w:val="none" w:sz="0" w:space="0" w:color="auto" w:frame="1"/>
        </w:rPr>
        <w:t xml:space="preserve">regarded as </w:t>
      </w:r>
      <w:r w:rsidR="00D97236" w:rsidRPr="002E30B7">
        <w:rPr>
          <w:rFonts w:cs="Arial"/>
          <w:bdr w:val="none" w:sz="0" w:space="0" w:color="auto" w:frame="1"/>
        </w:rPr>
        <w:t>crucial to ensuring that NAS advocates can effectively and efficiently provi</w:t>
      </w:r>
      <w:r w:rsidR="00D97236" w:rsidRPr="00D97236">
        <w:rPr>
          <w:rFonts w:cs="Arial"/>
          <w:bdr w:val="none" w:sz="0" w:space="0" w:color="auto" w:frame="1"/>
        </w:rPr>
        <w:t>de a service to people who</w:t>
      </w:r>
      <w:r w:rsidR="00D97236">
        <w:rPr>
          <w:rFonts w:cs="Arial"/>
          <w:bdr w:val="none" w:sz="0" w:space="0" w:color="auto" w:frame="1"/>
        </w:rPr>
        <w:t xml:space="preserve"> </w:t>
      </w:r>
      <w:r w:rsidR="00D97236" w:rsidRPr="00D97236">
        <w:rPr>
          <w:rFonts w:cs="Arial"/>
          <w:bdr w:val="none" w:sz="0" w:space="0" w:color="auto" w:frame="1"/>
        </w:rPr>
        <w:t>would benefit from advocacy.</w:t>
      </w:r>
      <w:r w:rsidR="00654F77">
        <w:rPr>
          <w:rStyle w:val="FootnoteReference"/>
          <w:bdr w:val="none" w:sz="0" w:space="0" w:color="auto" w:frame="1"/>
        </w:rPr>
        <w:footnoteReference w:id="23"/>
      </w:r>
      <w:r>
        <w:rPr>
          <w:rFonts w:cs="Arial"/>
          <w:bdr w:val="none" w:sz="0" w:space="0" w:color="auto" w:frame="1"/>
        </w:rPr>
        <w:t xml:space="preserve"> </w:t>
      </w:r>
    </w:p>
    <w:p w14:paraId="1F9D14DE" w14:textId="59ECEA7F" w:rsidR="00FE3493" w:rsidRPr="003562AF" w:rsidRDefault="00FE3493" w:rsidP="00520EC5">
      <w:r w:rsidRPr="003562AF">
        <w:rPr>
          <w:rFonts w:cs="Arial"/>
          <w:bdr w:val="none" w:sz="0" w:space="0" w:color="auto" w:frame="1"/>
        </w:rPr>
        <w:t>In 2018, NAS worked collaboratively with the Citizens Information Board to progress the case for statutory powers for NAS</w:t>
      </w:r>
      <w:r w:rsidR="0076635D">
        <w:rPr>
          <w:rFonts w:cs="Arial"/>
          <w:bdr w:val="none" w:sz="0" w:space="0" w:color="auto" w:frame="1"/>
        </w:rPr>
        <w:t xml:space="preserve"> and </w:t>
      </w:r>
      <w:r w:rsidR="00493FF9" w:rsidRPr="003562AF">
        <w:rPr>
          <w:bdr w:val="none" w:sz="0" w:space="0" w:color="auto" w:frame="1"/>
        </w:rPr>
        <w:t xml:space="preserve">the </w:t>
      </w:r>
      <w:r w:rsidRPr="003562AF">
        <w:rPr>
          <w:bdr w:val="none" w:sz="0" w:space="0" w:color="auto" w:frame="1"/>
        </w:rPr>
        <w:t>Minister for Employment Affairs and Social Protection</w:t>
      </w:r>
      <w:r w:rsidR="0076635D">
        <w:rPr>
          <w:bdr w:val="none" w:sz="0" w:space="0" w:color="auto" w:frame="1"/>
        </w:rPr>
        <w:t xml:space="preserve"> has</w:t>
      </w:r>
      <w:r w:rsidR="003562AF" w:rsidRPr="003562AF">
        <w:rPr>
          <w:bdr w:val="none" w:sz="0" w:space="0" w:color="auto" w:frame="1"/>
        </w:rPr>
        <w:t xml:space="preserve"> </w:t>
      </w:r>
      <w:r w:rsidR="00EE3061">
        <w:rPr>
          <w:bdr w:val="none" w:sz="0" w:space="0" w:color="auto" w:frame="1"/>
        </w:rPr>
        <w:t xml:space="preserve">expressed </w:t>
      </w:r>
      <w:r w:rsidRPr="003562AF">
        <w:rPr>
          <w:bdr w:val="none" w:sz="0" w:space="0" w:color="auto" w:frame="1"/>
        </w:rPr>
        <w:t>support for the legislative change to grant NAS advocates statutory powers of access.</w:t>
      </w:r>
      <w:r w:rsidR="00654F77">
        <w:rPr>
          <w:rStyle w:val="FootnoteReference"/>
        </w:rPr>
        <w:footnoteReference w:id="24"/>
      </w:r>
    </w:p>
    <w:p w14:paraId="683638D3" w14:textId="43FDDBB1" w:rsidR="00336D02" w:rsidRPr="00654F77" w:rsidRDefault="00CE77FA" w:rsidP="006E1C21">
      <w:pPr>
        <w:rPr>
          <w:lang w:val="en-GB"/>
        </w:rPr>
      </w:pPr>
      <w:r w:rsidRPr="00654F77">
        <w:t xml:space="preserve">NAS has also been contracted by the Department of Health </w:t>
      </w:r>
      <w:r w:rsidR="00336D02" w:rsidRPr="00654F77">
        <w:rPr>
          <w:lang w:val="en-GB"/>
        </w:rPr>
        <w:t xml:space="preserve">to </w:t>
      </w:r>
      <w:r w:rsidRPr="00654F77">
        <w:rPr>
          <w:lang w:val="en-GB"/>
        </w:rPr>
        <w:t xml:space="preserve">deliver the </w:t>
      </w:r>
      <w:r w:rsidR="00336D02" w:rsidRPr="00654F77">
        <w:rPr>
          <w:lang w:val="en-GB"/>
        </w:rPr>
        <w:t xml:space="preserve">Patient Advocacy Service </w:t>
      </w:r>
      <w:r w:rsidRPr="00654F77">
        <w:rPr>
          <w:lang w:val="en-GB"/>
        </w:rPr>
        <w:t xml:space="preserve">which had been recommended </w:t>
      </w:r>
      <w:r w:rsidR="00336D02" w:rsidRPr="00654F77">
        <w:rPr>
          <w:lang w:val="en-GB"/>
        </w:rPr>
        <w:t xml:space="preserve">by both HIQA and the </w:t>
      </w:r>
      <w:r w:rsidRPr="00654F77">
        <w:rPr>
          <w:lang w:val="en-GB"/>
        </w:rPr>
        <w:t>Office of the Ombudsman</w:t>
      </w:r>
      <w:r w:rsidR="00336D02" w:rsidRPr="00654F77">
        <w:rPr>
          <w:lang w:val="en-GB"/>
        </w:rPr>
        <w:t>.</w:t>
      </w:r>
      <w:r w:rsidR="006E1C21" w:rsidRPr="00654F77">
        <w:rPr>
          <w:lang w:val="en-GB"/>
        </w:rPr>
        <w:t xml:space="preserve"> This service (operational since 2019) </w:t>
      </w:r>
      <w:r w:rsidR="006E1C21" w:rsidRPr="00654F77">
        <w:rPr>
          <w:rFonts w:cs="Arial"/>
          <w:spacing w:val="3"/>
        </w:rPr>
        <w:t>provides people with an opportunity to talk to someone independent of the health service, provide</w:t>
      </w:r>
      <w:r w:rsidR="003830BD">
        <w:rPr>
          <w:rFonts w:cs="Arial"/>
          <w:spacing w:val="3"/>
        </w:rPr>
        <w:t>s</w:t>
      </w:r>
      <w:r w:rsidR="006E1C21" w:rsidRPr="00654F77">
        <w:rPr>
          <w:rFonts w:cs="Arial"/>
          <w:spacing w:val="3"/>
        </w:rPr>
        <w:t xml:space="preserve"> information about how to make a complaint and provide</w:t>
      </w:r>
      <w:r w:rsidR="00E03318">
        <w:rPr>
          <w:rFonts w:cs="Arial"/>
          <w:spacing w:val="3"/>
        </w:rPr>
        <w:t>s</w:t>
      </w:r>
      <w:r w:rsidR="006E1C21" w:rsidRPr="00654F77">
        <w:rPr>
          <w:rFonts w:cs="Arial"/>
          <w:spacing w:val="3"/>
        </w:rPr>
        <w:t xml:space="preserve"> the supports that may be needed throughout the complaints process. </w:t>
      </w:r>
      <w:r w:rsidR="00336D02" w:rsidRPr="00654F77">
        <w:rPr>
          <w:lang w:val="en-GB"/>
        </w:rPr>
        <w:t xml:space="preserve"> </w:t>
      </w:r>
    </w:p>
    <w:p w14:paraId="032EEEFE" w14:textId="5245A3A6" w:rsidR="00C8731D" w:rsidRDefault="008A60D0" w:rsidP="00C8731D">
      <w:pPr>
        <w:autoSpaceDE w:val="0"/>
        <w:autoSpaceDN w:val="0"/>
        <w:adjustRightInd w:val="0"/>
        <w:rPr>
          <w:b/>
        </w:rPr>
      </w:pPr>
      <w:r>
        <w:t>CIB believes that t</w:t>
      </w:r>
      <w:r w:rsidR="00C8731D">
        <w:t>h</w:t>
      </w:r>
      <w:r w:rsidR="00C8731D">
        <w:rPr>
          <w:rFonts w:hAnsi="Arial" w:cs="Arial"/>
          <w:szCs w:val="24"/>
        </w:rPr>
        <w:t>ere is a clear need for the State to respond directly to the advocacy needs of citizens</w:t>
      </w:r>
      <w:r>
        <w:rPr>
          <w:rFonts w:hAnsi="Arial" w:cs="Arial"/>
          <w:szCs w:val="24"/>
        </w:rPr>
        <w:t xml:space="preserve"> and to provide the necessary legislative underpinning</w:t>
      </w:r>
      <w:r w:rsidR="00C8731D">
        <w:rPr>
          <w:rFonts w:hAnsi="Arial" w:cs="Arial"/>
          <w:szCs w:val="24"/>
        </w:rPr>
        <w:t xml:space="preserve">. This approach is based on the notion of state responsibility for advocacy services, derived from international human rights norms. There are a number of domestic and international factors that suggest that the time is ripe for a refocusing on legislative provision for advocacy in Ireland.  </w:t>
      </w:r>
      <w:r w:rsidR="004C3111">
        <w:rPr>
          <w:rFonts w:hAnsi="Arial" w:cs="Arial"/>
          <w:szCs w:val="24"/>
        </w:rPr>
        <w:t>Th</w:t>
      </w:r>
      <w:r w:rsidR="00C8731D">
        <w:rPr>
          <w:rFonts w:hAnsi="Arial" w:cs="Arial"/>
          <w:szCs w:val="24"/>
        </w:rPr>
        <w:t>ese include the enactment of the Assist</w:t>
      </w:r>
      <w:r w:rsidR="003830BD">
        <w:rPr>
          <w:rFonts w:hAnsi="Arial" w:cs="Arial"/>
          <w:szCs w:val="24"/>
        </w:rPr>
        <w:t>ed</w:t>
      </w:r>
      <w:r w:rsidR="00C8731D">
        <w:rPr>
          <w:rFonts w:hAnsi="Arial" w:cs="Arial"/>
          <w:szCs w:val="24"/>
        </w:rPr>
        <w:t xml:space="preserve"> Decision-making (Capacity) Act 2015 and the ratification of the UN Convention on the Rights of Persons with Disabilities which </w:t>
      </w:r>
      <w:r w:rsidR="004C3111">
        <w:rPr>
          <w:rFonts w:hAnsi="Arial" w:cs="Arial"/>
          <w:szCs w:val="24"/>
        </w:rPr>
        <w:t xml:space="preserve">have </w:t>
      </w:r>
      <w:r w:rsidR="00C8731D">
        <w:rPr>
          <w:rFonts w:hAnsi="Arial" w:cs="Arial"/>
          <w:szCs w:val="24"/>
        </w:rPr>
        <w:t>create</w:t>
      </w:r>
      <w:r w:rsidR="004C3111">
        <w:rPr>
          <w:rFonts w:hAnsi="Arial" w:cs="Arial"/>
          <w:szCs w:val="24"/>
        </w:rPr>
        <w:t>d</w:t>
      </w:r>
      <w:r w:rsidR="00C8731D">
        <w:rPr>
          <w:rFonts w:hAnsi="Arial" w:cs="Arial"/>
          <w:szCs w:val="24"/>
        </w:rPr>
        <w:t xml:space="preserve"> a renewed focus on </w:t>
      </w:r>
      <w:r w:rsidR="004C3111">
        <w:rPr>
          <w:rFonts w:hAnsi="Arial" w:cs="Arial"/>
          <w:szCs w:val="24"/>
        </w:rPr>
        <w:t xml:space="preserve">the role of independent </w:t>
      </w:r>
      <w:r w:rsidR="00C8731D">
        <w:rPr>
          <w:rFonts w:hAnsi="Arial" w:cs="Arial"/>
          <w:szCs w:val="24"/>
        </w:rPr>
        <w:t xml:space="preserve">advocacy </w:t>
      </w:r>
      <w:r w:rsidR="001C04DE">
        <w:rPr>
          <w:rFonts w:hAnsi="Arial" w:cs="Arial"/>
          <w:szCs w:val="24"/>
        </w:rPr>
        <w:t xml:space="preserve">in </w:t>
      </w:r>
      <w:r w:rsidR="00C8731D">
        <w:rPr>
          <w:rFonts w:hAnsi="Arial" w:cs="Arial"/>
          <w:szCs w:val="24"/>
        </w:rPr>
        <w:t>protect</w:t>
      </w:r>
      <w:r w:rsidR="004C3111">
        <w:rPr>
          <w:rFonts w:hAnsi="Arial" w:cs="Arial"/>
          <w:szCs w:val="24"/>
        </w:rPr>
        <w:t>ing</w:t>
      </w:r>
      <w:r w:rsidR="00C8731D">
        <w:rPr>
          <w:rFonts w:hAnsi="Arial" w:cs="Arial"/>
          <w:szCs w:val="24"/>
        </w:rPr>
        <w:t xml:space="preserve"> and defend</w:t>
      </w:r>
      <w:r w:rsidR="004C3111">
        <w:rPr>
          <w:rFonts w:hAnsi="Arial" w:cs="Arial"/>
          <w:szCs w:val="24"/>
        </w:rPr>
        <w:t>ing</w:t>
      </w:r>
      <w:r w:rsidR="00C8731D">
        <w:rPr>
          <w:rFonts w:hAnsi="Arial" w:cs="Arial"/>
          <w:szCs w:val="24"/>
        </w:rPr>
        <w:t xml:space="preserve"> the rights of vulnerable adults in our society. </w:t>
      </w:r>
    </w:p>
    <w:p w14:paraId="3A932ECF" w14:textId="143FEE64" w:rsidR="004C3111" w:rsidRDefault="007B55D0" w:rsidP="002E30B7">
      <w:pPr>
        <w:spacing w:after="0"/>
        <w:rPr>
          <w:lang w:val="en"/>
        </w:rPr>
      </w:pPr>
      <w:r>
        <w:rPr>
          <w:rFonts w:hAnsi="Arial" w:cs="Arial"/>
          <w:szCs w:val="24"/>
        </w:rPr>
        <w:t>As far back as 1996, t</w:t>
      </w:r>
      <w:r w:rsidR="00C8731D">
        <w:rPr>
          <w:rFonts w:hAnsi="Arial" w:cs="Arial"/>
          <w:szCs w:val="24"/>
        </w:rPr>
        <w:t xml:space="preserve">he Report of the Commission on the Status of People with Disabilities, </w:t>
      </w:r>
      <w:r w:rsidR="00C8731D">
        <w:rPr>
          <w:rFonts w:hAnsi="Arial" w:cs="Arial"/>
          <w:i/>
          <w:szCs w:val="24"/>
        </w:rPr>
        <w:t>A Strategy for Equality</w:t>
      </w:r>
      <w:r w:rsidR="00C8731D">
        <w:rPr>
          <w:rFonts w:hAnsi="Arial" w:cs="Arial"/>
          <w:szCs w:val="24"/>
        </w:rPr>
        <w:t xml:space="preserve">, </w:t>
      </w:r>
      <w:r>
        <w:rPr>
          <w:rFonts w:hAnsi="Arial" w:cs="Arial"/>
          <w:szCs w:val="24"/>
        </w:rPr>
        <w:t xml:space="preserve">recommended </w:t>
      </w:r>
      <w:r w:rsidR="00C8731D">
        <w:rPr>
          <w:rFonts w:hAnsi="Arial" w:cs="Arial"/>
          <w:szCs w:val="24"/>
        </w:rPr>
        <w:t>that advocacy should be provided in institutional settings and that authority for this type of advocacy should be set out in legislation. The report also suggested that access to an advocate should be a legislative entitlement, where necessary to ensure access to justice or access to essential social services. However, in subsequent reports, this broad interpretation of advocacy was confined to the need for legal advocacy in the mental health care setting. This was recognised in the Mental Health Act 2001, which provides for a</w:t>
      </w:r>
      <w:r w:rsidR="00EE751F">
        <w:rPr>
          <w:rFonts w:hAnsi="Arial" w:cs="Arial"/>
          <w:szCs w:val="24"/>
        </w:rPr>
        <w:t xml:space="preserve"> </w:t>
      </w:r>
      <w:r w:rsidR="00C8731D">
        <w:rPr>
          <w:rFonts w:hAnsi="Arial" w:cs="Arial"/>
          <w:szCs w:val="24"/>
        </w:rPr>
        <w:t>person to be appointed independent legal representation in the review process of involuntary detention.</w:t>
      </w:r>
      <w:r w:rsidR="00C8731D">
        <w:rPr>
          <w:rStyle w:val="FootnoteReference"/>
        </w:rPr>
        <w:footnoteReference w:id="25"/>
      </w:r>
      <w:r w:rsidR="000523AF">
        <w:rPr>
          <w:rFonts w:hAnsi="Arial" w:cs="Arial"/>
          <w:szCs w:val="24"/>
        </w:rPr>
        <w:br/>
      </w:r>
    </w:p>
    <w:p w14:paraId="1B3B401E" w14:textId="3CB23EDB" w:rsidR="008D783C" w:rsidRDefault="004C3111" w:rsidP="008E15A2">
      <w:r>
        <w:rPr>
          <w:lang w:val="en"/>
        </w:rPr>
        <w:t xml:space="preserve">It is now opportune and necessary to make appropriate legal provision for access to independent advocacy. </w:t>
      </w:r>
      <w:r>
        <w:t xml:space="preserve">CIB notes that </w:t>
      </w:r>
      <w:r w:rsidR="007059BF">
        <w:t>t</w:t>
      </w:r>
      <w:r>
        <w:t>he Adult Safeguarding Bill 2017 makes provisions for adults at risk accessing an independent advocate</w:t>
      </w:r>
      <w:r>
        <w:rPr>
          <w:rStyle w:val="FootnoteReference"/>
        </w:rPr>
        <w:footnoteReference w:id="26"/>
      </w:r>
      <w:r>
        <w:t>.</w:t>
      </w:r>
      <w:r>
        <w:rPr>
          <w:rFonts w:ascii="Times New Roman" w:hAnsi="Times New Roman" w:cs="Times New Roman"/>
          <w:lang w:eastAsia="en-IE"/>
        </w:rPr>
        <w:t xml:space="preserve"> </w:t>
      </w:r>
      <w:r>
        <w:rPr>
          <w:lang w:val="en"/>
        </w:rPr>
        <w:t>Under th</w:t>
      </w:r>
      <w:r w:rsidR="001C04DE">
        <w:rPr>
          <w:lang w:val="en"/>
        </w:rPr>
        <w:t xml:space="preserve">is (now lapsed) Private Members </w:t>
      </w:r>
      <w:r>
        <w:rPr>
          <w:lang w:val="en"/>
        </w:rPr>
        <w:t xml:space="preserve">Bill, the </w:t>
      </w:r>
      <w:r w:rsidR="004F3A1C">
        <w:rPr>
          <w:lang w:val="en"/>
        </w:rPr>
        <w:t xml:space="preserve">proposed </w:t>
      </w:r>
      <w:r>
        <w:rPr>
          <w:lang w:val="en"/>
        </w:rPr>
        <w:t xml:space="preserve">Safeguarding Authority </w:t>
      </w:r>
      <w:r w:rsidR="004F3A1C">
        <w:rPr>
          <w:lang w:val="en"/>
        </w:rPr>
        <w:t xml:space="preserve">can arrange </w:t>
      </w:r>
      <w:r>
        <w:rPr>
          <w:lang w:val="en"/>
        </w:rPr>
        <w:t xml:space="preserve">for a person who is independent (an ‘independent advocate’) to be available to represent and support an individual. </w:t>
      </w:r>
      <w:r w:rsidR="008D783C" w:rsidRPr="008D783C">
        <w:t xml:space="preserve"> </w:t>
      </w:r>
    </w:p>
    <w:p w14:paraId="3B779F4E" w14:textId="687738CB" w:rsidR="004C3111" w:rsidRDefault="004C3111" w:rsidP="004C3111">
      <w:pPr>
        <w:rPr>
          <w:lang w:val="en"/>
        </w:rPr>
      </w:pPr>
      <w:r>
        <w:rPr>
          <w:lang w:val="en"/>
        </w:rPr>
        <w:t>The condition for appointment of an independent advocate is that the Authority considers that, were an independent advocate not to be available, the individual would experience substantial difficulty in doing one or more of the following:</w:t>
      </w:r>
    </w:p>
    <w:p w14:paraId="40CAA022" w14:textId="13065954" w:rsidR="00CE1CF9" w:rsidRDefault="00CE1CF9" w:rsidP="00CE1CF9">
      <w:pPr>
        <w:pStyle w:val="ListParagraph"/>
        <w:numPr>
          <w:ilvl w:val="0"/>
          <w:numId w:val="45"/>
        </w:numPr>
        <w:rPr>
          <w:lang w:val="en"/>
        </w:rPr>
      </w:pPr>
      <w:r>
        <w:rPr>
          <w:lang w:val="en"/>
        </w:rPr>
        <w:t>Understanding relevant information;</w:t>
      </w:r>
    </w:p>
    <w:p w14:paraId="759DA788" w14:textId="19226587" w:rsidR="00CE1CF9" w:rsidRDefault="00CE1CF9" w:rsidP="00CE1CF9">
      <w:pPr>
        <w:pStyle w:val="ListParagraph"/>
        <w:numPr>
          <w:ilvl w:val="0"/>
          <w:numId w:val="45"/>
        </w:numPr>
        <w:rPr>
          <w:lang w:val="en"/>
        </w:rPr>
      </w:pPr>
      <w:r>
        <w:rPr>
          <w:lang w:val="en"/>
        </w:rPr>
        <w:t>Retaining that information;</w:t>
      </w:r>
    </w:p>
    <w:p w14:paraId="579D9ACC" w14:textId="1BC643E6" w:rsidR="00CE1CF9" w:rsidRDefault="00CE1CF9" w:rsidP="00CE1CF9">
      <w:pPr>
        <w:pStyle w:val="ListParagraph"/>
        <w:numPr>
          <w:ilvl w:val="0"/>
          <w:numId w:val="45"/>
        </w:numPr>
        <w:rPr>
          <w:lang w:val="en"/>
        </w:rPr>
      </w:pPr>
      <w:r>
        <w:rPr>
          <w:lang w:val="en"/>
        </w:rPr>
        <w:t>Using or weighing that information as part of the process of being involved;</w:t>
      </w:r>
    </w:p>
    <w:p w14:paraId="20279A76" w14:textId="4065A4E9" w:rsidR="00CE1CF9" w:rsidRPr="00CE1CF9" w:rsidRDefault="00CE1CF9" w:rsidP="00CE1CF9">
      <w:pPr>
        <w:pStyle w:val="ListParagraph"/>
        <w:numPr>
          <w:ilvl w:val="0"/>
          <w:numId w:val="45"/>
        </w:numPr>
        <w:rPr>
          <w:lang w:val="en"/>
        </w:rPr>
      </w:pPr>
      <w:r>
        <w:rPr>
          <w:lang w:val="en"/>
        </w:rPr>
        <w:t>Communicating the individual’s views, wishes or feelings (whether by talking, using sign language or any other means). 12 (3)</w:t>
      </w:r>
    </w:p>
    <w:p w14:paraId="3B58170B" w14:textId="575A176D" w:rsidR="004C3111" w:rsidRDefault="004C3111" w:rsidP="004C3111">
      <w:pPr>
        <w:rPr>
          <w:lang w:val="en"/>
        </w:rPr>
      </w:pPr>
      <w:r>
        <w:t xml:space="preserve">It is also noted that </w:t>
      </w:r>
      <w:r>
        <w:rPr>
          <w:lang w:val="en"/>
        </w:rPr>
        <w:t xml:space="preserve">The </w:t>
      </w:r>
      <w:r>
        <w:t xml:space="preserve">Assisted Decision-making (Capacity) Act 2015 makes provision for the Director of the Decision Support Service to prepare and publish a code of practice (or approve of a code of practice prepared by another body) </w:t>
      </w:r>
      <w:r>
        <w:rPr>
          <w:lang w:val="en"/>
        </w:rPr>
        <w:t>for the guidance of persons acting as advocates on behalf o</w:t>
      </w:r>
      <w:r w:rsidR="00124B18">
        <w:rPr>
          <w:lang w:val="en"/>
        </w:rPr>
        <w:t>f relevant persons.</w:t>
      </w:r>
      <w:r w:rsidR="00F561A1">
        <w:rPr>
          <w:lang w:val="en"/>
        </w:rPr>
        <w:t xml:space="preserve"> CIB understands that work is progressing on compiling this </w:t>
      </w:r>
      <w:r w:rsidR="003A6D4F">
        <w:rPr>
          <w:lang w:val="en"/>
        </w:rPr>
        <w:t>C</w:t>
      </w:r>
      <w:r w:rsidR="00F561A1">
        <w:rPr>
          <w:lang w:val="en"/>
        </w:rPr>
        <w:t>ode.</w:t>
      </w:r>
    </w:p>
    <w:p w14:paraId="5DAFF101" w14:textId="6CB56C92" w:rsidR="004F3A1C" w:rsidRPr="00E03318" w:rsidRDefault="004C3111" w:rsidP="00E10F49">
      <w:pPr>
        <w:pStyle w:val="CommentText"/>
        <w:spacing w:line="276" w:lineRule="auto"/>
        <w:rPr>
          <w:rFonts w:asciiTheme="minorHAnsi" w:hAnsiTheme="minorHAnsi"/>
          <w:sz w:val="22"/>
          <w:szCs w:val="22"/>
        </w:rPr>
      </w:pPr>
      <w:r>
        <w:rPr>
          <w:b/>
          <w:szCs w:val="24"/>
        </w:rPr>
        <w:t>Q 9.2</w:t>
      </w:r>
      <w:r>
        <w:rPr>
          <w:szCs w:val="24"/>
        </w:rPr>
        <w:br/>
      </w:r>
      <w:r w:rsidR="00C8731D" w:rsidRPr="00E03318">
        <w:rPr>
          <w:rFonts w:asciiTheme="minorHAnsi" w:hAnsiTheme="minorHAnsi"/>
          <w:sz w:val="22"/>
          <w:szCs w:val="22"/>
        </w:rPr>
        <w:t xml:space="preserve">While the introduction of the Personal Advocacy Service </w:t>
      </w:r>
      <w:r w:rsidRPr="00E03318">
        <w:rPr>
          <w:rFonts w:asciiTheme="minorHAnsi" w:hAnsiTheme="minorHAnsi"/>
          <w:sz w:val="22"/>
          <w:szCs w:val="22"/>
        </w:rPr>
        <w:t xml:space="preserve">provided for under </w:t>
      </w:r>
      <w:r w:rsidR="0077471B" w:rsidRPr="00E03318">
        <w:rPr>
          <w:rFonts w:asciiTheme="minorHAnsi" w:hAnsiTheme="minorHAnsi"/>
          <w:sz w:val="22"/>
          <w:szCs w:val="22"/>
        </w:rPr>
        <w:t xml:space="preserve">the Citizens Information Act 2007 </w:t>
      </w:r>
      <w:r w:rsidR="000A0793" w:rsidRPr="00E03318">
        <w:rPr>
          <w:rFonts w:asciiTheme="minorHAnsi" w:hAnsiTheme="minorHAnsi"/>
          <w:sz w:val="22"/>
          <w:szCs w:val="22"/>
        </w:rPr>
        <w:t xml:space="preserve">was </w:t>
      </w:r>
      <w:r w:rsidR="0077471B" w:rsidRPr="00E03318">
        <w:rPr>
          <w:rFonts w:asciiTheme="minorHAnsi" w:hAnsiTheme="minorHAnsi"/>
          <w:sz w:val="22"/>
          <w:szCs w:val="22"/>
        </w:rPr>
        <w:t xml:space="preserve">widely </w:t>
      </w:r>
      <w:r w:rsidR="000A0793" w:rsidRPr="00E03318">
        <w:rPr>
          <w:rFonts w:asciiTheme="minorHAnsi" w:hAnsiTheme="minorHAnsi"/>
          <w:sz w:val="22"/>
          <w:szCs w:val="22"/>
        </w:rPr>
        <w:t>welcomed at the time</w:t>
      </w:r>
      <w:r w:rsidR="0077471B" w:rsidRPr="00E03318">
        <w:rPr>
          <w:rFonts w:asciiTheme="minorHAnsi" w:hAnsiTheme="minorHAnsi"/>
          <w:sz w:val="22"/>
          <w:szCs w:val="22"/>
        </w:rPr>
        <w:t xml:space="preserve"> by people with disabilities and their representative organisations</w:t>
      </w:r>
      <w:r w:rsidR="00C8731D" w:rsidRPr="00E03318">
        <w:rPr>
          <w:rFonts w:asciiTheme="minorHAnsi" w:hAnsiTheme="minorHAnsi"/>
          <w:sz w:val="22"/>
          <w:szCs w:val="22"/>
        </w:rPr>
        <w:t xml:space="preserve">, </w:t>
      </w:r>
      <w:r w:rsidR="008D783C" w:rsidRPr="00E03318">
        <w:rPr>
          <w:rFonts w:asciiTheme="minorHAnsi" w:hAnsiTheme="minorHAnsi"/>
          <w:sz w:val="22"/>
          <w:szCs w:val="22"/>
        </w:rPr>
        <w:t xml:space="preserve">this piece of the </w:t>
      </w:r>
      <w:r w:rsidR="00D5400F">
        <w:rPr>
          <w:rFonts w:asciiTheme="minorHAnsi" w:hAnsiTheme="minorHAnsi"/>
          <w:sz w:val="22"/>
          <w:szCs w:val="22"/>
        </w:rPr>
        <w:t>legislation was never activated due to the recession.</w:t>
      </w:r>
      <w:r w:rsidR="00E03318" w:rsidRPr="00E03318">
        <w:rPr>
          <w:rFonts w:asciiTheme="minorHAnsi" w:hAnsiTheme="minorHAnsi"/>
          <w:sz w:val="22"/>
          <w:szCs w:val="22"/>
        </w:rPr>
        <w:t xml:space="preserve"> </w:t>
      </w:r>
      <w:r w:rsidR="001C6F80" w:rsidRPr="00E03318">
        <w:rPr>
          <w:rFonts w:asciiTheme="minorHAnsi" w:hAnsiTheme="minorHAnsi"/>
          <w:sz w:val="22"/>
          <w:szCs w:val="22"/>
        </w:rPr>
        <w:t xml:space="preserve">Because of changes in thinking in the intervening period and, </w:t>
      </w:r>
      <w:r w:rsidR="00D5400F">
        <w:rPr>
          <w:rFonts w:asciiTheme="minorHAnsi" w:hAnsiTheme="minorHAnsi"/>
          <w:sz w:val="22"/>
          <w:szCs w:val="22"/>
        </w:rPr>
        <w:t xml:space="preserve">particularly, the emergence of </w:t>
      </w:r>
      <w:r w:rsidR="001C6F80" w:rsidRPr="00E03318">
        <w:rPr>
          <w:rFonts w:asciiTheme="minorHAnsi" w:hAnsiTheme="minorHAnsi"/>
          <w:sz w:val="22"/>
          <w:szCs w:val="22"/>
        </w:rPr>
        <w:t xml:space="preserve">strong policy emphasis on enabling people to assert their rights, </w:t>
      </w:r>
      <w:r w:rsidR="00D5400F">
        <w:rPr>
          <w:rFonts w:asciiTheme="minorHAnsi" w:hAnsiTheme="minorHAnsi"/>
          <w:sz w:val="22"/>
          <w:szCs w:val="22"/>
        </w:rPr>
        <w:t xml:space="preserve">CIB is of the view that </w:t>
      </w:r>
      <w:r w:rsidR="001C6F80" w:rsidRPr="00E03318">
        <w:rPr>
          <w:rFonts w:asciiTheme="minorHAnsi" w:hAnsiTheme="minorHAnsi"/>
          <w:sz w:val="22"/>
          <w:szCs w:val="22"/>
        </w:rPr>
        <w:t>the Personal Advocacy Service (PAS) as provided for in the 2007</w:t>
      </w:r>
      <w:r w:rsidR="00D5400F">
        <w:rPr>
          <w:rFonts w:asciiTheme="minorHAnsi" w:hAnsiTheme="minorHAnsi"/>
          <w:sz w:val="22"/>
          <w:szCs w:val="22"/>
        </w:rPr>
        <w:t xml:space="preserve"> </w:t>
      </w:r>
      <w:r w:rsidR="001C6F80" w:rsidRPr="00E03318">
        <w:rPr>
          <w:rFonts w:asciiTheme="minorHAnsi" w:hAnsiTheme="minorHAnsi"/>
          <w:sz w:val="22"/>
          <w:szCs w:val="22"/>
        </w:rPr>
        <w:t xml:space="preserve"> legislation no longer meets the needs of  people </w:t>
      </w:r>
      <w:r w:rsidR="00045C1B" w:rsidRPr="00E03318">
        <w:rPr>
          <w:rFonts w:asciiTheme="minorHAnsi" w:hAnsiTheme="minorHAnsi"/>
          <w:sz w:val="22"/>
          <w:szCs w:val="22"/>
        </w:rPr>
        <w:t>w</w:t>
      </w:r>
      <w:r w:rsidR="001C6F80" w:rsidRPr="00E03318">
        <w:rPr>
          <w:rFonts w:asciiTheme="minorHAnsi" w:hAnsiTheme="minorHAnsi"/>
          <w:sz w:val="22"/>
          <w:szCs w:val="22"/>
        </w:rPr>
        <w:t>ho require independent advocacy</w:t>
      </w:r>
      <w:r w:rsidR="00D5400F">
        <w:rPr>
          <w:rFonts w:asciiTheme="minorHAnsi" w:hAnsiTheme="minorHAnsi"/>
          <w:sz w:val="22"/>
          <w:szCs w:val="22"/>
        </w:rPr>
        <w:t xml:space="preserve"> </w:t>
      </w:r>
      <w:r w:rsidR="00D5400F">
        <w:rPr>
          <w:lang w:val="en-GB"/>
        </w:rPr>
        <w:t>a</w:t>
      </w:r>
      <w:r w:rsidR="00D5400F" w:rsidRPr="007F3F09">
        <w:rPr>
          <w:rFonts w:asciiTheme="minorHAnsi" w:hAnsiTheme="minorHAnsi" w:cstheme="minorHAnsi"/>
          <w:sz w:val="22"/>
          <w:szCs w:val="22"/>
          <w:lang w:val="en-GB"/>
        </w:rPr>
        <w:t>s the provisions are too prescriptive and restrictive</w:t>
      </w:r>
      <w:r w:rsidR="001C6F80" w:rsidRPr="007F3F09">
        <w:rPr>
          <w:rFonts w:asciiTheme="minorHAnsi" w:hAnsiTheme="minorHAnsi" w:cstheme="minorHAnsi"/>
          <w:sz w:val="22"/>
          <w:szCs w:val="22"/>
        </w:rPr>
        <w:t xml:space="preserve">. </w:t>
      </w:r>
      <w:r w:rsidR="00045C1B" w:rsidRPr="007F3F09">
        <w:rPr>
          <w:rFonts w:asciiTheme="minorHAnsi" w:hAnsiTheme="minorHAnsi" w:cstheme="minorHAnsi"/>
          <w:sz w:val="22"/>
          <w:szCs w:val="22"/>
        </w:rPr>
        <w:t>For example,</w:t>
      </w:r>
      <w:r w:rsidR="001C6F80" w:rsidRPr="007F3F09">
        <w:rPr>
          <w:rFonts w:asciiTheme="minorHAnsi" w:hAnsiTheme="minorHAnsi" w:cstheme="minorHAnsi"/>
          <w:sz w:val="22"/>
          <w:szCs w:val="22"/>
        </w:rPr>
        <w:t xml:space="preserve"> there is no provision in the 2007 legislation for pro-active outreach to vulnerable groups, e.g., those in residential care services</w:t>
      </w:r>
      <w:r w:rsidR="00045C1B" w:rsidRPr="007F3F09">
        <w:rPr>
          <w:rFonts w:asciiTheme="minorHAnsi" w:hAnsiTheme="minorHAnsi" w:cstheme="minorHAnsi"/>
          <w:sz w:val="22"/>
          <w:szCs w:val="22"/>
        </w:rPr>
        <w:t xml:space="preserve"> or those experiencing financial abuse.</w:t>
      </w:r>
      <w:r w:rsidR="001C6F80" w:rsidRPr="007F3F09">
        <w:rPr>
          <w:rFonts w:asciiTheme="minorHAnsi" w:hAnsiTheme="minorHAnsi" w:cstheme="minorHAnsi"/>
          <w:sz w:val="22"/>
          <w:szCs w:val="22"/>
        </w:rPr>
        <w:t xml:space="preserve"> </w:t>
      </w:r>
      <w:r w:rsidR="00045C1B" w:rsidRPr="00E03318">
        <w:rPr>
          <w:rFonts w:asciiTheme="minorHAnsi" w:hAnsiTheme="minorHAnsi"/>
          <w:sz w:val="22"/>
          <w:szCs w:val="22"/>
        </w:rPr>
        <w:t xml:space="preserve">The focus is primarily on </w:t>
      </w:r>
      <w:r w:rsidR="00CF0D5F" w:rsidRPr="00E03318">
        <w:rPr>
          <w:rFonts w:asciiTheme="minorHAnsi" w:hAnsiTheme="minorHAnsi"/>
          <w:sz w:val="22"/>
          <w:szCs w:val="22"/>
        </w:rPr>
        <w:t xml:space="preserve">accessing services </w:t>
      </w:r>
      <w:r w:rsidR="00045C1B" w:rsidRPr="00E03318">
        <w:rPr>
          <w:rFonts w:asciiTheme="minorHAnsi" w:hAnsiTheme="minorHAnsi"/>
          <w:sz w:val="22"/>
          <w:szCs w:val="22"/>
        </w:rPr>
        <w:t>based on</w:t>
      </w:r>
      <w:r w:rsidR="00CF0D5F" w:rsidRPr="00E03318">
        <w:rPr>
          <w:rFonts w:asciiTheme="minorHAnsi" w:hAnsiTheme="minorHAnsi"/>
          <w:sz w:val="22"/>
          <w:szCs w:val="22"/>
        </w:rPr>
        <w:t xml:space="preserve"> an identified </w:t>
      </w:r>
      <w:r w:rsidR="00045C1B" w:rsidRPr="00E03318">
        <w:rPr>
          <w:rFonts w:asciiTheme="minorHAnsi" w:hAnsiTheme="minorHAnsi"/>
          <w:sz w:val="22"/>
          <w:szCs w:val="22"/>
        </w:rPr>
        <w:t>need for those services rather than any concern of abuse or even focus on wellbeing.</w:t>
      </w:r>
    </w:p>
    <w:p w14:paraId="7D2700D4" w14:textId="77777777" w:rsidR="00E03318" w:rsidRPr="00E03318" w:rsidRDefault="00E03318" w:rsidP="00E03318">
      <w:pPr>
        <w:pStyle w:val="CommentText"/>
        <w:rPr>
          <w:rFonts w:asciiTheme="minorHAnsi" w:hAnsiTheme="minorHAnsi"/>
          <w:sz w:val="22"/>
          <w:szCs w:val="22"/>
        </w:rPr>
      </w:pPr>
    </w:p>
    <w:p w14:paraId="67266415" w14:textId="37BC1F56" w:rsidR="00124CED" w:rsidRDefault="000A0793" w:rsidP="001C6F80">
      <w:r w:rsidRPr="0077471B">
        <w:t>A legally based a</w:t>
      </w:r>
      <w:r w:rsidR="00C8731D" w:rsidRPr="0077471B">
        <w:rPr>
          <w:color w:val="000000"/>
        </w:rPr>
        <w:t xml:space="preserve">dvocacy service is required </w:t>
      </w:r>
      <w:r w:rsidR="00C8731D" w:rsidRPr="0077471B">
        <w:t xml:space="preserve">in order to adhere to the principle of </w:t>
      </w:r>
      <w:r w:rsidR="000176F9">
        <w:t>S</w:t>
      </w:r>
      <w:r w:rsidR="00C8731D" w:rsidRPr="0077471B">
        <w:t>tate responsibility for advocacy provision and to overcome current blockages related to the absence of a legal remit for independent</w:t>
      </w:r>
      <w:r w:rsidR="0077471B">
        <w:t xml:space="preserve"> </w:t>
      </w:r>
      <w:r w:rsidR="00C8731D" w:rsidRPr="0077471B">
        <w:t>advocacy.</w:t>
      </w:r>
      <w:r w:rsidR="0077471B">
        <w:t xml:space="preserve"> </w:t>
      </w:r>
      <w:r>
        <w:t xml:space="preserve">As already stated, the granting of </w:t>
      </w:r>
      <w:r w:rsidR="008339CB">
        <w:t xml:space="preserve">statutory powers </w:t>
      </w:r>
      <w:r>
        <w:t xml:space="preserve">to NAS </w:t>
      </w:r>
      <w:r w:rsidR="008339CB">
        <w:t xml:space="preserve">has been sought by NAS and CIB and a commitment </w:t>
      </w:r>
      <w:r w:rsidR="009B419B">
        <w:t xml:space="preserve">to do so </w:t>
      </w:r>
      <w:r w:rsidR="008339CB">
        <w:t>has been given by the Minister for Employment Affairs and Social Protect</w:t>
      </w:r>
      <w:r w:rsidR="009B419B">
        <w:t>ion</w:t>
      </w:r>
      <w:r w:rsidR="008339CB">
        <w:t>.</w:t>
      </w:r>
      <w:r w:rsidR="00124CED">
        <w:t xml:space="preserve"> </w:t>
      </w:r>
    </w:p>
    <w:p w14:paraId="46DA65D3" w14:textId="15BA3319" w:rsidR="00C8731D" w:rsidRPr="00E03318" w:rsidRDefault="00E03318" w:rsidP="00C8731D">
      <w:r w:rsidRPr="006E1C21">
        <w:t>Ac</w:t>
      </w:r>
      <w:r w:rsidRPr="006E1C21">
        <w:rPr>
          <w:lang w:val="ga-IE"/>
        </w:rPr>
        <w:t xml:space="preserve">cess to independent advocacy </w:t>
      </w:r>
      <w:r>
        <w:rPr>
          <w:lang w:val="ga-IE"/>
        </w:rPr>
        <w:t>is</w:t>
      </w:r>
      <w:r w:rsidRPr="006E1C21">
        <w:rPr>
          <w:lang w:val="ga-IE"/>
        </w:rPr>
        <w:t xml:space="preserve"> necessary </w:t>
      </w:r>
      <w:r>
        <w:rPr>
          <w:lang w:val="ga-IE"/>
        </w:rPr>
        <w:t xml:space="preserve">in order </w:t>
      </w:r>
      <w:r w:rsidRPr="006E1C21">
        <w:rPr>
          <w:lang w:val="ga-IE"/>
        </w:rPr>
        <w:t>to ensure that provision is made for the full exploration of choices and options by or on behalf of each individual</w:t>
      </w:r>
      <w:r w:rsidRPr="006E1C21">
        <w:t>, e.g., people who require support in exercising their will and preferences in accordance with the provisions of the Assisted Decision-making (Capacity) Act 2015.</w:t>
      </w:r>
      <w:r>
        <w:t xml:space="preserve"> There should be legislative provision for access to independent advocacy by all people in residential care facilities. </w:t>
      </w:r>
      <w:r w:rsidR="00124CED">
        <w:t>An independent advocacy service with statutory rights and provision for m</w:t>
      </w:r>
      <w:r w:rsidR="00C8731D">
        <w:rPr>
          <w:rFonts w:hAnsi="Arial" w:cs="Arial"/>
          <w:szCs w:val="24"/>
        </w:rPr>
        <w:t xml:space="preserve">ore proactive investigative mechanisms </w:t>
      </w:r>
      <w:r w:rsidR="00124CED">
        <w:rPr>
          <w:rFonts w:hAnsi="Arial" w:cs="Arial"/>
          <w:szCs w:val="24"/>
        </w:rPr>
        <w:t xml:space="preserve">is clearly </w:t>
      </w:r>
      <w:r w:rsidR="00C8731D">
        <w:rPr>
          <w:rFonts w:hAnsi="Arial" w:cs="Arial"/>
          <w:szCs w:val="24"/>
        </w:rPr>
        <w:t>necessary, particularly to ensure that people with reduced decision-making capacity residing in institutions are informed of their legal rights and assisted in accessing them.</w:t>
      </w:r>
      <w:r w:rsidR="00933A83">
        <w:rPr>
          <w:rFonts w:hAnsi="Arial" w:cs="Arial"/>
          <w:szCs w:val="24"/>
        </w:rPr>
        <w:t xml:space="preserve"> </w:t>
      </w:r>
    </w:p>
    <w:p w14:paraId="01C6E41C" w14:textId="55ACA33B" w:rsidR="00CF0D5F" w:rsidRPr="00F41028" w:rsidRDefault="00CF0D5F" w:rsidP="00C8731D">
      <w:pPr>
        <w:rPr>
          <w:b/>
        </w:rPr>
      </w:pPr>
      <w:r>
        <w:t xml:space="preserve">It is the CIB view, therefore, that the legislation needs to be updated and refocused </w:t>
      </w:r>
      <w:r w:rsidR="00576489">
        <w:t xml:space="preserve">both </w:t>
      </w:r>
      <w:r>
        <w:t>in the context of safeguarding and protecting people’s rights</w:t>
      </w:r>
      <w:r w:rsidR="00576489">
        <w:t xml:space="preserve"> generally</w:t>
      </w:r>
      <w:r>
        <w:t>. Statutory provision for advocacy is now imperative</w:t>
      </w:r>
      <w:r w:rsidR="00576489">
        <w:t xml:space="preserve"> and we are of the view that </w:t>
      </w:r>
      <w:r>
        <w:t xml:space="preserve">statutory powers </w:t>
      </w:r>
      <w:r w:rsidR="00576489">
        <w:t xml:space="preserve">for advocacy </w:t>
      </w:r>
      <w:r>
        <w:t>should be vested in CIB</w:t>
      </w:r>
      <w:r w:rsidR="00E03318">
        <w:t>, a statutory agency that already has a legislative remit to provide advocacy and is an independent agen</w:t>
      </w:r>
      <w:r>
        <w:t>cy with no involvement in the delivery of health or social care services. This would</w:t>
      </w:r>
      <w:r w:rsidR="00E03318">
        <w:t xml:space="preserve"> evidently </w:t>
      </w:r>
      <w:r>
        <w:t xml:space="preserve">require significant </w:t>
      </w:r>
      <w:r w:rsidR="00E03318">
        <w:t xml:space="preserve">additional </w:t>
      </w:r>
      <w:r>
        <w:t>resourcing</w:t>
      </w:r>
      <w:r w:rsidR="00E03318">
        <w:t>.</w:t>
      </w:r>
    </w:p>
    <w:p w14:paraId="21F355C7" w14:textId="77777777" w:rsidR="006D4906" w:rsidRDefault="00FA71E7" w:rsidP="0019785F">
      <w:r>
        <w:rPr>
          <w:b/>
        </w:rPr>
        <w:t>Q 9.3</w:t>
      </w:r>
      <w:r>
        <w:rPr>
          <w:b/>
        </w:rPr>
        <w:br/>
      </w:r>
      <w:r w:rsidRPr="00FA71E7">
        <w:t>C</w:t>
      </w:r>
      <w:r>
        <w:t xml:space="preserve">IB is fully aware that the independent advocacy landscape has changed significantly in recent years and will continue to do so </w:t>
      </w:r>
      <w:r w:rsidR="000C0F0D">
        <w:t>as the ADMC Act 2015 is implemented and</w:t>
      </w:r>
      <w:r w:rsidR="00E03318">
        <w:t xml:space="preserve">, also, if </w:t>
      </w:r>
      <w:r w:rsidR="000C0F0D">
        <w:t xml:space="preserve">proposed safeguarding and deprivation of liberty legislation is put in place. Given the increasing range of bodies involved in supporting and funding independent advocacy (DEASP, HSE, Department of Health, Decision Support Service), there is a clear need for a </w:t>
      </w:r>
      <w:r w:rsidR="007674F1" w:rsidRPr="00173027">
        <w:t>Government-led</w:t>
      </w:r>
      <w:r w:rsidR="007674F1">
        <w:t xml:space="preserve"> and </w:t>
      </w:r>
      <w:r w:rsidR="000C0F0D">
        <w:t>more integrated and streamlined approach to the matter</w:t>
      </w:r>
      <w:r w:rsidR="007674F1">
        <w:t xml:space="preserve">. While acknowledging the need for a national framework within which the practice, skills and profession of independent advocacy can be developed in an integrated manner, CIB does not believe that a National Advocacy Body as outlined in the LRC Paper is the best way forward.  </w:t>
      </w:r>
      <w:r w:rsidR="00663E89">
        <w:t xml:space="preserve">We do, however, believe that </w:t>
      </w:r>
      <w:r w:rsidR="007674F1">
        <w:t>this</w:t>
      </w:r>
      <w:r w:rsidR="00663E89">
        <w:t xml:space="preserve"> is a </w:t>
      </w:r>
      <w:r w:rsidR="007674F1">
        <w:t xml:space="preserve">matter </w:t>
      </w:r>
      <w:r w:rsidR="00663E89">
        <w:t xml:space="preserve">which </w:t>
      </w:r>
      <w:r w:rsidR="007674F1">
        <w:t>should be looked at in detail</w:t>
      </w:r>
      <w:r w:rsidR="00663E89">
        <w:t xml:space="preserve"> whether or not </w:t>
      </w:r>
      <w:r w:rsidR="007674F1">
        <w:t xml:space="preserve">the proposed Safeguarding Authority </w:t>
      </w:r>
      <w:r w:rsidR="00663E89">
        <w:t xml:space="preserve">is </w:t>
      </w:r>
      <w:r w:rsidR="007674F1">
        <w:t>established</w:t>
      </w:r>
      <w:r w:rsidR="00663E89">
        <w:t xml:space="preserve">. </w:t>
      </w:r>
    </w:p>
    <w:p w14:paraId="4835632D" w14:textId="669FB817" w:rsidR="00FA71E7" w:rsidRDefault="00663E89" w:rsidP="0019785F">
      <w:r>
        <w:t xml:space="preserve">There is a clear need to develop an overarching </w:t>
      </w:r>
      <w:r w:rsidR="006D4906">
        <w:t xml:space="preserve">framework for advocacy </w:t>
      </w:r>
      <w:r>
        <w:t xml:space="preserve">and CIB believes that, as the </w:t>
      </w:r>
      <w:r w:rsidR="001C1259">
        <w:t>S</w:t>
      </w:r>
      <w:r>
        <w:t>tate agency with legislative responsibility for advocacy, we are well placed to take on such a role if we are resourced to do so.</w:t>
      </w:r>
      <w:r w:rsidR="0019785F">
        <w:t xml:space="preserve"> </w:t>
      </w:r>
      <w:r w:rsidR="00B653A2">
        <w:t xml:space="preserve"> </w:t>
      </w:r>
      <w:r w:rsidR="00124CED">
        <w:t>Also, centrally relevant will be</w:t>
      </w:r>
      <w:r w:rsidR="007674F1">
        <w:t xml:space="preserve"> how independent advocacy is provided for in </w:t>
      </w:r>
      <w:r w:rsidR="0019785F">
        <w:t xml:space="preserve">any </w:t>
      </w:r>
      <w:r w:rsidR="007674F1">
        <w:t>new legislation</w:t>
      </w:r>
      <w:r w:rsidR="0019785F">
        <w:t xml:space="preserve"> that emerges</w:t>
      </w:r>
      <w:r w:rsidR="007674F1">
        <w:t xml:space="preserve">. </w:t>
      </w:r>
      <w:r w:rsidR="0019785F">
        <w:t>D</w:t>
      </w:r>
      <w:r w:rsidR="007674F1">
        <w:t>eveloping an overarching framework within which current arrangements, funding and reporting responsibilities could be better integrated</w:t>
      </w:r>
      <w:r w:rsidR="0019785F">
        <w:t xml:space="preserve"> will be required and </w:t>
      </w:r>
      <w:r w:rsidR="007674F1">
        <w:t>CIB would be very happy to work with the Law Reform Commission in a further exploration of this matter.</w:t>
      </w:r>
    </w:p>
    <w:p w14:paraId="432A94CE" w14:textId="77777777" w:rsidR="00C267AC" w:rsidRDefault="00C267AC" w:rsidP="00C267AC">
      <w:pPr>
        <w:pStyle w:val="BodyText"/>
        <w:rPr>
          <w:rFonts w:asciiTheme="minorHAnsi" w:hAnsiTheme="minorHAnsi" w:cstheme="minorHAnsi"/>
          <w:i/>
          <w:iCs/>
          <w:sz w:val="22"/>
          <w:szCs w:val="22"/>
        </w:rPr>
      </w:pPr>
      <w:r>
        <w:rPr>
          <w:rFonts w:cstheme="minorHAnsi"/>
          <w:b/>
        </w:rPr>
        <w:t>Issue 10: Access to Sensitive Data and Sharing Information</w:t>
      </w:r>
      <w:r>
        <w:rPr>
          <w:rFonts w:cstheme="minorHAnsi"/>
          <w:b/>
        </w:rPr>
        <w:br/>
      </w:r>
    </w:p>
    <w:p w14:paraId="539B8C69" w14:textId="77777777" w:rsidR="00C267AC" w:rsidRP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C267AC">
        <w:rPr>
          <w:rFonts w:asciiTheme="minorHAnsi" w:hAnsiTheme="minorHAnsi" w:cstheme="minorHAnsi"/>
          <w:i/>
          <w:iCs/>
          <w:sz w:val="22"/>
          <w:szCs w:val="22"/>
        </w:rPr>
        <w:t xml:space="preserve">Q. 10.1 Do you consider that existing arrangements for access to sensitive data and information sharing between relevant regulatory bodies are sufficient to underpin adult safeguarding legislation? </w:t>
      </w:r>
    </w:p>
    <w:p w14:paraId="11666F5D" w14:textId="77777777" w:rsid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p>
    <w:p w14:paraId="04CE9D90" w14:textId="76F44E46" w:rsidR="00C267AC" w:rsidRPr="003D7744"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rPr>
      </w:pPr>
      <w:r w:rsidRPr="00C267AC">
        <w:rPr>
          <w:rFonts w:asciiTheme="minorHAnsi" w:hAnsiTheme="minorHAnsi" w:cstheme="minorHAnsi"/>
          <w:i/>
          <w:iCs/>
          <w:sz w:val="22"/>
          <w:szCs w:val="22"/>
        </w:rPr>
        <w:t xml:space="preserve">Q. 10.2 If the answer to Q. 10.1 is no, should arrangements for access to sensitive data and information sharing between relevant regulatory bodies include interagency protocols coupled with statutory powers? If so, please indicate your view on the form of such powers. </w:t>
      </w:r>
    </w:p>
    <w:p w14:paraId="057F5E6E" w14:textId="5D03638C" w:rsidR="007674F1" w:rsidRPr="007674F1" w:rsidRDefault="007674F1" w:rsidP="003D7744">
      <w:pPr>
        <w:pStyle w:val="BodyText"/>
        <w:spacing w:before="240"/>
        <w:rPr>
          <w:rFonts w:asciiTheme="minorHAnsi" w:hAnsiTheme="minorHAnsi" w:cstheme="minorHAnsi"/>
          <w:b/>
          <w:bCs/>
          <w:sz w:val="22"/>
          <w:szCs w:val="22"/>
        </w:rPr>
      </w:pPr>
      <w:r>
        <w:rPr>
          <w:rFonts w:asciiTheme="minorHAnsi" w:hAnsiTheme="minorHAnsi" w:cstheme="minorHAnsi"/>
          <w:b/>
          <w:bCs/>
          <w:sz w:val="22"/>
          <w:szCs w:val="22"/>
        </w:rPr>
        <w:t>Q.10.1</w:t>
      </w:r>
    </w:p>
    <w:p w14:paraId="02564F85" w14:textId="523ECF78" w:rsidR="00C267AC" w:rsidRDefault="002E0225" w:rsidP="00B87D72">
      <w:pPr>
        <w:pStyle w:val="BodyText"/>
        <w:spacing w:line="276" w:lineRule="auto"/>
        <w:rPr>
          <w:rFonts w:asciiTheme="minorHAnsi" w:hAnsiTheme="minorHAnsi" w:cstheme="minorHAnsi"/>
          <w:sz w:val="22"/>
          <w:szCs w:val="22"/>
        </w:rPr>
      </w:pPr>
      <w:r>
        <w:rPr>
          <w:rFonts w:asciiTheme="minorHAnsi" w:hAnsiTheme="minorHAnsi" w:cstheme="minorHAnsi"/>
          <w:bCs/>
          <w:sz w:val="22"/>
          <w:szCs w:val="22"/>
        </w:rPr>
        <w:t xml:space="preserve">While there are in place some protocols for cross-referral between agencies in respect of people experiencing or reporting abuse, </w:t>
      </w:r>
      <w:r w:rsidR="00C267AC">
        <w:rPr>
          <w:rFonts w:asciiTheme="minorHAnsi" w:hAnsiTheme="minorHAnsi" w:cstheme="minorHAnsi"/>
          <w:bCs/>
          <w:sz w:val="22"/>
          <w:szCs w:val="22"/>
        </w:rPr>
        <w:t xml:space="preserve">there </w:t>
      </w:r>
      <w:r>
        <w:rPr>
          <w:rFonts w:asciiTheme="minorHAnsi" w:hAnsiTheme="minorHAnsi" w:cstheme="minorHAnsi"/>
          <w:bCs/>
          <w:sz w:val="22"/>
          <w:szCs w:val="22"/>
        </w:rPr>
        <w:t xml:space="preserve">may not always be clarity about </w:t>
      </w:r>
      <w:r w:rsidR="00C267AC">
        <w:rPr>
          <w:rFonts w:asciiTheme="minorHAnsi" w:hAnsiTheme="minorHAnsi" w:cstheme="minorHAnsi"/>
          <w:bCs/>
          <w:sz w:val="22"/>
          <w:szCs w:val="22"/>
        </w:rPr>
        <w:t xml:space="preserve">information sharing between individuals and agencies in </w:t>
      </w:r>
      <w:r>
        <w:rPr>
          <w:rFonts w:asciiTheme="minorHAnsi" w:hAnsiTheme="minorHAnsi" w:cstheme="minorHAnsi"/>
          <w:bCs/>
          <w:sz w:val="22"/>
          <w:szCs w:val="22"/>
        </w:rPr>
        <w:t xml:space="preserve">a safeguarding </w:t>
      </w:r>
      <w:r w:rsidR="00C267AC">
        <w:rPr>
          <w:rFonts w:asciiTheme="minorHAnsi" w:hAnsiTheme="minorHAnsi" w:cstheme="minorHAnsi"/>
          <w:bCs/>
          <w:sz w:val="22"/>
          <w:szCs w:val="22"/>
        </w:rPr>
        <w:t>context.</w:t>
      </w:r>
      <w:r>
        <w:rPr>
          <w:rFonts w:asciiTheme="minorHAnsi" w:hAnsiTheme="minorHAnsi" w:cstheme="minorHAnsi"/>
          <w:bCs/>
          <w:sz w:val="22"/>
          <w:szCs w:val="22"/>
        </w:rPr>
        <w:t xml:space="preserve"> It is likely that </w:t>
      </w:r>
      <w:r w:rsidR="00C267AC">
        <w:rPr>
          <w:rFonts w:asciiTheme="minorHAnsi" w:hAnsiTheme="minorHAnsi" w:cstheme="minorHAnsi"/>
          <w:bCs/>
          <w:sz w:val="22"/>
          <w:szCs w:val="22"/>
        </w:rPr>
        <w:t>existing arrangements for access to sensitive data sharing are insufficient.</w:t>
      </w:r>
      <w:r>
        <w:rPr>
          <w:rFonts w:asciiTheme="minorHAnsi" w:hAnsiTheme="minorHAnsi" w:cstheme="minorHAnsi"/>
          <w:bCs/>
          <w:sz w:val="22"/>
          <w:szCs w:val="22"/>
        </w:rPr>
        <w:t xml:space="preserve"> CIB believes that this is an area where there is need for much</w:t>
      </w:r>
      <w:r w:rsidR="00B87D72">
        <w:rPr>
          <w:rFonts w:asciiTheme="minorHAnsi" w:hAnsiTheme="minorHAnsi" w:cstheme="minorHAnsi"/>
          <w:bCs/>
          <w:sz w:val="22"/>
          <w:szCs w:val="22"/>
        </w:rPr>
        <w:t xml:space="preserve"> more </w:t>
      </w:r>
      <w:r w:rsidRPr="00AF1293">
        <w:rPr>
          <w:rFonts w:asciiTheme="minorHAnsi" w:hAnsiTheme="minorHAnsi" w:cstheme="minorHAnsi"/>
          <w:bCs/>
          <w:sz w:val="22"/>
          <w:szCs w:val="22"/>
        </w:rPr>
        <w:t xml:space="preserve">attention in data protection legislation in order to cater for situations where </w:t>
      </w:r>
      <w:r w:rsidR="00124CED">
        <w:rPr>
          <w:rFonts w:asciiTheme="minorHAnsi" w:hAnsiTheme="minorHAnsi" w:cstheme="minorHAnsi"/>
          <w:bCs/>
          <w:sz w:val="22"/>
          <w:szCs w:val="22"/>
        </w:rPr>
        <w:t xml:space="preserve">there are </w:t>
      </w:r>
      <w:r w:rsidR="00C267AC" w:rsidRPr="00AF1293">
        <w:rPr>
          <w:rFonts w:asciiTheme="minorHAnsi" w:hAnsiTheme="minorHAnsi" w:cstheme="minorHAnsi"/>
          <w:sz w:val="22"/>
          <w:szCs w:val="22"/>
        </w:rPr>
        <w:t xml:space="preserve">adults who lack capacity and </w:t>
      </w:r>
      <w:r w:rsidR="00124CED">
        <w:rPr>
          <w:rFonts w:asciiTheme="minorHAnsi" w:hAnsiTheme="minorHAnsi" w:cstheme="minorHAnsi"/>
          <w:sz w:val="22"/>
          <w:szCs w:val="22"/>
        </w:rPr>
        <w:t xml:space="preserve">who </w:t>
      </w:r>
      <w:r w:rsidR="00C267AC" w:rsidRPr="00AF1293">
        <w:rPr>
          <w:rFonts w:asciiTheme="minorHAnsi" w:hAnsiTheme="minorHAnsi" w:cstheme="minorHAnsi"/>
          <w:sz w:val="22"/>
          <w:szCs w:val="22"/>
        </w:rPr>
        <w:t>may be experiencing abuse</w:t>
      </w:r>
      <w:r w:rsidRPr="00AF1293">
        <w:rPr>
          <w:rFonts w:asciiTheme="minorHAnsi" w:hAnsiTheme="minorHAnsi" w:cstheme="minorHAnsi"/>
          <w:sz w:val="22"/>
          <w:szCs w:val="22"/>
        </w:rPr>
        <w:t xml:space="preserve"> and </w:t>
      </w:r>
      <w:r w:rsidR="00C267AC" w:rsidRPr="00AF1293">
        <w:rPr>
          <w:rFonts w:asciiTheme="minorHAnsi" w:hAnsiTheme="minorHAnsi" w:cstheme="minorHAnsi"/>
          <w:sz w:val="22"/>
          <w:szCs w:val="22"/>
        </w:rPr>
        <w:t>where there is</w:t>
      </w:r>
      <w:r w:rsidRPr="00AF1293">
        <w:rPr>
          <w:rFonts w:asciiTheme="minorHAnsi" w:hAnsiTheme="minorHAnsi" w:cstheme="minorHAnsi"/>
          <w:sz w:val="22"/>
          <w:szCs w:val="22"/>
        </w:rPr>
        <w:t xml:space="preserve"> a</w:t>
      </w:r>
      <w:r w:rsidR="00C267AC" w:rsidRPr="00AF1293">
        <w:rPr>
          <w:rFonts w:asciiTheme="minorHAnsi" w:hAnsiTheme="minorHAnsi" w:cstheme="minorHAnsi"/>
          <w:sz w:val="22"/>
          <w:szCs w:val="22"/>
        </w:rPr>
        <w:t xml:space="preserve"> reasonable belief that there is a safeguarding issue</w:t>
      </w:r>
      <w:r w:rsidRPr="00AF1293">
        <w:rPr>
          <w:rFonts w:asciiTheme="minorHAnsi" w:hAnsiTheme="minorHAnsi" w:cstheme="minorHAnsi"/>
          <w:sz w:val="22"/>
          <w:szCs w:val="22"/>
        </w:rPr>
        <w:t>. Any proposed changes to the data protection legislation should be formulated in consultation with HSE Safeguarding Teams, NAS and other groups working with vulnerable people</w:t>
      </w:r>
      <w:r w:rsidR="00AF1293">
        <w:rPr>
          <w:rFonts w:asciiTheme="minorHAnsi" w:hAnsiTheme="minorHAnsi" w:cstheme="minorHAnsi"/>
          <w:sz w:val="22"/>
          <w:szCs w:val="22"/>
        </w:rPr>
        <w:t xml:space="preserve"> and take into account the provisions of </w:t>
      </w:r>
      <w:r w:rsidR="00C267AC">
        <w:rPr>
          <w:rFonts w:asciiTheme="minorHAnsi" w:hAnsiTheme="minorHAnsi" w:cstheme="minorHAnsi"/>
          <w:sz w:val="22"/>
          <w:szCs w:val="22"/>
        </w:rPr>
        <w:t>the Assist</w:t>
      </w:r>
      <w:r w:rsidR="00AF1293">
        <w:rPr>
          <w:rFonts w:asciiTheme="minorHAnsi" w:hAnsiTheme="minorHAnsi" w:cstheme="minorHAnsi"/>
          <w:sz w:val="22"/>
          <w:szCs w:val="22"/>
        </w:rPr>
        <w:t>ed Decision Making Capacity Act</w:t>
      </w:r>
      <w:r w:rsidR="00C267AC">
        <w:rPr>
          <w:rFonts w:asciiTheme="minorHAnsi" w:hAnsiTheme="minorHAnsi" w:cstheme="minorHAnsi"/>
          <w:sz w:val="22"/>
          <w:szCs w:val="22"/>
        </w:rPr>
        <w:t xml:space="preserve"> 2015. </w:t>
      </w:r>
    </w:p>
    <w:p w14:paraId="7C2CF7C6" w14:textId="31AA0F1D" w:rsidR="000E7F08" w:rsidRDefault="000E7F08" w:rsidP="00C267AC">
      <w:pPr>
        <w:rPr>
          <w:b/>
          <w:sz w:val="24"/>
          <w:szCs w:val="24"/>
        </w:rPr>
      </w:pPr>
    </w:p>
    <w:p w14:paraId="4F86A473" w14:textId="40C5B7E7" w:rsidR="00C267AC" w:rsidRDefault="00C267AC" w:rsidP="00C267AC">
      <w:r w:rsidRPr="00C267AC">
        <w:rPr>
          <w:b/>
          <w:sz w:val="24"/>
          <w:szCs w:val="24"/>
        </w:rPr>
        <w:t>Issue 11: Multi Agency Collaboration</w:t>
      </w:r>
    </w:p>
    <w:p w14:paraId="7B5FBDC5" w14:textId="77777777" w:rsidR="00C267AC" w:rsidRP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i/>
          <w:iCs/>
          <w:sz w:val="22"/>
          <w:szCs w:val="22"/>
        </w:rPr>
      </w:pPr>
      <w:r w:rsidRPr="00C267AC">
        <w:rPr>
          <w:rFonts w:asciiTheme="minorHAnsi" w:hAnsiTheme="minorHAnsi" w:cstheme="minorHAnsi"/>
          <w:bCs/>
          <w:i/>
          <w:iCs/>
          <w:sz w:val="22"/>
          <w:szCs w:val="22"/>
        </w:rPr>
        <w:t xml:space="preserve">Q. 11.1 Do you consider that: </w:t>
      </w:r>
    </w:p>
    <w:p w14:paraId="23002149" w14:textId="77777777" w:rsidR="00C267AC" w:rsidRP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i/>
          <w:iCs/>
          <w:sz w:val="22"/>
          <w:szCs w:val="22"/>
        </w:rPr>
      </w:pPr>
      <w:r w:rsidRPr="00C267AC">
        <w:rPr>
          <w:rFonts w:asciiTheme="minorHAnsi" w:hAnsiTheme="minorHAnsi" w:cstheme="minorHAnsi"/>
          <w:bCs/>
          <w:i/>
          <w:iCs/>
          <w:sz w:val="22"/>
          <w:szCs w:val="22"/>
        </w:rPr>
        <w:t xml:space="preserve">(a) non-statutory interagency protocols are sufficient to ensure multi-agency cooperation in adult safeguarding, or </w:t>
      </w:r>
    </w:p>
    <w:p w14:paraId="27FC221A" w14:textId="002D7E16" w:rsidR="00C267AC" w:rsidRP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i/>
          <w:iCs/>
          <w:sz w:val="22"/>
          <w:szCs w:val="22"/>
        </w:rPr>
      </w:pPr>
      <w:r w:rsidRPr="00C267AC">
        <w:rPr>
          <w:rFonts w:asciiTheme="minorHAnsi" w:hAnsiTheme="minorHAnsi" w:cstheme="minorHAnsi"/>
          <w:bCs/>
          <w:i/>
          <w:iCs/>
          <w:sz w:val="22"/>
          <w:szCs w:val="22"/>
        </w:rPr>
        <w:t xml:space="preserve">(b) a statutory duty to cooperate should be enacted? </w:t>
      </w:r>
    </w:p>
    <w:p w14:paraId="0EB512D8" w14:textId="77777777" w:rsidR="00C267AC" w:rsidRPr="00C267AC" w:rsidRDefault="00C267AC" w:rsidP="003D7744">
      <w:pPr>
        <w:pStyle w:val="BodyText"/>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bCs/>
          <w:i/>
          <w:iCs/>
          <w:sz w:val="22"/>
          <w:szCs w:val="22"/>
        </w:rPr>
      </w:pPr>
      <w:r w:rsidRPr="00C267AC">
        <w:rPr>
          <w:rFonts w:asciiTheme="minorHAnsi" w:hAnsiTheme="minorHAnsi" w:cstheme="minorHAnsi"/>
          <w:bCs/>
          <w:i/>
          <w:iCs/>
          <w:sz w:val="22"/>
          <w:szCs w:val="22"/>
        </w:rPr>
        <w:t xml:space="preserve">Q. 11.2 If the answer to Q. 11.1(b) is yes, to which bodies with adult safeguarding regulatory responsibilities should the duty apply?  </w:t>
      </w:r>
    </w:p>
    <w:p w14:paraId="547FB998" w14:textId="77777777" w:rsid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i/>
          <w:iCs/>
          <w:sz w:val="22"/>
          <w:szCs w:val="22"/>
        </w:rPr>
      </w:pPr>
      <w:r w:rsidRPr="00C267AC">
        <w:rPr>
          <w:rFonts w:asciiTheme="minorHAnsi" w:hAnsiTheme="minorHAnsi" w:cstheme="minorHAnsi"/>
          <w:bCs/>
          <w:i/>
          <w:iCs/>
          <w:sz w:val="22"/>
          <w:szCs w:val="22"/>
        </w:rPr>
        <w:t>Q. 11.3 Do you consider that there should be statutory provision for transitional care arrangements between child care services and adult safeguarding services?</w:t>
      </w:r>
    </w:p>
    <w:p w14:paraId="42FFD097" w14:textId="77777777" w:rsidR="00C267AC" w:rsidRPr="00C267AC" w:rsidRDefault="00C267AC" w:rsidP="00C267AC">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i/>
          <w:iCs/>
          <w:sz w:val="22"/>
          <w:szCs w:val="22"/>
        </w:rPr>
      </w:pPr>
    </w:p>
    <w:p w14:paraId="6AF1F88F" w14:textId="77777777" w:rsidR="00C267AC" w:rsidRDefault="00C267AC" w:rsidP="00C267AC">
      <w:pPr>
        <w:pStyle w:val="BodyText"/>
        <w:rPr>
          <w:rFonts w:asciiTheme="minorHAnsi" w:hAnsiTheme="minorHAnsi" w:cstheme="minorHAnsi"/>
          <w:bCs/>
          <w:sz w:val="22"/>
          <w:szCs w:val="22"/>
        </w:rPr>
      </w:pPr>
    </w:p>
    <w:p w14:paraId="5FD97FA2" w14:textId="77777777" w:rsidR="00AF1293" w:rsidRPr="00AF1293" w:rsidRDefault="00AF1293" w:rsidP="00050667">
      <w:pPr>
        <w:pStyle w:val="NoSpacing"/>
        <w:rPr>
          <w:rFonts w:cstheme="minorHAnsi"/>
          <w:b/>
          <w:bCs/>
        </w:rPr>
      </w:pPr>
      <w:r w:rsidRPr="00AF1293">
        <w:rPr>
          <w:rFonts w:cstheme="minorHAnsi"/>
          <w:b/>
          <w:bCs/>
        </w:rPr>
        <w:t>Q 11.1</w:t>
      </w:r>
    </w:p>
    <w:p w14:paraId="36024318" w14:textId="470AFCDC" w:rsidR="00050667" w:rsidRDefault="00C267AC" w:rsidP="00B87D72">
      <w:pPr>
        <w:pStyle w:val="NoSpacing"/>
        <w:spacing w:line="276" w:lineRule="auto"/>
        <w:rPr>
          <w:rFonts w:cstheme="minorHAnsi"/>
          <w:bCs/>
        </w:rPr>
      </w:pPr>
      <w:r>
        <w:rPr>
          <w:rFonts w:cstheme="minorHAnsi"/>
          <w:bCs/>
        </w:rPr>
        <w:t>CIB has long promoted the need for multi-agency collaboration especially in the context of delivering support</w:t>
      </w:r>
      <w:r w:rsidR="00050667">
        <w:rPr>
          <w:rFonts w:cstheme="minorHAnsi"/>
          <w:bCs/>
        </w:rPr>
        <w:t xml:space="preserve"> and services to people with disabilities, marginalised groups and people experiencing</w:t>
      </w:r>
      <w:r w:rsidR="00173027">
        <w:rPr>
          <w:rFonts w:cstheme="minorHAnsi"/>
          <w:bCs/>
        </w:rPr>
        <w:t xml:space="preserve"> financial exclusion</w:t>
      </w:r>
      <w:r w:rsidR="00050667">
        <w:rPr>
          <w:rFonts w:cstheme="minorHAnsi"/>
          <w:bCs/>
        </w:rPr>
        <w:t xml:space="preserve"> </w:t>
      </w:r>
      <w:r w:rsidR="00173027">
        <w:rPr>
          <w:rFonts w:cstheme="minorHAnsi"/>
          <w:bCs/>
        </w:rPr>
        <w:t xml:space="preserve">and </w:t>
      </w:r>
      <w:r w:rsidR="00050667">
        <w:rPr>
          <w:rFonts w:cstheme="minorHAnsi"/>
          <w:bCs/>
        </w:rPr>
        <w:t>over-indebtedness</w:t>
      </w:r>
      <w:r>
        <w:rPr>
          <w:rFonts w:cstheme="minorHAnsi"/>
          <w:bCs/>
        </w:rPr>
        <w:t>.</w:t>
      </w:r>
      <w:r w:rsidR="00050667">
        <w:rPr>
          <w:rFonts w:cstheme="minorHAnsi"/>
          <w:bCs/>
        </w:rPr>
        <w:t xml:space="preserve"> It is noted that the </w:t>
      </w:r>
      <w:r w:rsidR="00050667" w:rsidRPr="00050667">
        <w:rPr>
          <w:rFonts w:cstheme="minorHAnsi"/>
          <w:bCs/>
        </w:rPr>
        <w:t>Minister for Health has acknowledged that the issues in the Adult Safeguarding Bill 2017 extend far beyond the scope of the health sector alone or of any one Department. The Minister stated</w:t>
      </w:r>
      <w:r w:rsidR="00576489">
        <w:rPr>
          <w:rFonts w:cstheme="minorHAnsi"/>
          <w:bCs/>
        </w:rPr>
        <w:t xml:space="preserve"> that</w:t>
      </w:r>
      <w:r w:rsidR="00050667" w:rsidRPr="00050667">
        <w:rPr>
          <w:rFonts w:cstheme="minorHAnsi"/>
          <w:bCs/>
        </w:rPr>
        <w:t>: “</w:t>
      </w:r>
      <w:r w:rsidR="00576489">
        <w:rPr>
          <w:rFonts w:cstheme="minorHAnsi"/>
          <w:bCs/>
        </w:rPr>
        <w:t>s</w:t>
      </w:r>
      <w:r w:rsidR="00050667" w:rsidRPr="00050667">
        <w:rPr>
          <w:rFonts w:cstheme="minorHAnsi"/>
          <w:bCs/>
        </w:rPr>
        <w:t>trong collaboration and joined-up thinking will be required from a number of Departments and State agencies to ensure we provide the best legislative solution to safeguarding vulnerable adults across all services provided by the State.”</w:t>
      </w:r>
      <w:r w:rsidR="00AF1293">
        <w:rPr>
          <w:rStyle w:val="FootnoteReference"/>
          <w:bCs/>
        </w:rPr>
        <w:footnoteReference w:id="27"/>
      </w:r>
      <w:r w:rsidR="00AF1293">
        <w:rPr>
          <w:rFonts w:cstheme="minorHAnsi"/>
          <w:bCs/>
        </w:rPr>
        <w:t xml:space="preserve"> </w:t>
      </w:r>
      <w:r w:rsidR="00050667" w:rsidRPr="00050667">
        <w:rPr>
          <w:rFonts w:cstheme="minorHAnsi"/>
          <w:bCs/>
        </w:rPr>
        <w:t xml:space="preserve">The Joint Oireachtas Committee on Health in its Report on Adult Safeguarding </w:t>
      </w:r>
      <w:r w:rsidR="0019785F" w:rsidRPr="00050667">
        <w:rPr>
          <w:rFonts w:cstheme="minorHAnsi"/>
          <w:bCs/>
        </w:rPr>
        <w:t xml:space="preserve">also recommended </w:t>
      </w:r>
      <w:r w:rsidR="00050667" w:rsidRPr="00050667">
        <w:rPr>
          <w:rFonts w:cstheme="minorHAnsi"/>
          <w:bCs/>
        </w:rPr>
        <w:t>that any legislation should take into consideration the need for inter</w:t>
      </w:r>
      <w:r w:rsidR="00050667">
        <w:rPr>
          <w:rFonts w:cstheme="minorHAnsi"/>
          <w:bCs/>
        </w:rPr>
        <w:t>-agency collaboration</w:t>
      </w:r>
      <w:r w:rsidR="00050667" w:rsidRPr="00050667">
        <w:rPr>
          <w:rFonts w:cstheme="minorHAnsi"/>
          <w:bCs/>
        </w:rPr>
        <w:t>.</w:t>
      </w:r>
      <w:r w:rsidR="00AF1293">
        <w:rPr>
          <w:rStyle w:val="FootnoteReference"/>
          <w:bCs/>
        </w:rPr>
        <w:footnoteReference w:id="28"/>
      </w:r>
      <w:r w:rsidR="00050667" w:rsidRPr="00050667">
        <w:rPr>
          <w:rFonts w:cstheme="minorHAnsi"/>
          <w:bCs/>
        </w:rPr>
        <w:t xml:space="preserve"> The Commission on the Future of Policing in Ireland</w:t>
      </w:r>
      <w:r w:rsidR="00DC54E3">
        <w:rPr>
          <w:rStyle w:val="FootnoteReference"/>
          <w:bCs/>
        </w:rPr>
        <w:footnoteReference w:id="29"/>
      </w:r>
      <w:r w:rsidR="00050667" w:rsidRPr="00050667">
        <w:rPr>
          <w:rFonts w:cstheme="minorHAnsi"/>
          <w:bCs/>
        </w:rPr>
        <w:t xml:space="preserve"> outlined a vision for policing founded on a new definition of policing which includes</w:t>
      </w:r>
      <w:r w:rsidR="00050667">
        <w:rPr>
          <w:rFonts w:cstheme="minorHAnsi"/>
          <w:bCs/>
        </w:rPr>
        <w:t xml:space="preserve"> the prevention of harm (which would include harm to at risk adults) as a policing objective and a New District Policing Model focuse</w:t>
      </w:r>
      <w:r w:rsidR="00AF1293">
        <w:rPr>
          <w:rFonts w:cstheme="minorHAnsi"/>
          <w:bCs/>
        </w:rPr>
        <w:t>d on problem oriented policing.</w:t>
      </w:r>
      <w:r w:rsidR="00050667">
        <w:rPr>
          <w:rFonts w:cstheme="minorHAnsi"/>
          <w:bCs/>
        </w:rPr>
        <w:t xml:space="preserve"> Improved cooperation between relevant </w:t>
      </w:r>
      <w:r w:rsidR="001C1259">
        <w:rPr>
          <w:rFonts w:cstheme="minorHAnsi"/>
          <w:bCs/>
        </w:rPr>
        <w:t>S</w:t>
      </w:r>
      <w:r w:rsidR="00050667">
        <w:rPr>
          <w:rFonts w:cstheme="minorHAnsi"/>
          <w:bCs/>
        </w:rPr>
        <w:t xml:space="preserve">tate agencies was highlighted as being critical for these approaches while engagement between police and community stakeholders and agencies was identified as necessary for building better multiagency approaches to community safety problems. </w:t>
      </w:r>
    </w:p>
    <w:p w14:paraId="0FD4B003" w14:textId="77777777" w:rsidR="00050667" w:rsidRDefault="00050667" w:rsidP="00050667">
      <w:pPr>
        <w:pStyle w:val="NoSpacing"/>
        <w:rPr>
          <w:rFonts w:cstheme="minorHAnsi"/>
          <w:bCs/>
        </w:rPr>
      </w:pPr>
    </w:p>
    <w:p w14:paraId="58CE8838" w14:textId="67DBD937" w:rsidR="00CF0D5F" w:rsidRDefault="00CF0D5F" w:rsidP="003D7744">
      <w:pPr>
        <w:pStyle w:val="NoSpacing"/>
        <w:spacing w:line="276" w:lineRule="auto"/>
        <w:rPr>
          <w:rFonts w:cstheme="minorHAnsi"/>
          <w:bCs/>
        </w:rPr>
      </w:pPr>
      <w:r>
        <w:rPr>
          <w:rFonts w:cstheme="minorHAnsi"/>
          <w:bCs/>
        </w:rPr>
        <w:t xml:space="preserve">CIB believes that there should be a statutory duty on agencies (health and social care services, financial institutions) to collaborate in cases where there is serious actual or alleged abuse. However, such a statutory duty would not be a substitute for detailed Codes of Practice </w:t>
      </w:r>
      <w:r w:rsidR="0019785F">
        <w:rPr>
          <w:rFonts w:cstheme="minorHAnsi"/>
          <w:bCs/>
        </w:rPr>
        <w:t xml:space="preserve">on safeguarding </w:t>
      </w:r>
      <w:r>
        <w:rPr>
          <w:rFonts w:cstheme="minorHAnsi"/>
          <w:bCs/>
        </w:rPr>
        <w:t xml:space="preserve">and protocols within agencies. </w:t>
      </w:r>
    </w:p>
    <w:p w14:paraId="18F6128E" w14:textId="77777777" w:rsidR="005B436A" w:rsidRDefault="005B436A" w:rsidP="00173027">
      <w:pPr>
        <w:pStyle w:val="BodyText"/>
        <w:spacing w:line="276" w:lineRule="auto"/>
        <w:rPr>
          <w:rFonts w:cstheme="minorHAnsi"/>
          <w:b/>
          <w:bCs/>
        </w:rPr>
      </w:pPr>
    </w:p>
    <w:p w14:paraId="6D7110B8" w14:textId="2D39AEDD" w:rsidR="00C267AC" w:rsidRDefault="00DC54E3" w:rsidP="00173027">
      <w:pPr>
        <w:pStyle w:val="BodyText"/>
        <w:spacing w:line="276" w:lineRule="auto"/>
        <w:rPr>
          <w:rFonts w:asciiTheme="minorHAnsi" w:eastAsia="Times New Roman" w:hAnsiTheme="minorHAnsi"/>
          <w:sz w:val="22"/>
          <w:szCs w:val="22"/>
        </w:rPr>
      </w:pPr>
      <w:r>
        <w:rPr>
          <w:rFonts w:cstheme="minorHAnsi"/>
          <w:b/>
          <w:bCs/>
        </w:rPr>
        <w:t>Q 11.2</w:t>
      </w:r>
      <w:r>
        <w:rPr>
          <w:rFonts w:cstheme="minorHAnsi"/>
          <w:b/>
          <w:bCs/>
        </w:rPr>
        <w:br/>
      </w:r>
      <w:r w:rsidR="00050667" w:rsidRPr="00124CED">
        <w:rPr>
          <w:rFonts w:asciiTheme="minorHAnsi" w:eastAsia="Times New Roman" w:hAnsiTheme="minorHAnsi"/>
          <w:sz w:val="22"/>
          <w:szCs w:val="22"/>
        </w:rPr>
        <w:t xml:space="preserve">As already noted, </w:t>
      </w:r>
      <w:r w:rsidR="00124CED">
        <w:rPr>
          <w:rFonts w:asciiTheme="minorHAnsi" w:eastAsia="Times New Roman" w:hAnsiTheme="minorHAnsi"/>
          <w:sz w:val="22"/>
          <w:szCs w:val="22"/>
        </w:rPr>
        <w:t xml:space="preserve">adult </w:t>
      </w:r>
      <w:r w:rsidR="00050667" w:rsidRPr="00124CED">
        <w:rPr>
          <w:rFonts w:asciiTheme="minorHAnsi" w:eastAsia="Times New Roman" w:hAnsiTheme="minorHAnsi"/>
          <w:sz w:val="22"/>
          <w:szCs w:val="22"/>
        </w:rPr>
        <w:t>s</w:t>
      </w:r>
      <w:r w:rsidR="00050667" w:rsidRPr="00124CED">
        <w:rPr>
          <w:rFonts w:asciiTheme="minorHAnsi" w:hAnsiTheme="minorHAnsi" w:cstheme="minorHAnsi"/>
          <w:bCs/>
          <w:sz w:val="22"/>
          <w:szCs w:val="22"/>
        </w:rPr>
        <w:t xml:space="preserve">afeguarding concerns </w:t>
      </w:r>
      <w:r w:rsidR="00124CED">
        <w:rPr>
          <w:rFonts w:asciiTheme="minorHAnsi" w:hAnsiTheme="minorHAnsi" w:cstheme="minorHAnsi"/>
          <w:bCs/>
          <w:sz w:val="22"/>
          <w:szCs w:val="22"/>
        </w:rPr>
        <w:t xml:space="preserve">are relevant to a </w:t>
      </w:r>
      <w:r w:rsidR="00173027">
        <w:rPr>
          <w:rFonts w:asciiTheme="minorHAnsi" w:hAnsiTheme="minorHAnsi" w:cstheme="minorHAnsi"/>
          <w:bCs/>
          <w:sz w:val="22"/>
          <w:szCs w:val="22"/>
        </w:rPr>
        <w:t>number of agencies</w:t>
      </w:r>
      <w:r w:rsidRPr="00124CED">
        <w:rPr>
          <w:rFonts w:asciiTheme="minorHAnsi" w:hAnsiTheme="minorHAnsi" w:cstheme="minorHAnsi"/>
          <w:bCs/>
          <w:sz w:val="22"/>
          <w:szCs w:val="22"/>
        </w:rPr>
        <w:t xml:space="preserve">. </w:t>
      </w:r>
      <w:r w:rsidR="00050667" w:rsidRPr="00124CED">
        <w:rPr>
          <w:rFonts w:asciiTheme="minorHAnsi" w:eastAsia="Times New Roman" w:hAnsiTheme="minorHAnsi"/>
          <w:sz w:val="22"/>
          <w:szCs w:val="22"/>
        </w:rPr>
        <w:t xml:space="preserve"> </w:t>
      </w:r>
      <w:r w:rsidR="00050667" w:rsidRPr="00124CED">
        <w:rPr>
          <w:rFonts w:asciiTheme="minorHAnsi" w:eastAsia="Times New Roman" w:hAnsiTheme="minorHAnsi" w:cstheme="minorHAnsi"/>
          <w:sz w:val="22"/>
          <w:szCs w:val="22"/>
        </w:rPr>
        <w:t xml:space="preserve">Effective collaboration facilitates early risk identification, improved information sharing, joint decision making and coordinated action. </w:t>
      </w:r>
      <w:r w:rsidRPr="00124CED">
        <w:rPr>
          <w:rFonts w:asciiTheme="minorHAnsi" w:hAnsiTheme="minorHAnsi" w:cstheme="minorHAnsi"/>
          <w:bCs/>
          <w:sz w:val="22"/>
          <w:szCs w:val="22"/>
        </w:rPr>
        <w:t>Current collaborative arrangements</w:t>
      </w:r>
      <w:r w:rsidR="00124CED">
        <w:rPr>
          <w:rFonts w:asciiTheme="minorHAnsi" w:hAnsiTheme="minorHAnsi" w:cstheme="minorHAnsi"/>
          <w:bCs/>
          <w:sz w:val="22"/>
          <w:szCs w:val="22"/>
        </w:rPr>
        <w:t xml:space="preserve"> in relation to safeguarding for the most part</w:t>
      </w:r>
      <w:r w:rsidRPr="00124CED">
        <w:rPr>
          <w:rFonts w:asciiTheme="minorHAnsi" w:hAnsiTheme="minorHAnsi" w:cstheme="minorHAnsi"/>
          <w:bCs/>
          <w:sz w:val="22"/>
          <w:szCs w:val="22"/>
        </w:rPr>
        <w:t xml:space="preserve"> tend to be informal and </w:t>
      </w:r>
      <w:r w:rsidR="00124CED">
        <w:rPr>
          <w:rFonts w:asciiTheme="minorHAnsi" w:hAnsiTheme="minorHAnsi" w:cstheme="minorHAnsi"/>
          <w:bCs/>
          <w:i/>
          <w:sz w:val="22"/>
          <w:szCs w:val="22"/>
        </w:rPr>
        <w:t>ad hoc.</w:t>
      </w:r>
      <w:r w:rsidRPr="00124CED">
        <w:rPr>
          <w:rFonts w:asciiTheme="minorHAnsi" w:hAnsiTheme="minorHAnsi" w:cstheme="minorHAnsi"/>
          <w:bCs/>
          <w:sz w:val="22"/>
          <w:szCs w:val="22"/>
        </w:rPr>
        <w:t xml:space="preserve"> Therefore, a statutory duty </w:t>
      </w:r>
      <w:r w:rsidR="00124CED">
        <w:rPr>
          <w:rFonts w:asciiTheme="minorHAnsi" w:hAnsiTheme="minorHAnsi" w:cstheme="minorHAnsi"/>
          <w:bCs/>
          <w:sz w:val="22"/>
          <w:szCs w:val="22"/>
        </w:rPr>
        <w:t xml:space="preserve">on agencies </w:t>
      </w:r>
      <w:r w:rsidRPr="00124CED">
        <w:rPr>
          <w:rFonts w:asciiTheme="minorHAnsi" w:hAnsiTheme="minorHAnsi" w:cstheme="minorHAnsi"/>
          <w:bCs/>
          <w:sz w:val="22"/>
          <w:szCs w:val="22"/>
        </w:rPr>
        <w:t xml:space="preserve">to collaborate in safeguarding situations should be </w:t>
      </w:r>
      <w:r w:rsidR="00124CED">
        <w:rPr>
          <w:rFonts w:asciiTheme="minorHAnsi" w:hAnsiTheme="minorHAnsi" w:cstheme="minorHAnsi"/>
          <w:bCs/>
          <w:sz w:val="22"/>
          <w:szCs w:val="22"/>
        </w:rPr>
        <w:t>provided for in the legislation</w:t>
      </w:r>
      <w:r w:rsidRPr="00124CED">
        <w:rPr>
          <w:rFonts w:asciiTheme="minorHAnsi" w:hAnsiTheme="minorHAnsi" w:cstheme="minorHAnsi"/>
          <w:bCs/>
          <w:sz w:val="22"/>
          <w:szCs w:val="22"/>
        </w:rPr>
        <w:t xml:space="preserve">. </w:t>
      </w:r>
      <w:r w:rsidR="00124CED">
        <w:rPr>
          <w:rFonts w:asciiTheme="minorHAnsi" w:hAnsiTheme="minorHAnsi" w:cstheme="minorHAnsi"/>
          <w:bCs/>
          <w:sz w:val="22"/>
          <w:szCs w:val="22"/>
        </w:rPr>
        <w:t xml:space="preserve"> </w:t>
      </w:r>
      <w:r w:rsidR="00CF0D5F">
        <w:rPr>
          <w:rFonts w:asciiTheme="minorHAnsi" w:hAnsiTheme="minorHAnsi" w:cstheme="minorHAnsi"/>
          <w:bCs/>
          <w:sz w:val="22"/>
          <w:szCs w:val="22"/>
        </w:rPr>
        <w:t>Such a duty should be imposed irrespective of whether or not a single Safeguarding Authority is established either as a stand-alone authority or within an existing agency.</w:t>
      </w:r>
    </w:p>
    <w:p w14:paraId="259B5470" w14:textId="75D8F9A6" w:rsidR="00C267AC" w:rsidRDefault="001347BD" w:rsidP="00DC54E3">
      <w:pPr>
        <w:spacing w:before="100" w:beforeAutospacing="1" w:after="100" w:afterAutospacing="1"/>
        <w:rPr>
          <w:rFonts w:cstheme="minorHAnsi"/>
          <w:bCs/>
        </w:rPr>
      </w:pPr>
      <w:r>
        <w:rPr>
          <w:rFonts w:cstheme="minorHAnsi"/>
          <w:bCs/>
        </w:rPr>
        <w:t xml:space="preserve">The Safeguarding Vulnerable Adults Bill 2017 (Schedule 1) contains a very detailed list </w:t>
      </w:r>
      <w:r w:rsidRPr="001347BD">
        <w:rPr>
          <w:rFonts w:cstheme="minorHAnsi"/>
          <w:bCs/>
        </w:rPr>
        <w:t>of persons specified as mandated persons for the purposes of th</w:t>
      </w:r>
      <w:r>
        <w:rPr>
          <w:rFonts w:cstheme="minorHAnsi"/>
          <w:bCs/>
        </w:rPr>
        <w:t>e</w:t>
      </w:r>
      <w:r w:rsidRPr="001347BD">
        <w:rPr>
          <w:rFonts w:cstheme="minorHAnsi"/>
          <w:bCs/>
        </w:rPr>
        <w:t xml:space="preserve"> Act</w:t>
      </w:r>
      <w:r>
        <w:rPr>
          <w:rFonts w:cstheme="minorHAnsi"/>
          <w:bCs/>
        </w:rPr>
        <w:t xml:space="preserve">. </w:t>
      </w:r>
      <w:r w:rsidR="0047566B">
        <w:rPr>
          <w:rFonts w:cstheme="minorHAnsi"/>
          <w:bCs/>
        </w:rPr>
        <w:t xml:space="preserve">This list would be a useful starting point </w:t>
      </w:r>
      <w:r>
        <w:rPr>
          <w:rFonts w:cstheme="minorHAnsi"/>
          <w:bCs/>
        </w:rPr>
        <w:t xml:space="preserve">for </w:t>
      </w:r>
      <w:r w:rsidR="0047566B">
        <w:rPr>
          <w:rFonts w:cstheme="minorHAnsi"/>
          <w:bCs/>
        </w:rPr>
        <w:t xml:space="preserve">drawing up a list </w:t>
      </w:r>
      <w:r w:rsidR="0019785F">
        <w:rPr>
          <w:rFonts w:cstheme="minorHAnsi"/>
          <w:bCs/>
        </w:rPr>
        <w:t xml:space="preserve">where </w:t>
      </w:r>
      <w:r w:rsidR="0047566B">
        <w:rPr>
          <w:rFonts w:cstheme="minorHAnsi"/>
          <w:bCs/>
        </w:rPr>
        <w:t>there would be a s</w:t>
      </w:r>
      <w:r>
        <w:rPr>
          <w:rFonts w:cstheme="minorHAnsi"/>
          <w:bCs/>
        </w:rPr>
        <w:t>tatutory requirement to collaborate</w:t>
      </w:r>
      <w:r w:rsidR="0047566B">
        <w:rPr>
          <w:rFonts w:cstheme="minorHAnsi"/>
          <w:bCs/>
        </w:rPr>
        <w:t xml:space="preserve"> in cases of actual or alleged abuse</w:t>
      </w:r>
      <w:r>
        <w:rPr>
          <w:rFonts w:cstheme="minorHAnsi"/>
          <w:bCs/>
        </w:rPr>
        <w:t xml:space="preserve">. </w:t>
      </w:r>
      <w:r w:rsidR="004E092C">
        <w:rPr>
          <w:rFonts w:cstheme="minorHAnsi"/>
          <w:bCs/>
        </w:rPr>
        <w:t xml:space="preserve">CIB identifies the following as </w:t>
      </w:r>
      <w:r w:rsidR="0019785F">
        <w:rPr>
          <w:rFonts w:cstheme="minorHAnsi"/>
          <w:bCs/>
        </w:rPr>
        <w:t xml:space="preserve">an indicative list of </w:t>
      </w:r>
      <w:r w:rsidR="004E092C">
        <w:rPr>
          <w:rFonts w:cstheme="minorHAnsi"/>
          <w:bCs/>
        </w:rPr>
        <w:t>bodies</w:t>
      </w:r>
      <w:r>
        <w:rPr>
          <w:rFonts w:cstheme="minorHAnsi"/>
          <w:bCs/>
        </w:rPr>
        <w:t xml:space="preserve"> and personnel </w:t>
      </w:r>
      <w:r w:rsidR="004E092C">
        <w:rPr>
          <w:rFonts w:cstheme="minorHAnsi"/>
          <w:bCs/>
        </w:rPr>
        <w:t>to which a</w:t>
      </w:r>
      <w:r w:rsidR="00DC54E3">
        <w:rPr>
          <w:rFonts w:cstheme="minorHAnsi"/>
          <w:bCs/>
        </w:rPr>
        <w:t xml:space="preserve"> statutory duty to </w:t>
      </w:r>
      <w:r w:rsidR="00C267AC">
        <w:rPr>
          <w:rFonts w:cstheme="minorHAnsi"/>
          <w:bCs/>
        </w:rPr>
        <w:t>co-operat</w:t>
      </w:r>
      <w:r w:rsidR="00DC54E3">
        <w:rPr>
          <w:rFonts w:cstheme="minorHAnsi"/>
          <w:bCs/>
        </w:rPr>
        <w:t xml:space="preserve">e </w:t>
      </w:r>
      <w:r w:rsidR="009F7A41">
        <w:rPr>
          <w:rFonts w:cstheme="minorHAnsi"/>
          <w:bCs/>
        </w:rPr>
        <w:t xml:space="preserve">could </w:t>
      </w:r>
      <w:r w:rsidR="00C267AC">
        <w:rPr>
          <w:rFonts w:cstheme="minorHAnsi"/>
          <w:bCs/>
        </w:rPr>
        <w:t>apply</w:t>
      </w:r>
      <w:r>
        <w:rPr>
          <w:rFonts w:cstheme="minorHAnsi"/>
          <w:bCs/>
        </w:rPr>
        <w:t>.</w:t>
      </w:r>
    </w:p>
    <w:p w14:paraId="53030E40" w14:textId="015FFDFC" w:rsidR="00C267AC"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The HSE and agencies that it funds through Section 38 and 39 agreements</w:t>
      </w:r>
    </w:p>
    <w:p w14:paraId="5A9F4C3E" w14:textId="2C3CB9FF" w:rsidR="001347BD" w:rsidRPr="001347BD" w:rsidRDefault="001347BD" w:rsidP="00C267AC">
      <w:pPr>
        <w:pStyle w:val="BodyText"/>
        <w:numPr>
          <w:ilvl w:val="0"/>
          <w:numId w:val="25"/>
        </w:numPr>
        <w:rPr>
          <w:rFonts w:asciiTheme="minorHAnsi" w:hAnsiTheme="minorHAnsi" w:cstheme="minorHAnsi"/>
          <w:bCs/>
          <w:sz w:val="22"/>
          <w:szCs w:val="22"/>
        </w:rPr>
      </w:pPr>
      <w:r>
        <w:rPr>
          <w:rFonts w:asciiTheme="minorHAnsi" w:hAnsiTheme="minorHAnsi" w:cstheme="minorHAnsi"/>
          <w:bCs/>
          <w:sz w:val="22"/>
          <w:szCs w:val="22"/>
        </w:rPr>
        <w:t>Health and social care personnel</w:t>
      </w:r>
    </w:p>
    <w:p w14:paraId="3746849E" w14:textId="5903C9C2" w:rsidR="00C267AC" w:rsidRPr="001347BD"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Private and voluntary nursing homes</w:t>
      </w:r>
    </w:p>
    <w:p w14:paraId="275A734C" w14:textId="77777777" w:rsidR="00C267AC" w:rsidRPr="001347BD"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Private providers of Home Care</w:t>
      </w:r>
    </w:p>
    <w:p w14:paraId="5405F28A" w14:textId="77777777" w:rsidR="00C267AC" w:rsidRPr="001347BD" w:rsidRDefault="00DC54E3"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HIQA</w:t>
      </w:r>
    </w:p>
    <w:p w14:paraId="0336805D" w14:textId="77777777" w:rsidR="00C267AC" w:rsidRPr="001347BD"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Mental Health Commission</w:t>
      </w:r>
    </w:p>
    <w:p w14:paraId="5CE7164C" w14:textId="77777777" w:rsidR="00C267AC" w:rsidRPr="001347BD"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Department of Employment Affairs and Social Protection</w:t>
      </w:r>
    </w:p>
    <w:p w14:paraId="12BA0996" w14:textId="77777777" w:rsidR="00B653A2" w:rsidRPr="001347BD" w:rsidRDefault="00C267AC"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Decision Support Service</w:t>
      </w:r>
    </w:p>
    <w:p w14:paraId="284F4964" w14:textId="394BD390" w:rsidR="00C267AC" w:rsidRPr="001347BD" w:rsidRDefault="00B653A2" w:rsidP="00C267AC">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NAS</w:t>
      </w:r>
    </w:p>
    <w:p w14:paraId="04BF3B67" w14:textId="082265B1" w:rsidR="00DC54E3" w:rsidRPr="001347BD" w:rsidRDefault="00DC54E3" w:rsidP="00DC54E3">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Independent advocacy providers</w:t>
      </w:r>
      <w:r w:rsidR="001976E6" w:rsidRPr="001347BD">
        <w:rPr>
          <w:rFonts w:asciiTheme="minorHAnsi" w:hAnsiTheme="minorHAnsi" w:cstheme="minorHAnsi"/>
          <w:bCs/>
          <w:sz w:val="22"/>
          <w:szCs w:val="22"/>
        </w:rPr>
        <w:t xml:space="preserve"> </w:t>
      </w:r>
    </w:p>
    <w:p w14:paraId="37568921" w14:textId="77777777" w:rsidR="00DC54E3" w:rsidRPr="001347BD" w:rsidRDefault="00DC54E3" w:rsidP="00DC54E3">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Central Bank of Ireland</w:t>
      </w:r>
    </w:p>
    <w:p w14:paraId="51B95D90" w14:textId="073CE886" w:rsidR="001347BD" w:rsidRPr="001347BD" w:rsidRDefault="00DC54E3" w:rsidP="00DC54E3">
      <w:pPr>
        <w:pStyle w:val="BodyText"/>
        <w:numPr>
          <w:ilvl w:val="0"/>
          <w:numId w:val="25"/>
        </w:numPr>
        <w:rPr>
          <w:rFonts w:asciiTheme="minorHAnsi" w:hAnsiTheme="minorHAnsi" w:cstheme="minorHAnsi"/>
          <w:bCs/>
          <w:sz w:val="22"/>
          <w:szCs w:val="22"/>
        </w:rPr>
      </w:pPr>
      <w:r w:rsidRPr="001347BD">
        <w:rPr>
          <w:rFonts w:asciiTheme="minorHAnsi" w:hAnsiTheme="minorHAnsi" w:cstheme="minorHAnsi"/>
          <w:bCs/>
          <w:sz w:val="22"/>
          <w:szCs w:val="22"/>
        </w:rPr>
        <w:t>Banks</w:t>
      </w:r>
      <w:r w:rsidR="001347BD" w:rsidRPr="001347BD">
        <w:rPr>
          <w:rFonts w:asciiTheme="minorHAnsi" w:hAnsiTheme="minorHAnsi" w:cstheme="minorHAnsi"/>
          <w:bCs/>
          <w:sz w:val="22"/>
          <w:szCs w:val="22"/>
        </w:rPr>
        <w:t>,</w:t>
      </w:r>
      <w:r w:rsidRPr="001347BD">
        <w:rPr>
          <w:rFonts w:asciiTheme="minorHAnsi" w:hAnsiTheme="minorHAnsi" w:cstheme="minorHAnsi"/>
          <w:bCs/>
          <w:sz w:val="22"/>
          <w:szCs w:val="22"/>
        </w:rPr>
        <w:t xml:space="preserve"> Credit Unions</w:t>
      </w:r>
      <w:r w:rsidR="001347BD" w:rsidRPr="001347BD">
        <w:rPr>
          <w:rFonts w:asciiTheme="minorHAnsi" w:hAnsiTheme="minorHAnsi" w:cstheme="minorHAnsi"/>
          <w:bCs/>
          <w:sz w:val="22"/>
          <w:szCs w:val="22"/>
        </w:rPr>
        <w:t xml:space="preserve"> and Post Offices</w:t>
      </w:r>
    </w:p>
    <w:p w14:paraId="2C38EB30" w14:textId="6FAE3836" w:rsidR="00B653A2" w:rsidRDefault="00B653A2" w:rsidP="00B653A2">
      <w:pPr>
        <w:pStyle w:val="BodyText"/>
        <w:numPr>
          <w:ilvl w:val="0"/>
          <w:numId w:val="25"/>
        </w:numPr>
        <w:rPr>
          <w:rFonts w:asciiTheme="minorHAnsi" w:hAnsiTheme="minorHAnsi"/>
          <w:sz w:val="22"/>
          <w:szCs w:val="22"/>
        </w:rPr>
      </w:pPr>
      <w:r w:rsidRPr="001347BD">
        <w:rPr>
          <w:rFonts w:asciiTheme="minorHAnsi" w:hAnsiTheme="minorHAnsi"/>
          <w:sz w:val="22"/>
          <w:szCs w:val="22"/>
        </w:rPr>
        <w:t>C</w:t>
      </w:r>
      <w:r w:rsidR="001347BD" w:rsidRPr="001347BD">
        <w:rPr>
          <w:rFonts w:asciiTheme="minorHAnsi" w:hAnsiTheme="minorHAnsi"/>
          <w:sz w:val="22"/>
          <w:szCs w:val="22"/>
        </w:rPr>
        <w:t>itizens Information Services</w:t>
      </w:r>
    </w:p>
    <w:p w14:paraId="09AF6C00" w14:textId="5EBBFD86" w:rsidR="00EE3061" w:rsidRPr="001347BD" w:rsidRDefault="00EE3061" w:rsidP="00B653A2">
      <w:pPr>
        <w:pStyle w:val="BodyText"/>
        <w:numPr>
          <w:ilvl w:val="0"/>
          <w:numId w:val="25"/>
        </w:numPr>
        <w:rPr>
          <w:rFonts w:asciiTheme="minorHAnsi" w:hAnsiTheme="minorHAnsi"/>
          <w:sz w:val="22"/>
          <w:szCs w:val="22"/>
        </w:rPr>
      </w:pPr>
      <w:r>
        <w:rPr>
          <w:rFonts w:asciiTheme="minorHAnsi" w:hAnsiTheme="minorHAnsi"/>
          <w:sz w:val="22"/>
          <w:szCs w:val="22"/>
        </w:rPr>
        <w:t>MABS</w:t>
      </w:r>
    </w:p>
    <w:p w14:paraId="1EA359A5" w14:textId="1157D11C" w:rsidR="00B653A2" w:rsidRPr="001347BD" w:rsidRDefault="00B653A2" w:rsidP="00B653A2">
      <w:pPr>
        <w:pStyle w:val="CommentText"/>
        <w:numPr>
          <w:ilvl w:val="0"/>
          <w:numId w:val="25"/>
        </w:numPr>
        <w:rPr>
          <w:rFonts w:asciiTheme="minorHAnsi" w:hAnsiTheme="minorHAnsi"/>
          <w:sz w:val="22"/>
          <w:szCs w:val="22"/>
        </w:rPr>
      </w:pPr>
      <w:r w:rsidRPr="001347BD">
        <w:rPr>
          <w:rFonts w:asciiTheme="minorHAnsi" w:hAnsiTheme="minorHAnsi"/>
          <w:sz w:val="22"/>
          <w:szCs w:val="22"/>
        </w:rPr>
        <w:t>Gardai</w:t>
      </w:r>
    </w:p>
    <w:p w14:paraId="168295E5" w14:textId="3F09A83A" w:rsidR="00B653A2" w:rsidRPr="001347BD" w:rsidRDefault="001347BD" w:rsidP="00B653A2">
      <w:pPr>
        <w:pStyle w:val="CommentText"/>
        <w:numPr>
          <w:ilvl w:val="0"/>
          <w:numId w:val="25"/>
        </w:numPr>
        <w:rPr>
          <w:rFonts w:asciiTheme="minorHAnsi" w:hAnsiTheme="minorHAnsi"/>
          <w:sz w:val="22"/>
          <w:szCs w:val="22"/>
        </w:rPr>
      </w:pPr>
      <w:r w:rsidRPr="001347BD">
        <w:rPr>
          <w:rFonts w:asciiTheme="minorHAnsi" w:hAnsiTheme="minorHAnsi"/>
          <w:sz w:val="22"/>
          <w:szCs w:val="22"/>
        </w:rPr>
        <w:t>GPs and pharmacists</w:t>
      </w:r>
    </w:p>
    <w:p w14:paraId="2ABD3A0D" w14:textId="3E6E5E86" w:rsidR="00B653A2" w:rsidRPr="001347BD" w:rsidRDefault="00B653A2" w:rsidP="00B653A2">
      <w:pPr>
        <w:pStyle w:val="CommentText"/>
        <w:numPr>
          <w:ilvl w:val="0"/>
          <w:numId w:val="25"/>
        </w:numPr>
        <w:rPr>
          <w:rFonts w:asciiTheme="minorHAnsi" w:hAnsiTheme="minorHAnsi"/>
          <w:sz w:val="22"/>
          <w:szCs w:val="22"/>
        </w:rPr>
      </w:pPr>
      <w:r w:rsidRPr="001347BD">
        <w:rPr>
          <w:rFonts w:asciiTheme="minorHAnsi" w:hAnsiTheme="minorHAnsi"/>
          <w:sz w:val="22"/>
          <w:szCs w:val="22"/>
        </w:rPr>
        <w:t>Tusla</w:t>
      </w:r>
    </w:p>
    <w:p w14:paraId="7E0933EE" w14:textId="77777777" w:rsidR="00EE3061" w:rsidRDefault="001347BD" w:rsidP="00B653A2">
      <w:pPr>
        <w:pStyle w:val="CommentText"/>
        <w:numPr>
          <w:ilvl w:val="0"/>
          <w:numId w:val="25"/>
        </w:numPr>
        <w:rPr>
          <w:rFonts w:asciiTheme="minorHAnsi" w:hAnsiTheme="minorHAnsi"/>
          <w:sz w:val="22"/>
          <w:szCs w:val="22"/>
        </w:rPr>
      </w:pPr>
      <w:r w:rsidRPr="001347BD">
        <w:rPr>
          <w:rFonts w:asciiTheme="minorHAnsi" w:hAnsiTheme="minorHAnsi"/>
          <w:sz w:val="22"/>
          <w:szCs w:val="22"/>
        </w:rPr>
        <w:t>Local Authorities</w:t>
      </w:r>
    </w:p>
    <w:p w14:paraId="258BE166" w14:textId="144B50B7" w:rsidR="00B653A2" w:rsidRPr="001347BD" w:rsidRDefault="00EE3061" w:rsidP="00EE3061">
      <w:pPr>
        <w:pStyle w:val="CommentText"/>
        <w:ind w:left="720"/>
        <w:rPr>
          <w:rFonts w:asciiTheme="minorHAnsi" w:hAnsiTheme="minorHAnsi"/>
          <w:sz w:val="22"/>
          <w:szCs w:val="22"/>
        </w:rPr>
      </w:pPr>
      <w:r>
        <w:rPr>
          <w:rFonts w:asciiTheme="minorHAnsi" w:hAnsiTheme="minorHAnsi"/>
          <w:sz w:val="22"/>
          <w:szCs w:val="22"/>
        </w:rPr>
        <w:br/>
      </w:r>
    </w:p>
    <w:p w14:paraId="06B7555A" w14:textId="63A8BAC5" w:rsidR="00DC54E3" w:rsidRPr="00DC54E3" w:rsidRDefault="00DC54E3" w:rsidP="00C267AC">
      <w:pPr>
        <w:pStyle w:val="BodyText"/>
        <w:rPr>
          <w:rFonts w:asciiTheme="minorHAnsi" w:hAnsiTheme="minorHAnsi" w:cstheme="minorHAnsi"/>
          <w:b/>
          <w:sz w:val="22"/>
          <w:szCs w:val="22"/>
        </w:rPr>
      </w:pPr>
      <w:r w:rsidRPr="00DC54E3">
        <w:rPr>
          <w:rFonts w:asciiTheme="minorHAnsi" w:hAnsiTheme="minorHAnsi" w:cstheme="minorHAnsi"/>
          <w:b/>
          <w:sz w:val="22"/>
          <w:szCs w:val="22"/>
        </w:rPr>
        <w:t>Q 11.3</w:t>
      </w:r>
    </w:p>
    <w:p w14:paraId="42521F7C" w14:textId="26CE5D77" w:rsidR="00C267AC" w:rsidRDefault="0047566B" w:rsidP="005B436A">
      <w:pPr>
        <w:pStyle w:val="BodyText"/>
        <w:spacing w:line="276" w:lineRule="auto"/>
        <w:rPr>
          <w:rFonts w:asciiTheme="minorHAnsi" w:hAnsiTheme="minorHAnsi" w:cstheme="minorHAnsi"/>
          <w:sz w:val="22"/>
          <w:szCs w:val="22"/>
        </w:rPr>
      </w:pPr>
      <w:r>
        <w:rPr>
          <w:rFonts w:asciiTheme="minorHAnsi" w:hAnsiTheme="minorHAnsi" w:cstheme="minorHAnsi"/>
          <w:sz w:val="22"/>
          <w:szCs w:val="22"/>
        </w:rPr>
        <w:t>CIB is not well placed to express a definitive view on this matter. However, we would feel that t</w:t>
      </w:r>
      <w:r w:rsidR="00B03483">
        <w:rPr>
          <w:rFonts w:asciiTheme="minorHAnsi" w:hAnsiTheme="minorHAnsi" w:cstheme="minorHAnsi"/>
          <w:sz w:val="22"/>
          <w:szCs w:val="22"/>
        </w:rPr>
        <w:t xml:space="preserve">here is a need </w:t>
      </w:r>
      <w:r w:rsidR="00C267AC">
        <w:rPr>
          <w:rFonts w:asciiTheme="minorHAnsi" w:hAnsiTheme="minorHAnsi" w:cstheme="minorHAnsi"/>
          <w:sz w:val="22"/>
          <w:szCs w:val="22"/>
        </w:rPr>
        <w:t xml:space="preserve">for </w:t>
      </w:r>
      <w:r>
        <w:rPr>
          <w:rFonts w:asciiTheme="minorHAnsi" w:hAnsiTheme="minorHAnsi" w:cstheme="minorHAnsi"/>
          <w:sz w:val="22"/>
          <w:szCs w:val="22"/>
        </w:rPr>
        <w:t xml:space="preserve">some </w:t>
      </w:r>
      <w:r w:rsidR="00C267AC">
        <w:rPr>
          <w:rFonts w:asciiTheme="minorHAnsi" w:hAnsiTheme="minorHAnsi" w:cstheme="minorHAnsi"/>
          <w:sz w:val="22"/>
          <w:szCs w:val="22"/>
        </w:rPr>
        <w:t>statutory transitional care arrangements between child care services and adult safeguarding services where there are safeguarding concerns.</w:t>
      </w:r>
      <w:r w:rsidR="00B03483">
        <w:rPr>
          <w:rFonts w:asciiTheme="minorHAnsi" w:hAnsiTheme="minorHAnsi" w:cstheme="minorHAnsi"/>
          <w:sz w:val="22"/>
          <w:szCs w:val="22"/>
        </w:rPr>
        <w:t xml:space="preserve"> This is particularly important i</w:t>
      </w:r>
      <w:r w:rsidR="00C267AC">
        <w:rPr>
          <w:rFonts w:asciiTheme="minorHAnsi" w:hAnsiTheme="minorHAnsi" w:cstheme="minorHAnsi"/>
          <w:sz w:val="22"/>
          <w:szCs w:val="22"/>
        </w:rPr>
        <w:t xml:space="preserve">n </w:t>
      </w:r>
      <w:r w:rsidR="00B03483">
        <w:rPr>
          <w:rFonts w:asciiTheme="minorHAnsi" w:hAnsiTheme="minorHAnsi" w:cstheme="minorHAnsi"/>
          <w:sz w:val="22"/>
          <w:szCs w:val="22"/>
        </w:rPr>
        <w:t>the context of S</w:t>
      </w:r>
      <w:r w:rsidR="00C267AC">
        <w:rPr>
          <w:rFonts w:asciiTheme="minorHAnsi" w:hAnsiTheme="minorHAnsi" w:cstheme="minorHAnsi"/>
          <w:sz w:val="22"/>
          <w:szCs w:val="22"/>
        </w:rPr>
        <w:t>ection 11.10</w:t>
      </w:r>
      <w:r w:rsidR="00B03483">
        <w:rPr>
          <w:rFonts w:asciiTheme="minorHAnsi" w:hAnsiTheme="minorHAnsi" w:cstheme="minorHAnsi"/>
          <w:sz w:val="22"/>
          <w:szCs w:val="22"/>
        </w:rPr>
        <w:t xml:space="preserve"> in the LRC Paper which highlighted, </w:t>
      </w:r>
      <w:r w:rsidR="00B03483" w:rsidRPr="00B03483">
        <w:rPr>
          <w:rFonts w:asciiTheme="minorHAnsi" w:hAnsiTheme="minorHAnsi" w:cstheme="minorHAnsi"/>
          <w:i/>
          <w:sz w:val="22"/>
          <w:szCs w:val="22"/>
        </w:rPr>
        <w:t>inter</w:t>
      </w:r>
      <w:r w:rsidR="00B03483">
        <w:rPr>
          <w:rFonts w:asciiTheme="minorHAnsi" w:hAnsiTheme="minorHAnsi" w:cstheme="minorHAnsi"/>
          <w:sz w:val="22"/>
          <w:szCs w:val="22"/>
        </w:rPr>
        <w:t xml:space="preserve"> </w:t>
      </w:r>
      <w:r w:rsidR="00B03483" w:rsidRPr="00B03483">
        <w:rPr>
          <w:rFonts w:asciiTheme="minorHAnsi" w:hAnsiTheme="minorHAnsi" w:cstheme="minorHAnsi"/>
          <w:i/>
          <w:sz w:val="22"/>
          <w:szCs w:val="22"/>
        </w:rPr>
        <w:t>alia</w:t>
      </w:r>
      <w:r w:rsidR="00B03483">
        <w:rPr>
          <w:rFonts w:asciiTheme="minorHAnsi" w:hAnsiTheme="minorHAnsi" w:cstheme="minorHAnsi"/>
          <w:sz w:val="22"/>
          <w:szCs w:val="22"/>
        </w:rPr>
        <w:t xml:space="preserve">, </w:t>
      </w:r>
      <w:r w:rsidR="00C267AC">
        <w:rPr>
          <w:rFonts w:asciiTheme="minorHAnsi" w:hAnsiTheme="minorHAnsi" w:cstheme="minorHAnsi"/>
          <w:sz w:val="22"/>
          <w:szCs w:val="22"/>
        </w:rPr>
        <w:t>that</w:t>
      </w:r>
      <w:r w:rsidR="00173027">
        <w:rPr>
          <w:rFonts w:asciiTheme="minorHAnsi" w:hAnsiTheme="minorHAnsi" w:cstheme="minorHAnsi"/>
          <w:sz w:val="22"/>
          <w:szCs w:val="22"/>
        </w:rPr>
        <w:t xml:space="preserve"> in the </w:t>
      </w:r>
      <w:r w:rsidR="00B03483">
        <w:rPr>
          <w:rFonts w:asciiTheme="minorHAnsi" w:hAnsiTheme="minorHAnsi" w:cstheme="minorHAnsi"/>
          <w:sz w:val="22"/>
          <w:szCs w:val="22"/>
        </w:rPr>
        <w:t xml:space="preserve">case cited: </w:t>
      </w:r>
      <w:r w:rsidR="00B03483">
        <w:rPr>
          <w:rFonts w:asciiTheme="minorHAnsi" w:hAnsiTheme="minorHAnsi" w:cstheme="minorHAnsi"/>
          <w:sz w:val="22"/>
          <w:szCs w:val="22"/>
        </w:rPr>
        <w:br/>
      </w:r>
    </w:p>
    <w:p w14:paraId="638E9DF4" w14:textId="77777777" w:rsidR="00C267AC" w:rsidRDefault="00C267AC" w:rsidP="005B436A">
      <w:pPr>
        <w:pStyle w:val="BodyText"/>
        <w:numPr>
          <w:ilvl w:val="0"/>
          <w:numId w:val="26"/>
        </w:numPr>
        <w:spacing w:line="276" w:lineRule="auto"/>
        <w:rPr>
          <w:rFonts w:asciiTheme="minorHAnsi" w:hAnsiTheme="minorHAnsi" w:cstheme="minorHAnsi"/>
          <w:bCs/>
          <w:sz w:val="22"/>
          <w:szCs w:val="22"/>
        </w:rPr>
      </w:pPr>
      <w:r>
        <w:rPr>
          <w:rFonts w:asciiTheme="minorHAnsi" w:hAnsiTheme="minorHAnsi" w:cstheme="minorHAnsi"/>
          <w:sz w:val="22"/>
          <w:szCs w:val="22"/>
        </w:rPr>
        <w:t xml:space="preserve">Coordination of service delivery </w:t>
      </w:r>
      <w:r w:rsidR="00B03483">
        <w:rPr>
          <w:rFonts w:asciiTheme="minorHAnsi" w:hAnsiTheme="minorHAnsi" w:cstheme="minorHAnsi"/>
          <w:sz w:val="22"/>
          <w:szCs w:val="22"/>
        </w:rPr>
        <w:t xml:space="preserve">and referral pathways </w:t>
      </w:r>
      <w:r>
        <w:rPr>
          <w:rFonts w:asciiTheme="minorHAnsi" w:hAnsiTheme="minorHAnsi" w:cstheme="minorHAnsi"/>
          <w:sz w:val="22"/>
          <w:szCs w:val="22"/>
        </w:rPr>
        <w:t xml:space="preserve">between the HSE Disability Services and the voluntary organisation </w:t>
      </w:r>
      <w:r w:rsidR="00B03483">
        <w:rPr>
          <w:rFonts w:asciiTheme="minorHAnsi" w:hAnsiTheme="minorHAnsi" w:cstheme="minorHAnsi"/>
          <w:sz w:val="22"/>
          <w:szCs w:val="22"/>
        </w:rPr>
        <w:t>and Tusla was ineffective</w:t>
      </w:r>
      <w:r>
        <w:rPr>
          <w:rFonts w:asciiTheme="minorHAnsi" w:hAnsiTheme="minorHAnsi" w:cstheme="minorHAnsi"/>
          <w:sz w:val="22"/>
          <w:szCs w:val="22"/>
        </w:rPr>
        <w:t xml:space="preserve"> (</w:t>
      </w:r>
      <w:r w:rsidR="00B03483">
        <w:rPr>
          <w:rFonts w:asciiTheme="minorHAnsi" w:hAnsiTheme="minorHAnsi" w:cstheme="minorHAnsi"/>
          <w:sz w:val="22"/>
          <w:szCs w:val="22"/>
        </w:rPr>
        <w:t>p.</w:t>
      </w:r>
      <w:r>
        <w:rPr>
          <w:rFonts w:asciiTheme="minorHAnsi" w:hAnsiTheme="minorHAnsi" w:cstheme="minorHAnsi"/>
          <w:sz w:val="22"/>
          <w:szCs w:val="22"/>
        </w:rPr>
        <w:t xml:space="preserve"> 50)</w:t>
      </w:r>
      <w:r w:rsidR="00B03483">
        <w:rPr>
          <w:rFonts w:asciiTheme="minorHAnsi" w:hAnsiTheme="minorHAnsi" w:cstheme="minorHAnsi"/>
          <w:sz w:val="22"/>
          <w:szCs w:val="22"/>
        </w:rPr>
        <w:t>.</w:t>
      </w:r>
      <w:r w:rsidR="00796317">
        <w:rPr>
          <w:rFonts w:asciiTheme="minorHAnsi" w:hAnsiTheme="minorHAnsi" w:cstheme="minorHAnsi"/>
          <w:sz w:val="22"/>
          <w:szCs w:val="22"/>
        </w:rPr>
        <w:br/>
      </w:r>
      <w:r>
        <w:rPr>
          <w:rFonts w:asciiTheme="minorHAnsi" w:hAnsiTheme="minorHAnsi" w:cstheme="minorHAnsi"/>
          <w:sz w:val="22"/>
          <w:szCs w:val="22"/>
        </w:rPr>
        <w:t xml:space="preserve"> </w:t>
      </w:r>
    </w:p>
    <w:p w14:paraId="714E8589" w14:textId="77777777" w:rsidR="00C267AC" w:rsidRDefault="00C267AC" w:rsidP="005B436A">
      <w:pPr>
        <w:pStyle w:val="BodyText"/>
        <w:numPr>
          <w:ilvl w:val="0"/>
          <w:numId w:val="26"/>
        </w:numPr>
        <w:spacing w:line="276" w:lineRule="auto"/>
        <w:rPr>
          <w:rFonts w:asciiTheme="minorHAnsi" w:hAnsiTheme="minorHAnsi" w:cstheme="minorHAnsi"/>
          <w:bCs/>
          <w:sz w:val="22"/>
          <w:szCs w:val="22"/>
        </w:rPr>
      </w:pPr>
      <w:r>
        <w:rPr>
          <w:rFonts w:asciiTheme="minorHAnsi" w:hAnsiTheme="minorHAnsi" w:cstheme="minorHAnsi"/>
          <w:sz w:val="22"/>
          <w:szCs w:val="22"/>
        </w:rPr>
        <w:t>A clear and formal written referral from Tusla to the HSE in</w:t>
      </w:r>
      <w:r w:rsidR="00B03483">
        <w:rPr>
          <w:rFonts w:asciiTheme="minorHAnsi" w:hAnsiTheme="minorHAnsi" w:cstheme="minorHAnsi"/>
          <w:sz w:val="22"/>
          <w:szCs w:val="22"/>
        </w:rPr>
        <w:t xml:space="preserve"> 2014 could have contributed to </w:t>
      </w:r>
      <w:r>
        <w:rPr>
          <w:rFonts w:asciiTheme="minorHAnsi" w:hAnsiTheme="minorHAnsi" w:cstheme="minorHAnsi"/>
          <w:sz w:val="22"/>
          <w:szCs w:val="22"/>
        </w:rPr>
        <w:t>progressing the case and bringing clarity to the roles of</w:t>
      </w:r>
      <w:r w:rsidR="00B03483">
        <w:rPr>
          <w:rFonts w:asciiTheme="minorHAnsi" w:hAnsiTheme="minorHAnsi" w:cstheme="minorHAnsi"/>
          <w:sz w:val="22"/>
          <w:szCs w:val="22"/>
        </w:rPr>
        <w:t xml:space="preserve"> both organisations (p. 50). </w:t>
      </w:r>
    </w:p>
    <w:p w14:paraId="17BDB72D" w14:textId="25C0317D" w:rsidR="00C267AC" w:rsidRDefault="00C267AC" w:rsidP="005B436A">
      <w:pPr>
        <w:pStyle w:val="BodyText"/>
        <w:spacing w:line="276" w:lineRule="auto"/>
        <w:rPr>
          <w:rFonts w:asciiTheme="minorHAnsi" w:hAnsiTheme="minorHAnsi" w:cstheme="minorHAnsi"/>
          <w:bCs/>
          <w:sz w:val="22"/>
          <w:szCs w:val="22"/>
        </w:rPr>
      </w:pPr>
    </w:p>
    <w:p w14:paraId="6428F5D0" w14:textId="77777777" w:rsidR="00C267AC" w:rsidRDefault="00C267AC" w:rsidP="005B436A">
      <w:pPr>
        <w:pStyle w:val="BodyText"/>
        <w:numPr>
          <w:ilvl w:val="0"/>
          <w:numId w:val="26"/>
        </w:numPr>
        <w:spacing w:line="276" w:lineRule="auto"/>
        <w:rPr>
          <w:rFonts w:asciiTheme="minorHAnsi" w:hAnsiTheme="minorHAnsi" w:cstheme="minorHAnsi"/>
          <w:bCs/>
          <w:sz w:val="22"/>
          <w:szCs w:val="22"/>
        </w:rPr>
      </w:pPr>
      <w:r>
        <w:rPr>
          <w:rFonts w:asciiTheme="minorHAnsi" w:hAnsiTheme="minorHAnsi" w:cstheme="minorHAnsi"/>
          <w:sz w:val="22"/>
          <w:szCs w:val="22"/>
        </w:rPr>
        <w:t xml:space="preserve">The lack of clarity around role and function of post holders had a negative impact on the overall management of the case. </w:t>
      </w:r>
    </w:p>
    <w:p w14:paraId="126B1CCF" w14:textId="77777777" w:rsidR="00C267AC" w:rsidRDefault="00C267AC" w:rsidP="005B436A">
      <w:pPr>
        <w:pStyle w:val="BodyText"/>
        <w:spacing w:line="276" w:lineRule="auto"/>
        <w:rPr>
          <w:rFonts w:asciiTheme="minorHAnsi" w:hAnsiTheme="minorHAnsi" w:cstheme="minorHAnsi"/>
          <w:sz w:val="22"/>
          <w:szCs w:val="22"/>
        </w:rPr>
      </w:pPr>
    </w:p>
    <w:p w14:paraId="323CE86C" w14:textId="3F9E6597" w:rsidR="00C267AC" w:rsidRDefault="007D3DE8" w:rsidP="005B436A">
      <w:pPr>
        <w:pStyle w:val="BodyText"/>
        <w:spacing w:line="276" w:lineRule="auto"/>
        <w:rPr>
          <w:rFonts w:asciiTheme="minorHAnsi" w:hAnsiTheme="minorHAnsi" w:cstheme="minorHAnsi"/>
          <w:bCs/>
          <w:sz w:val="22"/>
          <w:szCs w:val="22"/>
        </w:rPr>
      </w:pPr>
      <w:r>
        <w:rPr>
          <w:rFonts w:asciiTheme="minorHAnsi" w:hAnsiTheme="minorHAnsi" w:cstheme="minorHAnsi"/>
          <w:sz w:val="22"/>
          <w:szCs w:val="22"/>
        </w:rPr>
        <w:t xml:space="preserve">While there are information sharing protocols in place between the </w:t>
      </w:r>
      <w:r w:rsidR="00C267AC">
        <w:rPr>
          <w:rFonts w:asciiTheme="minorHAnsi" w:hAnsiTheme="minorHAnsi" w:cstheme="minorHAnsi"/>
          <w:sz w:val="22"/>
          <w:szCs w:val="22"/>
        </w:rPr>
        <w:t>HSE and TUSLA</w:t>
      </w:r>
      <w:r>
        <w:rPr>
          <w:rFonts w:asciiTheme="minorHAnsi" w:hAnsiTheme="minorHAnsi" w:cstheme="minorHAnsi"/>
          <w:sz w:val="22"/>
          <w:szCs w:val="22"/>
        </w:rPr>
        <w:t xml:space="preserve">, it may be the case that </w:t>
      </w:r>
      <w:r w:rsidR="00C267AC">
        <w:rPr>
          <w:rFonts w:asciiTheme="minorHAnsi" w:hAnsiTheme="minorHAnsi" w:cstheme="minorHAnsi"/>
          <w:sz w:val="22"/>
          <w:szCs w:val="22"/>
        </w:rPr>
        <w:t xml:space="preserve">there </w:t>
      </w:r>
      <w:r>
        <w:rPr>
          <w:rFonts w:asciiTheme="minorHAnsi" w:hAnsiTheme="minorHAnsi" w:cstheme="minorHAnsi"/>
          <w:sz w:val="22"/>
          <w:szCs w:val="22"/>
        </w:rPr>
        <w:t xml:space="preserve">is </w:t>
      </w:r>
      <w:r w:rsidR="00C267AC">
        <w:rPr>
          <w:rFonts w:asciiTheme="minorHAnsi" w:hAnsiTheme="minorHAnsi" w:cstheme="minorHAnsi"/>
          <w:sz w:val="22"/>
          <w:szCs w:val="22"/>
        </w:rPr>
        <w:t>a lack of a consistent approach across the country. In addition, there may be more than those two agencies involved in safeguarding plans</w:t>
      </w:r>
      <w:r w:rsidR="0019785F">
        <w:rPr>
          <w:rFonts w:asciiTheme="minorHAnsi" w:hAnsiTheme="minorHAnsi" w:cstheme="minorHAnsi"/>
          <w:sz w:val="22"/>
          <w:szCs w:val="22"/>
        </w:rPr>
        <w:t xml:space="preserve"> (e.g., a disability service provider)</w:t>
      </w:r>
      <w:r w:rsidR="00C267AC">
        <w:rPr>
          <w:rFonts w:asciiTheme="minorHAnsi" w:hAnsiTheme="minorHAnsi" w:cstheme="minorHAnsi"/>
          <w:sz w:val="22"/>
          <w:szCs w:val="22"/>
        </w:rPr>
        <w:t xml:space="preserve"> and it is important that statutory arrangements apply to all such agencies. This is</w:t>
      </w:r>
      <w:r w:rsidR="00796317">
        <w:rPr>
          <w:rFonts w:asciiTheme="minorHAnsi" w:hAnsiTheme="minorHAnsi" w:cstheme="minorHAnsi"/>
          <w:sz w:val="22"/>
          <w:szCs w:val="22"/>
        </w:rPr>
        <w:t xml:space="preserve">sue is </w:t>
      </w:r>
      <w:r w:rsidR="00C267AC">
        <w:rPr>
          <w:rFonts w:asciiTheme="minorHAnsi" w:hAnsiTheme="minorHAnsi" w:cstheme="minorHAnsi"/>
          <w:sz w:val="22"/>
          <w:szCs w:val="22"/>
        </w:rPr>
        <w:t xml:space="preserve">very much linked to </w:t>
      </w:r>
      <w:r w:rsidR="00796317">
        <w:rPr>
          <w:rFonts w:asciiTheme="minorHAnsi" w:hAnsiTheme="minorHAnsi" w:cstheme="minorHAnsi"/>
          <w:sz w:val="22"/>
          <w:szCs w:val="22"/>
        </w:rPr>
        <w:t xml:space="preserve">the information and </w:t>
      </w:r>
      <w:r w:rsidR="00C267AC">
        <w:rPr>
          <w:rFonts w:asciiTheme="minorHAnsi" w:hAnsiTheme="minorHAnsi" w:cstheme="minorHAnsi"/>
          <w:sz w:val="22"/>
          <w:szCs w:val="22"/>
        </w:rPr>
        <w:t>data sharing (Issue 10</w:t>
      </w:r>
      <w:r w:rsidR="00796317">
        <w:rPr>
          <w:rFonts w:asciiTheme="minorHAnsi" w:hAnsiTheme="minorHAnsi" w:cstheme="minorHAnsi"/>
          <w:sz w:val="22"/>
          <w:szCs w:val="22"/>
        </w:rPr>
        <w:t>)</w:t>
      </w:r>
      <w:r w:rsidR="00C267AC">
        <w:rPr>
          <w:rFonts w:asciiTheme="minorHAnsi" w:hAnsiTheme="minorHAnsi" w:cstheme="minorHAnsi"/>
          <w:sz w:val="22"/>
          <w:szCs w:val="22"/>
        </w:rPr>
        <w:t>).</w:t>
      </w:r>
    </w:p>
    <w:p w14:paraId="7DA59213" w14:textId="77777777" w:rsidR="005B436A" w:rsidRDefault="005B436A" w:rsidP="005B436A">
      <w:pPr>
        <w:rPr>
          <w:rFonts w:cs="Segoe UI"/>
          <w:b/>
          <w:color w:val="000000"/>
          <w:sz w:val="24"/>
          <w:szCs w:val="24"/>
          <w:bdr w:val="none" w:sz="0" w:space="0" w:color="auto" w:frame="1"/>
        </w:rPr>
      </w:pPr>
    </w:p>
    <w:p w14:paraId="1639C67D" w14:textId="4631C028" w:rsidR="007E4987" w:rsidRPr="000523AF" w:rsidRDefault="002C415F" w:rsidP="000523AF">
      <w:pPr>
        <w:rPr>
          <w:rFonts w:cs="Segoe UI"/>
          <w:color w:val="000000"/>
          <w:bdr w:val="none" w:sz="0" w:space="0" w:color="auto" w:frame="1"/>
        </w:rPr>
      </w:pPr>
      <w:r w:rsidRPr="00B03483">
        <w:rPr>
          <w:rFonts w:cs="Segoe UI"/>
          <w:b/>
          <w:color w:val="000000"/>
          <w:sz w:val="24"/>
          <w:szCs w:val="24"/>
          <w:bdr w:val="none" w:sz="0" w:space="0" w:color="auto" w:frame="1"/>
        </w:rPr>
        <w:t>Overarching Considerations</w:t>
      </w:r>
      <w:r w:rsidRPr="00B03483">
        <w:rPr>
          <w:rFonts w:cs="Segoe UI"/>
          <w:b/>
          <w:color w:val="000000"/>
          <w:sz w:val="24"/>
          <w:szCs w:val="24"/>
          <w:bdr w:val="none" w:sz="0" w:space="0" w:color="auto" w:frame="1"/>
        </w:rPr>
        <w:br/>
      </w:r>
      <w:r w:rsidR="000C410A">
        <w:rPr>
          <w:rFonts w:cs="Segoe UI"/>
          <w:color w:val="000000"/>
          <w:bdr w:val="none" w:sz="0" w:space="0" w:color="auto" w:frame="1"/>
        </w:rPr>
        <w:t xml:space="preserve">As the statutory body responsible for supporting the provision of information, advice and advocacy on social services in Ireland, CIB has a specific </w:t>
      </w:r>
      <w:r w:rsidR="0019785F">
        <w:rPr>
          <w:rFonts w:cs="Segoe UI"/>
          <w:color w:val="000000"/>
          <w:bdr w:val="none" w:sz="0" w:space="0" w:color="auto" w:frame="1"/>
        </w:rPr>
        <w:t xml:space="preserve">legal </w:t>
      </w:r>
      <w:r w:rsidR="000C410A">
        <w:rPr>
          <w:rFonts w:cs="Segoe UI"/>
          <w:color w:val="000000"/>
          <w:bdr w:val="none" w:sz="0" w:space="0" w:color="auto" w:frame="1"/>
        </w:rPr>
        <w:t>remit to provide advocacy supports</w:t>
      </w:r>
      <w:r w:rsidR="0019785F">
        <w:rPr>
          <w:rFonts w:cs="Segoe UI"/>
          <w:color w:val="000000"/>
          <w:bdr w:val="none" w:sz="0" w:space="0" w:color="auto" w:frame="1"/>
        </w:rPr>
        <w:t xml:space="preserve">. </w:t>
      </w:r>
      <w:r w:rsidR="00F17395">
        <w:rPr>
          <w:rFonts w:cs="Segoe UI"/>
          <w:color w:val="000000"/>
          <w:bdr w:val="none" w:sz="0" w:space="0" w:color="auto" w:frame="1"/>
        </w:rPr>
        <w:t>As stated above,</w:t>
      </w:r>
      <w:r w:rsidR="000C410A">
        <w:rPr>
          <w:rFonts w:cs="Segoe UI"/>
          <w:color w:val="000000"/>
          <w:bdr w:val="none" w:sz="0" w:space="0" w:color="auto" w:frame="1"/>
        </w:rPr>
        <w:t xml:space="preserve"> </w:t>
      </w:r>
      <w:r w:rsidR="00A232A5" w:rsidRPr="006E1C21">
        <w:rPr>
          <w:rFonts w:cs="Segoe UI"/>
          <w:color w:val="000000"/>
          <w:bdr w:val="none" w:sz="0" w:space="0" w:color="auto" w:frame="1"/>
        </w:rPr>
        <w:t xml:space="preserve">CIB </w:t>
      </w:r>
      <w:r w:rsidR="006E1C21" w:rsidRPr="006E1C21">
        <w:rPr>
          <w:rFonts w:cs="Segoe UI"/>
          <w:color w:val="000000"/>
          <w:bdr w:val="none" w:sz="0" w:space="0" w:color="auto" w:frame="1"/>
        </w:rPr>
        <w:t>and NAS</w:t>
      </w:r>
      <w:r w:rsidR="006E1C21">
        <w:rPr>
          <w:rFonts w:cs="Segoe UI"/>
          <w:color w:val="000000"/>
          <w:bdr w:val="none" w:sz="0" w:space="0" w:color="auto" w:frame="1"/>
        </w:rPr>
        <w:t xml:space="preserve"> are committed to continuing to work towards getting </w:t>
      </w:r>
      <w:r w:rsidR="000C410A">
        <w:rPr>
          <w:rFonts w:cs="Segoe UI"/>
          <w:color w:val="000000"/>
          <w:bdr w:val="none" w:sz="0" w:space="0" w:color="auto" w:frame="1"/>
        </w:rPr>
        <w:t>statutory powers for NAS advocates. In parallel with this we would also see merit in developing an overarching national framework which would provide an integrated approach to getting recognition for the practice of independent advocacy in its own right and which would develop a strong cross-departmental and inter-agency approach accordingly.</w:t>
      </w:r>
      <w:r w:rsidR="00A232A5" w:rsidRPr="006E1C21">
        <w:rPr>
          <w:rFonts w:cs="Segoe UI"/>
          <w:color w:val="000000"/>
          <w:bdr w:val="none" w:sz="0" w:space="0" w:color="auto" w:frame="1"/>
        </w:rPr>
        <w:t xml:space="preserve"> </w:t>
      </w:r>
    </w:p>
    <w:p w14:paraId="2B85712F" w14:textId="375AF78E" w:rsidR="005C2BCF" w:rsidRDefault="004F3A1C" w:rsidP="005C2BCF">
      <w:r>
        <w:t xml:space="preserve">The LRC Paper refers to the </w:t>
      </w:r>
      <w:r w:rsidRPr="004F3A1C">
        <w:t>Private Members’ Bill introduced by Senator Colette Kelleher</w:t>
      </w:r>
      <w:r>
        <w:t xml:space="preserve"> which </w:t>
      </w:r>
      <w:r w:rsidRPr="004F3A1C">
        <w:t xml:space="preserve">proposes the establishment of a national adult safeguarding authority and </w:t>
      </w:r>
      <w:r>
        <w:t xml:space="preserve">which </w:t>
      </w:r>
      <w:r w:rsidRPr="004F3A1C">
        <w:t>stipulates that the authority would be independent in the exercise of its functions and powers.</w:t>
      </w:r>
      <w:r w:rsidR="007E368D">
        <w:t xml:space="preserve"> An IPA Discussion Paper</w:t>
      </w:r>
      <w:r w:rsidR="00663E89">
        <w:rPr>
          <w:rStyle w:val="FootnoteReference"/>
        </w:rPr>
        <w:footnoteReference w:id="30"/>
      </w:r>
      <w:r w:rsidR="007E368D">
        <w:t xml:space="preserve"> on the matter notes that the establishment of a National Safeguarding Authority will be a political decision and, as the situation currently stands, no such decision has been made. While acknowledging that </w:t>
      </w:r>
      <w:r w:rsidR="007E368D">
        <w:rPr>
          <w:rFonts w:cstheme="minorHAnsi"/>
          <w:bCs/>
        </w:rPr>
        <w:t>the State has a major role to play in ensuring that its legislation, policies and structures are adequate to ensure the full safeguarding o</w:t>
      </w:r>
      <w:r w:rsidR="00241129">
        <w:rPr>
          <w:rFonts w:cstheme="minorHAnsi"/>
          <w:bCs/>
        </w:rPr>
        <w:t>f</w:t>
      </w:r>
      <w:r w:rsidR="007E368D">
        <w:rPr>
          <w:rFonts w:cstheme="minorHAnsi"/>
          <w:bCs/>
        </w:rPr>
        <w:t xml:space="preserve"> adults from all forms of abuse,</w:t>
      </w:r>
      <w:r w:rsidR="005C2BCF" w:rsidRPr="005C2BCF">
        <w:t xml:space="preserve"> </w:t>
      </w:r>
      <w:r w:rsidR="005C2BCF">
        <w:t>care is required to ensure that the legal structures and processes that are put in place do not become so cumbersome and bureaucratic that they detract from the quality of support provided to those who require safeguarding and protection. This is an important consideration in the way any proposed Safeguarding Authority is established.</w:t>
      </w:r>
    </w:p>
    <w:p w14:paraId="276937F5" w14:textId="203F7FCF" w:rsidR="004F3A1C" w:rsidRPr="00F93CE2" w:rsidRDefault="005C2BCF" w:rsidP="005C2BCF">
      <w:pPr>
        <w:rPr>
          <w:rFonts w:eastAsia="Times New Roman" w:cs="Tahoma"/>
          <w:lang w:val="en-AU" w:eastAsia="en-AU"/>
        </w:rPr>
      </w:pPr>
      <w:r>
        <w:t xml:space="preserve">CIB is of the view that </w:t>
      </w:r>
      <w:r w:rsidR="0047566B" w:rsidRPr="0047566B">
        <w:t xml:space="preserve">the establishment of a new </w:t>
      </w:r>
      <w:r>
        <w:t xml:space="preserve">and separate </w:t>
      </w:r>
      <w:r w:rsidR="0047566B" w:rsidRPr="0047566B">
        <w:t>agency</w:t>
      </w:r>
      <w:r w:rsidR="006D4906">
        <w:t xml:space="preserve"> </w:t>
      </w:r>
      <w:r w:rsidR="0047566B">
        <w:t xml:space="preserve">may not </w:t>
      </w:r>
      <w:r w:rsidR="00241129">
        <w:t xml:space="preserve">necessarily </w:t>
      </w:r>
      <w:r w:rsidR="0047566B">
        <w:t>be the best way forward</w:t>
      </w:r>
      <w:r>
        <w:t xml:space="preserve"> and we are </w:t>
      </w:r>
      <w:r w:rsidR="007E368D">
        <w:t xml:space="preserve">not convinced </w:t>
      </w:r>
      <w:r w:rsidR="004F3A1C">
        <w:t>that the case for a stand-alone Safeguarding Authority, as envisaged in the Safeguarding Vulnerable Adults Bill 2017</w:t>
      </w:r>
      <w:r w:rsidR="007E368D">
        <w:t xml:space="preserve">, </w:t>
      </w:r>
      <w:r w:rsidR="004F3A1C">
        <w:t xml:space="preserve">has been </w:t>
      </w:r>
      <w:r w:rsidR="007E368D">
        <w:t xml:space="preserve">fully </w:t>
      </w:r>
      <w:r w:rsidR="004F3A1C">
        <w:t>proven.</w:t>
      </w:r>
    </w:p>
    <w:p w14:paraId="5FC247C9" w14:textId="24F88FFF" w:rsidR="005C2BCF" w:rsidRDefault="000523AF" w:rsidP="00837C9F">
      <w:pPr>
        <w:autoSpaceDE w:val="0"/>
        <w:autoSpaceDN w:val="0"/>
        <w:adjustRightInd w:val="0"/>
        <w:spacing w:after="0"/>
        <w:textAlignment w:val="center"/>
        <w:rPr>
          <w:rFonts w:eastAsia="Times New Roman" w:cs="Tahoma"/>
          <w:lang w:val="en-AU" w:eastAsia="en-AU"/>
        </w:rPr>
      </w:pPr>
      <w:r>
        <w:t>The independent advocacy landscape has undergone major changes in recent years but legislation has not kept pace with these changes.</w:t>
      </w:r>
      <w:r w:rsidR="007C691F">
        <w:t xml:space="preserve"> This landscape will change further with the implementation of the ADM Act 2015 a</w:t>
      </w:r>
      <w:r w:rsidR="00F4209E">
        <w:t xml:space="preserve">nd as a result of the growing emphasis in political, policy and public discourse on the </w:t>
      </w:r>
      <w:r w:rsidR="007C691F">
        <w:t xml:space="preserve">safeguarding </w:t>
      </w:r>
      <w:r w:rsidR="00F4209E">
        <w:t xml:space="preserve">of vulnerable adults </w:t>
      </w:r>
      <w:r w:rsidR="007C691F">
        <w:t>and deprivation of liberty issues</w:t>
      </w:r>
      <w:r w:rsidR="00F4209E">
        <w:t xml:space="preserve">. </w:t>
      </w:r>
      <w:r w:rsidR="005C2BCF">
        <w:t xml:space="preserve">NAS provides essential empowerment supports to some of our most vulnerable citizens, especially those in long-term care residential facilities. </w:t>
      </w:r>
      <w:r w:rsidR="007C691F">
        <w:t xml:space="preserve">CISs and MABS </w:t>
      </w:r>
      <w:r w:rsidR="00F4209E">
        <w:t xml:space="preserve">already </w:t>
      </w:r>
      <w:r w:rsidR="007C691F">
        <w:t>engage in significant advocacy work and make a vital contribution to empowering citizens to assert their rights.</w:t>
      </w:r>
      <w:r w:rsidR="00F4209E">
        <w:t xml:space="preserve"> Many of the users of these CIB services are vulnerable for reasons of marginalisation and inability to access necessary health and social care users or appropriate housing (CISs) and because of over-indebtedness (MABS).</w:t>
      </w:r>
      <w:r w:rsidR="005C2BCF">
        <w:t xml:space="preserve"> On the latter point, it is widely accepted that many people who are indebted experience high levels of stress and, for a minority, related serious mental health difficulties. </w:t>
      </w:r>
      <w:r w:rsidR="005C2BCF">
        <w:rPr>
          <w:rFonts w:cs="Tahoma"/>
          <w:bCs/>
          <w:color w:val="000000"/>
        </w:rPr>
        <w:t>This, CIB believes, is a significant safeguarding issue which needs to be addressed.</w:t>
      </w:r>
      <w:r w:rsidR="005C2BCF">
        <w:rPr>
          <w:lang w:val="en"/>
        </w:rPr>
        <w:t xml:space="preserve">  </w:t>
      </w:r>
      <w:r w:rsidR="005C2BCF">
        <w:rPr>
          <w:rFonts w:eastAsia="Times New Roman" w:cs="Tahoma"/>
          <w:lang w:val="en-AU" w:eastAsia="en-AU"/>
        </w:rPr>
        <w:t>Financially vulnerable people require particular consideration in order to make sure that they do not become further marginalised as a consequence of their existing financial vulnerability. C</w:t>
      </w:r>
      <w:r w:rsidR="005C2BCF">
        <w:rPr>
          <w:rFonts w:eastAsia="Times New Roman" w:cs="Arial"/>
          <w:lang w:val="en"/>
        </w:rPr>
        <w:t>IB would, therefore, welcome a much stronger focus on financial vulnerability in a safeguarding context.</w:t>
      </w:r>
      <w:r w:rsidR="00D37A1F">
        <w:rPr>
          <w:rFonts w:eastAsia="Times New Roman" w:cs="Arial"/>
          <w:lang w:val="en"/>
        </w:rPr>
        <w:t xml:space="preserve"> </w:t>
      </w:r>
      <w:r w:rsidR="005C2BCF">
        <w:t>The MABS experience is that financial services, products and cus</w:t>
      </w:r>
      <w:r w:rsidR="005C2BCF">
        <w:softHyphen/>
        <w:t xml:space="preserve">tomer interfaces sometimes </w:t>
      </w:r>
      <w:r w:rsidR="005C2BCF">
        <w:rPr>
          <w:lang w:val="en-GB"/>
        </w:rPr>
        <w:t>fail to deal appropriately with people in distressing financial circumstances which can compound their stress and difficulty.</w:t>
      </w:r>
    </w:p>
    <w:p w14:paraId="71CC544B" w14:textId="77777777" w:rsidR="00837C9F" w:rsidRDefault="00837C9F" w:rsidP="00837C9F">
      <w:pPr>
        <w:spacing w:after="0"/>
      </w:pPr>
    </w:p>
    <w:p w14:paraId="78CCB31B" w14:textId="32995B71" w:rsidR="00F17395" w:rsidRDefault="007C691F" w:rsidP="00837C9F">
      <w:pPr>
        <w:spacing w:after="0"/>
      </w:pPr>
      <w:r w:rsidRPr="00F17395">
        <w:t xml:space="preserve">CIB will continue to strategically develop each of </w:t>
      </w:r>
      <w:r w:rsidR="005C2BCF">
        <w:t xml:space="preserve">our </w:t>
      </w:r>
      <w:r w:rsidRPr="00F17395">
        <w:t>delivery services so as to optimise outcomes for clients</w:t>
      </w:r>
      <w:r w:rsidR="005C2BCF">
        <w:t xml:space="preserve"> in terms of rights and safeguarding</w:t>
      </w:r>
      <w:r w:rsidRPr="00F17395">
        <w:t xml:space="preserve">. </w:t>
      </w:r>
      <w:r w:rsidR="005C2BCF">
        <w:t>Under our current Strategy</w:t>
      </w:r>
      <w:r w:rsidR="005C2BCF">
        <w:rPr>
          <w:rStyle w:val="FootnoteReference"/>
        </w:rPr>
        <w:footnoteReference w:id="31"/>
      </w:r>
      <w:r w:rsidR="005C2BCF">
        <w:t>, we are committed to both support</w:t>
      </w:r>
      <w:r w:rsidR="006D4906">
        <w:t>ing</w:t>
      </w:r>
      <w:r w:rsidR="005C2BCF">
        <w:t xml:space="preserve"> the development of enhanced advocacy services in CIS</w:t>
      </w:r>
      <w:r w:rsidR="006D4906">
        <w:t>s</w:t>
      </w:r>
      <w:r w:rsidR="005C2BCF">
        <w:t xml:space="preserve"> and in NAS and to review our capacity to take on a central or co-ordinating role for the provision of advocacy services. </w:t>
      </w:r>
      <w:r w:rsidRPr="00F17395">
        <w:t>We are also committed to pursuing the matter of legal recognition and statutory rights for</w:t>
      </w:r>
      <w:r>
        <w:t xml:space="preserve"> </w:t>
      </w:r>
      <w:r w:rsidRPr="00F17395">
        <w:t>advocates.</w:t>
      </w:r>
      <w:r w:rsidR="005C2BCF">
        <w:t xml:space="preserve"> </w:t>
      </w:r>
      <w:r w:rsidRPr="00F17395">
        <w:t xml:space="preserve"> </w:t>
      </w:r>
    </w:p>
    <w:p w14:paraId="1A205F3F" w14:textId="3D1CD81B" w:rsidR="003A5109" w:rsidRDefault="003538DF" w:rsidP="00194D15">
      <w:pPr>
        <w:spacing w:before="240"/>
      </w:pPr>
      <w:r>
        <w:t xml:space="preserve">It is the CIB view that advocacy legislation needs to be updated and refocused in the context of not only safeguarding and protecting people’s rights but also to support people in asserting their legal and human rights generally and in accessing supports and services to which they are entitled. </w:t>
      </w:r>
      <w:r w:rsidR="003A5109">
        <w:t xml:space="preserve">We consider that a National Advocacy </w:t>
      </w:r>
      <w:r w:rsidR="00241129">
        <w:t>F</w:t>
      </w:r>
      <w:r w:rsidR="003A5109">
        <w:t>ramework should provide for general advocacy and not be confined to safeguarding issues.</w:t>
      </w:r>
      <w:r w:rsidR="00241129">
        <w:t xml:space="preserve"> Clearly, </w:t>
      </w:r>
      <w:r w:rsidR="003A5109">
        <w:t>advocacy</w:t>
      </w:r>
      <w:r w:rsidR="00241129">
        <w:t xml:space="preserve"> in a safeguarding context </w:t>
      </w:r>
      <w:r w:rsidR="003A5109">
        <w:t xml:space="preserve">would be a significant element of </w:t>
      </w:r>
      <w:r w:rsidR="00241129">
        <w:t>any such framework</w:t>
      </w:r>
      <w:r w:rsidR="003A5109">
        <w:t xml:space="preserve">. </w:t>
      </w:r>
      <w:r w:rsidR="00241129">
        <w:t>While p</w:t>
      </w:r>
      <w:r w:rsidR="003A5109">
        <w:t>eople who require safeguarding should have access to an advocacy service, so should people where there are no safeguarding concerns</w:t>
      </w:r>
      <w:r w:rsidR="006D4906">
        <w:t xml:space="preserve"> but where there are difficulties in asserting legal and human rights generally</w:t>
      </w:r>
      <w:r w:rsidR="003A5109">
        <w:t xml:space="preserve">. </w:t>
      </w:r>
    </w:p>
    <w:p w14:paraId="35C4DED3" w14:textId="311E18FD" w:rsidR="005C2BCF" w:rsidRDefault="003A5109" w:rsidP="0047566B">
      <w:r>
        <w:rPr>
          <w:lang w:val="en-GB"/>
        </w:rPr>
        <w:t xml:space="preserve">CIB </w:t>
      </w:r>
      <w:r w:rsidR="00241129">
        <w:rPr>
          <w:lang w:val="en-GB"/>
        </w:rPr>
        <w:t xml:space="preserve">would welcome an opportunity </w:t>
      </w:r>
      <w:r>
        <w:rPr>
          <w:lang w:val="en-GB"/>
        </w:rPr>
        <w:t xml:space="preserve">to provide the national leadership on </w:t>
      </w:r>
      <w:r w:rsidR="005C2BCF">
        <w:rPr>
          <w:lang w:val="en-GB"/>
        </w:rPr>
        <w:t>advocacy</w:t>
      </w:r>
      <w:r>
        <w:rPr>
          <w:lang w:val="en-GB"/>
        </w:rPr>
        <w:t>, not necessarily by providing further different services</w:t>
      </w:r>
      <w:r w:rsidR="006D4906">
        <w:rPr>
          <w:lang w:val="en-GB"/>
        </w:rPr>
        <w:t>,</w:t>
      </w:r>
      <w:r>
        <w:rPr>
          <w:lang w:val="en-GB"/>
        </w:rPr>
        <w:t xml:space="preserve"> although we would welcome the opportunity to do so, but in order to encourage the development of different independent advocacy models with appropriate quality standards </w:t>
      </w:r>
      <w:r w:rsidR="006D4906">
        <w:rPr>
          <w:lang w:val="en-GB"/>
        </w:rPr>
        <w:t xml:space="preserve">and ensuring </w:t>
      </w:r>
      <w:r>
        <w:rPr>
          <w:lang w:val="en-GB"/>
        </w:rPr>
        <w:t>wid</w:t>
      </w:r>
      <w:r w:rsidR="00241129">
        <w:rPr>
          <w:lang w:val="en-GB"/>
        </w:rPr>
        <w:t xml:space="preserve">e coverage without duplication. </w:t>
      </w:r>
    </w:p>
    <w:p w14:paraId="7CDAD7EF" w14:textId="1A938A26" w:rsidR="00F17395" w:rsidRPr="00F17395" w:rsidRDefault="007C691F" w:rsidP="00173027">
      <w:pPr>
        <w:pStyle w:val="BodyText"/>
        <w:spacing w:line="276" w:lineRule="auto"/>
        <w:rPr>
          <w:rFonts w:asciiTheme="minorHAnsi" w:hAnsiTheme="minorHAnsi" w:cstheme="minorHAnsi"/>
          <w:bCs/>
          <w:sz w:val="22"/>
          <w:szCs w:val="22"/>
        </w:rPr>
      </w:pPr>
      <w:r w:rsidRPr="00F17395">
        <w:rPr>
          <w:rFonts w:asciiTheme="minorHAnsi" w:hAnsiTheme="minorHAnsi"/>
          <w:sz w:val="22"/>
          <w:szCs w:val="22"/>
        </w:rPr>
        <w:t>The LRC Issues Paper raises many important and complex questions, many of which will require ongoing consideration and debate.</w:t>
      </w:r>
      <w:r w:rsidR="00F17395" w:rsidRPr="00F17395">
        <w:rPr>
          <w:rFonts w:asciiTheme="minorHAnsi" w:hAnsiTheme="minorHAnsi"/>
          <w:sz w:val="22"/>
          <w:szCs w:val="22"/>
        </w:rPr>
        <w:t xml:space="preserve"> </w:t>
      </w:r>
      <w:r w:rsidR="00F17395" w:rsidRPr="00F17395">
        <w:rPr>
          <w:rFonts w:asciiTheme="minorHAnsi" w:hAnsiTheme="minorHAnsi" w:cs="Segoe UI"/>
          <w:color w:val="000000"/>
          <w:sz w:val="22"/>
          <w:szCs w:val="22"/>
          <w:bdr w:val="none" w:sz="0" w:space="0" w:color="auto" w:frame="1"/>
        </w:rPr>
        <w:t xml:space="preserve">In this regard, we would be available to work with the Law Reform Commission and other key stakeholders in developing and implementing a more streamlined approach to the development of independent advocacy services and to getting adequate legal underpinning. </w:t>
      </w:r>
    </w:p>
    <w:p w14:paraId="3E54A3BC" w14:textId="6752CADF" w:rsidR="00E53608" w:rsidRDefault="00E53608" w:rsidP="00E53608"/>
    <w:sectPr w:rsidR="00E53608" w:rsidSect="00706B8C">
      <w:headerReference w:type="even" r:id="rId9"/>
      <w:headerReference w:type="default" r:id="rId10"/>
      <w:footerReference w:type="default" r:id="rId11"/>
      <w:headerReference w:type="first" r:id="rId12"/>
      <w:pgSz w:w="11906" w:h="16838"/>
      <w:pgMar w:top="1338" w:right="1134" w:bottom="12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3A5D" w14:textId="77777777" w:rsidR="00296EFD" w:rsidRDefault="00296EFD" w:rsidP="00223357">
      <w:pPr>
        <w:spacing w:after="0" w:line="240" w:lineRule="auto"/>
      </w:pPr>
      <w:r>
        <w:separator/>
      </w:r>
    </w:p>
  </w:endnote>
  <w:endnote w:type="continuationSeparator" w:id="0">
    <w:p w14:paraId="2EF25285" w14:textId="77777777" w:rsidR="00296EFD" w:rsidRDefault="00296EFD" w:rsidP="0022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85798"/>
      <w:docPartObj>
        <w:docPartGallery w:val="Page Numbers (Bottom of Page)"/>
        <w:docPartUnique/>
      </w:docPartObj>
    </w:sdtPr>
    <w:sdtEndPr>
      <w:rPr>
        <w:noProof/>
      </w:rPr>
    </w:sdtEndPr>
    <w:sdtContent>
      <w:p w14:paraId="408598C0" w14:textId="42634E35" w:rsidR="00E220C8" w:rsidRDefault="00E220C8">
        <w:pPr>
          <w:pStyle w:val="Footer"/>
          <w:jc w:val="right"/>
        </w:pPr>
        <w:r>
          <w:fldChar w:fldCharType="begin"/>
        </w:r>
        <w:r>
          <w:instrText xml:space="preserve"> PAGE   \* MERGEFORMAT </w:instrText>
        </w:r>
        <w:r>
          <w:fldChar w:fldCharType="separate"/>
        </w:r>
        <w:r w:rsidR="00FC0444">
          <w:rPr>
            <w:noProof/>
          </w:rPr>
          <w:t>1</w:t>
        </w:r>
        <w:r>
          <w:rPr>
            <w:noProof/>
          </w:rPr>
          <w:fldChar w:fldCharType="end"/>
        </w:r>
      </w:p>
    </w:sdtContent>
  </w:sdt>
  <w:p w14:paraId="6041D590" w14:textId="77777777" w:rsidR="00E220C8" w:rsidRDefault="00E2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0287" w14:textId="77777777" w:rsidR="00296EFD" w:rsidRDefault="00296EFD" w:rsidP="00223357">
      <w:pPr>
        <w:spacing w:after="0" w:line="240" w:lineRule="auto"/>
      </w:pPr>
      <w:r>
        <w:separator/>
      </w:r>
    </w:p>
  </w:footnote>
  <w:footnote w:type="continuationSeparator" w:id="0">
    <w:p w14:paraId="26E5403B" w14:textId="77777777" w:rsidR="00296EFD" w:rsidRDefault="00296EFD" w:rsidP="00223357">
      <w:pPr>
        <w:spacing w:after="0" w:line="240" w:lineRule="auto"/>
      </w:pPr>
      <w:r>
        <w:continuationSeparator/>
      </w:r>
    </w:p>
  </w:footnote>
  <w:footnote w:id="1">
    <w:p w14:paraId="15CD137F" w14:textId="77777777" w:rsidR="00E220C8" w:rsidRDefault="00E220C8" w:rsidP="00F55125">
      <w:r>
        <w:rPr>
          <w:rStyle w:val="FootnoteReference"/>
        </w:rPr>
        <w:footnoteRef/>
      </w:r>
      <w:r>
        <w:t xml:space="preserve"> </w:t>
      </w:r>
      <w:r w:rsidRPr="00990C39">
        <w:rPr>
          <w:sz w:val="21"/>
          <w:szCs w:val="21"/>
        </w:rPr>
        <w:t>NAS is making a separate submission in response to this consultation</w:t>
      </w:r>
      <w:r w:rsidRPr="007E2BE5">
        <w:t>.</w:t>
      </w:r>
    </w:p>
    <w:p w14:paraId="7771BDCF" w14:textId="77777777" w:rsidR="00E220C8" w:rsidRDefault="00E220C8" w:rsidP="00F55125">
      <w:pPr>
        <w:pStyle w:val="FootnoteText"/>
      </w:pPr>
    </w:p>
  </w:footnote>
  <w:footnote w:id="2">
    <w:p w14:paraId="3CADDB66" w14:textId="1E0F4234" w:rsidR="00E220C8" w:rsidRPr="0027560F" w:rsidRDefault="00E220C8" w:rsidP="00F54340">
      <w:pPr>
        <w:pStyle w:val="NoSpacing"/>
        <w:rPr>
          <w:sz w:val="21"/>
          <w:szCs w:val="21"/>
        </w:rPr>
      </w:pPr>
      <w:r>
        <w:rPr>
          <w:rStyle w:val="FootnoteReference"/>
        </w:rPr>
        <w:footnoteRef/>
      </w:r>
      <w:r>
        <w:t xml:space="preserve"> </w:t>
      </w:r>
      <w:r w:rsidRPr="0027560F">
        <w:rPr>
          <w:sz w:val="21"/>
          <w:szCs w:val="21"/>
        </w:rPr>
        <w:t>See, for example</w:t>
      </w:r>
      <w:r w:rsidR="00D542E2">
        <w:rPr>
          <w:sz w:val="21"/>
          <w:szCs w:val="21"/>
        </w:rPr>
        <w:t xml:space="preserve"> </w:t>
      </w:r>
      <w:hyperlink r:id="rId1" w:history="1">
        <w:r w:rsidR="00D568FF" w:rsidRPr="00D542E2">
          <w:rPr>
            <w:rStyle w:val="Hyperlink"/>
            <w:sz w:val="20"/>
            <w:szCs w:val="20"/>
          </w:rPr>
          <w:t>Study 20% of adults have experienced financial abuse - study 25 Nov 2019</w:t>
        </w:r>
      </w:hyperlink>
    </w:p>
    <w:p w14:paraId="1040AF84" w14:textId="435D1F6D" w:rsidR="00E220C8" w:rsidRDefault="00E220C8" w:rsidP="00F54340">
      <w:pPr>
        <w:pStyle w:val="NoSpacing"/>
        <w:rPr>
          <w:sz w:val="20"/>
          <w:szCs w:val="20"/>
        </w:rPr>
      </w:pPr>
      <w:r>
        <w:rPr>
          <w:sz w:val="20"/>
          <w:szCs w:val="20"/>
        </w:rPr>
        <w:t xml:space="preserve">Fealy, G., Donnelly, N., Bergin, A., Treacy, M.P., Phelan, A. (2012) Financial Abuse of Older People: A Review, NCPOP, University College Dublin </w:t>
      </w:r>
    </w:p>
    <w:p w14:paraId="1C9A23F0" w14:textId="7EA0DCA5" w:rsidR="00E220C8" w:rsidRDefault="00FC0444" w:rsidP="00F54340">
      <w:pPr>
        <w:pStyle w:val="NoSpacing"/>
        <w:rPr>
          <w:sz w:val="20"/>
          <w:szCs w:val="20"/>
        </w:rPr>
      </w:pPr>
      <w:hyperlink r:id="rId2" w:history="1">
        <w:r w:rsidR="0083123F">
          <w:rPr>
            <w:rStyle w:val="Hyperlink"/>
            <w:sz w:val="20"/>
            <w:szCs w:val="20"/>
          </w:rPr>
          <w:t>Financial Abuse of Older People: A review. National Centre for the Protection of Older People</w:t>
        </w:r>
      </w:hyperlink>
    </w:p>
    <w:p w14:paraId="60615E84" w14:textId="6C8E06C3" w:rsidR="00E220C8" w:rsidRDefault="00FC0444" w:rsidP="00F54340">
      <w:pPr>
        <w:pStyle w:val="BodyText"/>
        <w:spacing w:line="276" w:lineRule="auto"/>
        <w:rPr>
          <w:rFonts w:asciiTheme="minorHAnsi" w:hAnsiTheme="minorHAnsi" w:cstheme="minorHAnsi"/>
          <w:bCs/>
          <w:sz w:val="20"/>
          <w:szCs w:val="20"/>
        </w:rPr>
      </w:pPr>
      <w:hyperlink r:id="rId3" w:history="1">
        <w:r w:rsidR="0083123F">
          <w:rPr>
            <w:rStyle w:val="Hyperlink"/>
            <w:rFonts w:asciiTheme="minorHAnsi" w:hAnsiTheme="minorHAnsi"/>
            <w:sz w:val="20"/>
            <w:szCs w:val="20"/>
          </w:rPr>
          <w:t>The National Safeguarding Office Report 2017.  HSE Report. 75 pages</w:t>
        </w:r>
      </w:hyperlink>
    </w:p>
    <w:p w14:paraId="745A2855" w14:textId="06E8D278" w:rsidR="00E220C8" w:rsidRPr="00F54340" w:rsidRDefault="00E220C8">
      <w:pPr>
        <w:pStyle w:val="FootnoteText"/>
        <w:rPr>
          <w:lang w:val="en-IE"/>
        </w:rPr>
      </w:pPr>
    </w:p>
  </w:footnote>
  <w:footnote w:id="3">
    <w:p w14:paraId="74B9E3C4" w14:textId="56C5B769" w:rsidR="00E220C8" w:rsidRPr="0065425B" w:rsidRDefault="00E220C8">
      <w:pPr>
        <w:pStyle w:val="FootnoteText"/>
        <w:rPr>
          <w:rFonts w:asciiTheme="minorHAnsi" w:hAnsiTheme="minorHAnsi"/>
          <w:sz w:val="20"/>
          <w:szCs w:val="20"/>
          <w:lang w:val="en-IE"/>
        </w:rPr>
      </w:pPr>
      <w:r>
        <w:rPr>
          <w:rStyle w:val="FootnoteReference"/>
        </w:rPr>
        <w:footnoteRef/>
      </w:r>
      <w:r>
        <w:t xml:space="preserve"> </w:t>
      </w:r>
      <w:hyperlink r:id="rId4" w:anchor="page=1" w:history="1">
        <w:r w:rsidR="0083123F">
          <w:rPr>
            <w:rStyle w:val="Hyperlink"/>
            <w:rFonts w:asciiTheme="minorHAnsi" w:hAnsiTheme="minorHAnsi"/>
            <w:sz w:val="20"/>
            <w:szCs w:val="20"/>
          </w:rPr>
          <w:t>Discussion Paper:  Primary Definitions National Policy on Adult Safeguarding for the Health Sector.  Department of Health.  31 pages</w:t>
        </w:r>
      </w:hyperlink>
      <w:r w:rsidRPr="0065425B">
        <w:rPr>
          <w:rStyle w:val="Hyperlink"/>
          <w:rFonts w:asciiTheme="minorHAnsi" w:hAnsiTheme="minorHAnsi"/>
          <w:sz w:val="20"/>
          <w:szCs w:val="20"/>
        </w:rPr>
        <w:t xml:space="preserve"> </w:t>
      </w:r>
    </w:p>
  </w:footnote>
  <w:footnote w:id="4">
    <w:p w14:paraId="618BA3C3" w14:textId="2FBB4748" w:rsidR="00E220C8" w:rsidRPr="00EF26CE" w:rsidRDefault="00E220C8">
      <w:pPr>
        <w:pStyle w:val="FootnoteText"/>
        <w:rPr>
          <w:rFonts w:asciiTheme="minorHAnsi" w:hAnsiTheme="minorHAnsi"/>
          <w:sz w:val="20"/>
          <w:szCs w:val="20"/>
          <w:lang w:val="en-IE"/>
        </w:rPr>
      </w:pPr>
      <w:r>
        <w:rPr>
          <w:rStyle w:val="FootnoteReference"/>
        </w:rPr>
        <w:footnoteRef/>
      </w:r>
      <w:r>
        <w:t xml:space="preserve"> </w:t>
      </w:r>
      <w:hyperlink r:id="rId5" w:history="1">
        <w:r w:rsidR="0083123F">
          <w:rPr>
            <w:rStyle w:val="Hyperlink"/>
            <w:rFonts w:asciiTheme="minorHAnsi" w:hAnsiTheme="minorHAnsi"/>
            <w:sz w:val="20"/>
            <w:szCs w:val="20"/>
          </w:rPr>
          <w:t>Adult Pocket Guide: Safeguarding Adults. NHS England. 40 pages</w:t>
        </w:r>
      </w:hyperlink>
    </w:p>
  </w:footnote>
  <w:footnote w:id="5">
    <w:p w14:paraId="45164987" w14:textId="77C018EB" w:rsidR="00E220C8" w:rsidRDefault="00E220C8" w:rsidP="00F6382C">
      <w:pPr>
        <w:autoSpaceDE w:val="0"/>
        <w:autoSpaceDN w:val="0"/>
        <w:adjustRightInd w:val="0"/>
        <w:spacing w:after="0" w:line="240" w:lineRule="auto"/>
        <w:rPr>
          <w:rFonts w:ascii="Times New Roman" w:hAnsi="Times New Roman" w:cs="Times New Roman"/>
          <w:b/>
          <w:bCs/>
          <w:i/>
          <w:sz w:val="20"/>
          <w:szCs w:val="20"/>
        </w:rPr>
      </w:pPr>
      <w:r>
        <w:rPr>
          <w:rStyle w:val="FootnoteReference"/>
        </w:rPr>
        <w:footnoteRef/>
      </w:r>
      <w:r>
        <w:t xml:space="preserve"> </w:t>
      </w:r>
      <w:r>
        <w:rPr>
          <w:sz w:val="20"/>
          <w:szCs w:val="20"/>
        </w:rPr>
        <w:t xml:space="preserve">Committee on the Rights of Persons with Disabilities, General comment No. 1 (2014), </w:t>
      </w:r>
      <w:r>
        <w:rPr>
          <w:rFonts w:cs="Times New Roman"/>
          <w:bCs/>
          <w:i/>
          <w:sz w:val="20"/>
          <w:szCs w:val="20"/>
        </w:rPr>
        <w:t xml:space="preserve">Equal recognition before the law </w:t>
      </w:r>
      <w:hyperlink r:id="rId6" w:history="1">
        <w:r w:rsidR="0083123F">
          <w:rPr>
            <w:rStyle w:val="Hyperlink"/>
            <w:rFonts w:cstheme="minorHAnsi"/>
            <w:bCs/>
            <w:sz w:val="20"/>
            <w:szCs w:val="20"/>
          </w:rPr>
          <w:t>United Nations Human Rights: Convention on the Rights of Persons with Disabilities. 13 pages</w:t>
        </w:r>
      </w:hyperlink>
    </w:p>
    <w:p w14:paraId="030FAA25" w14:textId="77777777" w:rsidR="00E220C8" w:rsidRDefault="00E220C8" w:rsidP="00F6382C">
      <w:pPr>
        <w:rPr>
          <w:i/>
          <w:sz w:val="20"/>
          <w:szCs w:val="20"/>
        </w:rPr>
      </w:pPr>
    </w:p>
  </w:footnote>
  <w:footnote w:id="6">
    <w:p w14:paraId="19B992BB" w14:textId="7E8C50C2" w:rsidR="00E220C8" w:rsidRPr="0027560F" w:rsidRDefault="00E220C8" w:rsidP="0003662C">
      <w:pPr>
        <w:pStyle w:val="NoSpacing"/>
        <w:rPr>
          <w:sz w:val="21"/>
          <w:szCs w:val="21"/>
        </w:rPr>
      </w:pPr>
      <w:r>
        <w:rPr>
          <w:rStyle w:val="FootnoteReference"/>
        </w:rPr>
        <w:footnoteRef/>
      </w:r>
      <w:r>
        <w:t xml:space="preserve"> </w:t>
      </w:r>
      <w:r w:rsidRPr="0003662C">
        <w:rPr>
          <w:rFonts w:cstheme="minorHAnsi"/>
          <w:bCs/>
          <w:sz w:val="20"/>
          <w:szCs w:val="20"/>
        </w:rPr>
        <w:t xml:space="preserve">Research for the Banking and Payments Federation of Ireland </w:t>
      </w:r>
      <w:r>
        <w:rPr>
          <w:rFonts w:cstheme="minorHAnsi"/>
          <w:bCs/>
          <w:sz w:val="20"/>
          <w:szCs w:val="20"/>
        </w:rPr>
        <w:t xml:space="preserve">reflects </w:t>
      </w:r>
      <w:r w:rsidRPr="0003662C">
        <w:rPr>
          <w:rFonts w:cstheme="minorHAnsi"/>
          <w:bCs/>
          <w:sz w:val="20"/>
          <w:szCs w:val="20"/>
        </w:rPr>
        <w:t>this</w:t>
      </w:r>
      <w:r>
        <w:rPr>
          <w:rFonts w:cstheme="minorHAnsi"/>
          <w:bCs/>
          <w:sz w:val="20"/>
          <w:szCs w:val="20"/>
        </w:rPr>
        <w:t xml:space="preserve"> experience. </w:t>
      </w:r>
      <w:hyperlink r:id="rId7" w:history="1">
        <w:r w:rsidR="0083123F">
          <w:rPr>
            <w:rStyle w:val="Hyperlink"/>
            <w:sz w:val="21"/>
            <w:szCs w:val="21"/>
          </w:rPr>
          <w:t>20% of adults have experienced Financial Abuse - rte business report</w:t>
        </w:r>
      </w:hyperlink>
    </w:p>
    <w:p w14:paraId="5441BF09" w14:textId="3A6418E9" w:rsidR="00E220C8" w:rsidRPr="0003662C" w:rsidRDefault="00E220C8">
      <w:pPr>
        <w:pStyle w:val="FootnoteText"/>
        <w:rPr>
          <w:lang w:val="en-US"/>
        </w:rPr>
      </w:pPr>
    </w:p>
  </w:footnote>
  <w:footnote w:id="7">
    <w:p w14:paraId="052381D1" w14:textId="439497BA" w:rsidR="00E220C8" w:rsidRPr="008D5895" w:rsidRDefault="00E220C8">
      <w:pPr>
        <w:pStyle w:val="FootnoteText"/>
        <w:rPr>
          <w:rFonts w:asciiTheme="minorHAnsi" w:hAnsiTheme="minorHAnsi"/>
          <w:sz w:val="20"/>
          <w:szCs w:val="20"/>
          <w:lang w:val="en-IE"/>
        </w:rPr>
      </w:pPr>
      <w:r>
        <w:rPr>
          <w:rStyle w:val="FootnoteReference"/>
        </w:rPr>
        <w:footnoteRef/>
      </w:r>
      <w:r>
        <w:t xml:space="preserve"> </w:t>
      </w:r>
      <w:hyperlink r:id="rId8" w:history="1">
        <w:r w:rsidR="0083123F">
          <w:rPr>
            <w:rStyle w:val="Hyperlink"/>
            <w:rFonts w:asciiTheme="minorHAnsi" w:hAnsiTheme="minorHAnsi"/>
            <w:sz w:val="20"/>
            <w:szCs w:val="20"/>
          </w:rPr>
          <w:t>Submissions and Policy Recommendation.  CIB Website</w:t>
        </w:r>
      </w:hyperlink>
    </w:p>
  </w:footnote>
  <w:footnote w:id="8">
    <w:p w14:paraId="74A63669" w14:textId="71978408" w:rsidR="006E5E09" w:rsidRDefault="006E5E09" w:rsidP="006E5E09">
      <w:pPr>
        <w:pStyle w:val="FootnoteText"/>
        <w:rPr>
          <w:rFonts w:asciiTheme="minorHAnsi" w:hAnsiTheme="minorHAnsi"/>
          <w:sz w:val="20"/>
          <w:szCs w:val="20"/>
          <w:lang w:val="en-IE"/>
        </w:rPr>
      </w:pPr>
      <w:r>
        <w:rPr>
          <w:rStyle w:val="FootnoteReference"/>
        </w:rPr>
        <w:footnoteRef/>
      </w:r>
      <w:r>
        <w:t xml:space="preserve"> </w:t>
      </w:r>
      <w:r>
        <w:rPr>
          <w:rFonts w:asciiTheme="minorHAnsi" w:hAnsiTheme="minorHAnsi"/>
          <w:sz w:val="20"/>
          <w:szCs w:val="20"/>
        </w:rPr>
        <w:t>See, for example,</w:t>
      </w:r>
      <w:hyperlink r:id="rId9" w:history="1">
        <w:r w:rsidR="00B34DF6">
          <w:rPr>
            <w:rStyle w:val="Hyperlink"/>
            <w:rFonts w:asciiTheme="minorHAnsi" w:hAnsiTheme="minorHAnsi"/>
            <w:sz w:val="20"/>
            <w:szCs w:val="20"/>
          </w:rPr>
          <w:t>Central Bank of Ireland's Second Consultation on the review of the Consumer Protection Code CP54 July 2011. 7 pages</w:t>
        </w:r>
      </w:hyperlink>
      <w:r>
        <w:rPr>
          <w:rFonts w:asciiTheme="minorHAnsi" w:hAnsiTheme="minorHAnsi"/>
          <w:sz w:val="20"/>
          <w:szCs w:val="20"/>
        </w:rPr>
        <w:t xml:space="preserve"> </w:t>
      </w:r>
      <w:hyperlink r:id="rId10" w:history="1">
        <w:r w:rsidR="00B34DF6">
          <w:rPr>
            <w:rStyle w:val="Hyperlink"/>
            <w:rFonts w:asciiTheme="minorHAnsi" w:hAnsiTheme="minorHAnsi"/>
            <w:sz w:val="20"/>
            <w:szCs w:val="20"/>
          </w:rPr>
          <w:t>Evaluation of Community Banking and Local Provision of Banking and Financial Services.  A CIB Submission. 9 pages</w:t>
        </w:r>
      </w:hyperlink>
    </w:p>
  </w:footnote>
  <w:footnote w:id="9">
    <w:p w14:paraId="50A003EA" w14:textId="7C5BAC71" w:rsidR="00E220C8" w:rsidRPr="005B7D4F" w:rsidRDefault="00E220C8">
      <w:pPr>
        <w:pStyle w:val="FootnoteText"/>
        <w:rPr>
          <w:rFonts w:asciiTheme="minorHAnsi" w:hAnsiTheme="minorHAnsi"/>
          <w:sz w:val="18"/>
          <w:szCs w:val="18"/>
          <w:lang w:val="en-IE"/>
        </w:rPr>
      </w:pPr>
      <w:r>
        <w:rPr>
          <w:rStyle w:val="FootnoteReference"/>
        </w:rPr>
        <w:footnoteRef/>
      </w:r>
      <w:r>
        <w:t xml:space="preserve"> </w:t>
      </w:r>
      <w:hyperlink r:id="rId11" w:history="1">
        <w:r w:rsidR="00B34DF6">
          <w:rPr>
            <w:rStyle w:val="Hyperlink"/>
            <w:rFonts w:asciiTheme="minorHAnsi" w:hAnsiTheme="minorHAnsi"/>
            <w:sz w:val="18"/>
            <w:szCs w:val="18"/>
          </w:rPr>
          <w:t>CIB submission to Digital Strategy Consultation on November 2018.</w:t>
        </w:r>
      </w:hyperlink>
      <w:r w:rsidRPr="005B7D4F">
        <w:rPr>
          <w:rFonts w:asciiTheme="minorHAnsi" w:hAnsiTheme="minorHAnsi"/>
          <w:sz w:val="18"/>
          <w:szCs w:val="18"/>
        </w:rPr>
        <w:t xml:space="preserve"> </w:t>
      </w:r>
    </w:p>
  </w:footnote>
  <w:footnote w:id="10">
    <w:p w14:paraId="082FEF6A" w14:textId="77777777" w:rsidR="00E220C8" w:rsidRDefault="00E220C8" w:rsidP="00E220C8">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 vulnerable consumer is defined in the Code as a natural person who:</w:t>
      </w:r>
    </w:p>
    <w:p w14:paraId="32005847" w14:textId="77777777" w:rsidR="00E220C8" w:rsidRDefault="00E220C8" w:rsidP="00E220C8">
      <w:pPr>
        <w:pStyle w:val="FootnoteText"/>
        <w:rPr>
          <w:rFonts w:asciiTheme="minorHAnsi" w:hAnsiTheme="minorHAnsi"/>
          <w:sz w:val="20"/>
          <w:szCs w:val="20"/>
        </w:rPr>
      </w:pPr>
      <w:r>
        <w:rPr>
          <w:rFonts w:asciiTheme="minorHAnsi" w:hAnsiTheme="minorHAnsi"/>
          <w:sz w:val="20"/>
          <w:szCs w:val="20"/>
        </w:rPr>
        <w:t>a) has the capacity to make his or her own decisions but who, because of individual circumstances, may require assistance to do so (for example, hearing impaired or visually impaired persons); and/or</w:t>
      </w:r>
    </w:p>
    <w:p w14:paraId="52475A0F" w14:textId="77777777" w:rsidR="00E220C8" w:rsidRDefault="00E220C8" w:rsidP="00E220C8">
      <w:pPr>
        <w:pStyle w:val="FootnoteText"/>
        <w:rPr>
          <w:lang w:val="en-IE"/>
        </w:rPr>
      </w:pPr>
      <w:r>
        <w:rPr>
          <w:rFonts w:asciiTheme="minorHAnsi" w:hAnsiTheme="minorHAnsi"/>
          <w:sz w:val="20"/>
          <w:szCs w:val="20"/>
        </w:rPr>
        <w:t>b) has limited capacity to make his or her own decisions and who requires assistance to do so (for example, persons with intellectual disabilities or mental health difficulties).</w:t>
      </w:r>
    </w:p>
  </w:footnote>
  <w:footnote w:id="11">
    <w:p w14:paraId="1148CB2C" w14:textId="066B02E8" w:rsidR="006E5E09" w:rsidRDefault="006E5E09" w:rsidP="006E5E09">
      <w:pPr>
        <w:pStyle w:val="NoSpacing"/>
        <w:rPr>
          <w:sz w:val="20"/>
          <w:szCs w:val="20"/>
        </w:rPr>
      </w:pPr>
      <w:r>
        <w:rPr>
          <w:rStyle w:val="FootnoteReference"/>
          <w:sz w:val="20"/>
          <w:szCs w:val="20"/>
        </w:rPr>
        <w:footnoteRef/>
      </w:r>
      <w:r>
        <w:rPr>
          <w:sz w:val="20"/>
          <w:szCs w:val="20"/>
        </w:rPr>
        <w:t xml:space="preserve"> </w:t>
      </w:r>
      <w:hyperlink r:id="rId12" w:history="1">
        <w:r w:rsidR="00B34DF6">
          <w:rPr>
            <w:rStyle w:val="Hyperlink"/>
            <w:sz w:val="20"/>
            <w:szCs w:val="20"/>
          </w:rPr>
          <w:t>Guide to Safeguarding your Money Now and in the Future.  Banking and Payments Federation Ireland.  24 pages</w:t>
        </w:r>
      </w:hyperlink>
    </w:p>
  </w:footnote>
  <w:footnote w:id="12">
    <w:p w14:paraId="677C4A6D" w14:textId="3368D3ED" w:rsidR="00E220C8" w:rsidRDefault="00E220C8" w:rsidP="00B61C56">
      <w:pPr>
        <w:pStyle w:val="NoSpacing"/>
        <w:rPr>
          <w:sz w:val="20"/>
          <w:szCs w:val="20"/>
        </w:rPr>
      </w:pPr>
      <w:r>
        <w:rPr>
          <w:rStyle w:val="FootnoteReference"/>
        </w:rPr>
        <w:footnoteRef/>
      </w:r>
      <w:r>
        <w:t xml:space="preserve"> </w:t>
      </w:r>
      <w:r>
        <w:rPr>
          <w:sz w:val="20"/>
          <w:szCs w:val="20"/>
        </w:rPr>
        <w:t xml:space="preserve">HSE Patients Private Property Guidelines, </w:t>
      </w:r>
      <w:hyperlink r:id="rId13" w:history="1">
        <w:r w:rsidR="00B34DF6">
          <w:rPr>
            <w:rStyle w:val="Hyperlink"/>
            <w:sz w:val="20"/>
            <w:szCs w:val="20"/>
          </w:rPr>
          <w:t>Patients' Private Property Guidelines. HSE. 46 pages</w:t>
        </w:r>
      </w:hyperlink>
      <w:r>
        <w:rPr>
          <w:sz w:val="20"/>
          <w:szCs w:val="20"/>
        </w:rPr>
        <w:t xml:space="preserve"> </w:t>
      </w:r>
    </w:p>
    <w:p w14:paraId="26401988" w14:textId="77777777" w:rsidR="00E220C8" w:rsidRDefault="00E220C8" w:rsidP="00B61C56">
      <w:pPr>
        <w:pStyle w:val="FootnoteText"/>
        <w:rPr>
          <w:b/>
          <w:lang w:val="en-IE"/>
        </w:rPr>
      </w:pPr>
    </w:p>
  </w:footnote>
  <w:footnote w:id="13">
    <w:p w14:paraId="23E4475B" w14:textId="01B4BA80" w:rsidR="00E220C8" w:rsidRDefault="00E220C8" w:rsidP="00CE1E7A">
      <w:pPr>
        <w:pStyle w:val="FootnoteText"/>
        <w:rPr>
          <w:rFonts w:asciiTheme="minorHAnsi" w:hAnsiTheme="minorHAnsi"/>
          <w:sz w:val="20"/>
          <w:szCs w:val="20"/>
          <w:lang w:val="en-IE"/>
        </w:rPr>
      </w:pPr>
      <w:r>
        <w:rPr>
          <w:rStyle w:val="FootnoteReference"/>
        </w:rPr>
        <w:footnoteRef/>
      </w:r>
      <w:r>
        <w:t xml:space="preserve"> </w:t>
      </w:r>
      <w:hyperlink r:id="rId14" w:history="1">
        <w:r w:rsidR="00B34DF6">
          <w:rPr>
            <w:rStyle w:val="Hyperlink"/>
            <w:rFonts w:asciiTheme="minorHAnsi" w:hAnsiTheme="minorHAnsi"/>
            <w:sz w:val="20"/>
            <w:szCs w:val="20"/>
          </w:rPr>
          <w:t>Safeguarding Ireland Place of Care. 11 pages</w:t>
        </w:r>
      </w:hyperlink>
      <w:r>
        <w:rPr>
          <w:rFonts w:asciiTheme="minorHAnsi" w:hAnsiTheme="minorHAnsi"/>
          <w:sz w:val="20"/>
          <w:szCs w:val="20"/>
          <w:lang w:val="en-IE"/>
        </w:rPr>
        <w:t xml:space="preserve"> </w:t>
      </w:r>
    </w:p>
  </w:footnote>
  <w:footnote w:id="14">
    <w:p w14:paraId="2C2EE588" w14:textId="7869FAF4" w:rsidR="00E220C8" w:rsidRDefault="00E220C8" w:rsidP="0073289D">
      <w:pPr>
        <w:shd w:val="clear" w:color="auto" w:fill="FFFFFF"/>
        <w:spacing w:after="0" w:line="240" w:lineRule="auto"/>
      </w:pPr>
      <w:r>
        <w:rPr>
          <w:rStyle w:val="FootnoteReference"/>
          <w:sz w:val="20"/>
          <w:szCs w:val="20"/>
        </w:rPr>
        <w:footnoteRef/>
      </w:r>
      <w:r>
        <w:rPr>
          <w:rFonts w:ascii="Calibri" w:eastAsia="Times New Roman" w:hAnsi="Calibri" w:cs="Times New Roman"/>
          <w:color w:val="212121"/>
          <w:sz w:val="20"/>
          <w:szCs w:val="20"/>
          <w:lang w:eastAsia="en-IE"/>
        </w:rPr>
        <w:t>Source: </w:t>
      </w:r>
      <w:hyperlink r:id="rId15" w:anchor="safeguarding-vulnerable-adults-at-risk" w:history="1">
        <w:r w:rsidR="00B34DF6">
          <w:rPr>
            <w:rStyle w:val="Hyperlink"/>
          </w:rPr>
          <w:t>Safeguarding Vulnerable Adults.  Gov.ie</w:t>
        </w:r>
      </w:hyperlink>
    </w:p>
  </w:footnote>
  <w:footnote w:id="15">
    <w:p w14:paraId="0E748E15" w14:textId="07738394" w:rsidR="00E220C8" w:rsidRPr="00B61C56" w:rsidRDefault="00E220C8" w:rsidP="00B61C56">
      <w:pPr>
        <w:pStyle w:val="NoSpacing"/>
        <w:rPr>
          <w:sz w:val="20"/>
          <w:szCs w:val="20"/>
        </w:rPr>
      </w:pPr>
      <w:r w:rsidRPr="00B61C56">
        <w:rPr>
          <w:rStyle w:val="FootnoteReference"/>
          <w:rFonts w:asciiTheme="minorHAnsi" w:hAnsiTheme="minorHAnsi"/>
          <w:sz w:val="20"/>
          <w:szCs w:val="20"/>
        </w:rPr>
        <w:footnoteRef/>
      </w:r>
      <w:r w:rsidRPr="00B61C56">
        <w:rPr>
          <w:sz w:val="20"/>
          <w:szCs w:val="20"/>
        </w:rPr>
        <w:t xml:space="preserve"> Type 2 agents are appointed where a person is deemed unable to manage his/her own financial affairs and an agent is appointed to collect the payment and act on behalf of the claimant. </w:t>
      </w:r>
      <w:r w:rsidRPr="00B61C56">
        <w:rPr>
          <w:sz w:val="20"/>
          <w:szCs w:val="20"/>
          <w:lang w:val="en-US"/>
        </w:rPr>
        <w:t xml:space="preserve">In all cases a medical practitioner must certify that the person is unable for the time being to manage his/her own financial affairs. </w:t>
      </w:r>
      <w:r w:rsidRPr="00B61C56">
        <w:rPr>
          <w:rFonts w:cs="Arial"/>
          <w:sz w:val="20"/>
          <w:szCs w:val="20"/>
        </w:rPr>
        <w:t>It is likely that a significant number of Type 2 agents are service providers.</w:t>
      </w:r>
      <w:r w:rsidRPr="00B61C56">
        <w:rPr>
          <w:rFonts w:cs="Times New Roman"/>
          <w:sz w:val="20"/>
          <w:szCs w:val="20"/>
          <w:lang w:eastAsia="en-IE"/>
        </w:rPr>
        <w:t xml:space="preserve"> </w:t>
      </w:r>
    </w:p>
  </w:footnote>
  <w:footnote w:id="16">
    <w:p w14:paraId="287B6A76" w14:textId="77777777" w:rsidR="00E220C8" w:rsidRPr="00B61C56" w:rsidRDefault="00E220C8" w:rsidP="00B61C56">
      <w:pPr>
        <w:pStyle w:val="NoSpacing"/>
        <w:rPr>
          <w:sz w:val="20"/>
          <w:szCs w:val="20"/>
        </w:rPr>
      </w:pPr>
      <w:r w:rsidRPr="00B61C56">
        <w:rPr>
          <w:rStyle w:val="FootnoteReference"/>
          <w:rFonts w:asciiTheme="minorHAnsi" w:hAnsiTheme="minorHAnsi"/>
          <w:sz w:val="20"/>
          <w:szCs w:val="20"/>
        </w:rPr>
        <w:footnoteRef/>
      </w:r>
      <w:r w:rsidRPr="00B61C56">
        <w:rPr>
          <w:sz w:val="20"/>
          <w:szCs w:val="20"/>
        </w:rPr>
        <w:t xml:space="preserve"> It is envisaged that Agent payments will, post the commencement of the ADM Act, come within the remit of the Act and be governed by its provisions for supported decision-making.</w:t>
      </w:r>
    </w:p>
  </w:footnote>
  <w:footnote w:id="17">
    <w:p w14:paraId="6673711F" w14:textId="77777777" w:rsidR="00E220C8" w:rsidRPr="00A856BA" w:rsidRDefault="00E220C8">
      <w:pPr>
        <w:pStyle w:val="FootnoteText"/>
        <w:rPr>
          <w:lang w:val="en-IE"/>
        </w:rPr>
      </w:pPr>
      <w:r>
        <w:rPr>
          <w:rStyle w:val="FootnoteReference"/>
        </w:rPr>
        <w:footnoteRef/>
      </w:r>
      <w:r>
        <w:t xml:space="preserve"> </w:t>
      </w:r>
      <w:hyperlink r:id="rId16" w:anchor=".XlJcdGj7Q2w" w:history="1">
        <w:r>
          <w:rPr>
            <w:rStyle w:val="Hyperlink"/>
            <w:rFonts w:cstheme="minorHAnsi"/>
            <w:color w:val="0070C0"/>
            <w:sz w:val="20"/>
            <w:szCs w:val="20"/>
          </w:rPr>
          <w:t>https://www.lawsociety.ie/Solicitors/Practising/Practice-Notes/Joint-Bank-Accounts---Guidelines-for-Solicitors/#.XlJcdGj7Q2w</w:t>
        </w:r>
      </w:hyperlink>
    </w:p>
  </w:footnote>
  <w:footnote w:id="18">
    <w:p w14:paraId="7DAA4AF5" w14:textId="7E4EF72F" w:rsidR="00E220C8" w:rsidRDefault="00E220C8" w:rsidP="00DC1C82">
      <w:pPr>
        <w:pStyle w:val="FootnoteText"/>
        <w:rPr>
          <w:rFonts w:asciiTheme="minorHAnsi" w:hAnsiTheme="minorHAnsi"/>
          <w:sz w:val="20"/>
          <w:szCs w:val="20"/>
          <w:lang w:val="en-IE"/>
        </w:rPr>
      </w:pPr>
      <w:r>
        <w:rPr>
          <w:rStyle w:val="FootnoteReference"/>
        </w:rPr>
        <w:footnoteRef/>
      </w:r>
      <w:r>
        <w:t xml:space="preserve"> </w:t>
      </w:r>
      <w:hyperlink r:id="rId17" w:history="1">
        <w:r w:rsidR="00B34DF6">
          <w:rPr>
            <w:rStyle w:val="Hyperlink"/>
            <w:rFonts w:asciiTheme="minorHAnsi" w:hAnsiTheme="minorHAnsi"/>
            <w:sz w:val="20"/>
            <w:szCs w:val="20"/>
          </w:rPr>
          <w:t>National Safeguarding Office.  Annual Report 2018.  HSE. 35 pages</w:t>
        </w:r>
      </w:hyperlink>
    </w:p>
  </w:footnote>
  <w:footnote w:id="19">
    <w:p w14:paraId="0855B992" w14:textId="1B1C652F" w:rsidR="00E220C8" w:rsidRPr="00687EAC" w:rsidRDefault="00E220C8">
      <w:pPr>
        <w:pStyle w:val="FootnoteText"/>
        <w:rPr>
          <w:lang w:val="en-IE"/>
        </w:rPr>
      </w:pPr>
      <w:r>
        <w:rPr>
          <w:rStyle w:val="FootnoteReference"/>
        </w:rPr>
        <w:footnoteRef/>
      </w:r>
      <w:r>
        <w:t xml:space="preserve"> </w:t>
      </w:r>
      <w:hyperlink r:id="rId18" w:history="1">
        <w:r w:rsidR="00B34DF6">
          <w:rPr>
            <w:rStyle w:val="Hyperlink"/>
            <w:rFonts w:asciiTheme="minorHAnsi" w:hAnsiTheme="minorHAnsi"/>
            <w:sz w:val="20"/>
            <w:szCs w:val="20"/>
          </w:rPr>
          <w:t>Vulnerable Adults in Irish Society.  Nationwide Public Opinion Survey. Red C. 17 Slides</w:t>
        </w:r>
      </w:hyperlink>
      <w:r w:rsidRPr="00687EAC">
        <w:rPr>
          <w:rFonts w:asciiTheme="minorHAnsi" w:hAnsiTheme="minorHAnsi"/>
          <w:sz w:val="20"/>
          <w:szCs w:val="20"/>
        </w:rPr>
        <w:br/>
      </w:r>
    </w:p>
  </w:footnote>
  <w:footnote w:id="20">
    <w:p w14:paraId="5BBCD0B5" w14:textId="77777777" w:rsidR="00E220C8" w:rsidRPr="00F66E60" w:rsidRDefault="00E220C8">
      <w:pPr>
        <w:pStyle w:val="FootnoteText"/>
        <w:rPr>
          <w:lang w:val="en-IE"/>
        </w:rPr>
      </w:pPr>
      <w:r>
        <w:rPr>
          <w:rStyle w:val="FootnoteReference"/>
        </w:rPr>
        <w:footnoteRef/>
      </w:r>
      <w:r w:rsidRPr="007B74E2">
        <w:rPr>
          <w:rFonts w:asciiTheme="minorHAnsi" w:hAnsiTheme="minorHAnsi"/>
          <w:sz w:val="20"/>
          <w:szCs w:val="20"/>
        </w:rPr>
        <w:t xml:space="preserve"> It is understood that t</w:t>
      </w:r>
      <w:r w:rsidRPr="007B74E2">
        <w:rPr>
          <w:rFonts w:asciiTheme="minorHAnsi" w:hAnsiTheme="minorHAnsi"/>
          <w:sz w:val="20"/>
          <w:szCs w:val="20"/>
          <w:lang w:val="en-IE"/>
        </w:rPr>
        <w:t>here are plans in train to reduce this numberof HSE administrative areas  to six.</w:t>
      </w:r>
    </w:p>
  </w:footnote>
  <w:footnote w:id="21">
    <w:p w14:paraId="1F88A8EB" w14:textId="3EF0DE54" w:rsidR="00E220C8" w:rsidRDefault="00E220C8" w:rsidP="004947FE">
      <w:pPr>
        <w:pStyle w:val="FootnoteText"/>
        <w:rPr>
          <w:lang w:val="en-IE"/>
        </w:rPr>
      </w:pPr>
      <w:r>
        <w:rPr>
          <w:rStyle w:val="FootnoteReference"/>
        </w:rPr>
        <w:footnoteRef/>
      </w:r>
      <w:r>
        <w:t xml:space="preserve"> </w:t>
      </w:r>
      <w:r>
        <w:rPr>
          <w:rFonts w:asciiTheme="minorHAnsi" w:hAnsiTheme="minorHAnsi"/>
          <w:sz w:val="20"/>
          <w:szCs w:val="20"/>
          <w:lang w:val="en-IE"/>
        </w:rPr>
        <w:t xml:space="preserve">See, for example, </w:t>
      </w:r>
      <w:hyperlink r:id="rId19" w:history="1">
        <w:r w:rsidR="00B34DF6">
          <w:rPr>
            <w:rStyle w:val="Hyperlink"/>
            <w:rFonts w:asciiTheme="minorHAnsi" w:hAnsiTheme="minorHAnsi"/>
            <w:sz w:val="20"/>
            <w:szCs w:val="20"/>
            <w:lang w:val="en-IE"/>
          </w:rPr>
          <w:t>Mandatory and permissive reporting laws.  Wiley Online Library</w:t>
        </w:r>
      </w:hyperlink>
      <w:r>
        <w:rPr>
          <w:lang w:val="en-IE"/>
        </w:rPr>
        <w:t xml:space="preserve"> </w:t>
      </w:r>
    </w:p>
  </w:footnote>
  <w:footnote w:id="22">
    <w:p w14:paraId="48DEC3C4" w14:textId="471DE514" w:rsidR="00E220C8" w:rsidRPr="007059BF" w:rsidRDefault="00E220C8">
      <w:pPr>
        <w:pStyle w:val="FootnoteText"/>
        <w:rPr>
          <w:rFonts w:asciiTheme="minorHAnsi" w:hAnsiTheme="minorHAnsi"/>
          <w:sz w:val="20"/>
          <w:szCs w:val="20"/>
          <w:lang w:val="en-IE"/>
        </w:rPr>
      </w:pPr>
      <w:r>
        <w:rPr>
          <w:rStyle w:val="FootnoteReference"/>
        </w:rPr>
        <w:footnoteRef/>
      </w:r>
      <w:r>
        <w:t xml:space="preserve"> </w:t>
      </w:r>
      <w:hyperlink r:id="rId20" w:history="1">
        <w:r w:rsidR="00B34DF6">
          <w:rPr>
            <w:rStyle w:val="Hyperlink"/>
            <w:rFonts w:asciiTheme="minorHAnsi" w:hAnsiTheme="minorHAnsi"/>
            <w:color w:val="auto"/>
            <w:sz w:val="20"/>
            <w:szCs w:val="20"/>
            <w:u w:val="none"/>
          </w:rPr>
          <w:t>What Matters Most. Report of the Aras Attracta Swinford Review Group. 234 pages</w:t>
        </w:r>
      </w:hyperlink>
    </w:p>
  </w:footnote>
  <w:footnote w:id="23">
    <w:p w14:paraId="22B65EB9" w14:textId="6981D552" w:rsidR="00E220C8" w:rsidRPr="007059BF" w:rsidRDefault="00E220C8" w:rsidP="00654F77">
      <w:pPr>
        <w:pStyle w:val="NoSpacing"/>
      </w:pPr>
      <w:r w:rsidRPr="007059BF">
        <w:rPr>
          <w:rStyle w:val="FootnoteReference"/>
          <w:rFonts w:asciiTheme="minorHAnsi" w:hAnsiTheme="minorHAnsi"/>
        </w:rPr>
        <w:footnoteRef/>
      </w:r>
      <w:r w:rsidRPr="007059BF">
        <w:t xml:space="preserve"> </w:t>
      </w:r>
      <w:hyperlink r:id="rId21" w:tgtFrame="_blank" w:history="1">
        <w:r w:rsidR="00B34DF6">
          <w:rPr>
            <w:rStyle w:val="Hyperlink"/>
          </w:rPr>
          <w:t>NAS Advocacy Service Annual Report 2017. 64 pages</w:t>
        </w:r>
      </w:hyperlink>
    </w:p>
  </w:footnote>
  <w:footnote w:id="24">
    <w:p w14:paraId="495C92C2" w14:textId="77CAA936" w:rsidR="00E220C8" w:rsidRPr="007059BF" w:rsidRDefault="00E220C8" w:rsidP="00654F77">
      <w:pPr>
        <w:pStyle w:val="NoSpacing"/>
        <w:rPr>
          <w:color w:val="548DD4" w:themeColor="text2" w:themeTint="99"/>
        </w:rPr>
      </w:pPr>
      <w:r w:rsidRPr="007059BF">
        <w:rPr>
          <w:rStyle w:val="FootnoteReference"/>
          <w:rFonts w:asciiTheme="minorHAnsi" w:hAnsiTheme="minorHAnsi"/>
        </w:rPr>
        <w:footnoteRef/>
      </w:r>
      <w:r w:rsidRPr="007059BF">
        <w:t xml:space="preserve"> </w:t>
      </w:r>
      <w:hyperlink r:id="rId22" w:tgtFrame="_blank" w:history="1">
        <w:r w:rsidR="00B34DF6">
          <w:rPr>
            <w:rStyle w:val="Hyperlink"/>
          </w:rPr>
          <w:t>NAS Launch their 2018 Annual Report.  CIB Website</w:t>
        </w:r>
      </w:hyperlink>
      <w:r w:rsidRPr="007059BF">
        <w:br/>
      </w:r>
      <w:hyperlink r:id="rId23" w:tgtFrame="_blank" w:history="1">
        <w:r w:rsidR="00B34DF6">
          <w:rPr>
            <w:rStyle w:val="Hyperlink"/>
          </w:rPr>
          <w:t>NAS Annual Report 2018</w:t>
        </w:r>
      </w:hyperlink>
      <w:r w:rsidRPr="007059BF">
        <w:rPr>
          <w:rStyle w:val="Hyperlink"/>
          <w:color w:val="548DD4" w:themeColor="text2" w:themeTint="99"/>
          <w:bdr w:val="none" w:sz="0" w:space="0" w:color="auto" w:frame="1"/>
        </w:rPr>
        <w:t xml:space="preserve"> </w:t>
      </w:r>
    </w:p>
    <w:p w14:paraId="7F76F51D" w14:textId="77777777" w:rsidR="00E220C8" w:rsidRPr="007059BF" w:rsidRDefault="00E220C8">
      <w:pPr>
        <w:pStyle w:val="FootnoteText"/>
        <w:rPr>
          <w:rFonts w:asciiTheme="minorHAnsi" w:hAnsiTheme="minorHAnsi"/>
          <w:lang w:val="en-IE"/>
        </w:rPr>
      </w:pPr>
    </w:p>
  </w:footnote>
  <w:footnote w:id="25">
    <w:p w14:paraId="351E215F" w14:textId="77777777" w:rsidR="00E220C8" w:rsidRDefault="00E220C8" w:rsidP="00C8731D">
      <w:pPr>
        <w:pStyle w:val="FootnoteText"/>
        <w:rPr>
          <w:rFonts w:asciiTheme="minorHAnsi" w:hAnsiTheme="minorHAnsi" w:cs="Times New Roman"/>
          <w:i/>
          <w:szCs w:val="20"/>
          <w:lang w:val="en-IE"/>
        </w:rPr>
      </w:pPr>
      <w:r>
        <w:rPr>
          <w:rStyle w:val="FootnoteReference"/>
          <w:rFonts w:asciiTheme="minorHAnsi" w:eastAsiaTheme="majorEastAsia" w:hAnsiTheme="minorHAnsi"/>
        </w:rPr>
        <w:footnoteRef/>
      </w:r>
      <w:r>
        <w:rPr>
          <w:rFonts w:asciiTheme="minorHAnsi" w:hAnsiTheme="minorHAnsi"/>
        </w:rPr>
        <w:t xml:space="preserve"> </w:t>
      </w:r>
      <w:r w:rsidRPr="00837C9F">
        <w:rPr>
          <w:rFonts w:asciiTheme="minorHAnsi" w:hAnsiTheme="minorHAnsi"/>
          <w:sz w:val="20"/>
          <w:szCs w:val="20"/>
          <w:lang w:val="en-IE"/>
        </w:rPr>
        <w:t>Section 16(2)(b), Mental Health Act 2001</w:t>
      </w:r>
      <w:r w:rsidRPr="00837C9F">
        <w:rPr>
          <w:rFonts w:asciiTheme="minorHAnsi" w:hAnsiTheme="minorHAnsi"/>
          <w:i/>
          <w:sz w:val="20"/>
          <w:szCs w:val="20"/>
          <w:lang w:val="en-IE"/>
        </w:rPr>
        <w:t>.</w:t>
      </w:r>
      <w:r w:rsidRPr="00837C9F">
        <w:rPr>
          <w:rFonts w:asciiTheme="minorHAnsi" w:hAnsiTheme="minorHAnsi"/>
          <w:sz w:val="20"/>
          <w:szCs w:val="20"/>
          <w:lang w:val="en-IE"/>
        </w:rPr>
        <w:t xml:space="preserve"> This narrow construction of advocacy was criticised at the time by the Forum of People with Disabilities who argued for a broader approach to advocacy and suggested</w:t>
      </w:r>
      <w:r>
        <w:rPr>
          <w:rFonts w:asciiTheme="minorHAnsi" w:hAnsiTheme="minorHAnsi"/>
          <w:lang w:val="en-IE"/>
        </w:rPr>
        <w:t xml:space="preserve"> that advocacy should be a legislative entitlement for all vulnerable individuals in society, not just people with disabilities.</w:t>
      </w:r>
    </w:p>
  </w:footnote>
  <w:footnote w:id="26">
    <w:p w14:paraId="5FF30FAD" w14:textId="77777777" w:rsidR="00E220C8" w:rsidRDefault="00E220C8" w:rsidP="004C3111">
      <w:pPr>
        <w:pStyle w:val="FootnoteText"/>
        <w:rPr>
          <w:rFonts w:asciiTheme="minorHAnsi" w:hAnsiTheme="minorHAnsi" w:cs="Times New Roman"/>
        </w:rPr>
      </w:pPr>
      <w:r>
        <w:rPr>
          <w:rStyle w:val="FootnoteReference"/>
          <w:rFonts w:asciiTheme="minorHAnsi" w:hAnsiTheme="minorHAnsi"/>
        </w:rPr>
        <w:footnoteRef/>
      </w:r>
      <w:r>
        <w:rPr>
          <w:rFonts w:asciiTheme="minorHAnsi" w:hAnsiTheme="minorHAnsi"/>
        </w:rPr>
        <w:t xml:space="preserve"> Adult Safeguarding Bill 2017, Section 12</w:t>
      </w:r>
    </w:p>
  </w:footnote>
  <w:footnote w:id="27">
    <w:p w14:paraId="37A3EBE5" w14:textId="5666774C" w:rsidR="00E220C8" w:rsidRPr="00AF1293" w:rsidRDefault="00E220C8" w:rsidP="00AF1293">
      <w:pPr>
        <w:pStyle w:val="NoSpacing"/>
        <w:rPr>
          <w:rFonts w:cstheme="minorHAnsi"/>
          <w:bCs/>
          <w:sz w:val="20"/>
          <w:szCs w:val="20"/>
        </w:rPr>
      </w:pPr>
      <w:r>
        <w:rPr>
          <w:rStyle w:val="FootnoteReference"/>
        </w:rPr>
        <w:footnoteRef/>
      </w:r>
      <w:r>
        <w:t xml:space="preserve"> </w:t>
      </w:r>
      <w:r w:rsidRPr="00AF1293">
        <w:rPr>
          <w:rFonts w:cstheme="minorHAnsi"/>
          <w:bCs/>
          <w:sz w:val="20"/>
          <w:szCs w:val="20"/>
        </w:rPr>
        <w:t xml:space="preserve">Minister Simon Harris, Adult Safeguarding Bill: Second Stage, Seanad Éireann debate - 5 Apr 2017  </w:t>
      </w:r>
      <w:hyperlink r:id="rId24" w:history="1">
        <w:r w:rsidR="00B34DF6">
          <w:rPr>
            <w:rStyle w:val="Hyperlink"/>
            <w:rFonts w:cstheme="minorHAnsi"/>
            <w:bCs/>
            <w:sz w:val="20"/>
            <w:szCs w:val="20"/>
          </w:rPr>
          <w:t>Seanad Eireann Debate on Misuse of Drugs. 5 April 2017</w:t>
        </w:r>
      </w:hyperlink>
      <w:r w:rsidRPr="00AF1293">
        <w:rPr>
          <w:rFonts w:cstheme="minorHAnsi"/>
          <w:bCs/>
          <w:sz w:val="20"/>
          <w:szCs w:val="20"/>
        </w:rPr>
        <w:t xml:space="preserve"> </w:t>
      </w:r>
    </w:p>
    <w:p w14:paraId="269D926D" w14:textId="77777777" w:rsidR="00E220C8" w:rsidRPr="00AF1293" w:rsidRDefault="00E220C8">
      <w:pPr>
        <w:pStyle w:val="FootnoteText"/>
        <w:rPr>
          <w:sz w:val="20"/>
          <w:szCs w:val="20"/>
          <w:lang w:val="en-IE"/>
        </w:rPr>
      </w:pPr>
    </w:p>
  </w:footnote>
  <w:footnote w:id="28">
    <w:p w14:paraId="06071819" w14:textId="77777777" w:rsidR="00E220C8" w:rsidRPr="00AF1293" w:rsidRDefault="00E220C8">
      <w:pPr>
        <w:pStyle w:val="FootnoteText"/>
        <w:rPr>
          <w:rFonts w:asciiTheme="minorHAnsi" w:hAnsiTheme="minorHAnsi"/>
          <w:lang w:val="en-IE"/>
        </w:rPr>
      </w:pPr>
      <w:r>
        <w:rPr>
          <w:rStyle w:val="FootnoteReference"/>
        </w:rPr>
        <w:footnoteRef/>
      </w:r>
      <w:r>
        <w:t xml:space="preserve"> </w:t>
      </w:r>
      <w:r w:rsidRPr="00AF1293">
        <w:rPr>
          <w:rFonts w:asciiTheme="minorHAnsi" w:hAnsiTheme="minorHAnsi" w:cstheme="minorHAnsi"/>
          <w:bCs/>
          <w:sz w:val="20"/>
          <w:szCs w:val="20"/>
        </w:rPr>
        <w:t>Joint Oireachtas Committee on Health, Report on Adult Safeguarding (Houses of the Oireachtas 2017)</w:t>
      </w:r>
    </w:p>
  </w:footnote>
  <w:footnote w:id="29">
    <w:p w14:paraId="593428E8" w14:textId="012425EF" w:rsidR="00E220C8" w:rsidRPr="00F93CE2" w:rsidRDefault="00E220C8">
      <w:pPr>
        <w:pStyle w:val="FootnoteText"/>
        <w:rPr>
          <w:rFonts w:asciiTheme="minorHAnsi" w:hAnsiTheme="minorHAnsi"/>
          <w:sz w:val="20"/>
          <w:szCs w:val="20"/>
          <w:lang w:val="en-IE"/>
        </w:rPr>
      </w:pPr>
      <w:r>
        <w:rPr>
          <w:rStyle w:val="FootnoteReference"/>
        </w:rPr>
        <w:footnoteRef/>
      </w:r>
      <w:r>
        <w:t xml:space="preserve"> </w:t>
      </w:r>
      <w:r w:rsidRPr="00B87D72">
        <w:rPr>
          <w:rFonts w:asciiTheme="minorHAnsi" w:hAnsiTheme="minorHAnsi" w:cstheme="minorHAnsi"/>
          <w:sz w:val="20"/>
          <w:szCs w:val="20"/>
          <w:lang w:val="en-IE"/>
        </w:rPr>
        <w:t>Commission on Policing</w:t>
      </w:r>
      <w:r>
        <w:rPr>
          <w:rFonts w:asciiTheme="minorHAnsi" w:hAnsiTheme="minorHAnsi" w:cstheme="minorHAnsi"/>
          <w:sz w:val="20"/>
          <w:szCs w:val="20"/>
          <w:lang w:val="en-IE"/>
        </w:rPr>
        <w:t xml:space="preserve"> Report </w:t>
      </w:r>
      <w:hyperlink r:id="rId25" w:history="1">
        <w:r w:rsidRPr="00F93CE2">
          <w:rPr>
            <w:rStyle w:val="Hyperlink"/>
            <w:rFonts w:asciiTheme="minorHAnsi" w:hAnsiTheme="minorHAnsi"/>
            <w:sz w:val="20"/>
            <w:szCs w:val="20"/>
          </w:rPr>
          <w:t>http://policereform.ie/en/POLREF/The%20Future%20of%20Policing%20in%20Ireland(web).pdf/Files/The%20Future%20of%20Policing%20in%20Ireland(web).pdf</w:t>
        </w:r>
      </w:hyperlink>
    </w:p>
  </w:footnote>
  <w:footnote w:id="30">
    <w:p w14:paraId="47468370" w14:textId="26D22A07" w:rsidR="00E220C8" w:rsidRPr="00663E89" w:rsidRDefault="00E220C8">
      <w:pPr>
        <w:pStyle w:val="FootnoteText"/>
        <w:rPr>
          <w:rFonts w:asciiTheme="minorHAnsi" w:hAnsiTheme="minorHAnsi"/>
          <w:sz w:val="20"/>
          <w:szCs w:val="20"/>
          <w:lang w:val="en-IE"/>
        </w:rPr>
      </w:pPr>
      <w:r>
        <w:rPr>
          <w:rStyle w:val="FootnoteReference"/>
        </w:rPr>
        <w:footnoteRef/>
      </w:r>
      <w:r>
        <w:t xml:space="preserve"> </w:t>
      </w:r>
      <w:hyperlink r:id="rId26" w:history="1">
        <w:r w:rsidR="00B34DF6">
          <w:rPr>
            <w:rStyle w:val="Hyperlink"/>
            <w:rFonts w:asciiTheme="minorHAnsi" w:hAnsiTheme="minorHAnsi"/>
            <w:sz w:val="20"/>
            <w:szCs w:val="20"/>
          </w:rPr>
          <w:t>Discussion Paper:  The establishment of Cosaint, the National Adult Safeguarding Authority. IPA. 17 pages</w:t>
        </w:r>
      </w:hyperlink>
    </w:p>
  </w:footnote>
  <w:footnote w:id="31">
    <w:p w14:paraId="0D029F29" w14:textId="709A298A" w:rsidR="00E220C8" w:rsidRDefault="00E220C8" w:rsidP="005C2BCF">
      <w:pPr>
        <w:pStyle w:val="FootnoteText"/>
        <w:rPr>
          <w:rFonts w:asciiTheme="minorHAnsi" w:hAnsiTheme="minorHAnsi"/>
          <w:sz w:val="20"/>
          <w:szCs w:val="20"/>
          <w:lang w:val="en-IE"/>
        </w:rPr>
      </w:pPr>
      <w:r>
        <w:rPr>
          <w:rStyle w:val="FootnoteReference"/>
        </w:rPr>
        <w:footnoteRef/>
      </w:r>
      <w:r>
        <w:t xml:space="preserve"> </w:t>
      </w:r>
      <w:hyperlink r:id="rId27" w:history="1">
        <w:r w:rsidR="00B34DF6">
          <w:rPr>
            <w:rStyle w:val="Hyperlink"/>
            <w:rFonts w:asciiTheme="minorHAnsi" w:hAnsiTheme="minorHAnsi"/>
            <w:sz w:val="20"/>
            <w:szCs w:val="20"/>
          </w:rPr>
          <w:t>CIB Strategic Plan 2019 - 2021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54B4" w14:textId="3B06B586" w:rsidR="00E220C8" w:rsidRDefault="00E22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4F8B" w14:textId="0B6EBA3D" w:rsidR="00E220C8" w:rsidRDefault="00E22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2263" w14:textId="3BDD7CBA" w:rsidR="00E220C8" w:rsidRDefault="00E2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106"/>
    <w:multiLevelType w:val="hybridMultilevel"/>
    <w:tmpl w:val="054CB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50F5267"/>
    <w:multiLevelType w:val="hybridMultilevel"/>
    <w:tmpl w:val="12A23A90"/>
    <w:lvl w:ilvl="0" w:tplc="18090011">
      <w:start w:val="1"/>
      <w:numFmt w:val="decimal"/>
      <w:lvlText w:val="%1)"/>
      <w:lvlJc w:val="lef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2" w15:restartNumberingAfterBreak="0">
    <w:nsid w:val="09762BAD"/>
    <w:multiLevelType w:val="hybridMultilevel"/>
    <w:tmpl w:val="3552F7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854BFA"/>
    <w:multiLevelType w:val="hybridMultilevel"/>
    <w:tmpl w:val="1758D42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0B254C50"/>
    <w:multiLevelType w:val="multilevel"/>
    <w:tmpl w:val="9D568A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CF825B1"/>
    <w:multiLevelType w:val="hybridMultilevel"/>
    <w:tmpl w:val="6478DB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D151477"/>
    <w:multiLevelType w:val="hybridMultilevel"/>
    <w:tmpl w:val="8E9A0E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D7E3D08"/>
    <w:multiLevelType w:val="hybridMultilevel"/>
    <w:tmpl w:val="30B28E28"/>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225499E"/>
    <w:multiLevelType w:val="hybridMultilevel"/>
    <w:tmpl w:val="F02A05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B4314"/>
    <w:multiLevelType w:val="hybridMultilevel"/>
    <w:tmpl w:val="3B186AF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10" w15:restartNumberingAfterBreak="0">
    <w:nsid w:val="16AB5020"/>
    <w:multiLevelType w:val="hybridMultilevel"/>
    <w:tmpl w:val="486849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6A2D73"/>
    <w:multiLevelType w:val="hybridMultilevel"/>
    <w:tmpl w:val="BBC4C0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B9F55E2"/>
    <w:multiLevelType w:val="hybridMultilevel"/>
    <w:tmpl w:val="8264D4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9A4876"/>
    <w:multiLevelType w:val="hybridMultilevel"/>
    <w:tmpl w:val="41CC861C"/>
    <w:lvl w:ilvl="0" w:tplc="18090001">
      <w:start w:val="1"/>
      <w:numFmt w:val="bullet"/>
      <w:lvlText w:val=""/>
      <w:lvlJc w:val="left"/>
      <w:pPr>
        <w:ind w:left="644"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1E705F02"/>
    <w:multiLevelType w:val="hybridMultilevel"/>
    <w:tmpl w:val="9E0823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AF7090C"/>
    <w:multiLevelType w:val="hybridMultilevel"/>
    <w:tmpl w:val="8B3049E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AF1A2B"/>
    <w:multiLevelType w:val="multilevel"/>
    <w:tmpl w:val="22A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626D4"/>
    <w:multiLevelType w:val="hybridMultilevel"/>
    <w:tmpl w:val="AE3CE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CB4CFD"/>
    <w:multiLevelType w:val="hybridMultilevel"/>
    <w:tmpl w:val="71309F08"/>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19" w15:restartNumberingAfterBreak="0">
    <w:nsid w:val="3B043796"/>
    <w:multiLevelType w:val="hybridMultilevel"/>
    <w:tmpl w:val="8CCA98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CAE18CC"/>
    <w:multiLevelType w:val="hybridMultilevel"/>
    <w:tmpl w:val="E7E249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1E95426"/>
    <w:multiLevelType w:val="hybridMultilevel"/>
    <w:tmpl w:val="E5080CE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484714E8"/>
    <w:multiLevelType w:val="hybridMultilevel"/>
    <w:tmpl w:val="97DEB3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9AC0642"/>
    <w:multiLevelType w:val="hybridMultilevel"/>
    <w:tmpl w:val="91BEC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1160018"/>
    <w:multiLevelType w:val="hybridMultilevel"/>
    <w:tmpl w:val="A3D21B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D2210"/>
    <w:multiLevelType w:val="hybridMultilevel"/>
    <w:tmpl w:val="D354C8AC"/>
    <w:lvl w:ilvl="0" w:tplc="9BD0ED80">
      <w:numFmt w:val="bullet"/>
      <w:lvlText w:val="•"/>
      <w:lvlJc w:val="left"/>
      <w:pPr>
        <w:ind w:left="420" w:hanging="360"/>
      </w:pPr>
      <w:rPr>
        <w:rFonts w:ascii="Times New Roman" w:eastAsia="Times New Roman" w:hAnsi="Times New Roman" w:cs="Times New Roman" w:hint="default"/>
        <w:sz w:val="24"/>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6" w15:restartNumberingAfterBreak="0">
    <w:nsid w:val="5A29114A"/>
    <w:multiLevelType w:val="hybridMultilevel"/>
    <w:tmpl w:val="DD2A107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F3F36C4"/>
    <w:multiLevelType w:val="hybridMultilevel"/>
    <w:tmpl w:val="75969FB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5F853C6C"/>
    <w:multiLevelType w:val="multilevel"/>
    <w:tmpl w:val="915AC1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1177619"/>
    <w:multiLevelType w:val="hybridMultilevel"/>
    <w:tmpl w:val="EAD8DE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5B92B1D"/>
    <w:multiLevelType w:val="hybridMultilevel"/>
    <w:tmpl w:val="5FC0B29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5F95C71"/>
    <w:multiLevelType w:val="hybridMultilevel"/>
    <w:tmpl w:val="3094E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62858F2"/>
    <w:multiLevelType w:val="multilevel"/>
    <w:tmpl w:val="18421A6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3" w15:restartNumberingAfterBreak="0">
    <w:nsid w:val="6C427144"/>
    <w:multiLevelType w:val="hybridMultilevel"/>
    <w:tmpl w:val="0354114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5A8061A"/>
    <w:multiLevelType w:val="hybridMultilevel"/>
    <w:tmpl w:val="75969FB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A224D43"/>
    <w:multiLevelType w:val="hybridMultilevel"/>
    <w:tmpl w:val="B0AA0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23"/>
  </w:num>
  <w:num w:numId="5">
    <w:abstractNumId w:val="2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4"/>
  </w:num>
  <w:num w:numId="11">
    <w:abstractNumId w:val="16"/>
  </w:num>
  <w:num w:numId="12">
    <w:abstractNumId w:val="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8"/>
  </w:num>
  <w:num w:numId="16">
    <w:abstractNumId w:val="15"/>
  </w:num>
  <w:num w:numId="17">
    <w:abstractNumId w:val="20"/>
  </w:num>
  <w:num w:numId="18">
    <w:abstractNumId w:val="9"/>
  </w:num>
  <w:num w:numId="19">
    <w:abstractNumId w:val="1"/>
  </w:num>
  <w:num w:numId="20">
    <w:abstractNumId w:val="31"/>
  </w:num>
  <w:num w:numId="21">
    <w:abstractNumId w:val="10"/>
  </w:num>
  <w:num w:numId="22">
    <w:abstractNumId w:val="1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22"/>
  </w:num>
  <w:num w:numId="27">
    <w:abstractNumId w:val="2"/>
  </w:num>
  <w:num w:numId="28">
    <w:abstractNumId w:val="26"/>
  </w:num>
  <w:num w:numId="29">
    <w:abstractNumId w:val="17"/>
  </w:num>
  <w:num w:numId="30">
    <w:abstractNumId w:val="3"/>
  </w:num>
  <w:num w:numId="31">
    <w:abstractNumId w:val="25"/>
  </w:num>
  <w:num w:numId="32">
    <w:abstractNumId w:val="19"/>
  </w:num>
  <w:num w:numId="33">
    <w:abstractNumId w:val="11"/>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7"/>
    <w:lvlOverride w:ilvl="0">
      <w:startOverride w:val="1"/>
    </w:lvlOverride>
    <w:lvlOverride w:ilvl="1"/>
    <w:lvlOverride w:ilvl="2"/>
    <w:lvlOverride w:ilvl="3"/>
    <w:lvlOverride w:ilvl="4"/>
    <w:lvlOverride w:ilvl="5"/>
    <w:lvlOverride w:ilvl="6"/>
    <w:lvlOverride w:ilvl="7"/>
    <w:lvlOverride w:ilvl="8"/>
  </w:num>
  <w:num w:numId="39">
    <w:abstractNumId w:val="0"/>
  </w:num>
  <w:num w:numId="40">
    <w:abstractNumId w:val="35"/>
  </w:num>
  <w:num w:numId="41">
    <w:abstractNumId w:val="0"/>
  </w:num>
  <w:num w:numId="42">
    <w:abstractNumId w:val="35"/>
  </w:num>
  <w:num w:numId="43">
    <w:abstractNumId w:val="19"/>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1tDSwNDawNDUxtbRU0lEKTi0uzszPAykwrAUAkTscHiwAAAA="/>
  </w:docVars>
  <w:rsids>
    <w:rsidRoot w:val="008C6077"/>
    <w:rsid w:val="00000D9F"/>
    <w:rsid w:val="000176F9"/>
    <w:rsid w:val="000240B4"/>
    <w:rsid w:val="0002654D"/>
    <w:rsid w:val="0003598C"/>
    <w:rsid w:val="0003662C"/>
    <w:rsid w:val="000408D5"/>
    <w:rsid w:val="00045C1B"/>
    <w:rsid w:val="00050667"/>
    <w:rsid w:val="000523AF"/>
    <w:rsid w:val="000649C9"/>
    <w:rsid w:val="00074C44"/>
    <w:rsid w:val="00087E88"/>
    <w:rsid w:val="00090479"/>
    <w:rsid w:val="000938B7"/>
    <w:rsid w:val="000A0793"/>
    <w:rsid w:val="000A4A7D"/>
    <w:rsid w:val="000A56C9"/>
    <w:rsid w:val="000C0F0D"/>
    <w:rsid w:val="000C410A"/>
    <w:rsid w:val="000D2BBC"/>
    <w:rsid w:val="000D69CE"/>
    <w:rsid w:val="000E7F08"/>
    <w:rsid w:val="000F12F6"/>
    <w:rsid w:val="00100CEA"/>
    <w:rsid w:val="00100E64"/>
    <w:rsid w:val="001102D1"/>
    <w:rsid w:val="00124B18"/>
    <w:rsid w:val="00124CED"/>
    <w:rsid w:val="001347BD"/>
    <w:rsid w:val="00142205"/>
    <w:rsid w:val="00170CF4"/>
    <w:rsid w:val="00173027"/>
    <w:rsid w:val="00176004"/>
    <w:rsid w:val="0018154D"/>
    <w:rsid w:val="00194D15"/>
    <w:rsid w:val="0019749F"/>
    <w:rsid w:val="001976E6"/>
    <w:rsid w:val="0019785F"/>
    <w:rsid w:val="001C04DE"/>
    <w:rsid w:val="001C1259"/>
    <w:rsid w:val="001C6F80"/>
    <w:rsid w:val="001C7809"/>
    <w:rsid w:val="001D1F6C"/>
    <w:rsid w:val="001E2D04"/>
    <w:rsid w:val="001E76B0"/>
    <w:rsid w:val="00200135"/>
    <w:rsid w:val="00201BF7"/>
    <w:rsid w:val="00211590"/>
    <w:rsid w:val="00223357"/>
    <w:rsid w:val="00226478"/>
    <w:rsid w:val="00234FF9"/>
    <w:rsid w:val="00236D6F"/>
    <w:rsid w:val="00241129"/>
    <w:rsid w:val="002531F7"/>
    <w:rsid w:val="002630B1"/>
    <w:rsid w:val="002662AB"/>
    <w:rsid w:val="00271995"/>
    <w:rsid w:val="00273F95"/>
    <w:rsid w:val="0027560F"/>
    <w:rsid w:val="002849B6"/>
    <w:rsid w:val="00296EFD"/>
    <w:rsid w:val="002A4E52"/>
    <w:rsid w:val="002A7069"/>
    <w:rsid w:val="002B2705"/>
    <w:rsid w:val="002B32C8"/>
    <w:rsid w:val="002C24E6"/>
    <w:rsid w:val="002C415F"/>
    <w:rsid w:val="002D147C"/>
    <w:rsid w:val="002D4B71"/>
    <w:rsid w:val="002E0225"/>
    <w:rsid w:val="002E28F1"/>
    <w:rsid w:val="002E30B7"/>
    <w:rsid w:val="002E3585"/>
    <w:rsid w:val="002F0DA2"/>
    <w:rsid w:val="002F0E6B"/>
    <w:rsid w:val="002F7D11"/>
    <w:rsid w:val="0030699D"/>
    <w:rsid w:val="0033584C"/>
    <w:rsid w:val="00336D02"/>
    <w:rsid w:val="00337084"/>
    <w:rsid w:val="00342A70"/>
    <w:rsid w:val="00343228"/>
    <w:rsid w:val="003538DF"/>
    <w:rsid w:val="003562AF"/>
    <w:rsid w:val="00371068"/>
    <w:rsid w:val="00380D20"/>
    <w:rsid w:val="003830BD"/>
    <w:rsid w:val="00396418"/>
    <w:rsid w:val="003A1022"/>
    <w:rsid w:val="003A5109"/>
    <w:rsid w:val="003A6D4F"/>
    <w:rsid w:val="003D7744"/>
    <w:rsid w:val="003F0A67"/>
    <w:rsid w:val="00404E0F"/>
    <w:rsid w:val="0041233D"/>
    <w:rsid w:val="004322D6"/>
    <w:rsid w:val="00443EDD"/>
    <w:rsid w:val="0044760D"/>
    <w:rsid w:val="00450D71"/>
    <w:rsid w:val="004644A7"/>
    <w:rsid w:val="0047566B"/>
    <w:rsid w:val="00481DF6"/>
    <w:rsid w:val="004903F0"/>
    <w:rsid w:val="00493FF9"/>
    <w:rsid w:val="004947FE"/>
    <w:rsid w:val="004B355E"/>
    <w:rsid w:val="004C24FD"/>
    <w:rsid w:val="004C3111"/>
    <w:rsid w:val="004C59F1"/>
    <w:rsid w:val="004D54DD"/>
    <w:rsid w:val="004E092C"/>
    <w:rsid w:val="004E1DFD"/>
    <w:rsid w:val="004E245D"/>
    <w:rsid w:val="004F1741"/>
    <w:rsid w:val="004F3A1C"/>
    <w:rsid w:val="004F41DF"/>
    <w:rsid w:val="004F5098"/>
    <w:rsid w:val="005031A3"/>
    <w:rsid w:val="00503DC3"/>
    <w:rsid w:val="005057BE"/>
    <w:rsid w:val="00510E6D"/>
    <w:rsid w:val="00520EC5"/>
    <w:rsid w:val="00521BC9"/>
    <w:rsid w:val="00543AE7"/>
    <w:rsid w:val="005521A1"/>
    <w:rsid w:val="00570E67"/>
    <w:rsid w:val="00575F34"/>
    <w:rsid w:val="00576489"/>
    <w:rsid w:val="00576F40"/>
    <w:rsid w:val="005856B8"/>
    <w:rsid w:val="00592FCB"/>
    <w:rsid w:val="005935E9"/>
    <w:rsid w:val="005A7384"/>
    <w:rsid w:val="005B436A"/>
    <w:rsid w:val="005B7D4F"/>
    <w:rsid w:val="005C2BCF"/>
    <w:rsid w:val="005C7254"/>
    <w:rsid w:val="005D4F44"/>
    <w:rsid w:val="005F42A7"/>
    <w:rsid w:val="0064097C"/>
    <w:rsid w:val="00647C7A"/>
    <w:rsid w:val="0065425B"/>
    <w:rsid w:val="00654F77"/>
    <w:rsid w:val="00662E8D"/>
    <w:rsid w:val="00663E89"/>
    <w:rsid w:val="006656E3"/>
    <w:rsid w:val="006716BC"/>
    <w:rsid w:val="00681EAF"/>
    <w:rsid w:val="006857A2"/>
    <w:rsid w:val="00687EAC"/>
    <w:rsid w:val="006A1459"/>
    <w:rsid w:val="006D4906"/>
    <w:rsid w:val="006D4CD9"/>
    <w:rsid w:val="006D5393"/>
    <w:rsid w:val="006E1C21"/>
    <w:rsid w:val="006E5E09"/>
    <w:rsid w:val="006F2DB7"/>
    <w:rsid w:val="007059BF"/>
    <w:rsid w:val="00706B8C"/>
    <w:rsid w:val="00716835"/>
    <w:rsid w:val="0072009A"/>
    <w:rsid w:val="0073289D"/>
    <w:rsid w:val="0075738C"/>
    <w:rsid w:val="0076635D"/>
    <w:rsid w:val="007674F1"/>
    <w:rsid w:val="00771DBB"/>
    <w:rsid w:val="00773A87"/>
    <w:rsid w:val="0077471B"/>
    <w:rsid w:val="00787FEF"/>
    <w:rsid w:val="00792368"/>
    <w:rsid w:val="00796317"/>
    <w:rsid w:val="007A2F42"/>
    <w:rsid w:val="007B3226"/>
    <w:rsid w:val="007B55D0"/>
    <w:rsid w:val="007B74E2"/>
    <w:rsid w:val="007C0BAD"/>
    <w:rsid w:val="007C691F"/>
    <w:rsid w:val="007D3DE8"/>
    <w:rsid w:val="007E105F"/>
    <w:rsid w:val="007E2BE5"/>
    <w:rsid w:val="007E368D"/>
    <w:rsid w:val="007E4987"/>
    <w:rsid w:val="007F212E"/>
    <w:rsid w:val="007F3F09"/>
    <w:rsid w:val="00801A05"/>
    <w:rsid w:val="008058F9"/>
    <w:rsid w:val="00824AE9"/>
    <w:rsid w:val="00827BD9"/>
    <w:rsid w:val="0083123F"/>
    <w:rsid w:val="008322E2"/>
    <w:rsid w:val="008339CB"/>
    <w:rsid w:val="008362A7"/>
    <w:rsid w:val="00837C9F"/>
    <w:rsid w:val="008535EE"/>
    <w:rsid w:val="00864346"/>
    <w:rsid w:val="008722A9"/>
    <w:rsid w:val="00882893"/>
    <w:rsid w:val="008854F5"/>
    <w:rsid w:val="00885DE8"/>
    <w:rsid w:val="00895D8C"/>
    <w:rsid w:val="00895FEA"/>
    <w:rsid w:val="008A25A9"/>
    <w:rsid w:val="008A2E1D"/>
    <w:rsid w:val="008A60D0"/>
    <w:rsid w:val="008C1F9C"/>
    <w:rsid w:val="008C6077"/>
    <w:rsid w:val="008C63E8"/>
    <w:rsid w:val="008D5895"/>
    <w:rsid w:val="008D6514"/>
    <w:rsid w:val="008D783C"/>
    <w:rsid w:val="008E15A2"/>
    <w:rsid w:val="009039D7"/>
    <w:rsid w:val="00910F40"/>
    <w:rsid w:val="009218C0"/>
    <w:rsid w:val="009325FE"/>
    <w:rsid w:val="00933A83"/>
    <w:rsid w:val="00946020"/>
    <w:rsid w:val="00957D2E"/>
    <w:rsid w:val="00962083"/>
    <w:rsid w:val="00962B18"/>
    <w:rsid w:val="0096683B"/>
    <w:rsid w:val="009718EC"/>
    <w:rsid w:val="009805A6"/>
    <w:rsid w:val="00990C39"/>
    <w:rsid w:val="00995A8E"/>
    <w:rsid w:val="009A0519"/>
    <w:rsid w:val="009A21B4"/>
    <w:rsid w:val="009A27AE"/>
    <w:rsid w:val="009A6848"/>
    <w:rsid w:val="009B419B"/>
    <w:rsid w:val="009B7BAE"/>
    <w:rsid w:val="009C1E73"/>
    <w:rsid w:val="009D4038"/>
    <w:rsid w:val="009E29FC"/>
    <w:rsid w:val="009E57CB"/>
    <w:rsid w:val="009E6C2D"/>
    <w:rsid w:val="009F7A41"/>
    <w:rsid w:val="00A02163"/>
    <w:rsid w:val="00A05DC2"/>
    <w:rsid w:val="00A14B03"/>
    <w:rsid w:val="00A20C29"/>
    <w:rsid w:val="00A232A5"/>
    <w:rsid w:val="00A3114B"/>
    <w:rsid w:val="00A35437"/>
    <w:rsid w:val="00A43984"/>
    <w:rsid w:val="00A46F1C"/>
    <w:rsid w:val="00A83724"/>
    <w:rsid w:val="00A83751"/>
    <w:rsid w:val="00A856BA"/>
    <w:rsid w:val="00AA3C21"/>
    <w:rsid w:val="00AA4733"/>
    <w:rsid w:val="00AB00AE"/>
    <w:rsid w:val="00AB16E0"/>
    <w:rsid w:val="00AC1F00"/>
    <w:rsid w:val="00AF1293"/>
    <w:rsid w:val="00AF1ABB"/>
    <w:rsid w:val="00AF60F7"/>
    <w:rsid w:val="00B03483"/>
    <w:rsid w:val="00B22663"/>
    <w:rsid w:val="00B25A42"/>
    <w:rsid w:val="00B34DF6"/>
    <w:rsid w:val="00B4507A"/>
    <w:rsid w:val="00B51F6B"/>
    <w:rsid w:val="00B55AA8"/>
    <w:rsid w:val="00B560B9"/>
    <w:rsid w:val="00B618EC"/>
    <w:rsid w:val="00B61C56"/>
    <w:rsid w:val="00B653A2"/>
    <w:rsid w:val="00B80164"/>
    <w:rsid w:val="00B82616"/>
    <w:rsid w:val="00B82B40"/>
    <w:rsid w:val="00B87D72"/>
    <w:rsid w:val="00BA429F"/>
    <w:rsid w:val="00BF5316"/>
    <w:rsid w:val="00BF6830"/>
    <w:rsid w:val="00C01F3D"/>
    <w:rsid w:val="00C14A6E"/>
    <w:rsid w:val="00C224AE"/>
    <w:rsid w:val="00C24875"/>
    <w:rsid w:val="00C267AC"/>
    <w:rsid w:val="00C325ED"/>
    <w:rsid w:val="00C33DA2"/>
    <w:rsid w:val="00C6449E"/>
    <w:rsid w:val="00C65CC6"/>
    <w:rsid w:val="00C7129E"/>
    <w:rsid w:val="00C76BEE"/>
    <w:rsid w:val="00C80F9A"/>
    <w:rsid w:val="00C83C53"/>
    <w:rsid w:val="00C8533F"/>
    <w:rsid w:val="00C8731D"/>
    <w:rsid w:val="00CB0B23"/>
    <w:rsid w:val="00CE1CF9"/>
    <w:rsid w:val="00CE1E7A"/>
    <w:rsid w:val="00CE2B6F"/>
    <w:rsid w:val="00CE77FA"/>
    <w:rsid w:val="00CF0D5F"/>
    <w:rsid w:val="00CF6891"/>
    <w:rsid w:val="00D04821"/>
    <w:rsid w:val="00D05843"/>
    <w:rsid w:val="00D14AD9"/>
    <w:rsid w:val="00D21B33"/>
    <w:rsid w:val="00D37A1F"/>
    <w:rsid w:val="00D40F37"/>
    <w:rsid w:val="00D5102D"/>
    <w:rsid w:val="00D51749"/>
    <w:rsid w:val="00D53CBF"/>
    <w:rsid w:val="00D5400F"/>
    <w:rsid w:val="00D542E2"/>
    <w:rsid w:val="00D568FF"/>
    <w:rsid w:val="00D62110"/>
    <w:rsid w:val="00D94483"/>
    <w:rsid w:val="00D97236"/>
    <w:rsid w:val="00DA0264"/>
    <w:rsid w:val="00DC1C82"/>
    <w:rsid w:val="00DC54E3"/>
    <w:rsid w:val="00DE49F1"/>
    <w:rsid w:val="00DF2ABF"/>
    <w:rsid w:val="00DF70D7"/>
    <w:rsid w:val="00E03318"/>
    <w:rsid w:val="00E04EE5"/>
    <w:rsid w:val="00E06114"/>
    <w:rsid w:val="00E10F49"/>
    <w:rsid w:val="00E1382C"/>
    <w:rsid w:val="00E21877"/>
    <w:rsid w:val="00E220C8"/>
    <w:rsid w:val="00E2760B"/>
    <w:rsid w:val="00E33477"/>
    <w:rsid w:val="00E367A2"/>
    <w:rsid w:val="00E53608"/>
    <w:rsid w:val="00E541BE"/>
    <w:rsid w:val="00E54926"/>
    <w:rsid w:val="00E54C1D"/>
    <w:rsid w:val="00E62D15"/>
    <w:rsid w:val="00E650A3"/>
    <w:rsid w:val="00E73FA4"/>
    <w:rsid w:val="00E85361"/>
    <w:rsid w:val="00EA1CDD"/>
    <w:rsid w:val="00EB4EDD"/>
    <w:rsid w:val="00EB5A2D"/>
    <w:rsid w:val="00EC2CAC"/>
    <w:rsid w:val="00EE3061"/>
    <w:rsid w:val="00EE751F"/>
    <w:rsid w:val="00EE758E"/>
    <w:rsid w:val="00EF26CE"/>
    <w:rsid w:val="00EF663B"/>
    <w:rsid w:val="00F17395"/>
    <w:rsid w:val="00F21850"/>
    <w:rsid w:val="00F41028"/>
    <w:rsid w:val="00F4209E"/>
    <w:rsid w:val="00F47015"/>
    <w:rsid w:val="00F54340"/>
    <w:rsid w:val="00F55125"/>
    <w:rsid w:val="00F561A1"/>
    <w:rsid w:val="00F62536"/>
    <w:rsid w:val="00F6382C"/>
    <w:rsid w:val="00F65968"/>
    <w:rsid w:val="00F66735"/>
    <w:rsid w:val="00F66E60"/>
    <w:rsid w:val="00F707F7"/>
    <w:rsid w:val="00F8651B"/>
    <w:rsid w:val="00F93CE2"/>
    <w:rsid w:val="00FA0C83"/>
    <w:rsid w:val="00FA1490"/>
    <w:rsid w:val="00FA71E7"/>
    <w:rsid w:val="00FB007F"/>
    <w:rsid w:val="00FC0444"/>
    <w:rsid w:val="00FD161C"/>
    <w:rsid w:val="00FD3914"/>
    <w:rsid w:val="00FE34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BFE3EE"/>
  <w15:docId w15:val="{790F792C-3F7E-4DFD-9860-09F99179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E88"/>
  </w:style>
  <w:style w:type="paragraph" w:styleId="Heading1">
    <w:name w:val="heading 1"/>
    <w:basedOn w:val="Normal"/>
    <w:next w:val="Normal"/>
    <w:link w:val="Heading1Char"/>
    <w:uiPriority w:val="9"/>
    <w:qFormat/>
    <w:rsid w:val="00087E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E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E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E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E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E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E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E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1C7809"/>
    <w:pPr>
      <w:widowControl w:val="0"/>
      <w:autoSpaceDE w:val="0"/>
      <w:autoSpaceDN w:val="0"/>
      <w:spacing w:after="0" w:line="240" w:lineRule="auto"/>
    </w:pPr>
    <w:rPr>
      <w:rFonts w:ascii="Arial" w:eastAsia="Arial" w:hAnsi="Arial" w:cs="Arial"/>
      <w:lang w:eastAsia="en-IE" w:bidi="en-IE"/>
    </w:rPr>
  </w:style>
  <w:style w:type="character" w:customStyle="1" w:styleId="Heading1Char">
    <w:name w:val="Heading 1 Char"/>
    <w:basedOn w:val="DefaultParagraphFont"/>
    <w:link w:val="Heading1"/>
    <w:uiPriority w:val="9"/>
    <w:rsid w:val="00087E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E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E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E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E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unhideWhenUsed/>
    <w:qFormat/>
    <w:rsid w:val="001C7809"/>
    <w:pPr>
      <w:widowControl w:val="0"/>
      <w:autoSpaceDE w:val="0"/>
      <w:autoSpaceDN w:val="0"/>
      <w:spacing w:after="0" w:line="240" w:lineRule="auto"/>
    </w:pPr>
    <w:rPr>
      <w:rFonts w:ascii="Arial" w:eastAsia="Arial" w:hAnsi="Arial" w:cs="Arial"/>
      <w:sz w:val="19"/>
      <w:szCs w:val="19"/>
      <w:lang w:eastAsia="en-IE" w:bidi="en-IE"/>
    </w:rPr>
  </w:style>
  <w:style w:type="character" w:customStyle="1" w:styleId="BodyTextChar">
    <w:name w:val="Body Text Char"/>
    <w:basedOn w:val="DefaultParagraphFont"/>
    <w:link w:val="BodyText"/>
    <w:uiPriority w:val="1"/>
    <w:rsid w:val="001C7809"/>
    <w:rPr>
      <w:rFonts w:ascii="Arial" w:eastAsia="Arial" w:hAnsi="Arial" w:cs="Arial"/>
      <w:sz w:val="19"/>
      <w:szCs w:val="19"/>
      <w:lang w:eastAsia="en-IE" w:bidi="en-IE"/>
    </w:rPr>
  </w:style>
  <w:style w:type="character" w:styleId="Strong">
    <w:name w:val="Strong"/>
    <w:basedOn w:val="DefaultParagraphFont"/>
    <w:uiPriority w:val="22"/>
    <w:qFormat/>
    <w:rsid w:val="00087E88"/>
    <w:rPr>
      <w:b/>
      <w:bCs/>
    </w:rPr>
  </w:style>
  <w:style w:type="character" w:styleId="Emphasis">
    <w:name w:val="Emphasis"/>
    <w:basedOn w:val="DefaultParagraphFont"/>
    <w:uiPriority w:val="20"/>
    <w:qFormat/>
    <w:rsid w:val="00087E88"/>
    <w:rPr>
      <w:i/>
      <w:iCs/>
    </w:rPr>
  </w:style>
  <w:style w:type="paragraph" w:styleId="ListParagraph">
    <w:name w:val="List Paragraph"/>
    <w:basedOn w:val="Normal"/>
    <w:uiPriority w:val="34"/>
    <w:qFormat/>
    <w:rsid w:val="00087E88"/>
    <w:pPr>
      <w:ind w:left="720"/>
      <w:contextualSpacing/>
    </w:pPr>
  </w:style>
  <w:style w:type="paragraph" w:styleId="NormalWeb">
    <w:name w:val="Normal (Web)"/>
    <w:basedOn w:val="Normal"/>
    <w:uiPriority w:val="99"/>
    <w:unhideWhenUsed/>
    <w:rsid w:val="003F0A6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link w:val="FootnoteText"/>
    <w:uiPriority w:val="99"/>
    <w:semiHidden/>
    <w:locked/>
    <w:rsid w:val="001102D1"/>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Char"/>
    <w:basedOn w:val="Normal"/>
    <w:link w:val="FootnoteTextChar4"/>
    <w:uiPriority w:val="99"/>
    <w:semiHidden/>
    <w:unhideWhenUsed/>
    <w:qFormat/>
    <w:rsid w:val="001102D1"/>
    <w:pPr>
      <w:spacing w:after="0" w:line="240" w:lineRule="auto"/>
    </w:pPr>
    <w:rPr>
      <w:rFonts w:ascii="Arial" w:hAnsi="Arial" w:cs="Arial"/>
      <w:noProof/>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
    <w:basedOn w:val="DefaultParagraphFont"/>
    <w:uiPriority w:val="99"/>
    <w:semiHidden/>
    <w:rsid w:val="001102D1"/>
    <w:rPr>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1102D1"/>
    <w:rPr>
      <w:rFonts w:ascii="Times New Roman" w:hAnsi="Times New Roman" w:cs="Times New Roman" w:hint="default"/>
      <w:vertAlign w:val="superscript"/>
    </w:rPr>
  </w:style>
  <w:style w:type="paragraph" w:customStyle="1" w:styleId="MediumGrid1-Accent21">
    <w:name w:val="Medium Grid 1 - Accent 21"/>
    <w:basedOn w:val="Normal"/>
    <w:rsid w:val="00895FEA"/>
    <w:pPr>
      <w:spacing w:before="200"/>
      <w:ind w:left="720"/>
    </w:pPr>
    <w:rPr>
      <w:rFonts w:ascii="Calibri" w:eastAsia="Calibri" w:hAnsi="Calibri" w:cs="Times New Roman"/>
      <w:sz w:val="20"/>
      <w:szCs w:val="20"/>
      <w:lang w:val="en-US" w:eastAsia="en-IE"/>
    </w:rPr>
  </w:style>
  <w:style w:type="paragraph" w:styleId="BalloonText">
    <w:name w:val="Balloon Text"/>
    <w:basedOn w:val="Normal"/>
    <w:link w:val="BalloonTextChar"/>
    <w:uiPriority w:val="99"/>
    <w:semiHidden/>
    <w:unhideWhenUsed/>
    <w:rsid w:val="00C3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ED"/>
    <w:rPr>
      <w:rFonts w:ascii="Tahoma" w:hAnsi="Tahoma" w:cs="Tahoma"/>
      <w:sz w:val="16"/>
      <w:szCs w:val="16"/>
    </w:rPr>
  </w:style>
  <w:style w:type="character" w:styleId="Hyperlink">
    <w:name w:val="Hyperlink"/>
    <w:basedOn w:val="DefaultParagraphFont"/>
    <w:uiPriority w:val="99"/>
    <w:unhideWhenUsed/>
    <w:rsid w:val="00EA1CDD"/>
    <w:rPr>
      <w:color w:val="0000FF" w:themeColor="hyperlink"/>
      <w:u w:val="single"/>
    </w:rPr>
  </w:style>
  <w:style w:type="character" w:styleId="FollowedHyperlink">
    <w:name w:val="FollowedHyperlink"/>
    <w:basedOn w:val="DefaultParagraphFont"/>
    <w:uiPriority w:val="99"/>
    <w:semiHidden/>
    <w:unhideWhenUsed/>
    <w:rsid w:val="00EA1CDD"/>
    <w:rPr>
      <w:color w:val="800080" w:themeColor="followedHyperlink"/>
      <w:u w:val="single"/>
    </w:rPr>
  </w:style>
  <w:style w:type="paragraph" w:styleId="Header">
    <w:name w:val="header"/>
    <w:basedOn w:val="Normal"/>
    <w:link w:val="HeaderChar"/>
    <w:uiPriority w:val="99"/>
    <w:unhideWhenUsed/>
    <w:rsid w:val="0022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57"/>
  </w:style>
  <w:style w:type="paragraph" w:styleId="Footer">
    <w:name w:val="footer"/>
    <w:basedOn w:val="Normal"/>
    <w:link w:val="FooterChar"/>
    <w:uiPriority w:val="99"/>
    <w:unhideWhenUsed/>
    <w:rsid w:val="0022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57"/>
  </w:style>
  <w:style w:type="paragraph" w:styleId="NoSpacing">
    <w:name w:val="No Spacing"/>
    <w:link w:val="NoSpacingChar"/>
    <w:uiPriority w:val="1"/>
    <w:qFormat/>
    <w:rsid w:val="00087E88"/>
    <w:pPr>
      <w:spacing w:after="0" w:line="240" w:lineRule="auto"/>
    </w:p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DF2ABF"/>
    <w:pPr>
      <w:spacing w:after="160" w:line="240" w:lineRule="exact"/>
      <w:jc w:val="both"/>
    </w:pPr>
    <w:rPr>
      <w:rFonts w:ascii="Times New Roman" w:hAnsi="Times New Roman" w:cs="Times New Roman"/>
      <w:vertAlign w:val="superscript"/>
    </w:rPr>
  </w:style>
  <w:style w:type="paragraph" w:customStyle="1" w:styleId="xmsonormal">
    <w:name w:val="x_msonormal"/>
    <w:basedOn w:val="Normal"/>
    <w:rsid w:val="00FE349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pa4">
    <w:name w:val="x_pa4"/>
    <w:basedOn w:val="Normal"/>
    <w:rsid w:val="00FE349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CommentText">
    <w:name w:val="annotation text"/>
    <w:basedOn w:val="Normal"/>
    <w:link w:val="CommentTextChar"/>
    <w:uiPriority w:val="99"/>
    <w:unhideWhenUsed/>
    <w:rsid w:val="00A46F1C"/>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A46F1C"/>
    <w:rPr>
      <w:rFonts w:ascii="Arial" w:eastAsia="Arial" w:hAnsi="Arial" w:cs="Arial"/>
      <w:sz w:val="20"/>
      <w:szCs w:val="20"/>
      <w:lang w:val="en-US"/>
    </w:rPr>
  </w:style>
  <w:style w:type="character" w:customStyle="1" w:styleId="NoSpacingChar">
    <w:name w:val="No Spacing Char"/>
    <w:basedOn w:val="DefaultParagraphFont"/>
    <w:link w:val="NoSpacing"/>
    <w:uiPriority w:val="1"/>
    <w:locked/>
    <w:rsid w:val="00543AE7"/>
  </w:style>
  <w:style w:type="character" w:customStyle="1" w:styleId="Heading6Char">
    <w:name w:val="Heading 6 Char"/>
    <w:basedOn w:val="DefaultParagraphFont"/>
    <w:link w:val="Heading6"/>
    <w:uiPriority w:val="9"/>
    <w:semiHidden/>
    <w:rsid w:val="00087E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E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E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E8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E88"/>
    <w:pPr>
      <w:spacing w:line="240" w:lineRule="auto"/>
    </w:pPr>
    <w:rPr>
      <w:b/>
      <w:bCs/>
      <w:color w:val="4F81BD" w:themeColor="accent1"/>
      <w:sz w:val="18"/>
      <w:szCs w:val="18"/>
    </w:rPr>
  </w:style>
  <w:style w:type="paragraph" w:styleId="Title">
    <w:name w:val="Title"/>
    <w:basedOn w:val="Heading1"/>
    <w:next w:val="Normal"/>
    <w:link w:val="TitleChar"/>
    <w:uiPriority w:val="10"/>
    <w:qFormat/>
    <w:rsid w:val="009B7BAE"/>
    <w:pPr>
      <w:spacing w:before="0"/>
      <w:jc w:val="center"/>
    </w:pPr>
  </w:style>
  <w:style w:type="character" w:customStyle="1" w:styleId="TitleChar">
    <w:name w:val="Title Char"/>
    <w:basedOn w:val="DefaultParagraphFont"/>
    <w:link w:val="Title"/>
    <w:uiPriority w:val="10"/>
    <w:rsid w:val="009B7BA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87E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7E88"/>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087E88"/>
    <w:rPr>
      <w:i/>
      <w:iCs/>
      <w:color w:val="000000" w:themeColor="text1"/>
    </w:rPr>
  </w:style>
  <w:style w:type="character" w:customStyle="1" w:styleId="QuoteChar">
    <w:name w:val="Quote Char"/>
    <w:basedOn w:val="DefaultParagraphFont"/>
    <w:link w:val="Quote"/>
    <w:uiPriority w:val="29"/>
    <w:rsid w:val="00087E88"/>
    <w:rPr>
      <w:i/>
      <w:iCs/>
      <w:color w:val="000000" w:themeColor="text1"/>
    </w:rPr>
  </w:style>
  <w:style w:type="paragraph" w:styleId="IntenseQuote">
    <w:name w:val="Intense Quote"/>
    <w:basedOn w:val="Normal"/>
    <w:next w:val="Normal"/>
    <w:link w:val="IntenseQuoteChar"/>
    <w:uiPriority w:val="30"/>
    <w:qFormat/>
    <w:rsid w:val="00087E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E88"/>
    <w:rPr>
      <w:b/>
      <w:bCs/>
      <w:i/>
      <w:iCs/>
      <w:color w:val="4F81BD" w:themeColor="accent1"/>
    </w:rPr>
  </w:style>
  <w:style w:type="character" w:styleId="SubtleEmphasis">
    <w:name w:val="Subtle Emphasis"/>
    <w:basedOn w:val="DefaultParagraphFont"/>
    <w:uiPriority w:val="19"/>
    <w:qFormat/>
    <w:rsid w:val="00087E88"/>
    <w:rPr>
      <w:i/>
      <w:iCs/>
      <w:color w:val="808080" w:themeColor="text1" w:themeTint="7F"/>
    </w:rPr>
  </w:style>
  <w:style w:type="character" w:styleId="IntenseEmphasis">
    <w:name w:val="Intense Emphasis"/>
    <w:basedOn w:val="DefaultParagraphFont"/>
    <w:uiPriority w:val="21"/>
    <w:qFormat/>
    <w:rsid w:val="00087E88"/>
    <w:rPr>
      <w:b/>
      <w:bCs/>
      <w:i/>
      <w:iCs/>
      <w:color w:val="4F81BD" w:themeColor="accent1"/>
    </w:rPr>
  </w:style>
  <w:style w:type="character" w:styleId="SubtleReference">
    <w:name w:val="Subtle Reference"/>
    <w:basedOn w:val="DefaultParagraphFont"/>
    <w:uiPriority w:val="31"/>
    <w:qFormat/>
    <w:rsid w:val="00087E88"/>
    <w:rPr>
      <w:smallCaps/>
      <w:color w:val="C0504D" w:themeColor="accent2"/>
      <w:u w:val="single"/>
    </w:rPr>
  </w:style>
  <w:style w:type="character" w:styleId="IntenseReference">
    <w:name w:val="Intense Reference"/>
    <w:basedOn w:val="DefaultParagraphFont"/>
    <w:uiPriority w:val="32"/>
    <w:qFormat/>
    <w:rsid w:val="00087E88"/>
    <w:rPr>
      <w:b/>
      <w:bCs/>
      <w:smallCaps/>
      <w:color w:val="C0504D" w:themeColor="accent2"/>
      <w:spacing w:val="5"/>
      <w:u w:val="single"/>
    </w:rPr>
  </w:style>
  <w:style w:type="character" w:styleId="BookTitle">
    <w:name w:val="Book Title"/>
    <w:basedOn w:val="DefaultParagraphFont"/>
    <w:uiPriority w:val="33"/>
    <w:qFormat/>
    <w:rsid w:val="00087E88"/>
    <w:rPr>
      <w:b/>
      <w:bCs/>
      <w:smallCaps/>
      <w:spacing w:val="5"/>
    </w:rPr>
  </w:style>
  <w:style w:type="paragraph" w:styleId="TOCHeading">
    <w:name w:val="TOC Heading"/>
    <w:basedOn w:val="Heading1"/>
    <w:next w:val="Normal"/>
    <w:uiPriority w:val="39"/>
    <w:semiHidden/>
    <w:unhideWhenUsed/>
    <w:qFormat/>
    <w:rsid w:val="00087E88"/>
    <w:pPr>
      <w:outlineLvl w:val="9"/>
    </w:pPr>
  </w:style>
  <w:style w:type="table" w:styleId="TableGrid">
    <w:name w:val="Table Grid"/>
    <w:basedOn w:val="TableNormal"/>
    <w:uiPriority w:val="59"/>
    <w:rsid w:val="00F6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A8E"/>
    <w:rPr>
      <w:sz w:val="16"/>
      <w:szCs w:val="16"/>
    </w:rPr>
  </w:style>
  <w:style w:type="paragraph" w:styleId="CommentSubject">
    <w:name w:val="annotation subject"/>
    <w:basedOn w:val="CommentText"/>
    <w:next w:val="CommentText"/>
    <w:link w:val="CommentSubjectChar"/>
    <w:uiPriority w:val="99"/>
    <w:semiHidden/>
    <w:unhideWhenUsed/>
    <w:rsid w:val="00995A8E"/>
    <w:pPr>
      <w:widowControl/>
      <w:autoSpaceDE/>
      <w:autoSpaceDN/>
      <w:spacing w:after="200"/>
    </w:pPr>
    <w:rPr>
      <w:rFonts w:asciiTheme="minorHAnsi" w:eastAsiaTheme="minorEastAsia" w:hAnsiTheme="minorHAnsi" w:cstheme="minorBidi"/>
      <w:b/>
      <w:bCs/>
      <w:lang w:val="en-IE"/>
    </w:rPr>
  </w:style>
  <w:style w:type="character" w:customStyle="1" w:styleId="CommentSubjectChar">
    <w:name w:val="Comment Subject Char"/>
    <w:basedOn w:val="CommentTextChar"/>
    <w:link w:val="CommentSubject"/>
    <w:uiPriority w:val="99"/>
    <w:semiHidden/>
    <w:rsid w:val="00995A8E"/>
    <w:rPr>
      <w:rFonts w:ascii="Arial" w:eastAsia="Arial" w:hAnsi="Arial" w:cs="Arial"/>
      <w:b/>
      <w:bCs/>
      <w:sz w:val="20"/>
      <w:szCs w:val="20"/>
      <w:lang w:val="en-US"/>
    </w:rPr>
  </w:style>
  <w:style w:type="paragraph" w:customStyle="1" w:styleId="Default">
    <w:name w:val="Default"/>
    <w:rsid w:val="000D2BBC"/>
    <w:pPr>
      <w:autoSpaceDE w:val="0"/>
      <w:autoSpaceDN w:val="0"/>
      <w:adjustRightInd w:val="0"/>
      <w:spacing w:after="0" w:line="240" w:lineRule="auto"/>
    </w:pPr>
    <w:rPr>
      <w:rFonts w:ascii="Arial" w:eastAsiaTheme="minorHAnsi" w:hAnsi="Arial" w:cs="Arial"/>
      <w:color w:val="000000"/>
      <w:sz w:val="24"/>
      <w:szCs w:val="24"/>
    </w:rPr>
  </w:style>
  <w:style w:type="paragraph" w:styleId="Revision">
    <w:name w:val="Revision"/>
    <w:hidden/>
    <w:uiPriority w:val="99"/>
    <w:semiHidden/>
    <w:rsid w:val="009A6848"/>
    <w:pPr>
      <w:spacing w:after="0" w:line="240" w:lineRule="auto"/>
    </w:pPr>
  </w:style>
  <w:style w:type="paragraph" w:customStyle="1" w:styleId="NewTitle">
    <w:name w:val="New Title"/>
    <w:basedOn w:val="Title"/>
    <w:link w:val="NewTitleChar"/>
    <w:rsid w:val="00F62536"/>
  </w:style>
  <w:style w:type="character" w:customStyle="1" w:styleId="NewTitleChar">
    <w:name w:val="New Title Char"/>
    <w:basedOn w:val="TitleChar"/>
    <w:link w:val="NewTitle"/>
    <w:rsid w:val="00F625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295">
      <w:bodyDiv w:val="1"/>
      <w:marLeft w:val="0"/>
      <w:marRight w:val="0"/>
      <w:marTop w:val="0"/>
      <w:marBottom w:val="0"/>
      <w:divBdr>
        <w:top w:val="none" w:sz="0" w:space="0" w:color="auto"/>
        <w:left w:val="none" w:sz="0" w:space="0" w:color="auto"/>
        <w:bottom w:val="none" w:sz="0" w:space="0" w:color="auto"/>
        <w:right w:val="none" w:sz="0" w:space="0" w:color="auto"/>
      </w:divBdr>
    </w:div>
    <w:div w:id="6489474">
      <w:bodyDiv w:val="1"/>
      <w:marLeft w:val="0"/>
      <w:marRight w:val="0"/>
      <w:marTop w:val="0"/>
      <w:marBottom w:val="0"/>
      <w:divBdr>
        <w:top w:val="none" w:sz="0" w:space="0" w:color="auto"/>
        <w:left w:val="none" w:sz="0" w:space="0" w:color="auto"/>
        <w:bottom w:val="none" w:sz="0" w:space="0" w:color="auto"/>
        <w:right w:val="none" w:sz="0" w:space="0" w:color="auto"/>
      </w:divBdr>
    </w:div>
    <w:div w:id="24789376">
      <w:bodyDiv w:val="1"/>
      <w:marLeft w:val="0"/>
      <w:marRight w:val="0"/>
      <w:marTop w:val="0"/>
      <w:marBottom w:val="0"/>
      <w:divBdr>
        <w:top w:val="none" w:sz="0" w:space="0" w:color="auto"/>
        <w:left w:val="none" w:sz="0" w:space="0" w:color="auto"/>
        <w:bottom w:val="none" w:sz="0" w:space="0" w:color="auto"/>
        <w:right w:val="none" w:sz="0" w:space="0" w:color="auto"/>
      </w:divBdr>
    </w:div>
    <w:div w:id="33308597">
      <w:bodyDiv w:val="1"/>
      <w:marLeft w:val="0"/>
      <w:marRight w:val="0"/>
      <w:marTop w:val="0"/>
      <w:marBottom w:val="0"/>
      <w:divBdr>
        <w:top w:val="none" w:sz="0" w:space="0" w:color="auto"/>
        <w:left w:val="none" w:sz="0" w:space="0" w:color="auto"/>
        <w:bottom w:val="none" w:sz="0" w:space="0" w:color="auto"/>
        <w:right w:val="none" w:sz="0" w:space="0" w:color="auto"/>
      </w:divBdr>
    </w:div>
    <w:div w:id="44331490">
      <w:bodyDiv w:val="1"/>
      <w:marLeft w:val="0"/>
      <w:marRight w:val="0"/>
      <w:marTop w:val="0"/>
      <w:marBottom w:val="0"/>
      <w:divBdr>
        <w:top w:val="none" w:sz="0" w:space="0" w:color="auto"/>
        <w:left w:val="none" w:sz="0" w:space="0" w:color="auto"/>
        <w:bottom w:val="none" w:sz="0" w:space="0" w:color="auto"/>
        <w:right w:val="none" w:sz="0" w:space="0" w:color="auto"/>
      </w:divBdr>
    </w:div>
    <w:div w:id="47841940">
      <w:bodyDiv w:val="1"/>
      <w:marLeft w:val="0"/>
      <w:marRight w:val="0"/>
      <w:marTop w:val="0"/>
      <w:marBottom w:val="0"/>
      <w:divBdr>
        <w:top w:val="none" w:sz="0" w:space="0" w:color="auto"/>
        <w:left w:val="none" w:sz="0" w:space="0" w:color="auto"/>
        <w:bottom w:val="none" w:sz="0" w:space="0" w:color="auto"/>
        <w:right w:val="none" w:sz="0" w:space="0" w:color="auto"/>
      </w:divBdr>
    </w:div>
    <w:div w:id="48769447">
      <w:bodyDiv w:val="1"/>
      <w:marLeft w:val="0"/>
      <w:marRight w:val="0"/>
      <w:marTop w:val="0"/>
      <w:marBottom w:val="0"/>
      <w:divBdr>
        <w:top w:val="none" w:sz="0" w:space="0" w:color="auto"/>
        <w:left w:val="none" w:sz="0" w:space="0" w:color="auto"/>
        <w:bottom w:val="none" w:sz="0" w:space="0" w:color="auto"/>
        <w:right w:val="none" w:sz="0" w:space="0" w:color="auto"/>
      </w:divBdr>
    </w:div>
    <w:div w:id="55126183">
      <w:bodyDiv w:val="1"/>
      <w:marLeft w:val="0"/>
      <w:marRight w:val="0"/>
      <w:marTop w:val="0"/>
      <w:marBottom w:val="0"/>
      <w:divBdr>
        <w:top w:val="none" w:sz="0" w:space="0" w:color="auto"/>
        <w:left w:val="none" w:sz="0" w:space="0" w:color="auto"/>
        <w:bottom w:val="none" w:sz="0" w:space="0" w:color="auto"/>
        <w:right w:val="none" w:sz="0" w:space="0" w:color="auto"/>
      </w:divBdr>
    </w:div>
    <w:div w:id="70783080">
      <w:bodyDiv w:val="1"/>
      <w:marLeft w:val="0"/>
      <w:marRight w:val="0"/>
      <w:marTop w:val="0"/>
      <w:marBottom w:val="0"/>
      <w:divBdr>
        <w:top w:val="none" w:sz="0" w:space="0" w:color="auto"/>
        <w:left w:val="none" w:sz="0" w:space="0" w:color="auto"/>
        <w:bottom w:val="none" w:sz="0" w:space="0" w:color="auto"/>
        <w:right w:val="none" w:sz="0" w:space="0" w:color="auto"/>
      </w:divBdr>
    </w:div>
    <w:div w:id="86855694">
      <w:bodyDiv w:val="1"/>
      <w:marLeft w:val="0"/>
      <w:marRight w:val="0"/>
      <w:marTop w:val="0"/>
      <w:marBottom w:val="0"/>
      <w:divBdr>
        <w:top w:val="none" w:sz="0" w:space="0" w:color="auto"/>
        <w:left w:val="none" w:sz="0" w:space="0" w:color="auto"/>
        <w:bottom w:val="none" w:sz="0" w:space="0" w:color="auto"/>
        <w:right w:val="none" w:sz="0" w:space="0" w:color="auto"/>
      </w:divBdr>
    </w:div>
    <w:div w:id="89862518">
      <w:bodyDiv w:val="1"/>
      <w:marLeft w:val="0"/>
      <w:marRight w:val="0"/>
      <w:marTop w:val="0"/>
      <w:marBottom w:val="0"/>
      <w:divBdr>
        <w:top w:val="none" w:sz="0" w:space="0" w:color="auto"/>
        <w:left w:val="none" w:sz="0" w:space="0" w:color="auto"/>
        <w:bottom w:val="none" w:sz="0" w:space="0" w:color="auto"/>
        <w:right w:val="none" w:sz="0" w:space="0" w:color="auto"/>
      </w:divBdr>
    </w:div>
    <w:div w:id="93018444">
      <w:bodyDiv w:val="1"/>
      <w:marLeft w:val="0"/>
      <w:marRight w:val="0"/>
      <w:marTop w:val="0"/>
      <w:marBottom w:val="0"/>
      <w:divBdr>
        <w:top w:val="none" w:sz="0" w:space="0" w:color="auto"/>
        <w:left w:val="none" w:sz="0" w:space="0" w:color="auto"/>
        <w:bottom w:val="none" w:sz="0" w:space="0" w:color="auto"/>
        <w:right w:val="none" w:sz="0" w:space="0" w:color="auto"/>
      </w:divBdr>
    </w:div>
    <w:div w:id="107547854">
      <w:bodyDiv w:val="1"/>
      <w:marLeft w:val="0"/>
      <w:marRight w:val="0"/>
      <w:marTop w:val="0"/>
      <w:marBottom w:val="0"/>
      <w:divBdr>
        <w:top w:val="none" w:sz="0" w:space="0" w:color="auto"/>
        <w:left w:val="none" w:sz="0" w:space="0" w:color="auto"/>
        <w:bottom w:val="none" w:sz="0" w:space="0" w:color="auto"/>
        <w:right w:val="none" w:sz="0" w:space="0" w:color="auto"/>
      </w:divBdr>
    </w:div>
    <w:div w:id="124392545">
      <w:bodyDiv w:val="1"/>
      <w:marLeft w:val="0"/>
      <w:marRight w:val="0"/>
      <w:marTop w:val="0"/>
      <w:marBottom w:val="0"/>
      <w:divBdr>
        <w:top w:val="none" w:sz="0" w:space="0" w:color="auto"/>
        <w:left w:val="none" w:sz="0" w:space="0" w:color="auto"/>
        <w:bottom w:val="none" w:sz="0" w:space="0" w:color="auto"/>
        <w:right w:val="none" w:sz="0" w:space="0" w:color="auto"/>
      </w:divBdr>
    </w:div>
    <w:div w:id="161773595">
      <w:bodyDiv w:val="1"/>
      <w:marLeft w:val="0"/>
      <w:marRight w:val="0"/>
      <w:marTop w:val="0"/>
      <w:marBottom w:val="0"/>
      <w:divBdr>
        <w:top w:val="none" w:sz="0" w:space="0" w:color="auto"/>
        <w:left w:val="none" w:sz="0" w:space="0" w:color="auto"/>
        <w:bottom w:val="none" w:sz="0" w:space="0" w:color="auto"/>
        <w:right w:val="none" w:sz="0" w:space="0" w:color="auto"/>
      </w:divBdr>
    </w:div>
    <w:div w:id="187180755">
      <w:bodyDiv w:val="1"/>
      <w:marLeft w:val="0"/>
      <w:marRight w:val="0"/>
      <w:marTop w:val="0"/>
      <w:marBottom w:val="0"/>
      <w:divBdr>
        <w:top w:val="none" w:sz="0" w:space="0" w:color="auto"/>
        <w:left w:val="none" w:sz="0" w:space="0" w:color="auto"/>
        <w:bottom w:val="none" w:sz="0" w:space="0" w:color="auto"/>
        <w:right w:val="none" w:sz="0" w:space="0" w:color="auto"/>
      </w:divBdr>
    </w:div>
    <w:div w:id="191576505">
      <w:bodyDiv w:val="1"/>
      <w:marLeft w:val="0"/>
      <w:marRight w:val="0"/>
      <w:marTop w:val="0"/>
      <w:marBottom w:val="0"/>
      <w:divBdr>
        <w:top w:val="none" w:sz="0" w:space="0" w:color="auto"/>
        <w:left w:val="none" w:sz="0" w:space="0" w:color="auto"/>
        <w:bottom w:val="none" w:sz="0" w:space="0" w:color="auto"/>
        <w:right w:val="none" w:sz="0" w:space="0" w:color="auto"/>
      </w:divBdr>
    </w:div>
    <w:div w:id="195627958">
      <w:bodyDiv w:val="1"/>
      <w:marLeft w:val="0"/>
      <w:marRight w:val="0"/>
      <w:marTop w:val="0"/>
      <w:marBottom w:val="0"/>
      <w:divBdr>
        <w:top w:val="none" w:sz="0" w:space="0" w:color="auto"/>
        <w:left w:val="none" w:sz="0" w:space="0" w:color="auto"/>
        <w:bottom w:val="none" w:sz="0" w:space="0" w:color="auto"/>
        <w:right w:val="none" w:sz="0" w:space="0" w:color="auto"/>
      </w:divBdr>
    </w:div>
    <w:div w:id="197397993">
      <w:bodyDiv w:val="1"/>
      <w:marLeft w:val="0"/>
      <w:marRight w:val="0"/>
      <w:marTop w:val="0"/>
      <w:marBottom w:val="0"/>
      <w:divBdr>
        <w:top w:val="none" w:sz="0" w:space="0" w:color="auto"/>
        <w:left w:val="none" w:sz="0" w:space="0" w:color="auto"/>
        <w:bottom w:val="none" w:sz="0" w:space="0" w:color="auto"/>
        <w:right w:val="none" w:sz="0" w:space="0" w:color="auto"/>
      </w:divBdr>
    </w:div>
    <w:div w:id="198208114">
      <w:bodyDiv w:val="1"/>
      <w:marLeft w:val="0"/>
      <w:marRight w:val="0"/>
      <w:marTop w:val="0"/>
      <w:marBottom w:val="0"/>
      <w:divBdr>
        <w:top w:val="none" w:sz="0" w:space="0" w:color="auto"/>
        <w:left w:val="none" w:sz="0" w:space="0" w:color="auto"/>
        <w:bottom w:val="none" w:sz="0" w:space="0" w:color="auto"/>
        <w:right w:val="none" w:sz="0" w:space="0" w:color="auto"/>
      </w:divBdr>
    </w:div>
    <w:div w:id="250240311">
      <w:bodyDiv w:val="1"/>
      <w:marLeft w:val="0"/>
      <w:marRight w:val="0"/>
      <w:marTop w:val="0"/>
      <w:marBottom w:val="0"/>
      <w:divBdr>
        <w:top w:val="none" w:sz="0" w:space="0" w:color="auto"/>
        <w:left w:val="none" w:sz="0" w:space="0" w:color="auto"/>
        <w:bottom w:val="none" w:sz="0" w:space="0" w:color="auto"/>
        <w:right w:val="none" w:sz="0" w:space="0" w:color="auto"/>
      </w:divBdr>
    </w:div>
    <w:div w:id="257174257">
      <w:bodyDiv w:val="1"/>
      <w:marLeft w:val="0"/>
      <w:marRight w:val="0"/>
      <w:marTop w:val="0"/>
      <w:marBottom w:val="0"/>
      <w:divBdr>
        <w:top w:val="none" w:sz="0" w:space="0" w:color="auto"/>
        <w:left w:val="none" w:sz="0" w:space="0" w:color="auto"/>
        <w:bottom w:val="none" w:sz="0" w:space="0" w:color="auto"/>
        <w:right w:val="none" w:sz="0" w:space="0" w:color="auto"/>
      </w:divBdr>
    </w:div>
    <w:div w:id="258948268">
      <w:bodyDiv w:val="1"/>
      <w:marLeft w:val="0"/>
      <w:marRight w:val="0"/>
      <w:marTop w:val="0"/>
      <w:marBottom w:val="0"/>
      <w:divBdr>
        <w:top w:val="none" w:sz="0" w:space="0" w:color="auto"/>
        <w:left w:val="none" w:sz="0" w:space="0" w:color="auto"/>
        <w:bottom w:val="none" w:sz="0" w:space="0" w:color="auto"/>
        <w:right w:val="none" w:sz="0" w:space="0" w:color="auto"/>
      </w:divBdr>
    </w:div>
    <w:div w:id="285550973">
      <w:bodyDiv w:val="1"/>
      <w:marLeft w:val="0"/>
      <w:marRight w:val="0"/>
      <w:marTop w:val="0"/>
      <w:marBottom w:val="0"/>
      <w:divBdr>
        <w:top w:val="none" w:sz="0" w:space="0" w:color="auto"/>
        <w:left w:val="none" w:sz="0" w:space="0" w:color="auto"/>
        <w:bottom w:val="none" w:sz="0" w:space="0" w:color="auto"/>
        <w:right w:val="none" w:sz="0" w:space="0" w:color="auto"/>
      </w:divBdr>
    </w:div>
    <w:div w:id="285698366">
      <w:bodyDiv w:val="1"/>
      <w:marLeft w:val="0"/>
      <w:marRight w:val="0"/>
      <w:marTop w:val="0"/>
      <w:marBottom w:val="0"/>
      <w:divBdr>
        <w:top w:val="none" w:sz="0" w:space="0" w:color="auto"/>
        <w:left w:val="none" w:sz="0" w:space="0" w:color="auto"/>
        <w:bottom w:val="none" w:sz="0" w:space="0" w:color="auto"/>
        <w:right w:val="none" w:sz="0" w:space="0" w:color="auto"/>
      </w:divBdr>
    </w:div>
    <w:div w:id="299001536">
      <w:bodyDiv w:val="1"/>
      <w:marLeft w:val="0"/>
      <w:marRight w:val="0"/>
      <w:marTop w:val="0"/>
      <w:marBottom w:val="0"/>
      <w:divBdr>
        <w:top w:val="none" w:sz="0" w:space="0" w:color="auto"/>
        <w:left w:val="none" w:sz="0" w:space="0" w:color="auto"/>
        <w:bottom w:val="none" w:sz="0" w:space="0" w:color="auto"/>
        <w:right w:val="none" w:sz="0" w:space="0" w:color="auto"/>
      </w:divBdr>
    </w:div>
    <w:div w:id="303658030">
      <w:bodyDiv w:val="1"/>
      <w:marLeft w:val="0"/>
      <w:marRight w:val="0"/>
      <w:marTop w:val="0"/>
      <w:marBottom w:val="0"/>
      <w:divBdr>
        <w:top w:val="none" w:sz="0" w:space="0" w:color="auto"/>
        <w:left w:val="none" w:sz="0" w:space="0" w:color="auto"/>
        <w:bottom w:val="none" w:sz="0" w:space="0" w:color="auto"/>
        <w:right w:val="none" w:sz="0" w:space="0" w:color="auto"/>
      </w:divBdr>
    </w:div>
    <w:div w:id="306471097">
      <w:bodyDiv w:val="1"/>
      <w:marLeft w:val="0"/>
      <w:marRight w:val="0"/>
      <w:marTop w:val="0"/>
      <w:marBottom w:val="0"/>
      <w:divBdr>
        <w:top w:val="none" w:sz="0" w:space="0" w:color="auto"/>
        <w:left w:val="none" w:sz="0" w:space="0" w:color="auto"/>
        <w:bottom w:val="none" w:sz="0" w:space="0" w:color="auto"/>
        <w:right w:val="none" w:sz="0" w:space="0" w:color="auto"/>
      </w:divBdr>
    </w:div>
    <w:div w:id="372578564">
      <w:bodyDiv w:val="1"/>
      <w:marLeft w:val="0"/>
      <w:marRight w:val="0"/>
      <w:marTop w:val="0"/>
      <w:marBottom w:val="0"/>
      <w:divBdr>
        <w:top w:val="none" w:sz="0" w:space="0" w:color="auto"/>
        <w:left w:val="none" w:sz="0" w:space="0" w:color="auto"/>
        <w:bottom w:val="none" w:sz="0" w:space="0" w:color="auto"/>
        <w:right w:val="none" w:sz="0" w:space="0" w:color="auto"/>
      </w:divBdr>
    </w:div>
    <w:div w:id="398404877">
      <w:bodyDiv w:val="1"/>
      <w:marLeft w:val="0"/>
      <w:marRight w:val="0"/>
      <w:marTop w:val="0"/>
      <w:marBottom w:val="0"/>
      <w:divBdr>
        <w:top w:val="none" w:sz="0" w:space="0" w:color="auto"/>
        <w:left w:val="none" w:sz="0" w:space="0" w:color="auto"/>
        <w:bottom w:val="none" w:sz="0" w:space="0" w:color="auto"/>
        <w:right w:val="none" w:sz="0" w:space="0" w:color="auto"/>
      </w:divBdr>
    </w:div>
    <w:div w:id="405348036">
      <w:bodyDiv w:val="1"/>
      <w:marLeft w:val="0"/>
      <w:marRight w:val="0"/>
      <w:marTop w:val="0"/>
      <w:marBottom w:val="0"/>
      <w:divBdr>
        <w:top w:val="none" w:sz="0" w:space="0" w:color="auto"/>
        <w:left w:val="none" w:sz="0" w:space="0" w:color="auto"/>
        <w:bottom w:val="none" w:sz="0" w:space="0" w:color="auto"/>
        <w:right w:val="none" w:sz="0" w:space="0" w:color="auto"/>
      </w:divBdr>
    </w:div>
    <w:div w:id="410780690">
      <w:bodyDiv w:val="1"/>
      <w:marLeft w:val="0"/>
      <w:marRight w:val="0"/>
      <w:marTop w:val="0"/>
      <w:marBottom w:val="0"/>
      <w:divBdr>
        <w:top w:val="none" w:sz="0" w:space="0" w:color="auto"/>
        <w:left w:val="none" w:sz="0" w:space="0" w:color="auto"/>
        <w:bottom w:val="none" w:sz="0" w:space="0" w:color="auto"/>
        <w:right w:val="none" w:sz="0" w:space="0" w:color="auto"/>
      </w:divBdr>
    </w:div>
    <w:div w:id="411127602">
      <w:bodyDiv w:val="1"/>
      <w:marLeft w:val="0"/>
      <w:marRight w:val="0"/>
      <w:marTop w:val="0"/>
      <w:marBottom w:val="0"/>
      <w:divBdr>
        <w:top w:val="none" w:sz="0" w:space="0" w:color="auto"/>
        <w:left w:val="none" w:sz="0" w:space="0" w:color="auto"/>
        <w:bottom w:val="none" w:sz="0" w:space="0" w:color="auto"/>
        <w:right w:val="none" w:sz="0" w:space="0" w:color="auto"/>
      </w:divBdr>
    </w:div>
    <w:div w:id="411127927">
      <w:bodyDiv w:val="1"/>
      <w:marLeft w:val="0"/>
      <w:marRight w:val="0"/>
      <w:marTop w:val="0"/>
      <w:marBottom w:val="0"/>
      <w:divBdr>
        <w:top w:val="none" w:sz="0" w:space="0" w:color="auto"/>
        <w:left w:val="none" w:sz="0" w:space="0" w:color="auto"/>
        <w:bottom w:val="none" w:sz="0" w:space="0" w:color="auto"/>
        <w:right w:val="none" w:sz="0" w:space="0" w:color="auto"/>
      </w:divBdr>
    </w:div>
    <w:div w:id="415132255">
      <w:bodyDiv w:val="1"/>
      <w:marLeft w:val="0"/>
      <w:marRight w:val="0"/>
      <w:marTop w:val="0"/>
      <w:marBottom w:val="0"/>
      <w:divBdr>
        <w:top w:val="none" w:sz="0" w:space="0" w:color="auto"/>
        <w:left w:val="none" w:sz="0" w:space="0" w:color="auto"/>
        <w:bottom w:val="none" w:sz="0" w:space="0" w:color="auto"/>
        <w:right w:val="none" w:sz="0" w:space="0" w:color="auto"/>
      </w:divBdr>
    </w:div>
    <w:div w:id="427847669">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54449718">
      <w:bodyDiv w:val="1"/>
      <w:marLeft w:val="0"/>
      <w:marRight w:val="0"/>
      <w:marTop w:val="0"/>
      <w:marBottom w:val="0"/>
      <w:divBdr>
        <w:top w:val="none" w:sz="0" w:space="0" w:color="auto"/>
        <w:left w:val="none" w:sz="0" w:space="0" w:color="auto"/>
        <w:bottom w:val="none" w:sz="0" w:space="0" w:color="auto"/>
        <w:right w:val="none" w:sz="0" w:space="0" w:color="auto"/>
      </w:divBdr>
    </w:div>
    <w:div w:id="455103650">
      <w:bodyDiv w:val="1"/>
      <w:marLeft w:val="0"/>
      <w:marRight w:val="0"/>
      <w:marTop w:val="0"/>
      <w:marBottom w:val="0"/>
      <w:divBdr>
        <w:top w:val="none" w:sz="0" w:space="0" w:color="auto"/>
        <w:left w:val="none" w:sz="0" w:space="0" w:color="auto"/>
        <w:bottom w:val="none" w:sz="0" w:space="0" w:color="auto"/>
        <w:right w:val="none" w:sz="0" w:space="0" w:color="auto"/>
      </w:divBdr>
    </w:div>
    <w:div w:id="468596287">
      <w:bodyDiv w:val="1"/>
      <w:marLeft w:val="0"/>
      <w:marRight w:val="0"/>
      <w:marTop w:val="0"/>
      <w:marBottom w:val="0"/>
      <w:divBdr>
        <w:top w:val="none" w:sz="0" w:space="0" w:color="auto"/>
        <w:left w:val="none" w:sz="0" w:space="0" w:color="auto"/>
        <w:bottom w:val="none" w:sz="0" w:space="0" w:color="auto"/>
        <w:right w:val="none" w:sz="0" w:space="0" w:color="auto"/>
      </w:divBdr>
    </w:div>
    <w:div w:id="474031403">
      <w:bodyDiv w:val="1"/>
      <w:marLeft w:val="0"/>
      <w:marRight w:val="0"/>
      <w:marTop w:val="0"/>
      <w:marBottom w:val="0"/>
      <w:divBdr>
        <w:top w:val="none" w:sz="0" w:space="0" w:color="auto"/>
        <w:left w:val="none" w:sz="0" w:space="0" w:color="auto"/>
        <w:bottom w:val="none" w:sz="0" w:space="0" w:color="auto"/>
        <w:right w:val="none" w:sz="0" w:space="0" w:color="auto"/>
      </w:divBdr>
    </w:div>
    <w:div w:id="479467123">
      <w:bodyDiv w:val="1"/>
      <w:marLeft w:val="0"/>
      <w:marRight w:val="0"/>
      <w:marTop w:val="0"/>
      <w:marBottom w:val="0"/>
      <w:divBdr>
        <w:top w:val="none" w:sz="0" w:space="0" w:color="auto"/>
        <w:left w:val="none" w:sz="0" w:space="0" w:color="auto"/>
        <w:bottom w:val="none" w:sz="0" w:space="0" w:color="auto"/>
        <w:right w:val="none" w:sz="0" w:space="0" w:color="auto"/>
      </w:divBdr>
    </w:div>
    <w:div w:id="482896467">
      <w:bodyDiv w:val="1"/>
      <w:marLeft w:val="0"/>
      <w:marRight w:val="0"/>
      <w:marTop w:val="0"/>
      <w:marBottom w:val="0"/>
      <w:divBdr>
        <w:top w:val="none" w:sz="0" w:space="0" w:color="auto"/>
        <w:left w:val="none" w:sz="0" w:space="0" w:color="auto"/>
        <w:bottom w:val="none" w:sz="0" w:space="0" w:color="auto"/>
        <w:right w:val="none" w:sz="0" w:space="0" w:color="auto"/>
      </w:divBdr>
    </w:div>
    <w:div w:id="495540779">
      <w:bodyDiv w:val="1"/>
      <w:marLeft w:val="0"/>
      <w:marRight w:val="0"/>
      <w:marTop w:val="0"/>
      <w:marBottom w:val="0"/>
      <w:divBdr>
        <w:top w:val="none" w:sz="0" w:space="0" w:color="auto"/>
        <w:left w:val="none" w:sz="0" w:space="0" w:color="auto"/>
        <w:bottom w:val="none" w:sz="0" w:space="0" w:color="auto"/>
        <w:right w:val="none" w:sz="0" w:space="0" w:color="auto"/>
      </w:divBdr>
    </w:div>
    <w:div w:id="501971147">
      <w:bodyDiv w:val="1"/>
      <w:marLeft w:val="0"/>
      <w:marRight w:val="0"/>
      <w:marTop w:val="0"/>
      <w:marBottom w:val="0"/>
      <w:divBdr>
        <w:top w:val="none" w:sz="0" w:space="0" w:color="auto"/>
        <w:left w:val="none" w:sz="0" w:space="0" w:color="auto"/>
        <w:bottom w:val="none" w:sz="0" w:space="0" w:color="auto"/>
        <w:right w:val="none" w:sz="0" w:space="0" w:color="auto"/>
      </w:divBdr>
    </w:div>
    <w:div w:id="509220402">
      <w:bodyDiv w:val="1"/>
      <w:marLeft w:val="0"/>
      <w:marRight w:val="0"/>
      <w:marTop w:val="0"/>
      <w:marBottom w:val="0"/>
      <w:divBdr>
        <w:top w:val="none" w:sz="0" w:space="0" w:color="auto"/>
        <w:left w:val="none" w:sz="0" w:space="0" w:color="auto"/>
        <w:bottom w:val="none" w:sz="0" w:space="0" w:color="auto"/>
        <w:right w:val="none" w:sz="0" w:space="0" w:color="auto"/>
      </w:divBdr>
    </w:div>
    <w:div w:id="513307067">
      <w:bodyDiv w:val="1"/>
      <w:marLeft w:val="0"/>
      <w:marRight w:val="0"/>
      <w:marTop w:val="0"/>
      <w:marBottom w:val="0"/>
      <w:divBdr>
        <w:top w:val="none" w:sz="0" w:space="0" w:color="auto"/>
        <w:left w:val="none" w:sz="0" w:space="0" w:color="auto"/>
        <w:bottom w:val="none" w:sz="0" w:space="0" w:color="auto"/>
        <w:right w:val="none" w:sz="0" w:space="0" w:color="auto"/>
      </w:divBdr>
      <w:divsChild>
        <w:div w:id="589042880">
          <w:marLeft w:val="0"/>
          <w:marRight w:val="0"/>
          <w:marTop w:val="0"/>
          <w:marBottom w:val="0"/>
          <w:divBdr>
            <w:top w:val="none" w:sz="0" w:space="0" w:color="auto"/>
            <w:left w:val="none" w:sz="0" w:space="0" w:color="auto"/>
            <w:bottom w:val="none" w:sz="0" w:space="0" w:color="auto"/>
            <w:right w:val="none" w:sz="0" w:space="0" w:color="auto"/>
          </w:divBdr>
          <w:divsChild>
            <w:div w:id="1580555461">
              <w:marLeft w:val="0"/>
              <w:marRight w:val="0"/>
              <w:marTop w:val="0"/>
              <w:marBottom w:val="0"/>
              <w:divBdr>
                <w:top w:val="none" w:sz="0" w:space="0" w:color="auto"/>
                <w:left w:val="none" w:sz="0" w:space="0" w:color="auto"/>
                <w:bottom w:val="none" w:sz="0" w:space="0" w:color="auto"/>
                <w:right w:val="none" w:sz="0" w:space="0" w:color="auto"/>
              </w:divBdr>
              <w:divsChild>
                <w:div w:id="1977029869">
                  <w:marLeft w:val="0"/>
                  <w:marRight w:val="0"/>
                  <w:marTop w:val="0"/>
                  <w:marBottom w:val="0"/>
                  <w:divBdr>
                    <w:top w:val="none" w:sz="0" w:space="0" w:color="auto"/>
                    <w:left w:val="none" w:sz="0" w:space="0" w:color="auto"/>
                    <w:bottom w:val="none" w:sz="0" w:space="0" w:color="auto"/>
                    <w:right w:val="none" w:sz="0" w:space="0" w:color="auto"/>
                  </w:divBdr>
                  <w:divsChild>
                    <w:div w:id="454567745">
                      <w:marLeft w:val="0"/>
                      <w:marRight w:val="0"/>
                      <w:marTop w:val="0"/>
                      <w:marBottom w:val="0"/>
                      <w:divBdr>
                        <w:top w:val="none" w:sz="0" w:space="0" w:color="auto"/>
                        <w:left w:val="none" w:sz="0" w:space="0" w:color="auto"/>
                        <w:bottom w:val="none" w:sz="0" w:space="0" w:color="auto"/>
                        <w:right w:val="none" w:sz="0" w:space="0" w:color="auto"/>
                      </w:divBdr>
                      <w:divsChild>
                        <w:div w:id="35938048">
                          <w:marLeft w:val="0"/>
                          <w:marRight w:val="0"/>
                          <w:marTop w:val="15"/>
                          <w:marBottom w:val="0"/>
                          <w:divBdr>
                            <w:top w:val="none" w:sz="0" w:space="0" w:color="auto"/>
                            <w:left w:val="none" w:sz="0" w:space="0" w:color="auto"/>
                            <w:bottom w:val="none" w:sz="0" w:space="0" w:color="auto"/>
                            <w:right w:val="none" w:sz="0" w:space="0" w:color="auto"/>
                          </w:divBdr>
                          <w:divsChild>
                            <w:div w:id="1436949402">
                              <w:marLeft w:val="0"/>
                              <w:marRight w:val="0"/>
                              <w:marTop w:val="0"/>
                              <w:marBottom w:val="0"/>
                              <w:divBdr>
                                <w:top w:val="none" w:sz="0" w:space="0" w:color="auto"/>
                                <w:left w:val="none" w:sz="0" w:space="0" w:color="auto"/>
                                <w:bottom w:val="none" w:sz="0" w:space="0" w:color="auto"/>
                                <w:right w:val="none" w:sz="0" w:space="0" w:color="auto"/>
                              </w:divBdr>
                              <w:divsChild>
                                <w:div w:id="849102621">
                                  <w:marLeft w:val="0"/>
                                  <w:marRight w:val="0"/>
                                  <w:marTop w:val="0"/>
                                  <w:marBottom w:val="0"/>
                                  <w:divBdr>
                                    <w:top w:val="none" w:sz="0" w:space="0" w:color="auto"/>
                                    <w:left w:val="none" w:sz="0" w:space="0" w:color="auto"/>
                                    <w:bottom w:val="none" w:sz="0" w:space="0" w:color="auto"/>
                                    <w:right w:val="none" w:sz="0" w:space="0" w:color="auto"/>
                                  </w:divBdr>
                                </w:div>
                                <w:div w:id="886450309">
                                  <w:marLeft w:val="0"/>
                                  <w:marRight w:val="0"/>
                                  <w:marTop w:val="0"/>
                                  <w:marBottom w:val="0"/>
                                  <w:divBdr>
                                    <w:top w:val="none" w:sz="0" w:space="0" w:color="auto"/>
                                    <w:left w:val="none" w:sz="0" w:space="0" w:color="auto"/>
                                    <w:bottom w:val="none" w:sz="0" w:space="0" w:color="auto"/>
                                    <w:right w:val="none" w:sz="0" w:space="0" w:color="auto"/>
                                  </w:divBdr>
                                </w:div>
                                <w:div w:id="374817294">
                                  <w:marLeft w:val="0"/>
                                  <w:marRight w:val="0"/>
                                  <w:marTop w:val="0"/>
                                  <w:marBottom w:val="0"/>
                                  <w:divBdr>
                                    <w:top w:val="none" w:sz="0" w:space="0" w:color="auto"/>
                                    <w:left w:val="none" w:sz="0" w:space="0" w:color="auto"/>
                                    <w:bottom w:val="none" w:sz="0" w:space="0" w:color="auto"/>
                                    <w:right w:val="none" w:sz="0" w:space="0" w:color="auto"/>
                                  </w:divBdr>
                                </w:div>
                                <w:div w:id="94018087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445702">
      <w:bodyDiv w:val="1"/>
      <w:marLeft w:val="0"/>
      <w:marRight w:val="0"/>
      <w:marTop w:val="0"/>
      <w:marBottom w:val="0"/>
      <w:divBdr>
        <w:top w:val="none" w:sz="0" w:space="0" w:color="auto"/>
        <w:left w:val="none" w:sz="0" w:space="0" w:color="auto"/>
        <w:bottom w:val="none" w:sz="0" w:space="0" w:color="auto"/>
        <w:right w:val="none" w:sz="0" w:space="0" w:color="auto"/>
      </w:divBdr>
    </w:div>
    <w:div w:id="536965670">
      <w:bodyDiv w:val="1"/>
      <w:marLeft w:val="0"/>
      <w:marRight w:val="0"/>
      <w:marTop w:val="0"/>
      <w:marBottom w:val="0"/>
      <w:divBdr>
        <w:top w:val="none" w:sz="0" w:space="0" w:color="auto"/>
        <w:left w:val="none" w:sz="0" w:space="0" w:color="auto"/>
        <w:bottom w:val="none" w:sz="0" w:space="0" w:color="auto"/>
        <w:right w:val="none" w:sz="0" w:space="0" w:color="auto"/>
      </w:divBdr>
    </w:div>
    <w:div w:id="557203634">
      <w:bodyDiv w:val="1"/>
      <w:marLeft w:val="0"/>
      <w:marRight w:val="0"/>
      <w:marTop w:val="0"/>
      <w:marBottom w:val="0"/>
      <w:divBdr>
        <w:top w:val="none" w:sz="0" w:space="0" w:color="auto"/>
        <w:left w:val="none" w:sz="0" w:space="0" w:color="auto"/>
        <w:bottom w:val="none" w:sz="0" w:space="0" w:color="auto"/>
        <w:right w:val="none" w:sz="0" w:space="0" w:color="auto"/>
      </w:divBdr>
    </w:div>
    <w:div w:id="600720300">
      <w:bodyDiv w:val="1"/>
      <w:marLeft w:val="0"/>
      <w:marRight w:val="0"/>
      <w:marTop w:val="0"/>
      <w:marBottom w:val="0"/>
      <w:divBdr>
        <w:top w:val="none" w:sz="0" w:space="0" w:color="auto"/>
        <w:left w:val="none" w:sz="0" w:space="0" w:color="auto"/>
        <w:bottom w:val="none" w:sz="0" w:space="0" w:color="auto"/>
        <w:right w:val="none" w:sz="0" w:space="0" w:color="auto"/>
      </w:divBdr>
    </w:div>
    <w:div w:id="613748537">
      <w:bodyDiv w:val="1"/>
      <w:marLeft w:val="0"/>
      <w:marRight w:val="0"/>
      <w:marTop w:val="0"/>
      <w:marBottom w:val="0"/>
      <w:divBdr>
        <w:top w:val="none" w:sz="0" w:space="0" w:color="auto"/>
        <w:left w:val="none" w:sz="0" w:space="0" w:color="auto"/>
        <w:bottom w:val="none" w:sz="0" w:space="0" w:color="auto"/>
        <w:right w:val="none" w:sz="0" w:space="0" w:color="auto"/>
      </w:divBdr>
    </w:div>
    <w:div w:id="617108844">
      <w:bodyDiv w:val="1"/>
      <w:marLeft w:val="0"/>
      <w:marRight w:val="0"/>
      <w:marTop w:val="0"/>
      <w:marBottom w:val="0"/>
      <w:divBdr>
        <w:top w:val="none" w:sz="0" w:space="0" w:color="auto"/>
        <w:left w:val="none" w:sz="0" w:space="0" w:color="auto"/>
        <w:bottom w:val="none" w:sz="0" w:space="0" w:color="auto"/>
        <w:right w:val="none" w:sz="0" w:space="0" w:color="auto"/>
      </w:divBdr>
    </w:div>
    <w:div w:id="622421469">
      <w:bodyDiv w:val="1"/>
      <w:marLeft w:val="0"/>
      <w:marRight w:val="0"/>
      <w:marTop w:val="0"/>
      <w:marBottom w:val="0"/>
      <w:divBdr>
        <w:top w:val="none" w:sz="0" w:space="0" w:color="auto"/>
        <w:left w:val="none" w:sz="0" w:space="0" w:color="auto"/>
        <w:bottom w:val="none" w:sz="0" w:space="0" w:color="auto"/>
        <w:right w:val="none" w:sz="0" w:space="0" w:color="auto"/>
      </w:divBdr>
    </w:div>
    <w:div w:id="645470844">
      <w:bodyDiv w:val="1"/>
      <w:marLeft w:val="0"/>
      <w:marRight w:val="0"/>
      <w:marTop w:val="0"/>
      <w:marBottom w:val="0"/>
      <w:divBdr>
        <w:top w:val="none" w:sz="0" w:space="0" w:color="auto"/>
        <w:left w:val="none" w:sz="0" w:space="0" w:color="auto"/>
        <w:bottom w:val="none" w:sz="0" w:space="0" w:color="auto"/>
        <w:right w:val="none" w:sz="0" w:space="0" w:color="auto"/>
      </w:divBdr>
    </w:div>
    <w:div w:id="652682048">
      <w:bodyDiv w:val="1"/>
      <w:marLeft w:val="0"/>
      <w:marRight w:val="0"/>
      <w:marTop w:val="0"/>
      <w:marBottom w:val="0"/>
      <w:divBdr>
        <w:top w:val="none" w:sz="0" w:space="0" w:color="auto"/>
        <w:left w:val="none" w:sz="0" w:space="0" w:color="auto"/>
        <w:bottom w:val="none" w:sz="0" w:space="0" w:color="auto"/>
        <w:right w:val="none" w:sz="0" w:space="0" w:color="auto"/>
      </w:divBdr>
    </w:div>
    <w:div w:id="655498401">
      <w:bodyDiv w:val="1"/>
      <w:marLeft w:val="0"/>
      <w:marRight w:val="0"/>
      <w:marTop w:val="0"/>
      <w:marBottom w:val="0"/>
      <w:divBdr>
        <w:top w:val="none" w:sz="0" w:space="0" w:color="auto"/>
        <w:left w:val="none" w:sz="0" w:space="0" w:color="auto"/>
        <w:bottom w:val="none" w:sz="0" w:space="0" w:color="auto"/>
        <w:right w:val="none" w:sz="0" w:space="0" w:color="auto"/>
      </w:divBdr>
    </w:div>
    <w:div w:id="666979657">
      <w:bodyDiv w:val="1"/>
      <w:marLeft w:val="0"/>
      <w:marRight w:val="0"/>
      <w:marTop w:val="0"/>
      <w:marBottom w:val="0"/>
      <w:divBdr>
        <w:top w:val="none" w:sz="0" w:space="0" w:color="auto"/>
        <w:left w:val="none" w:sz="0" w:space="0" w:color="auto"/>
        <w:bottom w:val="none" w:sz="0" w:space="0" w:color="auto"/>
        <w:right w:val="none" w:sz="0" w:space="0" w:color="auto"/>
      </w:divBdr>
    </w:div>
    <w:div w:id="671764569">
      <w:bodyDiv w:val="1"/>
      <w:marLeft w:val="0"/>
      <w:marRight w:val="0"/>
      <w:marTop w:val="0"/>
      <w:marBottom w:val="0"/>
      <w:divBdr>
        <w:top w:val="none" w:sz="0" w:space="0" w:color="auto"/>
        <w:left w:val="none" w:sz="0" w:space="0" w:color="auto"/>
        <w:bottom w:val="none" w:sz="0" w:space="0" w:color="auto"/>
        <w:right w:val="none" w:sz="0" w:space="0" w:color="auto"/>
      </w:divBdr>
    </w:div>
    <w:div w:id="676659546">
      <w:bodyDiv w:val="1"/>
      <w:marLeft w:val="0"/>
      <w:marRight w:val="0"/>
      <w:marTop w:val="0"/>
      <w:marBottom w:val="0"/>
      <w:divBdr>
        <w:top w:val="none" w:sz="0" w:space="0" w:color="auto"/>
        <w:left w:val="none" w:sz="0" w:space="0" w:color="auto"/>
        <w:bottom w:val="none" w:sz="0" w:space="0" w:color="auto"/>
        <w:right w:val="none" w:sz="0" w:space="0" w:color="auto"/>
      </w:divBdr>
    </w:div>
    <w:div w:id="681005460">
      <w:bodyDiv w:val="1"/>
      <w:marLeft w:val="0"/>
      <w:marRight w:val="0"/>
      <w:marTop w:val="0"/>
      <w:marBottom w:val="0"/>
      <w:divBdr>
        <w:top w:val="none" w:sz="0" w:space="0" w:color="auto"/>
        <w:left w:val="none" w:sz="0" w:space="0" w:color="auto"/>
        <w:bottom w:val="none" w:sz="0" w:space="0" w:color="auto"/>
        <w:right w:val="none" w:sz="0" w:space="0" w:color="auto"/>
      </w:divBdr>
    </w:div>
    <w:div w:id="688063857">
      <w:bodyDiv w:val="1"/>
      <w:marLeft w:val="0"/>
      <w:marRight w:val="0"/>
      <w:marTop w:val="0"/>
      <w:marBottom w:val="0"/>
      <w:divBdr>
        <w:top w:val="none" w:sz="0" w:space="0" w:color="auto"/>
        <w:left w:val="none" w:sz="0" w:space="0" w:color="auto"/>
        <w:bottom w:val="none" w:sz="0" w:space="0" w:color="auto"/>
        <w:right w:val="none" w:sz="0" w:space="0" w:color="auto"/>
      </w:divBdr>
    </w:div>
    <w:div w:id="698551662">
      <w:bodyDiv w:val="1"/>
      <w:marLeft w:val="0"/>
      <w:marRight w:val="0"/>
      <w:marTop w:val="0"/>
      <w:marBottom w:val="0"/>
      <w:divBdr>
        <w:top w:val="none" w:sz="0" w:space="0" w:color="auto"/>
        <w:left w:val="none" w:sz="0" w:space="0" w:color="auto"/>
        <w:bottom w:val="none" w:sz="0" w:space="0" w:color="auto"/>
        <w:right w:val="none" w:sz="0" w:space="0" w:color="auto"/>
      </w:divBdr>
    </w:div>
    <w:div w:id="708455528">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713624615">
      <w:bodyDiv w:val="1"/>
      <w:marLeft w:val="0"/>
      <w:marRight w:val="0"/>
      <w:marTop w:val="0"/>
      <w:marBottom w:val="0"/>
      <w:divBdr>
        <w:top w:val="none" w:sz="0" w:space="0" w:color="auto"/>
        <w:left w:val="none" w:sz="0" w:space="0" w:color="auto"/>
        <w:bottom w:val="none" w:sz="0" w:space="0" w:color="auto"/>
        <w:right w:val="none" w:sz="0" w:space="0" w:color="auto"/>
      </w:divBdr>
    </w:div>
    <w:div w:id="714543378">
      <w:bodyDiv w:val="1"/>
      <w:marLeft w:val="0"/>
      <w:marRight w:val="0"/>
      <w:marTop w:val="0"/>
      <w:marBottom w:val="0"/>
      <w:divBdr>
        <w:top w:val="none" w:sz="0" w:space="0" w:color="auto"/>
        <w:left w:val="none" w:sz="0" w:space="0" w:color="auto"/>
        <w:bottom w:val="none" w:sz="0" w:space="0" w:color="auto"/>
        <w:right w:val="none" w:sz="0" w:space="0" w:color="auto"/>
      </w:divBdr>
    </w:div>
    <w:div w:id="716054080">
      <w:bodyDiv w:val="1"/>
      <w:marLeft w:val="0"/>
      <w:marRight w:val="0"/>
      <w:marTop w:val="0"/>
      <w:marBottom w:val="0"/>
      <w:divBdr>
        <w:top w:val="none" w:sz="0" w:space="0" w:color="auto"/>
        <w:left w:val="none" w:sz="0" w:space="0" w:color="auto"/>
        <w:bottom w:val="none" w:sz="0" w:space="0" w:color="auto"/>
        <w:right w:val="none" w:sz="0" w:space="0" w:color="auto"/>
      </w:divBdr>
    </w:div>
    <w:div w:id="721758489">
      <w:bodyDiv w:val="1"/>
      <w:marLeft w:val="0"/>
      <w:marRight w:val="0"/>
      <w:marTop w:val="0"/>
      <w:marBottom w:val="0"/>
      <w:divBdr>
        <w:top w:val="none" w:sz="0" w:space="0" w:color="auto"/>
        <w:left w:val="none" w:sz="0" w:space="0" w:color="auto"/>
        <w:bottom w:val="none" w:sz="0" w:space="0" w:color="auto"/>
        <w:right w:val="none" w:sz="0" w:space="0" w:color="auto"/>
      </w:divBdr>
    </w:div>
    <w:div w:id="721952032">
      <w:bodyDiv w:val="1"/>
      <w:marLeft w:val="0"/>
      <w:marRight w:val="0"/>
      <w:marTop w:val="0"/>
      <w:marBottom w:val="0"/>
      <w:divBdr>
        <w:top w:val="none" w:sz="0" w:space="0" w:color="auto"/>
        <w:left w:val="none" w:sz="0" w:space="0" w:color="auto"/>
        <w:bottom w:val="none" w:sz="0" w:space="0" w:color="auto"/>
        <w:right w:val="none" w:sz="0" w:space="0" w:color="auto"/>
      </w:divBdr>
    </w:div>
    <w:div w:id="735128793">
      <w:bodyDiv w:val="1"/>
      <w:marLeft w:val="0"/>
      <w:marRight w:val="0"/>
      <w:marTop w:val="0"/>
      <w:marBottom w:val="0"/>
      <w:divBdr>
        <w:top w:val="none" w:sz="0" w:space="0" w:color="auto"/>
        <w:left w:val="none" w:sz="0" w:space="0" w:color="auto"/>
        <w:bottom w:val="none" w:sz="0" w:space="0" w:color="auto"/>
        <w:right w:val="none" w:sz="0" w:space="0" w:color="auto"/>
      </w:divBdr>
    </w:div>
    <w:div w:id="756170468">
      <w:bodyDiv w:val="1"/>
      <w:marLeft w:val="0"/>
      <w:marRight w:val="0"/>
      <w:marTop w:val="0"/>
      <w:marBottom w:val="0"/>
      <w:divBdr>
        <w:top w:val="none" w:sz="0" w:space="0" w:color="auto"/>
        <w:left w:val="none" w:sz="0" w:space="0" w:color="auto"/>
        <w:bottom w:val="none" w:sz="0" w:space="0" w:color="auto"/>
        <w:right w:val="none" w:sz="0" w:space="0" w:color="auto"/>
      </w:divBdr>
    </w:div>
    <w:div w:id="757143265">
      <w:bodyDiv w:val="1"/>
      <w:marLeft w:val="0"/>
      <w:marRight w:val="0"/>
      <w:marTop w:val="0"/>
      <w:marBottom w:val="0"/>
      <w:divBdr>
        <w:top w:val="none" w:sz="0" w:space="0" w:color="auto"/>
        <w:left w:val="none" w:sz="0" w:space="0" w:color="auto"/>
        <w:bottom w:val="none" w:sz="0" w:space="0" w:color="auto"/>
        <w:right w:val="none" w:sz="0" w:space="0" w:color="auto"/>
      </w:divBdr>
    </w:div>
    <w:div w:id="759259495">
      <w:bodyDiv w:val="1"/>
      <w:marLeft w:val="0"/>
      <w:marRight w:val="0"/>
      <w:marTop w:val="0"/>
      <w:marBottom w:val="0"/>
      <w:divBdr>
        <w:top w:val="none" w:sz="0" w:space="0" w:color="auto"/>
        <w:left w:val="none" w:sz="0" w:space="0" w:color="auto"/>
        <w:bottom w:val="none" w:sz="0" w:space="0" w:color="auto"/>
        <w:right w:val="none" w:sz="0" w:space="0" w:color="auto"/>
      </w:divBdr>
    </w:div>
    <w:div w:id="766773442">
      <w:bodyDiv w:val="1"/>
      <w:marLeft w:val="0"/>
      <w:marRight w:val="0"/>
      <w:marTop w:val="0"/>
      <w:marBottom w:val="0"/>
      <w:divBdr>
        <w:top w:val="none" w:sz="0" w:space="0" w:color="auto"/>
        <w:left w:val="none" w:sz="0" w:space="0" w:color="auto"/>
        <w:bottom w:val="none" w:sz="0" w:space="0" w:color="auto"/>
        <w:right w:val="none" w:sz="0" w:space="0" w:color="auto"/>
      </w:divBdr>
    </w:div>
    <w:div w:id="781608217">
      <w:bodyDiv w:val="1"/>
      <w:marLeft w:val="0"/>
      <w:marRight w:val="0"/>
      <w:marTop w:val="0"/>
      <w:marBottom w:val="0"/>
      <w:divBdr>
        <w:top w:val="none" w:sz="0" w:space="0" w:color="auto"/>
        <w:left w:val="none" w:sz="0" w:space="0" w:color="auto"/>
        <w:bottom w:val="none" w:sz="0" w:space="0" w:color="auto"/>
        <w:right w:val="none" w:sz="0" w:space="0" w:color="auto"/>
      </w:divBdr>
    </w:div>
    <w:div w:id="786777573">
      <w:bodyDiv w:val="1"/>
      <w:marLeft w:val="0"/>
      <w:marRight w:val="0"/>
      <w:marTop w:val="0"/>
      <w:marBottom w:val="0"/>
      <w:divBdr>
        <w:top w:val="none" w:sz="0" w:space="0" w:color="auto"/>
        <w:left w:val="none" w:sz="0" w:space="0" w:color="auto"/>
        <w:bottom w:val="none" w:sz="0" w:space="0" w:color="auto"/>
        <w:right w:val="none" w:sz="0" w:space="0" w:color="auto"/>
      </w:divBdr>
    </w:div>
    <w:div w:id="789206432">
      <w:bodyDiv w:val="1"/>
      <w:marLeft w:val="0"/>
      <w:marRight w:val="0"/>
      <w:marTop w:val="0"/>
      <w:marBottom w:val="0"/>
      <w:divBdr>
        <w:top w:val="none" w:sz="0" w:space="0" w:color="auto"/>
        <w:left w:val="none" w:sz="0" w:space="0" w:color="auto"/>
        <w:bottom w:val="none" w:sz="0" w:space="0" w:color="auto"/>
        <w:right w:val="none" w:sz="0" w:space="0" w:color="auto"/>
      </w:divBdr>
    </w:div>
    <w:div w:id="792286002">
      <w:bodyDiv w:val="1"/>
      <w:marLeft w:val="0"/>
      <w:marRight w:val="0"/>
      <w:marTop w:val="0"/>
      <w:marBottom w:val="0"/>
      <w:divBdr>
        <w:top w:val="none" w:sz="0" w:space="0" w:color="auto"/>
        <w:left w:val="none" w:sz="0" w:space="0" w:color="auto"/>
        <w:bottom w:val="none" w:sz="0" w:space="0" w:color="auto"/>
        <w:right w:val="none" w:sz="0" w:space="0" w:color="auto"/>
      </w:divBdr>
    </w:div>
    <w:div w:id="795367496">
      <w:bodyDiv w:val="1"/>
      <w:marLeft w:val="0"/>
      <w:marRight w:val="0"/>
      <w:marTop w:val="0"/>
      <w:marBottom w:val="0"/>
      <w:divBdr>
        <w:top w:val="none" w:sz="0" w:space="0" w:color="auto"/>
        <w:left w:val="none" w:sz="0" w:space="0" w:color="auto"/>
        <w:bottom w:val="none" w:sz="0" w:space="0" w:color="auto"/>
        <w:right w:val="none" w:sz="0" w:space="0" w:color="auto"/>
      </w:divBdr>
    </w:div>
    <w:div w:id="815604968">
      <w:bodyDiv w:val="1"/>
      <w:marLeft w:val="0"/>
      <w:marRight w:val="0"/>
      <w:marTop w:val="0"/>
      <w:marBottom w:val="0"/>
      <w:divBdr>
        <w:top w:val="none" w:sz="0" w:space="0" w:color="auto"/>
        <w:left w:val="none" w:sz="0" w:space="0" w:color="auto"/>
        <w:bottom w:val="none" w:sz="0" w:space="0" w:color="auto"/>
        <w:right w:val="none" w:sz="0" w:space="0" w:color="auto"/>
      </w:divBdr>
    </w:div>
    <w:div w:id="817841042">
      <w:bodyDiv w:val="1"/>
      <w:marLeft w:val="0"/>
      <w:marRight w:val="0"/>
      <w:marTop w:val="0"/>
      <w:marBottom w:val="0"/>
      <w:divBdr>
        <w:top w:val="none" w:sz="0" w:space="0" w:color="auto"/>
        <w:left w:val="none" w:sz="0" w:space="0" w:color="auto"/>
        <w:bottom w:val="none" w:sz="0" w:space="0" w:color="auto"/>
        <w:right w:val="none" w:sz="0" w:space="0" w:color="auto"/>
      </w:divBdr>
    </w:div>
    <w:div w:id="820928617">
      <w:bodyDiv w:val="1"/>
      <w:marLeft w:val="0"/>
      <w:marRight w:val="0"/>
      <w:marTop w:val="0"/>
      <w:marBottom w:val="0"/>
      <w:divBdr>
        <w:top w:val="none" w:sz="0" w:space="0" w:color="auto"/>
        <w:left w:val="none" w:sz="0" w:space="0" w:color="auto"/>
        <w:bottom w:val="none" w:sz="0" w:space="0" w:color="auto"/>
        <w:right w:val="none" w:sz="0" w:space="0" w:color="auto"/>
      </w:divBdr>
    </w:div>
    <w:div w:id="821967059">
      <w:bodyDiv w:val="1"/>
      <w:marLeft w:val="0"/>
      <w:marRight w:val="0"/>
      <w:marTop w:val="0"/>
      <w:marBottom w:val="0"/>
      <w:divBdr>
        <w:top w:val="none" w:sz="0" w:space="0" w:color="auto"/>
        <w:left w:val="none" w:sz="0" w:space="0" w:color="auto"/>
        <w:bottom w:val="none" w:sz="0" w:space="0" w:color="auto"/>
        <w:right w:val="none" w:sz="0" w:space="0" w:color="auto"/>
      </w:divBdr>
    </w:div>
    <w:div w:id="825365244">
      <w:bodyDiv w:val="1"/>
      <w:marLeft w:val="0"/>
      <w:marRight w:val="0"/>
      <w:marTop w:val="0"/>
      <w:marBottom w:val="0"/>
      <w:divBdr>
        <w:top w:val="none" w:sz="0" w:space="0" w:color="auto"/>
        <w:left w:val="none" w:sz="0" w:space="0" w:color="auto"/>
        <w:bottom w:val="none" w:sz="0" w:space="0" w:color="auto"/>
        <w:right w:val="none" w:sz="0" w:space="0" w:color="auto"/>
      </w:divBdr>
    </w:div>
    <w:div w:id="839005201">
      <w:bodyDiv w:val="1"/>
      <w:marLeft w:val="0"/>
      <w:marRight w:val="0"/>
      <w:marTop w:val="0"/>
      <w:marBottom w:val="0"/>
      <w:divBdr>
        <w:top w:val="none" w:sz="0" w:space="0" w:color="auto"/>
        <w:left w:val="none" w:sz="0" w:space="0" w:color="auto"/>
        <w:bottom w:val="none" w:sz="0" w:space="0" w:color="auto"/>
        <w:right w:val="none" w:sz="0" w:space="0" w:color="auto"/>
      </w:divBdr>
    </w:div>
    <w:div w:id="843014512">
      <w:bodyDiv w:val="1"/>
      <w:marLeft w:val="0"/>
      <w:marRight w:val="0"/>
      <w:marTop w:val="0"/>
      <w:marBottom w:val="0"/>
      <w:divBdr>
        <w:top w:val="none" w:sz="0" w:space="0" w:color="auto"/>
        <w:left w:val="none" w:sz="0" w:space="0" w:color="auto"/>
        <w:bottom w:val="none" w:sz="0" w:space="0" w:color="auto"/>
        <w:right w:val="none" w:sz="0" w:space="0" w:color="auto"/>
      </w:divBdr>
    </w:div>
    <w:div w:id="867375467">
      <w:bodyDiv w:val="1"/>
      <w:marLeft w:val="0"/>
      <w:marRight w:val="0"/>
      <w:marTop w:val="0"/>
      <w:marBottom w:val="0"/>
      <w:divBdr>
        <w:top w:val="none" w:sz="0" w:space="0" w:color="auto"/>
        <w:left w:val="none" w:sz="0" w:space="0" w:color="auto"/>
        <w:bottom w:val="none" w:sz="0" w:space="0" w:color="auto"/>
        <w:right w:val="none" w:sz="0" w:space="0" w:color="auto"/>
      </w:divBdr>
    </w:div>
    <w:div w:id="876820149">
      <w:bodyDiv w:val="1"/>
      <w:marLeft w:val="0"/>
      <w:marRight w:val="0"/>
      <w:marTop w:val="0"/>
      <w:marBottom w:val="0"/>
      <w:divBdr>
        <w:top w:val="none" w:sz="0" w:space="0" w:color="auto"/>
        <w:left w:val="none" w:sz="0" w:space="0" w:color="auto"/>
        <w:bottom w:val="none" w:sz="0" w:space="0" w:color="auto"/>
        <w:right w:val="none" w:sz="0" w:space="0" w:color="auto"/>
      </w:divBdr>
    </w:div>
    <w:div w:id="885337656">
      <w:bodyDiv w:val="1"/>
      <w:marLeft w:val="0"/>
      <w:marRight w:val="0"/>
      <w:marTop w:val="0"/>
      <w:marBottom w:val="0"/>
      <w:divBdr>
        <w:top w:val="none" w:sz="0" w:space="0" w:color="auto"/>
        <w:left w:val="none" w:sz="0" w:space="0" w:color="auto"/>
        <w:bottom w:val="none" w:sz="0" w:space="0" w:color="auto"/>
        <w:right w:val="none" w:sz="0" w:space="0" w:color="auto"/>
      </w:divBdr>
    </w:div>
    <w:div w:id="889880502">
      <w:bodyDiv w:val="1"/>
      <w:marLeft w:val="0"/>
      <w:marRight w:val="0"/>
      <w:marTop w:val="0"/>
      <w:marBottom w:val="0"/>
      <w:divBdr>
        <w:top w:val="none" w:sz="0" w:space="0" w:color="auto"/>
        <w:left w:val="none" w:sz="0" w:space="0" w:color="auto"/>
        <w:bottom w:val="none" w:sz="0" w:space="0" w:color="auto"/>
        <w:right w:val="none" w:sz="0" w:space="0" w:color="auto"/>
      </w:divBdr>
    </w:div>
    <w:div w:id="912079864">
      <w:bodyDiv w:val="1"/>
      <w:marLeft w:val="0"/>
      <w:marRight w:val="0"/>
      <w:marTop w:val="0"/>
      <w:marBottom w:val="0"/>
      <w:divBdr>
        <w:top w:val="none" w:sz="0" w:space="0" w:color="auto"/>
        <w:left w:val="none" w:sz="0" w:space="0" w:color="auto"/>
        <w:bottom w:val="none" w:sz="0" w:space="0" w:color="auto"/>
        <w:right w:val="none" w:sz="0" w:space="0" w:color="auto"/>
      </w:divBdr>
    </w:div>
    <w:div w:id="913321552">
      <w:bodyDiv w:val="1"/>
      <w:marLeft w:val="0"/>
      <w:marRight w:val="0"/>
      <w:marTop w:val="0"/>
      <w:marBottom w:val="0"/>
      <w:divBdr>
        <w:top w:val="none" w:sz="0" w:space="0" w:color="auto"/>
        <w:left w:val="none" w:sz="0" w:space="0" w:color="auto"/>
        <w:bottom w:val="none" w:sz="0" w:space="0" w:color="auto"/>
        <w:right w:val="none" w:sz="0" w:space="0" w:color="auto"/>
      </w:divBdr>
    </w:div>
    <w:div w:id="919405234">
      <w:bodyDiv w:val="1"/>
      <w:marLeft w:val="0"/>
      <w:marRight w:val="0"/>
      <w:marTop w:val="0"/>
      <w:marBottom w:val="0"/>
      <w:divBdr>
        <w:top w:val="none" w:sz="0" w:space="0" w:color="auto"/>
        <w:left w:val="none" w:sz="0" w:space="0" w:color="auto"/>
        <w:bottom w:val="none" w:sz="0" w:space="0" w:color="auto"/>
        <w:right w:val="none" w:sz="0" w:space="0" w:color="auto"/>
      </w:divBdr>
    </w:div>
    <w:div w:id="932592846">
      <w:bodyDiv w:val="1"/>
      <w:marLeft w:val="0"/>
      <w:marRight w:val="0"/>
      <w:marTop w:val="0"/>
      <w:marBottom w:val="0"/>
      <w:divBdr>
        <w:top w:val="none" w:sz="0" w:space="0" w:color="auto"/>
        <w:left w:val="none" w:sz="0" w:space="0" w:color="auto"/>
        <w:bottom w:val="none" w:sz="0" w:space="0" w:color="auto"/>
        <w:right w:val="none" w:sz="0" w:space="0" w:color="auto"/>
      </w:divBdr>
    </w:div>
    <w:div w:id="954363889">
      <w:bodyDiv w:val="1"/>
      <w:marLeft w:val="0"/>
      <w:marRight w:val="0"/>
      <w:marTop w:val="0"/>
      <w:marBottom w:val="0"/>
      <w:divBdr>
        <w:top w:val="none" w:sz="0" w:space="0" w:color="auto"/>
        <w:left w:val="none" w:sz="0" w:space="0" w:color="auto"/>
        <w:bottom w:val="none" w:sz="0" w:space="0" w:color="auto"/>
        <w:right w:val="none" w:sz="0" w:space="0" w:color="auto"/>
      </w:divBdr>
    </w:div>
    <w:div w:id="975988359">
      <w:bodyDiv w:val="1"/>
      <w:marLeft w:val="0"/>
      <w:marRight w:val="0"/>
      <w:marTop w:val="0"/>
      <w:marBottom w:val="0"/>
      <w:divBdr>
        <w:top w:val="none" w:sz="0" w:space="0" w:color="auto"/>
        <w:left w:val="none" w:sz="0" w:space="0" w:color="auto"/>
        <w:bottom w:val="none" w:sz="0" w:space="0" w:color="auto"/>
        <w:right w:val="none" w:sz="0" w:space="0" w:color="auto"/>
      </w:divBdr>
    </w:div>
    <w:div w:id="981540697">
      <w:bodyDiv w:val="1"/>
      <w:marLeft w:val="0"/>
      <w:marRight w:val="0"/>
      <w:marTop w:val="0"/>
      <w:marBottom w:val="0"/>
      <w:divBdr>
        <w:top w:val="none" w:sz="0" w:space="0" w:color="auto"/>
        <w:left w:val="none" w:sz="0" w:space="0" w:color="auto"/>
        <w:bottom w:val="none" w:sz="0" w:space="0" w:color="auto"/>
        <w:right w:val="none" w:sz="0" w:space="0" w:color="auto"/>
      </w:divBdr>
    </w:div>
    <w:div w:id="983897479">
      <w:bodyDiv w:val="1"/>
      <w:marLeft w:val="0"/>
      <w:marRight w:val="0"/>
      <w:marTop w:val="0"/>
      <w:marBottom w:val="0"/>
      <w:divBdr>
        <w:top w:val="none" w:sz="0" w:space="0" w:color="auto"/>
        <w:left w:val="none" w:sz="0" w:space="0" w:color="auto"/>
        <w:bottom w:val="none" w:sz="0" w:space="0" w:color="auto"/>
        <w:right w:val="none" w:sz="0" w:space="0" w:color="auto"/>
      </w:divBdr>
    </w:div>
    <w:div w:id="1002708568">
      <w:bodyDiv w:val="1"/>
      <w:marLeft w:val="0"/>
      <w:marRight w:val="0"/>
      <w:marTop w:val="0"/>
      <w:marBottom w:val="0"/>
      <w:divBdr>
        <w:top w:val="none" w:sz="0" w:space="0" w:color="auto"/>
        <w:left w:val="none" w:sz="0" w:space="0" w:color="auto"/>
        <w:bottom w:val="none" w:sz="0" w:space="0" w:color="auto"/>
        <w:right w:val="none" w:sz="0" w:space="0" w:color="auto"/>
      </w:divBdr>
    </w:div>
    <w:div w:id="1013192111">
      <w:bodyDiv w:val="1"/>
      <w:marLeft w:val="0"/>
      <w:marRight w:val="0"/>
      <w:marTop w:val="0"/>
      <w:marBottom w:val="0"/>
      <w:divBdr>
        <w:top w:val="none" w:sz="0" w:space="0" w:color="auto"/>
        <w:left w:val="none" w:sz="0" w:space="0" w:color="auto"/>
        <w:bottom w:val="none" w:sz="0" w:space="0" w:color="auto"/>
        <w:right w:val="none" w:sz="0" w:space="0" w:color="auto"/>
      </w:divBdr>
    </w:div>
    <w:div w:id="1024483815">
      <w:bodyDiv w:val="1"/>
      <w:marLeft w:val="0"/>
      <w:marRight w:val="0"/>
      <w:marTop w:val="0"/>
      <w:marBottom w:val="0"/>
      <w:divBdr>
        <w:top w:val="none" w:sz="0" w:space="0" w:color="auto"/>
        <w:left w:val="none" w:sz="0" w:space="0" w:color="auto"/>
        <w:bottom w:val="none" w:sz="0" w:space="0" w:color="auto"/>
        <w:right w:val="none" w:sz="0" w:space="0" w:color="auto"/>
      </w:divBdr>
    </w:div>
    <w:div w:id="1036733328">
      <w:bodyDiv w:val="1"/>
      <w:marLeft w:val="0"/>
      <w:marRight w:val="0"/>
      <w:marTop w:val="0"/>
      <w:marBottom w:val="0"/>
      <w:divBdr>
        <w:top w:val="none" w:sz="0" w:space="0" w:color="auto"/>
        <w:left w:val="none" w:sz="0" w:space="0" w:color="auto"/>
        <w:bottom w:val="none" w:sz="0" w:space="0" w:color="auto"/>
        <w:right w:val="none" w:sz="0" w:space="0" w:color="auto"/>
      </w:divBdr>
    </w:div>
    <w:div w:id="1087849305">
      <w:bodyDiv w:val="1"/>
      <w:marLeft w:val="0"/>
      <w:marRight w:val="0"/>
      <w:marTop w:val="0"/>
      <w:marBottom w:val="0"/>
      <w:divBdr>
        <w:top w:val="none" w:sz="0" w:space="0" w:color="auto"/>
        <w:left w:val="none" w:sz="0" w:space="0" w:color="auto"/>
        <w:bottom w:val="none" w:sz="0" w:space="0" w:color="auto"/>
        <w:right w:val="none" w:sz="0" w:space="0" w:color="auto"/>
      </w:divBdr>
    </w:div>
    <w:div w:id="1092166083">
      <w:bodyDiv w:val="1"/>
      <w:marLeft w:val="0"/>
      <w:marRight w:val="0"/>
      <w:marTop w:val="0"/>
      <w:marBottom w:val="0"/>
      <w:divBdr>
        <w:top w:val="none" w:sz="0" w:space="0" w:color="auto"/>
        <w:left w:val="none" w:sz="0" w:space="0" w:color="auto"/>
        <w:bottom w:val="none" w:sz="0" w:space="0" w:color="auto"/>
        <w:right w:val="none" w:sz="0" w:space="0" w:color="auto"/>
      </w:divBdr>
    </w:div>
    <w:div w:id="1095513905">
      <w:bodyDiv w:val="1"/>
      <w:marLeft w:val="0"/>
      <w:marRight w:val="0"/>
      <w:marTop w:val="0"/>
      <w:marBottom w:val="0"/>
      <w:divBdr>
        <w:top w:val="none" w:sz="0" w:space="0" w:color="auto"/>
        <w:left w:val="none" w:sz="0" w:space="0" w:color="auto"/>
        <w:bottom w:val="none" w:sz="0" w:space="0" w:color="auto"/>
        <w:right w:val="none" w:sz="0" w:space="0" w:color="auto"/>
      </w:divBdr>
    </w:div>
    <w:div w:id="1104379853">
      <w:bodyDiv w:val="1"/>
      <w:marLeft w:val="0"/>
      <w:marRight w:val="0"/>
      <w:marTop w:val="0"/>
      <w:marBottom w:val="0"/>
      <w:divBdr>
        <w:top w:val="none" w:sz="0" w:space="0" w:color="auto"/>
        <w:left w:val="none" w:sz="0" w:space="0" w:color="auto"/>
        <w:bottom w:val="none" w:sz="0" w:space="0" w:color="auto"/>
        <w:right w:val="none" w:sz="0" w:space="0" w:color="auto"/>
      </w:divBdr>
    </w:div>
    <w:div w:id="1110709222">
      <w:bodyDiv w:val="1"/>
      <w:marLeft w:val="0"/>
      <w:marRight w:val="0"/>
      <w:marTop w:val="0"/>
      <w:marBottom w:val="0"/>
      <w:divBdr>
        <w:top w:val="none" w:sz="0" w:space="0" w:color="auto"/>
        <w:left w:val="none" w:sz="0" w:space="0" w:color="auto"/>
        <w:bottom w:val="none" w:sz="0" w:space="0" w:color="auto"/>
        <w:right w:val="none" w:sz="0" w:space="0" w:color="auto"/>
      </w:divBdr>
    </w:div>
    <w:div w:id="1114448909">
      <w:bodyDiv w:val="1"/>
      <w:marLeft w:val="0"/>
      <w:marRight w:val="0"/>
      <w:marTop w:val="0"/>
      <w:marBottom w:val="0"/>
      <w:divBdr>
        <w:top w:val="none" w:sz="0" w:space="0" w:color="auto"/>
        <w:left w:val="none" w:sz="0" w:space="0" w:color="auto"/>
        <w:bottom w:val="none" w:sz="0" w:space="0" w:color="auto"/>
        <w:right w:val="none" w:sz="0" w:space="0" w:color="auto"/>
      </w:divBdr>
    </w:div>
    <w:div w:id="1123695170">
      <w:bodyDiv w:val="1"/>
      <w:marLeft w:val="0"/>
      <w:marRight w:val="0"/>
      <w:marTop w:val="0"/>
      <w:marBottom w:val="0"/>
      <w:divBdr>
        <w:top w:val="none" w:sz="0" w:space="0" w:color="auto"/>
        <w:left w:val="none" w:sz="0" w:space="0" w:color="auto"/>
        <w:bottom w:val="none" w:sz="0" w:space="0" w:color="auto"/>
        <w:right w:val="none" w:sz="0" w:space="0" w:color="auto"/>
      </w:divBdr>
    </w:div>
    <w:div w:id="1123885528">
      <w:bodyDiv w:val="1"/>
      <w:marLeft w:val="0"/>
      <w:marRight w:val="0"/>
      <w:marTop w:val="0"/>
      <w:marBottom w:val="0"/>
      <w:divBdr>
        <w:top w:val="none" w:sz="0" w:space="0" w:color="auto"/>
        <w:left w:val="none" w:sz="0" w:space="0" w:color="auto"/>
        <w:bottom w:val="none" w:sz="0" w:space="0" w:color="auto"/>
        <w:right w:val="none" w:sz="0" w:space="0" w:color="auto"/>
      </w:divBdr>
    </w:div>
    <w:div w:id="1136263236">
      <w:bodyDiv w:val="1"/>
      <w:marLeft w:val="0"/>
      <w:marRight w:val="0"/>
      <w:marTop w:val="0"/>
      <w:marBottom w:val="0"/>
      <w:divBdr>
        <w:top w:val="none" w:sz="0" w:space="0" w:color="auto"/>
        <w:left w:val="none" w:sz="0" w:space="0" w:color="auto"/>
        <w:bottom w:val="none" w:sz="0" w:space="0" w:color="auto"/>
        <w:right w:val="none" w:sz="0" w:space="0" w:color="auto"/>
      </w:divBdr>
    </w:div>
    <w:div w:id="1138184973">
      <w:bodyDiv w:val="1"/>
      <w:marLeft w:val="0"/>
      <w:marRight w:val="0"/>
      <w:marTop w:val="0"/>
      <w:marBottom w:val="0"/>
      <w:divBdr>
        <w:top w:val="none" w:sz="0" w:space="0" w:color="auto"/>
        <w:left w:val="none" w:sz="0" w:space="0" w:color="auto"/>
        <w:bottom w:val="none" w:sz="0" w:space="0" w:color="auto"/>
        <w:right w:val="none" w:sz="0" w:space="0" w:color="auto"/>
      </w:divBdr>
    </w:div>
    <w:div w:id="1140808022">
      <w:bodyDiv w:val="1"/>
      <w:marLeft w:val="0"/>
      <w:marRight w:val="0"/>
      <w:marTop w:val="0"/>
      <w:marBottom w:val="0"/>
      <w:divBdr>
        <w:top w:val="none" w:sz="0" w:space="0" w:color="auto"/>
        <w:left w:val="none" w:sz="0" w:space="0" w:color="auto"/>
        <w:bottom w:val="none" w:sz="0" w:space="0" w:color="auto"/>
        <w:right w:val="none" w:sz="0" w:space="0" w:color="auto"/>
      </w:divBdr>
    </w:div>
    <w:div w:id="1142313605">
      <w:bodyDiv w:val="1"/>
      <w:marLeft w:val="0"/>
      <w:marRight w:val="0"/>
      <w:marTop w:val="0"/>
      <w:marBottom w:val="0"/>
      <w:divBdr>
        <w:top w:val="none" w:sz="0" w:space="0" w:color="auto"/>
        <w:left w:val="none" w:sz="0" w:space="0" w:color="auto"/>
        <w:bottom w:val="none" w:sz="0" w:space="0" w:color="auto"/>
        <w:right w:val="none" w:sz="0" w:space="0" w:color="auto"/>
      </w:divBdr>
    </w:div>
    <w:div w:id="1147867786">
      <w:bodyDiv w:val="1"/>
      <w:marLeft w:val="0"/>
      <w:marRight w:val="0"/>
      <w:marTop w:val="0"/>
      <w:marBottom w:val="0"/>
      <w:divBdr>
        <w:top w:val="none" w:sz="0" w:space="0" w:color="auto"/>
        <w:left w:val="none" w:sz="0" w:space="0" w:color="auto"/>
        <w:bottom w:val="none" w:sz="0" w:space="0" w:color="auto"/>
        <w:right w:val="none" w:sz="0" w:space="0" w:color="auto"/>
      </w:divBdr>
    </w:div>
    <w:div w:id="1157304936">
      <w:bodyDiv w:val="1"/>
      <w:marLeft w:val="0"/>
      <w:marRight w:val="0"/>
      <w:marTop w:val="0"/>
      <w:marBottom w:val="0"/>
      <w:divBdr>
        <w:top w:val="none" w:sz="0" w:space="0" w:color="auto"/>
        <w:left w:val="none" w:sz="0" w:space="0" w:color="auto"/>
        <w:bottom w:val="none" w:sz="0" w:space="0" w:color="auto"/>
        <w:right w:val="none" w:sz="0" w:space="0" w:color="auto"/>
      </w:divBdr>
    </w:div>
    <w:div w:id="1176312179">
      <w:bodyDiv w:val="1"/>
      <w:marLeft w:val="0"/>
      <w:marRight w:val="0"/>
      <w:marTop w:val="0"/>
      <w:marBottom w:val="0"/>
      <w:divBdr>
        <w:top w:val="none" w:sz="0" w:space="0" w:color="auto"/>
        <w:left w:val="none" w:sz="0" w:space="0" w:color="auto"/>
        <w:bottom w:val="none" w:sz="0" w:space="0" w:color="auto"/>
        <w:right w:val="none" w:sz="0" w:space="0" w:color="auto"/>
      </w:divBdr>
    </w:div>
    <w:div w:id="1205289878">
      <w:bodyDiv w:val="1"/>
      <w:marLeft w:val="0"/>
      <w:marRight w:val="0"/>
      <w:marTop w:val="0"/>
      <w:marBottom w:val="0"/>
      <w:divBdr>
        <w:top w:val="none" w:sz="0" w:space="0" w:color="auto"/>
        <w:left w:val="none" w:sz="0" w:space="0" w:color="auto"/>
        <w:bottom w:val="none" w:sz="0" w:space="0" w:color="auto"/>
        <w:right w:val="none" w:sz="0" w:space="0" w:color="auto"/>
      </w:divBdr>
    </w:div>
    <w:div w:id="1211266758">
      <w:bodyDiv w:val="1"/>
      <w:marLeft w:val="0"/>
      <w:marRight w:val="0"/>
      <w:marTop w:val="0"/>
      <w:marBottom w:val="0"/>
      <w:divBdr>
        <w:top w:val="none" w:sz="0" w:space="0" w:color="auto"/>
        <w:left w:val="none" w:sz="0" w:space="0" w:color="auto"/>
        <w:bottom w:val="none" w:sz="0" w:space="0" w:color="auto"/>
        <w:right w:val="none" w:sz="0" w:space="0" w:color="auto"/>
      </w:divBdr>
    </w:div>
    <w:div w:id="1217815471">
      <w:bodyDiv w:val="1"/>
      <w:marLeft w:val="0"/>
      <w:marRight w:val="0"/>
      <w:marTop w:val="0"/>
      <w:marBottom w:val="0"/>
      <w:divBdr>
        <w:top w:val="none" w:sz="0" w:space="0" w:color="auto"/>
        <w:left w:val="none" w:sz="0" w:space="0" w:color="auto"/>
        <w:bottom w:val="none" w:sz="0" w:space="0" w:color="auto"/>
        <w:right w:val="none" w:sz="0" w:space="0" w:color="auto"/>
      </w:divBdr>
    </w:div>
    <w:div w:id="1224677979">
      <w:bodyDiv w:val="1"/>
      <w:marLeft w:val="0"/>
      <w:marRight w:val="0"/>
      <w:marTop w:val="0"/>
      <w:marBottom w:val="0"/>
      <w:divBdr>
        <w:top w:val="none" w:sz="0" w:space="0" w:color="auto"/>
        <w:left w:val="none" w:sz="0" w:space="0" w:color="auto"/>
        <w:bottom w:val="none" w:sz="0" w:space="0" w:color="auto"/>
        <w:right w:val="none" w:sz="0" w:space="0" w:color="auto"/>
      </w:divBdr>
    </w:div>
    <w:div w:id="1239706331">
      <w:bodyDiv w:val="1"/>
      <w:marLeft w:val="0"/>
      <w:marRight w:val="0"/>
      <w:marTop w:val="0"/>
      <w:marBottom w:val="0"/>
      <w:divBdr>
        <w:top w:val="none" w:sz="0" w:space="0" w:color="auto"/>
        <w:left w:val="none" w:sz="0" w:space="0" w:color="auto"/>
        <w:bottom w:val="none" w:sz="0" w:space="0" w:color="auto"/>
        <w:right w:val="none" w:sz="0" w:space="0" w:color="auto"/>
      </w:divBdr>
    </w:div>
    <w:div w:id="1249269072">
      <w:bodyDiv w:val="1"/>
      <w:marLeft w:val="0"/>
      <w:marRight w:val="0"/>
      <w:marTop w:val="0"/>
      <w:marBottom w:val="0"/>
      <w:divBdr>
        <w:top w:val="none" w:sz="0" w:space="0" w:color="auto"/>
        <w:left w:val="none" w:sz="0" w:space="0" w:color="auto"/>
        <w:bottom w:val="none" w:sz="0" w:space="0" w:color="auto"/>
        <w:right w:val="none" w:sz="0" w:space="0" w:color="auto"/>
      </w:divBdr>
    </w:div>
    <w:div w:id="1264915859">
      <w:bodyDiv w:val="1"/>
      <w:marLeft w:val="0"/>
      <w:marRight w:val="0"/>
      <w:marTop w:val="0"/>
      <w:marBottom w:val="0"/>
      <w:divBdr>
        <w:top w:val="none" w:sz="0" w:space="0" w:color="auto"/>
        <w:left w:val="none" w:sz="0" w:space="0" w:color="auto"/>
        <w:bottom w:val="none" w:sz="0" w:space="0" w:color="auto"/>
        <w:right w:val="none" w:sz="0" w:space="0" w:color="auto"/>
      </w:divBdr>
    </w:div>
    <w:div w:id="1282224531">
      <w:bodyDiv w:val="1"/>
      <w:marLeft w:val="0"/>
      <w:marRight w:val="0"/>
      <w:marTop w:val="0"/>
      <w:marBottom w:val="0"/>
      <w:divBdr>
        <w:top w:val="none" w:sz="0" w:space="0" w:color="auto"/>
        <w:left w:val="none" w:sz="0" w:space="0" w:color="auto"/>
        <w:bottom w:val="none" w:sz="0" w:space="0" w:color="auto"/>
        <w:right w:val="none" w:sz="0" w:space="0" w:color="auto"/>
      </w:divBdr>
    </w:div>
    <w:div w:id="1284849918">
      <w:bodyDiv w:val="1"/>
      <w:marLeft w:val="0"/>
      <w:marRight w:val="0"/>
      <w:marTop w:val="0"/>
      <w:marBottom w:val="0"/>
      <w:divBdr>
        <w:top w:val="none" w:sz="0" w:space="0" w:color="auto"/>
        <w:left w:val="none" w:sz="0" w:space="0" w:color="auto"/>
        <w:bottom w:val="none" w:sz="0" w:space="0" w:color="auto"/>
        <w:right w:val="none" w:sz="0" w:space="0" w:color="auto"/>
      </w:divBdr>
    </w:div>
    <w:div w:id="1286306436">
      <w:bodyDiv w:val="1"/>
      <w:marLeft w:val="0"/>
      <w:marRight w:val="0"/>
      <w:marTop w:val="0"/>
      <w:marBottom w:val="0"/>
      <w:divBdr>
        <w:top w:val="none" w:sz="0" w:space="0" w:color="auto"/>
        <w:left w:val="none" w:sz="0" w:space="0" w:color="auto"/>
        <w:bottom w:val="none" w:sz="0" w:space="0" w:color="auto"/>
        <w:right w:val="none" w:sz="0" w:space="0" w:color="auto"/>
      </w:divBdr>
    </w:div>
    <w:div w:id="1297876002">
      <w:bodyDiv w:val="1"/>
      <w:marLeft w:val="0"/>
      <w:marRight w:val="0"/>
      <w:marTop w:val="0"/>
      <w:marBottom w:val="0"/>
      <w:divBdr>
        <w:top w:val="none" w:sz="0" w:space="0" w:color="auto"/>
        <w:left w:val="none" w:sz="0" w:space="0" w:color="auto"/>
        <w:bottom w:val="none" w:sz="0" w:space="0" w:color="auto"/>
        <w:right w:val="none" w:sz="0" w:space="0" w:color="auto"/>
      </w:divBdr>
    </w:div>
    <w:div w:id="1313828005">
      <w:bodyDiv w:val="1"/>
      <w:marLeft w:val="0"/>
      <w:marRight w:val="0"/>
      <w:marTop w:val="0"/>
      <w:marBottom w:val="0"/>
      <w:divBdr>
        <w:top w:val="none" w:sz="0" w:space="0" w:color="auto"/>
        <w:left w:val="none" w:sz="0" w:space="0" w:color="auto"/>
        <w:bottom w:val="none" w:sz="0" w:space="0" w:color="auto"/>
        <w:right w:val="none" w:sz="0" w:space="0" w:color="auto"/>
      </w:divBdr>
    </w:div>
    <w:div w:id="1371029025">
      <w:bodyDiv w:val="1"/>
      <w:marLeft w:val="0"/>
      <w:marRight w:val="0"/>
      <w:marTop w:val="0"/>
      <w:marBottom w:val="0"/>
      <w:divBdr>
        <w:top w:val="none" w:sz="0" w:space="0" w:color="auto"/>
        <w:left w:val="none" w:sz="0" w:space="0" w:color="auto"/>
        <w:bottom w:val="none" w:sz="0" w:space="0" w:color="auto"/>
        <w:right w:val="none" w:sz="0" w:space="0" w:color="auto"/>
      </w:divBdr>
    </w:div>
    <w:div w:id="1380786546">
      <w:bodyDiv w:val="1"/>
      <w:marLeft w:val="0"/>
      <w:marRight w:val="0"/>
      <w:marTop w:val="0"/>
      <w:marBottom w:val="0"/>
      <w:divBdr>
        <w:top w:val="none" w:sz="0" w:space="0" w:color="auto"/>
        <w:left w:val="none" w:sz="0" w:space="0" w:color="auto"/>
        <w:bottom w:val="none" w:sz="0" w:space="0" w:color="auto"/>
        <w:right w:val="none" w:sz="0" w:space="0" w:color="auto"/>
      </w:divBdr>
      <w:divsChild>
        <w:div w:id="502739220">
          <w:marLeft w:val="0"/>
          <w:marRight w:val="0"/>
          <w:marTop w:val="0"/>
          <w:marBottom w:val="0"/>
          <w:divBdr>
            <w:top w:val="none" w:sz="0" w:space="0" w:color="auto"/>
            <w:left w:val="none" w:sz="0" w:space="0" w:color="auto"/>
            <w:bottom w:val="none" w:sz="0" w:space="0" w:color="auto"/>
            <w:right w:val="none" w:sz="0" w:space="0" w:color="auto"/>
          </w:divBdr>
          <w:divsChild>
            <w:div w:id="1917276947">
              <w:marLeft w:val="0"/>
              <w:marRight w:val="0"/>
              <w:marTop w:val="0"/>
              <w:marBottom w:val="0"/>
              <w:divBdr>
                <w:top w:val="none" w:sz="0" w:space="0" w:color="auto"/>
                <w:left w:val="none" w:sz="0" w:space="0" w:color="auto"/>
                <w:bottom w:val="none" w:sz="0" w:space="0" w:color="auto"/>
                <w:right w:val="none" w:sz="0" w:space="0" w:color="auto"/>
              </w:divBdr>
              <w:divsChild>
                <w:div w:id="478545376">
                  <w:marLeft w:val="0"/>
                  <w:marRight w:val="0"/>
                  <w:marTop w:val="0"/>
                  <w:marBottom w:val="0"/>
                  <w:divBdr>
                    <w:top w:val="none" w:sz="0" w:space="0" w:color="auto"/>
                    <w:left w:val="none" w:sz="0" w:space="0" w:color="auto"/>
                    <w:bottom w:val="none" w:sz="0" w:space="0" w:color="auto"/>
                    <w:right w:val="none" w:sz="0" w:space="0" w:color="auto"/>
                  </w:divBdr>
                  <w:divsChild>
                    <w:div w:id="127167726">
                      <w:marLeft w:val="0"/>
                      <w:marRight w:val="0"/>
                      <w:marTop w:val="0"/>
                      <w:marBottom w:val="0"/>
                      <w:divBdr>
                        <w:top w:val="none" w:sz="0" w:space="0" w:color="auto"/>
                        <w:left w:val="none" w:sz="0" w:space="0" w:color="auto"/>
                        <w:bottom w:val="none" w:sz="0" w:space="0" w:color="auto"/>
                        <w:right w:val="none" w:sz="0" w:space="0" w:color="auto"/>
                      </w:divBdr>
                      <w:divsChild>
                        <w:div w:id="609357305">
                          <w:marLeft w:val="0"/>
                          <w:marRight w:val="0"/>
                          <w:marTop w:val="15"/>
                          <w:marBottom w:val="0"/>
                          <w:divBdr>
                            <w:top w:val="none" w:sz="0" w:space="0" w:color="auto"/>
                            <w:left w:val="none" w:sz="0" w:space="0" w:color="auto"/>
                            <w:bottom w:val="none" w:sz="0" w:space="0" w:color="auto"/>
                            <w:right w:val="none" w:sz="0" w:space="0" w:color="auto"/>
                          </w:divBdr>
                          <w:divsChild>
                            <w:div w:id="104738243">
                              <w:marLeft w:val="0"/>
                              <w:marRight w:val="0"/>
                              <w:marTop w:val="0"/>
                              <w:marBottom w:val="0"/>
                              <w:divBdr>
                                <w:top w:val="none" w:sz="0" w:space="0" w:color="auto"/>
                                <w:left w:val="none" w:sz="0" w:space="0" w:color="auto"/>
                                <w:bottom w:val="none" w:sz="0" w:space="0" w:color="auto"/>
                                <w:right w:val="none" w:sz="0" w:space="0" w:color="auto"/>
                              </w:divBdr>
                              <w:divsChild>
                                <w:div w:id="714238651">
                                  <w:marLeft w:val="0"/>
                                  <w:marRight w:val="0"/>
                                  <w:marTop w:val="0"/>
                                  <w:marBottom w:val="0"/>
                                  <w:divBdr>
                                    <w:top w:val="none" w:sz="0" w:space="0" w:color="auto"/>
                                    <w:left w:val="none" w:sz="0" w:space="0" w:color="auto"/>
                                    <w:bottom w:val="none" w:sz="0" w:space="0" w:color="auto"/>
                                    <w:right w:val="none" w:sz="0" w:space="0" w:color="auto"/>
                                  </w:divBdr>
                                </w:div>
                                <w:div w:id="819730589">
                                  <w:marLeft w:val="0"/>
                                  <w:marRight w:val="0"/>
                                  <w:marTop w:val="0"/>
                                  <w:marBottom w:val="0"/>
                                  <w:divBdr>
                                    <w:top w:val="none" w:sz="0" w:space="0" w:color="auto"/>
                                    <w:left w:val="none" w:sz="0" w:space="0" w:color="auto"/>
                                    <w:bottom w:val="none" w:sz="0" w:space="0" w:color="auto"/>
                                    <w:right w:val="none" w:sz="0" w:space="0" w:color="auto"/>
                                  </w:divBdr>
                                </w:div>
                                <w:div w:id="1369063835">
                                  <w:marLeft w:val="0"/>
                                  <w:marRight w:val="0"/>
                                  <w:marTop w:val="0"/>
                                  <w:marBottom w:val="0"/>
                                  <w:divBdr>
                                    <w:top w:val="none" w:sz="0" w:space="0" w:color="auto"/>
                                    <w:left w:val="none" w:sz="0" w:space="0" w:color="auto"/>
                                    <w:bottom w:val="none" w:sz="0" w:space="0" w:color="auto"/>
                                    <w:right w:val="none" w:sz="0" w:space="0" w:color="auto"/>
                                  </w:divBdr>
                                </w:div>
                                <w:div w:id="33433117">
                                  <w:marLeft w:val="0"/>
                                  <w:marRight w:val="0"/>
                                  <w:marTop w:val="0"/>
                                  <w:marBottom w:val="0"/>
                                  <w:divBdr>
                                    <w:top w:val="none" w:sz="0" w:space="0" w:color="auto"/>
                                    <w:left w:val="none" w:sz="0" w:space="0" w:color="auto"/>
                                    <w:bottom w:val="none" w:sz="0" w:space="0" w:color="auto"/>
                                    <w:right w:val="none" w:sz="0" w:space="0" w:color="auto"/>
                                  </w:divBdr>
                                </w:div>
                                <w:div w:id="12382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01065">
      <w:bodyDiv w:val="1"/>
      <w:marLeft w:val="0"/>
      <w:marRight w:val="0"/>
      <w:marTop w:val="0"/>
      <w:marBottom w:val="0"/>
      <w:divBdr>
        <w:top w:val="none" w:sz="0" w:space="0" w:color="auto"/>
        <w:left w:val="none" w:sz="0" w:space="0" w:color="auto"/>
        <w:bottom w:val="none" w:sz="0" w:space="0" w:color="auto"/>
        <w:right w:val="none" w:sz="0" w:space="0" w:color="auto"/>
      </w:divBdr>
    </w:div>
    <w:div w:id="1391151842">
      <w:bodyDiv w:val="1"/>
      <w:marLeft w:val="0"/>
      <w:marRight w:val="0"/>
      <w:marTop w:val="0"/>
      <w:marBottom w:val="0"/>
      <w:divBdr>
        <w:top w:val="none" w:sz="0" w:space="0" w:color="auto"/>
        <w:left w:val="none" w:sz="0" w:space="0" w:color="auto"/>
        <w:bottom w:val="none" w:sz="0" w:space="0" w:color="auto"/>
        <w:right w:val="none" w:sz="0" w:space="0" w:color="auto"/>
      </w:divBdr>
    </w:div>
    <w:div w:id="1421487775">
      <w:bodyDiv w:val="1"/>
      <w:marLeft w:val="0"/>
      <w:marRight w:val="0"/>
      <w:marTop w:val="0"/>
      <w:marBottom w:val="0"/>
      <w:divBdr>
        <w:top w:val="none" w:sz="0" w:space="0" w:color="auto"/>
        <w:left w:val="none" w:sz="0" w:space="0" w:color="auto"/>
        <w:bottom w:val="none" w:sz="0" w:space="0" w:color="auto"/>
        <w:right w:val="none" w:sz="0" w:space="0" w:color="auto"/>
      </w:divBdr>
    </w:div>
    <w:div w:id="1439179947">
      <w:bodyDiv w:val="1"/>
      <w:marLeft w:val="0"/>
      <w:marRight w:val="0"/>
      <w:marTop w:val="0"/>
      <w:marBottom w:val="0"/>
      <w:divBdr>
        <w:top w:val="none" w:sz="0" w:space="0" w:color="auto"/>
        <w:left w:val="none" w:sz="0" w:space="0" w:color="auto"/>
        <w:bottom w:val="none" w:sz="0" w:space="0" w:color="auto"/>
        <w:right w:val="none" w:sz="0" w:space="0" w:color="auto"/>
      </w:divBdr>
    </w:div>
    <w:div w:id="1487474887">
      <w:bodyDiv w:val="1"/>
      <w:marLeft w:val="0"/>
      <w:marRight w:val="0"/>
      <w:marTop w:val="0"/>
      <w:marBottom w:val="0"/>
      <w:divBdr>
        <w:top w:val="none" w:sz="0" w:space="0" w:color="auto"/>
        <w:left w:val="none" w:sz="0" w:space="0" w:color="auto"/>
        <w:bottom w:val="none" w:sz="0" w:space="0" w:color="auto"/>
        <w:right w:val="none" w:sz="0" w:space="0" w:color="auto"/>
      </w:divBdr>
    </w:div>
    <w:div w:id="1487740180">
      <w:bodyDiv w:val="1"/>
      <w:marLeft w:val="0"/>
      <w:marRight w:val="0"/>
      <w:marTop w:val="0"/>
      <w:marBottom w:val="0"/>
      <w:divBdr>
        <w:top w:val="none" w:sz="0" w:space="0" w:color="auto"/>
        <w:left w:val="none" w:sz="0" w:space="0" w:color="auto"/>
        <w:bottom w:val="none" w:sz="0" w:space="0" w:color="auto"/>
        <w:right w:val="none" w:sz="0" w:space="0" w:color="auto"/>
      </w:divBdr>
    </w:div>
    <w:div w:id="1503231013">
      <w:bodyDiv w:val="1"/>
      <w:marLeft w:val="0"/>
      <w:marRight w:val="0"/>
      <w:marTop w:val="0"/>
      <w:marBottom w:val="0"/>
      <w:divBdr>
        <w:top w:val="none" w:sz="0" w:space="0" w:color="auto"/>
        <w:left w:val="none" w:sz="0" w:space="0" w:color="auto"/>
        <w:bottom w:val="none" w:sz="0" w:space="0" w:color="auto"/>
        <w:right w:val="none" w:sz="0" w:space="0" w:color="auto"/>
      </w:divBdr>
    </w:div>
    <w:div w:id="1505050429">
      <w:bodyDiv w:val="1"/>
      <w:marLeft w:val="0"/>
      <w:marRight w:val="0"/>
      <w:marTop w:val="0"/>
      <w:marBottom w:val="0"/>
      <w:divBdr>
        <w:top w:val="none" w:sz="0" w:space="0" w:color="auto"/>
        <w:left w:val="none" w:sz="0" w:space="0" w:color="auto"/>
        <w:bottom w:val="none" w:sz="0" w:space="0" w:color="auto"/>
        <w:right w:val="none" w:sz="0" w:space="0" w:color="auto"/>
      </w:divBdr>
    </w:div>
    <w:div w:id="1506702702">
      <w:bodyDiv w:val="1"/>
      <w:marLeft w:val="0"/>
      <w:marRight w:val="0"/>
      <w:marTop w:val="0"/>
      <w:marBottom w:val="0"/>
      <w:divBdr>
        <w:top w:val="none" w:sz="0" w:space="0" w:color="auto"/>
        <w:left w:val="none" w:sz="0" w:space="0" w:color="auto"/>
        <w:bottom w:val="none" w:sz="0" w:space="0" w:color="auto"/>
        <w:right w:val="none" w:sz="0" w:space="0" w:color="auto"/>
      </w:divBdr>
    </w:div>
    <w:div w:id="1511795105">
      <w:bodyDiv w:val="1"/>
      <w:marLeft w:val="0"/>
      <w:marRight w:val="0"/>
      <w:marTop w:val="0"/>
      <w:marBottom w:val="0"/>
      <w:divBdr>
        <w:top w:val="none" w:sz="0" w:space="0" w:color="auto"/>
        <w:left w:val="none" w:sz="0" w:space="0" w:color="auto"/>
        <w:bottom w:val="none" w:sz="0" w:space="0" w:color="auto"/>
        <w:right w:val="none" w:sz="0" w:space="0" w:color="auto"/>
      </w:divBdr>
    </w:div>
    <w:div w:id="1519391564">
      <w:bodyDiv w:val="1"/>
      <w:marLeft w:val="0"/>
      <w:marRight w:val="0"/>
      <w:marTop w:val="0"/>
      <w:marBottom w:val="0"/>
      <w:divBdr>
        <w:top w:val="none" w:sz="0" w:space="0" w:color="auto"/>
        <w:left w:val="none" w:sz="0" w:space="0" w:color="auto"/>
        <w:bottom w:val="none" w:sz="0" w:space="0" w:color="auto"/>
        <w:right w:val="none" w:sz="0" w:space="0" w:color="auto"/>
      </w:divBdr>
    </w:div>
    <w:div w:id="1525513098">
      <w:bodyDiv w:val="1"/>
      <w:marLeft w:val="0"/>
      <w:marRight w:val="0"/>
      <w:marTop w:val="0"/>
      <w:marBottom w:val="0"/>
      <w:divBdr>
        <w:top w:val="none" w:sz="0" w:space="0" w:color="auto"/>
        <w:left w:val="none" w:sz="0" w:space="0" w:color="auto"/>
        <w:bottom w:val="none" w:sz="0" w:space="0" w:color="auto"/>
        <w:right w:val="none" w:sz="0" w:space="0" w:color="auto"/>
      </w:divBdr>
    </w:div>
    <w:div w:id="1526793554">
      <w:bodyDiv w:val="1"/>
      <w:marLeft w:val="0"/>
      <w:marRight w:val="0"/>
      <w:marTop w:val="0"/>
      <w:marBottom w:val="0"/>
      <w:divBdr>
        <w:top w:val="none" w:sz="0" w:space="0" w:color="auto"/>
        <w:left w:val="none" w:sz="0" w:space="0" w:color="auto"/>
        <w:bottom w:val="none" w:sz="0" w:space="0" w:color="auto"/>
        <w:right w:val="none" w:sz="0" w:space="0" w:color="auto"/>
      </w:divBdr>
      <w:divsChild>
        <w:div w:id="206453126">
          <w:marLeft w:val="0"/>
          <w:marRight w:val="0"/>
          <w:marTop w:val="0"/>
          <w:marBottom w:val="0"/>
          <w:divBdr>
            <w:top w:val="none" w:sz="0" w:space="0" w:color="auto"/>
            <w:left w:val="none" w:sz="0" w:space="0" w:color="auto"/>
            <w:bottom w:val="none" w:sz="0" w:space="0" w:color="auto"/>
            <w:right w:val="none" w:sz="0" w:space="0" w:color="auto"/>
          </w:divBdr>
          <w:divsChild>
            <w:div w:id="1274360706">
              <w:marLeft w:val="0"/>
              <w:marRight w:val="0"/>
              <w:marTop w:val="0"/>
              <w:marBottom w:val="0"/>
              <w:divBdr>
                <w:top w:val="none" w:sz="0" w:space="0" w:color="auto"/>
                <w:left w:val="none" w:sz="0" w:space="0" w:color="auto"/>
                <w:bottom w:val="none" w:sz="0" w:space="0" w:color="auto"/>
                <w:right w:val="none" w:sz="0" w:space="0" w:color="auto"/>
              </w:divBdr>
              <w:divsChild>
                <w:div w:id="1155536773">
                  <w:marLeft w:val="0"/>
                  <w:marRight w:val="0"/>
                  <w:marTop w:val="0"/>
                  <w:marBottom w:val="0"/>
                  <w:divBdr>
                    <w:top w:val="none" w:sz="0" w:space="0" w:color="auto"/>
                    <w:left w:val="none" w:sz="0" w:space="0" w:color="auto"/>
                    <w:bottom w:val="none" w:sz="0" w:space="0" w:color="auto"/>
                    <w:right w:val="none" w:sz="0" w:space="0" w:color="auto"/>
                  </w:divBdr>
                  <w:divsChild>
                    <w:div w:id="6637381">
                      <w:marLeft w:val="0"/>
                      <w:marRight w:val="0"/>
                      <w:marTop w:val="0"/>
                      <w:marBottom w:val="0"/>
                      <w:divBdr>
                        <w:top w:val="none" w:sz="0" w:space="0" w:color="auto"/>
                        <w:left w:val="none" w:sz="0" w:space="0" w:color="auto"/>
                        <w:bottom w:val="none" w:sz="0" w:space="0" w:color="auto"/>
                        <w:right w:val="none" w:sz="0" w:space="0" w:color="auto"/>
                      </w:divBdr>
                      <w:divsChild>
                        <w:div w:id="1839147895">
                          <w:marLeft w:val="0"/>
                          <w:marRight w:val="0"/>
                          <w:marTop w:val="15"/>
                          <w:marBottom w:val="0"/>
                          <w:divBdr>
                            <w:top w:val="none" w:sz="0" w:space="0" w:color="auto"/>
                            <w:left w:val="none" w:sz="0" w:space="0" w:color="auto"/>
                            <w:bottom w:val="none" w:sz="0" w:space="0" w:color="auto"/>
                            <w:right w:val="none" w:sz="0" w:space="0" w:color="auto"/>
                          </w:divBdr>
                          <w:divsChild>
                            <w:div w:id="1919099148">
                              <w:marLeft w:val="0"/>
                              <w:marRight w:val="0"/>
                              <w:marTop w:val="0"/>
                              <w:marBottom w:val="0"/>
                              <w:divBdr>
                                <w:top w:val="none" w:sz="0" w:space="0" w:color="auto"/>
                                <w:left w:val="none" w:sz="0" w:space="0" w:color="auto"/>
                                <w:bottom w:val="none" w:sz="0" w:space="0" w:color="auto"/>
                                <w:right w:val="none" w:sz="0" w:space="0" w:color="auto"/>
                              </w:divBdr>
                              <w:divsChild>
                                <w:div w:id="1014841942">
                                  <w:marLeft w:val="0"/>
                                  <w:marRight w:val="0"/>
                                  <w:marTop w:val="0"/>
                                  <w:marBottom w:val="0"/>
                                  <w:divBdr>
                                    <w:top w:val="none" w:sz="0" w:space="0" w:color="auto"/>
                                    <w:left w:val="none" w:sz="0" w:space="0" w:color="auto"/>
                                    <w:bottom w:val="none" w:sz="0" w:space="0" w:color="auto"/>
                                    <w:right w:val="none" w:sz="0" w:space="0" w:color="auto"/>
                                  </w:divBdr>
                                </w:div>
                                <w:div w:id="2138639568">
                                  <w:marLeft w:val="0"/>
                                  <w:marRight w:val="0"/>
                                  <w:marTop w:val="0"/>
                                  <w:marBottom w:val="0"/>
                                  <w:divBdr>
                                    <w:top w:val="none" w:sz="0" w:space="0" w:color="auto"/>
                                    <w:left w:val="none" w:sz="0" w:space="0" w:color="auto"/>
                                    <w:bottom w:val="none" w:sz="0" w:space="0" w:color="auto"/>
                                    <w:right w:val="none" w:sz="0" w:space="0" w:color="auto"/>
                                  </w:divBdr>
                                </w:div>
                                <w:div w:id="479463113">
                                  <w:marLeft w:val="0"/>
                                  <w:marRight w:val="0"/>
                                  <w:marTop w:val="0"/>
                                  <w:marBottom w:val="0"/>
                                  <w:divBdr>
                                    <w:top w:val="none" w:sz="0" w:space="0" w:color="auto"/>
                                    <w:left w:val="none" w:sz="0" w:space="0" w:color="auto"/>
                                    <w:bottom w:val="none" w:sz="0" w:space="0" w:color="auto"/>
                                    <w:right w:val="none" w:sz="0" w:space="0" w:color="auto"/>
                                  </w:divBdr>
                                </w:div>
                                <w:div w:id="1563983361">
                                  <w:marLeft w:val="0"/>
                                  <w:marRight w:val="0"/>
                                  <w:marTop w:val="0"/>
                                  <w:marBottom w:val="0"/>
                                  <w:divBdr>
                                    <w:top w:val="none" w:sz="0" w:space="0" w:color="auto"/>
                                    <w:left w:val="none" w:sz="0" w:space="0" w:color="auto"/>
                                    <w:bottom w:val="none" w:sz="0" w:space="0" w:color="auto"/>
                                    <w:right w:val="none" w:sz="0" w:space="0" w:color="auto"/>
                                  </w:divBdr>
                                </w:div>
                                <w:div w:id="134611505">
                                  <w:marLeft w:val="0"/>
                                  <w:marRight w:val="0"/>
                                  <w:marTop w:val="0"/>
                                  <w:marBottom w:val="0"/>
                                  <w:divBdr>
                                    <w:top w:val="none" w:sz="0" w:space="0" w:color="auto"/>
                                    <w:left w:val="none" w:sz="0" w:space="0" w:color="auto"/>
                                    <w:bottom w:val="none" w:sz="0" w:space="0" w:color="auto"/>
                                    <w:right w:val="none" w:sz="0" w:space="0" w:color="auto"/>
                                  </w:divBdr>
                                </w:div>
                                <w:div w:id="742722560">
                                  <w:marLeft w:val="0"/>
                                  <w:marRight w:val="0"/>
                                  <w:marTop w:val="0"/>
                                  <w:marBottom w:val="0"/>
                                  <w:divBdr>
                                    <w:top w:val="none" w:sz="0" w:space="0" w:color="auto"/>
                                    <w:left w:val="none" w:sz="0" w:space="0" w:color="auto"/>
                                    <w:bottom w:val="none" w:sz="0" w:space="0" w:color="auto"/>
                                    <w:right w:val="none" w:sz="0" w:space="0" w:color="auto"/>
                                  </w:divBdr>
                                </w:div>
                                <w:div w:id="1557620274">
                                  <w:marLeft w:val="0"/>
                                  <w:marRight w:val="0"/>
                                  <w:marTop w:val="0"/>
                                  <w:marBottom w:val="0"/>
                                  <w:divBdr>
                                    <w:top w:val="none" w:sz="0" w:space="0" w:color="auto"/>
                                    <w:left w:val="none" w:sz="0" w:space="0" w:color="auto"/>
                                    <w:bottom w:val="none" w:sz="0" w:space="0" w:color="auto"/>
                                    <w:right w:val="none" w:sz="0" w:space="0" w:color="auto"/>
                                  </w:divBdr>
                                </w:div>
                                <w:div w:id="1002199925">
                                  <w:marLeft w:val="0"/>
                                  <w:marRight w:val="0"/>
                                  <w:marTop w:val="0"/>
                                  <w:marBottom w:val="0"/>
                                  <w:divBdr>
                                    <w:top w:val="none" w:sz="0" w:space="0" w:color="auto"/>
                                    <w:left w:val="none" w:sz="0" w:space="0" w:color="auto"/>
                                    <w:bottom w:val="none" w:sz="0" w:space="0" w:color="auto"/>
                                    <w:right w:val="none" w:sz="0" w:space="0" w:color="auto"/>
                                  </w:divBdr>
                                </w:div>
                                <w:div w:id="1034692746">
                                  <w:marLeft w:val="0"/>
                                  <w:marRight w:val="0"/>
                                  <w:marTop w:val="0"/>
                                  <w:marBottom w:val="0"/>
                                  <w:divBdr>
                                    <w:top w:val="none" w:sz="0" w:space="0" w:color="auto"/>
                                    <w:left w:val="none" w:sz="0" w:space="0" w:color="auto"/>
                                    <w:bottom w:val="none" w:sz="0" w:space="0" w:color="auto"/>
                                    <w:right w:val="none" w:sz="0" w:space="0" w:color="auto"/>
                                  </w:divBdr>
                                </w:div>
                                <w:div w:id="1252812408">
                                  <w:marLeft w:val="0"/>
                                  <w:marRight w:val="0"/>
                                  <w:marTop w:val="0"/>
                                  <w:marBottom w:val="0"/>
                                  <w:divBdr>
                                    <w:top w:val="none" w:sz="0" w:space="0" w:color="auto"/>
                                    <w:left w:val="none" w:sz="0" w:space="0" w:color="auto"/>
                                    <w:bottom w:val="none" w:sz="0" w:space="0" w:color="auto"/>
                                    <w:right w:val="none" w:sz="0" w:space="0" w:color="auto"/>
                                  </w:divBdr>
                                </w:div>
                                <w:div w:id="1113744448">
                                  <w:marLeft w:val="0"/>
                                  <w:marRight w:val="0"/>
                                  <w:marTop w:val="0"/>
                                  <w:marBottom w:val="0"/>
                                  <w:divBdr>
                                    <w:top w:val="none" w:sz="0" w:space="0" w:color="auto"/>
                                    <w:left w:val="none" w:sz="0" w:space="0" w:color="auto"/>
                                    <w:bottom w:val="none" w:sz="0" w:space="0" w:color="auto"/>
                                    <w:right w:val="none" w:sz="0" w:space="0" w:color="auto"/>
                                  </w:divBdr>
                                </w:div>
                                <w:div w:id="3881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67951">
      <w:bodyDiv w:val="1"/>
      <w:marLeft w:val="0"/>
      <w:marRight w:val="0"/>
      <w:marTop w:val="0"/>
      <w:marBottom w:val="0"/>
      <w:divBdr>
        <w:top w:val="none" w:sz="0" w:space="0" w:color="auto"/>
        <w:left w:val="none" w:sz="0" w:space="0" w:color="auto"/>
        <w:bottom w:val="none" w:sz="0" w:space="0" w:color="auto"/>
        <w:right w:val="none" w:sz="0" w:space="0" w:color="auto"/>
      </w:divBdr>
    </w:div>
    <w:div w:id="1561402917">
      <w:bodyDiv w:val="1"/>
      <w:marLeft w:val="0"/>
      <w:marRight w:val="0"/>
      <w:marTop w:val="0"/>
      <w:marBottom w:val="0"/>
      <w:divBdr>
        <w:top w:val="none" w:sz="0" w:space="0" w:color="auto"/>
        <w:left w:val="none" w:sz="0" w:space="0" w:color="auto"/>
        <w:bottom w:val="none" w:sz="0" w:space="0" w:color="auto"/>
        <w:right w:val="none" w:sz="0" w:space="0" w:color="auto"/>
      </w:divBdr>
    </w:div>
    <w:div w:id="1563058041">
      <w:bodyDiv w:val="1"/>
      <w:marLeft w:val="0"/>
      <w:marRight w:val="0"/>
      <w:marTop w:val="0"/>
      <w:marBottom w:val="0"/>
      <w:divBdr>
        <w:top w:val="none" w:sz="0" w:space="0" w:color="auto"/>
        <w:left w:val="none" w:sz="0" w:space="0" w:color="auto"/>
        <w:bottom w:val="none" w:sz="0" w:space="0" w:color="auto"/>
        <w:right w:val="none" w:sz="0" w:space="0" w:color="auto"/>
      </w:divBdr>
    </w:div>
    <w:div w:id="1565794396">
      <w:bodyDiv w:val="1"/>
      <w:marLeft w:val="0"/>
      <w:marRight w:val="0"/>
      <w:marTop w:val="0"/>
      <w:marBottom w:val="0"/>
      <w:divBdr>
        <w:top w:val="none" w:sz="0" w:space="0" w:color="auto"/>
        <w:left w:val="none" w:sz="0" w:space="0" w:color="auto"/>
        <w:bottom w:val="none" w:sz="0" w:space="0" w:color="auto"/>
        <w:right w:val="none" w:sz="0" w:space="0" w:color="auto"/>
      </w:divBdr>
    </w:div>
    <w:div w:id="1572619035">
      <w:bodyDiv w:val="1"/>
      <w:marLeft w:val="0"/>
      <w:marRight w:val="0"/>
      <w:marTop w:val="0"/>
      <w:marBottom w:val="0"/>
      <w:divBdr>
        <w:top w:val="none" w:sz="0" w:space="0" w:color="auto"/>
        <w:left w:val="none" w:sz="0" w:space="0" w:color="auto"/>
        <w:bottom w:val="none" w:sz="0" w:space="0" w:color="auto"/>
        <w:right w:val="none" w:sz="0" w:space="0" w:color="auto"/>
      </w:divBdr>
    </w:div>
    <w:div w:id="1573853062">
      <w:bodyDiv w:val="1"/>
      <w:marLeft w:val="0"/>
      <w:marRight w:val="0"/>
      <w:marTop w:val="0"/>
      <w:marBottom w:val="0"/>
      <w:divBdr>
        <w:top w:val="none" w:sz="0" w:space="0" w:color="auto"/>
        <w:left w:val="none" w:sz="0" w:space="0" w:color="auto"/>
        <w:bottom w:val="none" w:sz="0" w:space="0" w:color="auto"/>
        <w:right w:val="none" w:sz="0" w:space="0" w:color="auto"/>
      </w:divBdr>
    </w:div>
    <w:div w:id="1574437635">
      <w:bodyDiv w:val="1"/>
      <w:marLeft w:val="0"/>
      <w:marRight w:val="0"/>
      <w:marTop w:val="0"/>
      <w:marBottom w:val="0"/>
      <w:divBdr>
        <w:top w:val="none" w:sz="0" w:space="0" w:color="auto"/>
        <w:left w:val="none" w:sz="0" w:space="0" w:color="auto"/>
        <w:bottom w:val="none" w:sz="0" w:space="0" w:color="auto"/>
        <w:right w:val="none" w:sz="0" w:space="0" w:color="auto"/>
      </w:divBdr>
    </w:div>
    <w:div w:id="1579559063">
      <w:bodyDiv w:val="1"/>
      <w:marLeft w:val="0"/>
      <w:marRight w:val="0"/>
      <w:marTop w:val="0"/>
      <w:marBottom w:val="0"/>
      <w:divBdr>
        <w:top w:val="none" w:sz="0" w:space="0" w:color="auto"/>
        <w:left w:val="none" w:sz="0" w:space="0" w:color="auto"/>
        <w:bottom w:val="none" w:sz="0" w:space="0" w:color="auto"/>
        <w:right w:val="none" w:sz="0" w:space="0" w:color="auto"/>
      </w:divBdr>
    </w:div>
    <w:div w:id="1587642183">
      <w:bodyDiv w:val="1"/>
      <w:marLeft w:val="0"/>
      <w:marRight w:val="0"/>
      <w:marTop w:val="0"/>
      <w:marBottom w:val="0"/>
      <w:divBdr>
        <w:top w:val="none" w:sz="0" w:space="0" w:color="auto"/>
        <w:left w:val="none" w:sz="0" w:space="0" w:color="auto"/>
        <w:bottom w:val="none" w:sz="0" w:space="0" w:color="auto"/>
        <w:right w:val="none" w:sz="0" w:space="0" w:color="auto"/>
      </w:divBdr>
    </w:div>
    <w:div w:id="1595090571">
      <w:bodyDiv w:val="1"/>
      <w:marLeft w:val="0"/>
      <w:marRight w:val="0"/>
      <w:marTop w:val="0"/>
      <w:marBottom w:val="0"/>
      <w:divBdr>
        <w:top w:val="none" w:sz="0" w:space="0" w:color="auto"/>
        <w:left w:val="none" w:sz="0" w:space="0" w:color="auto"/>
        <w:bottom w:val="none" w:sz="0" w:space="0" w:color="auto"/>
        <w:right w:val="none" w:sz="0" w:space="0" w:color="auto"/>
      </w:divBdr>
    </w:div>
    <w:div w:id="1605965790">
      <w:bodyDiv w:val="1"/>
      <w:marLeft w:val="0"/>
      <w:marRight w:val="0"/>
      <w:marTop w:val="0"/>
      <w:marBottom w:val="0"/>
      <w:divBdr>
        <w:top w:val="none" w:sz="0" w:space="0" w:color="auto"/>
        <w:left w:val="none" w:sz="0" w:space="0" w:color="auto"/>
        <w:bottom w:val="none" w:sz="0" w:space="0" w:color="auto"/>
        <w:right w:val="none" w:sz="0" w:space="0" w:color="auto"/>
      </w:divBdr>
    </w:div>
    <w:div w:id="1623000747">
      <w:bodyDiv w:val="1"/>
      <w:marLeft w:val="0"/>
      <w:marRight w:val="0"/>
      <w:marTop w:val="0"/>
      <w:marBottom w:val="0"/>
      <w:divBdr>
        <w:top w:val="none" w:sz="0" w:space="0" w:color="auto"/>
        <w:left w:val="none" w:sz="0" w:space="0" w:color="auto"/>
        <w:bottom w:val="none" w:sz="0" w:space="0" w:color="auto"/>
        <w:right w:val="none" w:sz="0" w:space="0" w:color="auto"/>
      </w:divBdr>
    </w:div>
    <w:div w:id="1624841514">
      <w:bodyDiv w:val="1"/>
      <w:marLeft w:val="0"/>
      <w:marRight w:val="0"/>
      <w:marTop w:val="0"/>
      <w:marBottom w:val="0"/>
      <w:divBdr>
        <w:top w:val="none" w:sz="0" w:space="0" w:color="auto"/>
        <w:left w:val="none" w:sz="0" w:space="0" w:color="auto"/>
        <w:bottom w:val="none" w:sz="0" w:space="0" w:color="auto"/>
        <w:right w:val="none" w:sz="0" w:space="0" w:color="auto"/>
      </w:divBdr>
    </w:div>
    <w:div w:id="1648590459">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 w:id="1669360814">
      <w:bodyDiv w:val="1"/>
      <w:marLeft w:val="0"/>
      <w:marRight w:val="0"/>
      <w:marTop w:val="0"/>
      <w:marBottom w:val="0"/>
      <w:divBdr>
        <w:top w:val="none" w:sz="0" w:space="0" w:color="auto"/>
        <w:left w:val="none" w:sz="0" w:space="0" w:color="auto"/>
        <w:bottom w:val="none" w:sz="0" w:space="0" w:color="auto"/>
        <w:right w:val="none" w:sz="0" w:space="0" w:color="auto"/>
      </w:divBdr>
    </w:div>
    <w:div w:id="1678923281">
      <w:bodyDiv w:val="1"/>
      <w:marLeft w:val="0"/>
      <w:marRight w:val="0"/>
      <w:marTop w:val="0"/>
      <w:marBottom w:val="0"/>
      <w:divBdr>
        <w:top w:val="none" w:sz="0" w:space="0" w:color="auto"/>
        <w:left w:val="none" w:sz="0" w:space="0" w:color="auto"/>
        <w:bottom w:val="none" w:sz="0" w:space="0" w:color="auto"/>
        <w:right w:val="none" w:sz="0" w:space="0" w:color="auto"/>
      </w:divBdr>
    </w:div>
    <w:div w:id="1683970725">
      <w:bodyDiv w:val="1"/>
      <w:marLeft w:val="0"/>
      <w:marRight w:val="0"/>
      <w:marTop w:val="0"/>
      <w:marBottom w:val="0"/>
      <w:divBdr>
        <w:top w:val="none" w:sz="0" w:space="0" w:color="auto"/>
        <w:left w:val="none" w:sz="0" w:space="0" w:color="auto"/>
        <w:bottom w:val="none" w:sz="0" w:space="0" w:color="auto"/>
        <w:right w:val="none" w:sz="0" w:space="0" w:color="auto"/>
      </w:divBdr>
    </w:div>
    <w:div w:id="1706368324">
      <w:bodyDiv w:val="1"/>
      <w:marLeft w:val="0"/>
      <w:marRight w:val="0"/>
      <w:marTop w:val="0"/>
      <w:marBottom w:val="0"/>
      <w:divBdr>
        <w:top w:val="none" w:sz="0" w:space="0" w:color="auto"/>
        <w:left w:val="none" w:sz="0" w:space="0" w:color="auto"/>
        <w:bottom w:val="none" w:sz="0" w:space="0" w:color="auto"/>
        <w:right w:val="none" w:sz="0" w:space="0" w:color="auto"/>
      </w:divBdr>
    </w:div>
    <w:div w:id="1708023935">
      <w:bodyDiv w:val="1"/>
      <w:marLeft w:val="0"/>
      <w:marRight w:val="0"/>
      <w:marTop w:val="0"/>
      <w:marBottom w:val="0"/>
      <w:divBdr>
        <w:top w:val="none" w:sz="0" w:space="0" w:color="auto"/>
        <w:left w:val="none" w:sz="0" w:space="0" w:color="auto"/>
        <w:bottom w:val="none" w:sz="0" w:space="0" w:color="auto"/>
        <w:right w:val="none" w:sz="0" w:space="0" w:color="auto"/>
      </w:divBdr>
    </w:div>
    <w:div w:id="1716388671">
      <w:bodyDiv w:val="1"/>
      <w:marLeft w:val="0"/>
      <w:marRight w:val="0"/>
      <w:marTop w:val="0"/>
      <w:marBottom w:val="0"/>
      <w:divBdr>
        <w:top w:val="none" w:sz="0" w:space="0" w:color="auto"/>
        <w:left w:val="none" w:sz="0" w:space="0" w:color="auto"/>
        <w:bottom w:val="none" w:sz="0" w:space="0" w:color="auto"/>
        <w:right w:val="none" w:sz="0" w:space="0" w:color="auto"/>
      </w:divBdr>
    </w:div>
    <w:div w:id="1726684376">
      <w:bodyDiv w:val="1"/>
      <w:marLeft w:val="0"/>
      <w:marRight w:val="0"/>
      <w:marTop w:val="0"/>
      <w:marBottom w:val="0"/>
      <w:divBdr>
        <w:top w:val="none" w:sz="0" w:space="0" w:color="auto"/>
        <w:left w:val="none" w:sz="0" w:space="0" w:color="auto"/>
        <w:bottom w:val="none" w:sz="0" w:space="0" w:color="auto"/>
        <w:right w:val="none" w:sz="0" w:space="0" w:color="auto"/>
      </w:divBdr>
    </w:div>
    <w:div w:id="1759210044">
      <w:bodyDiv w:val="1"/>
      <w:marLeft w:val="0"/>
      <w:marRight w:val="0"/>
      <w:marTop w:val="0"/>
      <w:marBottom w:val="0"/>
      <w:divBdr>
        <w:top w:val="none" w:sz="0" w:space="0" w:color="auto"/>
        <w:left w:val="none" w:sz="0" w:space="0" w:color="auto"/>
        <w:bottom w:val="none" w:sz="0" w:space="0" w:color="auto"/>
        <w:right w:val="none" w:sz="0" w:space="0" w:color="auto"/>
      </w:divBdr>
    </w:div>
    <w:div w:id="1812555594">
      <w:bodyDiv w:val="1"/>
      <w:marLeft w:val="0"/>
      <w:marRight w:val="0"/>
      <w:marTop w:val="0"/>
      <w:marBottom w:val="0"/>
      <w:divBdr>
        <w:top w:val="none" w:sz="0" w:space="0" w:color="auto"/>
        <w:left w:val="none" w:sz="0" w:space="0" w:color="auto"/>
        <w:bottom w:val="none" w:sz="0" w:space="0" w:color="auto"/>
        <w:right w:val="none" w:sz="0" w:space="0" w:color="auto"/>
      </w:divBdr>
    </w:div>
    <w:div w:id="1815680375">
      <w:bodyDiv w:val="1"/>
      <w:marLeft w:val="0"/>
      <w:marRight w:val="0"/>
      <w:marTop w:val="0"/>
      <w:marBottom w:val="0"/>
      <w:divBdr>
        <w:top w:val="none" w:sz="0" w:space="0" w:color="auto"/>
        <w:left w:val="none" w:sz="0" w:space="0" w:color="auto"/>
        <w:bottom w:val="none" w:sz="0" w:space="0" w:color="auto"/>
        <w:right w:val="none" w:sz="0" w:space="0" w:color="auto"/>
      </w:divBdr>
    </w:div>
    <w:div w:id="1836728976">
      <w:bodyDiv w:val="1"/>
      <w:marLeft w:val="0"/>
      <w:marRight w:val="0"/>
      <w:marTop w:val="0"/>
      <w:marBottom w:val="0"/>
      <w:divBdr>
        <w:top w:val="none" w:sz="0" w:space="0" w:color="auto"/>
        <w:left w:val="none" w:sz="0" w:space="0" w:color="auto"/>
        <w:bottom w:val="none" w:sz="0" w:space="0" w:color="auto"/>
        <w:right w:val="none" w:sz="0" w:space="0" w:color="auto"/>
      </w:divBdr>
    </w:div>
    <w:div w:id="1843666272">
      <w:bodyDiv w:val="1"/>
      <w:marLeft w:val="0"/>
      <w:marRight w:val="0"/>
      <w:marTop w:val="0"/>
      <w:marBottom w:val="0"/>
      <w:divBdr>
        <w:top w:val="none" w:sz="0" w:space="0" w:color="auto"/>
        <w:left w:val="none" w:sz="0" w:space="0" w:color="auto"/>
        <w:bottom w:val="none" w:sz="0" w:space="0" w:color="auto"/>
        <w:right w:val="none" w:sz="0" w:space="0" w:color="auto"/>
      </w:divBdr>
    </w:div>
    <w:div w:id="1844122478">
      <w:bodyDiv w:val="1"/>
      <w:marLeft w:val="0"/>
      <w:marRight w:val="0"/>
      <w:marTop w:val="0"/>
      <w:marBottom w:val="0"/>
      <w:divBdr>
        <w:top w:val="none" w:sz="0" w:space="0" w:color="auto"/>
        <w:left w:val="none" w:sz="0" w:space="0" w:color="auto"/>
        <w:bottom w:val="none" w:sz="0" w:space="0" w:color="auto"/>
        <w:right w:val="none" w:sz="0" w:space="0" w:color="auto"/>
      </w:divBdr>
    </w:div>
    <w:div w:id="1848402419">
      <w:bodyDiv w:val="1"/>
      <w:marLeft w:val="0"/>
      <w:marRight w:val="0"/>
      <w:marTop w:val="0"/>
      <w:marBottom w:val="0"/>
      <w:divBdr>
        <w:top w:val="none" w:sz="0" w:space="0" w:color="auto"/>
        <w:left w:val="none" w:sz="0" w:space="0" w:color="auto"/>
        <w:bottom w:val="none" w:sz="0" w:space="0" w:color="auto"/>
        <w:right w:val="none" w:sz="0" w:space="0" w:color="auto"/>
      </w:divBdr>
    </w:div>
    <w:div w:id="1860925890">
      <w:bodyDiv w:val="1"/>
      <w:marLeft w:val="0"/>
      <w:marRight w:val="0"/>
      <w:marTop w:val="0"/>
      <w:marBottom w:val="0"/>
      <w:divBdr>
        <w:top w:val="none" w:sz="0" w:space="0" w:color="auto"/>
        <w:left w:val="none" w:sz="0" w:space="0" w:color="auto"/>
        <w:bottom w:val="none" w:sz="0" w:space="0" w:color="auto"/>
        <w:right w:val="none" w:sz="0" w:space="0" w:color="auto"/>
      </w:divBdr>
    </w:div>
    <w:div w:id="1873300616">
      <w:bodyDiv w:val="1"/>
      <w:marLeft w:val="0"/>
      <w:marRight w:val="0"/>
      <w:marTop w:val="0"/>
      <w:marBottom w:val="0"/>
      <w:divBdr>
        <w:top w:val="none" w:sz="0" w:space="0" w:color="auto"/>
        <w:left w:val="none" w:sz="0" w:space="0" w:color="auto"/>
        <w:bottom w:val="none" w:sz="0" w:space="0" w:color="auto"/>
        <w:right w:val="none" w:sz="0" w:space="0" w:color="auto"/>
      </w:divBdr>
      <w:divsChild>
        <w:div w:id="756949014">
          <w:marLeft w:val="0"/>
          <w:marRight w:val="0"/>
          <w:marTop w:val="0"/>
          <w:marBottom w:val="0"/>
          <w:divBdr>
            <w:top w:val="none" w:sz="0" w:space="0" w:color="auto"/>
            <w:left w:val="none" w:sz="0" w:space="0" w:color="auto"/>
            <w:bottom w:val="none" w:sz="0" w:space="0" w:color="auto"/>
            <w:right w:val="none" w:sz="0" w:space="0" w:color="auto"/>
          </w:divBdr>
          <w:divsChild>
            <w:div w:id="1759978987">
              <w:marLeft w:val="0"/>
              <w:marRight w:val="0"/>
              <w:marTop w:val="0"/>
              <w:marBottom w:val="0"/>
              <w:divBdr>
                <w:top w:val="none" w:sz="0" w:space="0" w:color="auto"/>
                <w:left w:val="none" w:sz="0" w:space="0" w:color="auto"/>
                <w:bottom w:val="none" w:sz="0" w:space="0" w:color="auto"/>
                <w:right w:val="none" w:sz="0" w:space="0" w:color="auto"/>
              </w:divBdr>
              <w:divsChild>
                <w:div w:id="1512602569">
                  <w:marLeft w:val="0"/>
                  <w:marRight w:val="0"/>
                  <w:marTop w:val="0"/>
                  <w:marBottom w:val="0"/>
                  <w:divBdr>
                    <w:top w:val="none" w:sz="0" w:space="0" w:color="auto"/>
                    <w:left w:val="none" w:sz="0" w:space="0" w:color="auto"/>
                    <w:bottom w:val="none" w:sz="0" w:space="0" w:color="auto"/>
                    <w:right w:val="none" w:sz="0" w:space="0" w:color="auto"/>
                  </w:divBdr>
                  <w:divsChild>
                    <w:div w:id="2076396138">
                      <w:marLeft w:val="0"/>
                      <w:marRight w:val="0"/>
                      <w:marTop w:val="0"/>
                      <w:marBottom w:val="0"/>
                      <w:divBdr>
                        <w:top w:val="none" w:sz="0" w:space="0" w:color="auto"/>
                        <w:left w:val="none" w:sz="0" w:space="0" w:color="auto"/>
                        <w:bottom w:val="none" w:sz="0" w:space="0" w:color="auto"/>
                        <w:right w:val="none" w:sz="0" w:space="0" w:color="auto"/>
                      </w:divBdr>
                      <w:divsChild>
                        <w:div w:id="524640016">
                          <w:marLeft w:val="-225"/>
                          <w:marRight w:val="-225"/>
                          <w:marTop w:val="0"/>
                          <w:marBottom w:val="0"/>
                          <w:divBdr>
                            <w:top w:val="none" w:sz="0" w:space="0" w:color="auto"/>
                            <w:left w:val="none" w:sz="0" w:space="0" w:color="auto"/>
                            <w:bottom w:val="none" w:sz="0" w:space="0" w:color="auto"/>
                            <w:right w:val="none" w:sz="0" w:space="0" w:color="auto"/>
                          </w:divBdr>
                          <w:divsChild>
                            <w:div w:id="6466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2685">
      <w:bodyDiv w:val="1"/>
      <w:marLeft w:val="0"/>
      <w:marRight w:val="0"/>
      <w:marTop w:val="0"/>
      <w:marBottom w:val="0"/>
      <w:divBdr>
        <w:top w:val="none" w:sz="0" w:space="0" w:color="auto"/>
        <w:left w:val="none" w:sz="0" w:space="0" w:color="auto"/>
        <w:bottom w:val="none" w:sz="0" w:space="0" w:color="auto"/>
        <w:right w:val="none" w:sz="0" w:space="0" w:color="auto"/>
      </w:divBdr>
    </w:div>
    <w:div w:id="1883177547">
      <w:bodyDiv w:val="1"/>
      <w:marLeft w:val="0"/>
      <w:marRight w:val="0"/>
      <w:marTop w:val="0"/>
      <w:marBottom w:val="0"/>
      <w:divBdr>
        <w:top w:val="none" w:sz="0" w:space="0" w:color="auto"/>
        <w:left w:val="none" w:sz="0" w:space="0" w:color="auto"/>
        <w:bottom w:val="none" w:sz="0" w:space="0" w:color="auto"/>
        <w:right w:val="none" w:sz="0" w:space="0" w:color="auto"/>
      </w:divBdr>
    </w:div>
    <w:div w:id="1883251101">
      <w:bodyDiv w:val="1"/>
      <w:marLeft w:val="0"/>
      <w:marRight w:val="0"/>
      <w:marTop w:val="0"/>
      <w:marBottom w:val="0"/>
      <w:divBdr>
        <w:top w:val="none" w:sz="0" w:space="0" w:color="auto"/>
        <w:left w:val="none" w:sz="0" w:space="0" w:color="auto"/>
        <w:bottom w:val="none" w:sz="0" w:space="0" w:color="auto"/>
        <w:right w:val="none" w:sz="0" w:space="0" w:color="auto"/>
      </w:divBdr>
    </w:div>
    <w:div w:id="1883858955">
      <w:bodyDiv w:val="1"/>
      <w:marLeft w:val="0"/>
      <w:marRight w:val="0"/>
      <w:marTop w:val="0"/>
      <w:marBottom w:val="0"/>
      <w:divBdr>
        <w:top w:val="none" w:sz="0" w:space="0" w:color="auto"/>
        <w:left w:val="none" w:sz="0" w:space="0" w:color="auto"/>
        <w:bottom w:val="none" w:sz="0" w:space="0" w:color="auto"/>
        <w:right w:val="none" w:sz="0" w:space="0" w:color="auto"/>
      </w:divBdr>
    </w:div>
    <w:div w:id="1898201497">
      <w:bodyDiv w:val="1"/>
      <w:marLeft w:val="0"/>
      <w:marRight w:val="0"/>
      <w:marTop w:val="0"/>
      <w:marBottom w:val="0"/>
      <w:divBdr>
        <w:top w:val="none" w:sz="0" w:space="0" w:color="auto"/>
        <w:left w:val="none" w:sz="0" w:space="0" w:color="auto"/>
        <w:bottom w:val="none" w:sz="0" w:space="0" w:color="auto"/>
        <w:right w:val="none" w:sz="0" w:space="0" w:color="auto"/>
      </w:divBdr>
    </w:div>
    <w:div w:id="1900968875">
      <w:bodyDiv w:val="1"/>
      <w:marLeft w:val="0"/>
      <w:marRight w:val="0"/>
      <w:marTop w:val="0"/>
      <w:marBottom w:val="0"/>
      <w:divBdr>
        <w:top w:val="none" w:sz="0" w:space="0" w:color="auto"/>
        <w:left w:val="none" w:sz="0" w:space="0" w:color="auto"/>
        <w:bottom w:val="none" w:sz="0" w:space="0" w:color="auto"/>
        <w:right w:val="none" w:sz="0" w:space="0" w:color="auto"/>
      </w:divBdr>
    </w:div>
    <w:div w:id="1943368367">
      <w:bodyDiv w:val="1"/>
      <w:marLeft w:val="0"/>
      <w:marRight w:val="0"/>
      <w:marTop w:val="0"/>
      <w:marBottom w:val="0"/>
      <w:divBdr>
        <w:top w:val="none" w:sz="0" w:space="0" w:color="auto"/>
        <w:left w:val="none" w:sz="0" w:space="0" w:color="auto"/>
        <w:bottom w:val="none" w:sz="0" w:space="0" w:color="auto"/>
        <w:right w:val="none" w:sz="0" w:space="0" w:color="auto"/>
      </w:divBdr>
    </w:div>
    <w:div w:id="1964728556">
      <w:bodyDiv w:val="1"/>
      <w:marLeft w:val="0"/>
      <w:marRight w:val="0"/>
      <w:marTop w:val="0"/>
      <w:marBottom w:val="0"/>
      <w:divBdr>
        <w:top w:val="none" w:sz="0" w:space="0" w:color="auto"/>
        <w:left w:val="none" w:sz="0" w:space="0" w:color="auto"/>
        <w:bottom w:val="none" w:sz="0" w:space="0" w:color="auto"/>
        <w:right w:val="none" w:sz="0" w:space="0" w:color="auto"/>
      </w:divBdr>
    </w:div>
    <w:div w:id="1975939027">
      <w:bodyDiv w:val="1"/>
      <w:marLeft w:val="0"/>
      <w:marRight w:val="0"/>
      <w:marTop w:val="0"/>
      <w:marBottom w:val="0"/>
      <w:divBdr>
        <w:top w:val="none" w:sz="0" w:space="0" w:color="auto"/>
        <w:left w:val="none" w:sz="0" w:space="0" w:color="auto"/>
        <w:bottom w:val="none" w:sz="0" w:space="0" w:color="auto"/>
        <w:right w:val="none" w:sz="0" w:space="0" w:color="auto"/>
      </w:divBdr>
    </w:div>
    <w:div w:id="1989825231">
      <w:bodyDiv w:val="1"/>
      <w:marLeft w:val="0"/>
      <w:marRight w:val="0"/>
      <w:marTop w:val="0"/>
      <w:marBottom w:val="0"/>
      <w:divBdr>
        <w:top w:val="none" w:sz="0" w:space="0" w:color="auto"/>
        <w:left w:val="none" w:sz="0" w:space="0" w:color="auto"/>
        <w:bottom w:val="none" w:sz="0" w:space="0" w:color="auto"/>
        <w:right w:val="none" w:sz="0" w:space="0" w:color="auto"/>
      </w:divBdr>
    </w:div>
    <w:div w:id="1994218896">
      <w:bodyDiv w:val="1"/>
      <w:marLeft w:val="0"/>
      <w:marRight w:val="0"/>
      <w:marTop w:val="0"/>
      <w:marBottom w:val="0"/>
      <w:divBdr>
        <w:top w:val="none" w:sz="0" w:space="0" w:color="auto"/>
        <w:left w:val="none" w:sz="0" w:space="0" w:color="auto"/>
        <w:bottom w:val="none" w:sz="0" w:space="0" w:color="auto"/>
        <w:right w:val="none" w:sz="0" w:space="0" w:color="auto"/>
      </w:divBdr>
    </w:div>
    <w:div w:id="2000764638">
      <w:bodyDiv w:val="1"/>
      <w:marLeft w:val="0"/>
      <w:marRight w:val="0"/>
      <w:marTop w:val="0"/>
      <w:marBottom w:val="0"/>
      <w:divBdr>
        <w:top w:val="none" w:sz="0" w:space="0" w:color="auto"/>
        <w:left w:val="none" w:sz="0" w:space="0" w:color="auto"/>
        <w:bottom w:val="none" w:sz="0" w:space="0" w:color="auto"/>
        <w:right w:val="none" w:sz="0" w:space="0" w:color="auto"/>
      </w:divBdr>
    </w:div>
    <w:div w:id="2006323279">
      <w:bodyDiv w:val="1"/>
      <w:marLeft w:val="0"/>
      <w:marRight w:val="0"/>
      <w:marTop w:val="0"/>
      <w:marBottom w:val="0"/>
      <w:divBdr>
        <w:top w:val="none" w:sz="0" w:space="0" w:color="auto"/>
        <w:left w:val="none" w:sz="0" w:space="0" w:color="auto"/>
        <w:bottom w:val="none" w:sz="0" w:space="0" w:color="auto"/>
        <w:right w:val="none" w:sz="0" w:space="0" w:color="auto"/>
      </w:divBdr>
    </w:div>
    <w:div w:id="2014183638">
      <w:bodyDiv w:val="1"/>
      <w:marLeft w:val="0"/>
      <w:marRight w:val="0"/>
      <w:marTop w:val="0"/>
      <w:marBottom w:val="0"/>
      <w:divBdr>
        <w:top w:val="none" w:sz="0" w:space="0" w:color="auto"/>
        <w:left w:val="none" w:sz="0" w:space="0" w:color="auto"/>
        <w:bottom w:val="none" w:sz="0" w:space="0" w:color="auto"/>
        <w:right w:val="none" w:sz="0" w:space="0" w:color="auto"/>
      </w:divBdr>
    </w:div>
    <w:div w:id="2065132584">
      <w:bodyDiv w:val="1"/>
      <w:marLeft w:val="0"/>
      <w:marRight w:val="0"/>
      <w:marTop w:val="0"/>
      <w:marBottom w:val="0"/>
      <w:divBdr>
        <w:top w:val="none" w:sz="0" w:space="0" w:color="auto"/>
        <w:left w:val="none" w:sz="0" w:space="0" w:color="auto"/>
        <w:bottom w:val="none" w:sz="0" w:space="0" w:color="auto"/>
        <w:right w:val="none" w:sz="0" w:space="0" w:color="auto"/>
      </w:divBdr>
    </w:div>
    <w:div w:id="2071147762">
      <w:bodyDiv w:val="1"/>
      <w:marLeft w:val="0"/>
      <w:marRight w:val="0"/>
      <w:marTop w:val="0"/>
      <w:marBottom w:val="0"/>
      <w:divBdr>
        <w:top w:val="none" w:sz="0" w:space="0" w:color="auto"/>
        <w:left w:val="none" w:sz="0" w:space="0" w:color="auto"/>
        <w:bottom w:val="none" w:sz="0" w:space="0" w:color="auto"/>
        <w:right w:val="none" w:sz="0" w:space="0" w:color="auto"/>
      </w:divBdr>
    </w:div>
    <w:div w:id="2076007403">
      <w:bodyDiv w:val="1"/>
      <w:marLeft w:val="0"/>
      <w:marRight w:val="0"/>
      <w:marTop w:val="0"/>
      <w:marBottom w:val="0"/>
      <w:divBdr>
        <w:top w:val="none" w:sz="0" w:space="0" w:color="auto"/>
        <w:left w:val="none" w:sz="0" w:space="0" w:color="auto"/>
        <w:bottom w:val="none" w:sz="0" w:space="0" w:color="auto"/>
        <w:right w:val="none" w:sz="0" w:space="0" w:color="auto"/>
      </w:divBdr>
    </w:div>
    <w:div w:id="2090420657">
      <w:bodyDiv w:val="1"/>
      <w:marLeft w:val="0"/>
      <w:marRight w:val="0"/>
      <w:marTop w:val="0"/>
      <w:marBottom w:val="0"/>
      <w:divBdr>
        <w:top w:val="none" w:sz="0" w:space="0" w:color="auto"/>
        <w:left w:val="none" w:sz="0" w:space="0" w:color="auto"/>
        <w:bottom w:val="none" w:sz="0" w:space="0" w:color="auto"/>
        <w:right w:val="none" w:sz="0" w:space="0" w:color="auto"/>
      </w:divBdr>
    </w:div>
    <w:div w:id="2091849065">
      <w:bodyDiv w:val="1"/>
      <w:marLeft w:val="0"/>
      <w:marRight w:val="0"/>
      <w:marTop w:val="0"/>
      <w:marBottom w:val="0"/>
      <w:divBdr>
        <w:top w:val="none" w:sz="0" w:space="0" w:color="auto"/>
        <w:left w:val="none" w:sz="0" w:space="0" w:color="auto"/>
        <w:bottom w:val="none" w:sz="0" w:space="0" w:color="auto"/>
        <w:right w:val="none" w:sz="0" w:space="0" w:color="auto"/>
      </w:divBdr>
    </w:div>
    <w:div w:id="2094427130">
      <w:bodyDiv w:val="1"/>
      <w:marLeft w:val="0"/>
      <w:marRight w:val="0"/>
      <w:marTop w:val="0"/>
      <w:marBottom w:val="0"/>
      <w:divBdr>
        <w:top w:val="none" w:sz="0" w:space="0" w:color="auto"/>
        <w:left w:val="none" w:sz="0" w:space="0" w:color="auto"/>
        <w:bottom w:val="none" w:sz="0" w:space="0" w:color="auto"/>
        <w:right w:val="none" w:sz="0" w:space="0" w:color="auto"/>
      </w:divBdr>
    </w:div>
    <w:div w:id="21442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informationboard.ie/en/publications/submissions/" TargetMode="External"/><Relationship Id="rId13" Type="http://schemas.openxmlformats.org/officeDocument/2006/relationships/hyperlink" Target="https://www.hse.ie/eng/services/publications/corporate/patients%20private%20property%20guidelines.pdf" TargetMode="External"/><Relationship Id="rId18" Type="http://schemas.openxmlformats.org/officeDocument/2006/relationships/hyperlink" Target="http://familycarers.ie/wp-content/uploads/2017/06/Red-C-Survey-Vulnerable-Adults-in-Irish-Society-060417-1.pdf" TargetMode="External"/><Relationship Id="rId26" Type="http://schemas.openxmlformats.org/officeDocument/2006/relationships/hyperlink" Target="https://www.ipa.ie/_fileUpload/Documents/National_Safeguarding_Authority_Options_Paper.pdf" TargetMode="External"/><Relationship Id="rId3" Type="http://schemas.openxmlformats.org/officeDocument/2006/relationships/hyperlink" Target="https://www.safeguardingireland.org/wp-content/uploads/2018/10/the-national-safeguarding-office-report-2017.pdf" TargetMode="External"/><Relationship Id="rId21" Type="http://schemas.openxmlformats.org/officeDocument/2006/relationships/hyperlink" Target="https://www.citizensinformationboard.ie/downloads/advocacy/NAS_AnnualReport_2017.pdf" TargetMode="External"/><Relationship Id="rId7" Type="http://schemas.openxmlformats.org/officeDocument/2006/relationships/hyperlink" Target="https://www.rte.ie/news/business/2019/1124/1094895-study-reveals-extent-of-financial-abuse-here/" TargetMode="External"/><Relationship Id="rId12" Type="http://schemas.openxmlformats.org/officeDocument/2006/relationships/hyperlink" Target="https://www.bpfi.ie/wp-content/uploads/2018/06/BPFI-Guide-to-Safeguarding-Your-Money-Now-and-in-the-Future.pdf" TargetMode="External"/><Relationship Id="rId17" Type="http://schemas.openxmlformats.org/officeDocument/2006/relationships/hyperlink" Target="https://www.hse.ie/eng/about/who/socialcare/safeguardingvulnerableadults/safeguarding%20report%202018.pdf" TargetMode="External"/><Relationship Id="rId25" Type="http://schemas.openxmlformats.org/officeDocument/2006/relationships/hyperlink" Target="http://policereform.ie/en/POLREF/The%20Future%20of%20Policing%20in%20Ireland(web).pdf/Files/The%20Future%20of%20Policing%20in%20Ireland(web).pdf" TargetMode="External"/><Relationship Id="rId2" Type="http://schemas.openxmlformats.org/officeDocument/2006/relationships/hyperlink" Target="https://www.safeguardingireland.org/wp-content/uploads/2018/10/Financial-Abuse-Older-People-_-A-Review.pdf" TargetMode="External"/><Relationship Id="rId16" Type="http://schemas.openxmlformats.org/officeDocument/2006/relationships/hyperlink" Target="https://www.lawsociety.ie/Solicitors/Practising/Practice-Notes/Joint-Bank-Accounts---Guidelines-for-Solicitors/" TargetMode="External"/><Relationship Id="rId20" Type="http://schemas.openxmlformats.org/officeDocument/2006/relationships/hyperlink" Target="https://www.hse.ie/eng/services/publications/disability/aasrgwhatmattersmost.pdf" TargetMode="External"/><Relationship Id="rId1" Type="http://schemas.openxmlformats.org/officeDocument/2006/relationships/hyperlink" Target="https://www.rte.ie/news/business/2019/1124/1094895-study-reveals-extent-of-financial-abuse-here/" TargetMode="External"/><Relationship Id="rId6" Type="http://schemas.openxmlformats.org/officeDocument/2006/relationships/hyperlink" Target="http://tbinternet.ohchr.org/_layouts/treatybodyexternal/Download.aspx?symbolno=CRPD/C/GC/1&amp;Lang=en" TargetMode="External"/><Relationship Id="rId11" Type="http://schemas.openxmlformats.org/officeDocument/2006/relationships/hyperlink" Target="https://www.citizensinformationboard.ie/downloads/social_policy/submissions2018/Digital_Strategy_CIB_Submission.pdf" TargetMode="External"/><Relationship Id="rId24" Type="http://schemas.openxmlformats.org/officeDocument/2006/relationships/hyperlink" Target="https://www.oireachtas.ie/en/debates/debate/seanad/2017-04-05/9/" TargetMode="External"/><Relationship Id="rId5" Type="http://schemas.openxmlformats.org/officeDocument/2006/relationships/hyperlink" Target="https://www.england.nhs.uk/wp-content/uploads/2017/02/adult-pocket-guide.pdf" TargetMode="External"/><Relationship Id="rId15" Type="http://schemas.openxmlformats.org/officeDocument/2006/relationships/hyperlink" Target="https://www.gov.ie/en/publication/3f6bc5-safeguarding-vulnerable-adults/" TargetMode="External"/><Relationship Id="rId23" Type="http://schemas.openxmlformats.org/officeDocument/2006/relationships/hyperlink" Target="https://advocacy.ie/app/uploads/2019/09/NAS-Annual-Report-2018-published-September-2019.pdf" TargetMode="External"/><Relationship Id="rId10" Type="http://schemas.openxmlformats.org/officeDocument/2006/relationships/hyperlink" Target="https://www.citizensinformationboard.ie/downloads/social_policy/submissions2019/Community_Banking_Local_Banking_and_Financial_Services_CIB_Subm_April_2019.pdf" TargetMode="External"/><Relationship Id="rId19" Type="http://schemas.openxmlformats.org/officeDocument/2006/relationships/hyperlink" Target="https://onlinelibrary.wiley.com/doi/full/10.1002/emp2.12011" TargetMode="External"/><Relationship Id="rId4" Type="http://schemas.openxmlformats.org/officeDocument/2006/relationships/hyperlink" Target="https://www.gov.ie/pdf/?file=https://assets.gov.ie/10874/8ecfaf01af4b4d5b94d433351129f4ba.pdf" TargetMode="External"/><Relationship Id="rId9" Type="http://schemas.openxmlformats.org/officeDocument/2006/relationships/hyperlink" Target="https://www.centralbank.ie/docs/default-source/publications/cp54/cp54-submission-from-mabs-national-development-limited.pdf?sfvrsn=0" TargetMode="External"/><Relationship Id="rId14" Type="http://schemas.openxmlformats.org/officeDocument/2006/relationships/hyperlink" Target="https://63273-593977-raikfcquaxqncofqfm.stackpathdns.com/wp-content/uploads/2020/02/426920-Safeguarding-Ireland-Place-of-Care-RED-Line-13022020.pdf" TargetMode="External"/><Relationship Id="rId22" Type="http://schemas.openxmlformats.org/officeDocument/2006/relationships/hyperlink" Target="https://www.citizensinformationboard.ie/en/news/2019/news20190923.html" TargetMode="External"/><Relationship Id="rId27" Type="http://schemas.openxmlformats.org/officeDocument/2006/relationships/hyperlink" Target="https://www.citizensinformationboard.ie/downloads/cib/Strategic_Plan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F762-E60C-4B8F-AE58-C18B70EA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9758</Words>
  <Characters>55625</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2020-05-26T15:00:00Z</cp:lastPrinted>
  <dcterms:created xsi:type="dcterms:W3CDTF">2020-08-19T15:52:00Z</dcterms:created>
  <dcterms:modified xsi:type="dcterms:W3CDTF">2020-08-19T15:52:00Z</dcterms:modified>
</cp:coreProperties>
</file>