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5292" w14:textId="77777777" w:rsidR="00D12513" w:rsidRDefault="00D12513" w:rsidP="00D12513">
      <w:pPr>
        <w:pStyle w:val="NormalWeb"/>
        <w:spacing w:before="2" w:after="2"/>
        <w:jc w:val="center"/>
        <w:rPr>
          <w:rFonts w:asciiTheme="majorHAnsi" w:hAnsiTheme="majorHAnsi" w:cstheme="majorHAnsi"/>
          <w:b/>
          <w:color w:val="000000" w:themeColor="text1"/>
          <w:sz w:val="22"/>
          <w:szCs w:val="22"/>
        </w:rPr>
      </w:pPr>
      <w:bookmarkStart w:id="0" w:name="_GoBack"/>
      <w:bookmarkEnd w:id="0"/>
      <w:r>
        <w:rPr>
          <w:noProof/>
          <w:lang w:val="en-IE" w:eastAsia="en-IE"/>
        </w:rPr>
        <w:drawing>
          <wp:inline distT="0" distB="0" distL="0" distR="0" wp14:anchorId="55FE97B7" wp14:editId="38419C01">
            <wp:extent cx="3002280" cy="1371600"/>
            <wp:effectExtent l="0" t="0" r="7620" b="0"/>
            <wp:docPr id="3" name="Picture 3" title="C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02280" cy="1371600"/>
                    </a:xfrm>
                    <a:prstGeom prst="rect">
                      <a:avLst/>
                    </a:prstGeom>
                  </pic:spPr>
                </pic:pic>
              </a:graphicData>
            </a:graphic>
          </wp:inline>
        </w:drawing>
      </w:r>
    </w:p>
    <w:p w14:paraId="0D0313E9" w14:textId="04CCE39E" w:rsidR="00B91A63" w:rsidRPr="00F65230" w:rsidRDefault="00B91A63" w:rsidP="00F65230">
      <w:pPr>
        <w:pStyle w:val="Heading1"/>
      </w:pPr>
      <w:r w:rsidRPr="00F65230">
        <w:t>Consultation on Deprivation of Liberty: Safeguard Proposals</w:t>
      </w:r>
    </w:p>
    <w:p w14:paraId="0D45A045" w14:textId="77777777" w:rsidR="00526F70" w:rsidRDefault="00526F70" w:rsidP="00D12513">
      <w:pPr>
        <w:pStyle w:val="NormalWeb"/>
        <w:spacing w:before="2" w:after="2"/>
        <w:jc w:val="center"/>
        <w:rPr>
          <w:rFonts w:asciiTheme="majorHAnsi" w:hAnsiTheme="majorHAnsi" w:cstheme="majorHAnsi"/>
          <w:b/>
          <w:color w:val="000000" w:themeColor="text1"/>
          <w:sz w:val="28"/>
          <w:szCs w:val="28"/>
        </w:rPr>
      </w:pPr>
    </w:p>
    <w:p w14:paraId="664D4C03" w14:textId="6792FECB" w:rsidR="00526F70" w:rsidRPr="00526F70" w:rsidRDefault="00526F70" w:rsidP="00D12513">
      <w:pPr>
        <w:pStyle w:val="NormalWeb"/>
        <w:spacing w:before="2" w:after="2"/>
        <w:jc w:val="center"/>
        <w:rPr>
          <w:rFonts w:asciiTheme="majorHAnsi" w:hAnsiTheme="majorHAnsi" w:cstheme="majorHAnsi"/>
          <w:b/>
          <w:i/>
          <w:color w:val="000000" w:themeColor="text1"/>
          <w:sz w:val="28"/>
          <w:szCs w:val="28"/>
        </w:rPr>
      </w:pPr>
      <w:r w:rsidRPr="00526F70">
        <w:rPr>
          <w:rFonts w:asciiTheme="majorHAnsi" w:hAnsiTheme="majorHAnsi" w:cstheme="majorHAnsi"/>
          <w:b/>
          <w:i/>
          <w:color w:val="000000" w:themeColor="text1"/>
          <w:sz w:val="28"/>
          <w:szCs w:val="28"/>
        </w:rPr>
        <w:t>A submission from the Citizens Information Board</w:t>
      </w:r>
    </w:p>
    <w:p w14:paraId="4344D806" w14:textId="77777777" w:rsidR="00FA5296" w:rsidRPr="00D12513" w:rsidRDefault="00FA5296" w:rsidP="00D12513">
      <w:pPr>
        <w:pStyle w:val="NormalWeb"/>
        <w:spacing w:before="2" w:after="2"/>
        <w:jc w:val="center"/>
        <w:rPr>
          <w:rFonts w:asciiTheme="majorHAnsi" w:hAnsiTheme="majorHAnsi" w:cstheme="majorHAnsi"/>
          <w:b/>
          <w:color w:val="000000" w:themeColor="text1"/>
          <w:sz w:val="28"/>
          <w:szCs w:val="28"/>
        </w:rPr>
      </w:pPr>
    </w:p>
    <w:p w14:paraId="4A1F929B" w14:textId="77777777" w:rsidR="00B91A63" w:rsidRPr="00390E77" w:rsidRDefault="00B91A63" w:rsidP="00FB15DA">
      <w:pPr>
        <w:pStyle w:val="NormalWeb"/>
        <w:spacing w:before="2" w:after="2"/>
        <w:jc w:val="both"/>
        <w:rPr>
          <w:rFonts w:asciiTheme="majorHAnsi" w:hAnsiTheme="majorHAnsi" w:cstheme="majorHAnsi"/>
          <w:b/>
          <w:color w:val="000000" w:themeColor="text1"/>
          <w:sz w:val="22"/>
          <w:szCs w:val="22"/>
        </w:rPr>
      </w:pPr>
    </w:p>
    <w:p w14:paraId="447F6988" w14:textId="01C8CC18" w:rsidR="004429B2" w:rsidRPr="00F65230" w:rsidRDefault="00CF768E" w:rsidP="00F65230">
      <w:pPr>
        <w:pStyle w:val="Heading2"/>
      </w:pPr>
      <w:r w:rsidRPr="00F65230">
        <w:t>Introduction</w:t>
      </w:r>
    </w:p>
    <w:p w14:paraId="1258F935" w14:textId="77777777" w:rsidR="00646FC5" w:rsidRDefault="00646FC5" w:rsidP="00390E77">
      <w:pPr>
        <w:pStyle w:val="NormalWeb"/>
        <w:spacing w:before="2" w:after="2"/>
        <w:jc w:val="both"/>
        <w:rPr>
          <w:rFonts w:asciiTheme="majorHAnsi" w:hAnsiTheme="majorHAnsi" w:cstheme="majorHAnsi"/>
          <w:color w:val="000000" w:themeColor="text1"/>
          <w:sz w:val="22"/>
          <w:szCs w:val="22"/>
        </w:rPr>
      </w:pPr>
    </w:p>
    <w:p w14:paraId="0F4A577D" w14:textId="7C16C829" w:rsidR="00DC1392" w:rsidRPr="00646FC5" w:rsidRDefault="0062189D" w:rsidP="00390E77">
      <w:pPr>
        <w:pStyle w:val="NormalWeb"/>
        <w:spacing w:before="2" w:after="2"/>
        <w:jc w:val="both"/>
        <w:rPr>
          <w:rFonts w:asciiTheme="majorHAnsi" w:hAnsiTheme="majorHAnsi" w:cstheme="majorHAnsi"/>
          <w:color w:val="000000" w:themeColor="text1"/>
          <w:sz w:val="22"/>
          <w:szCs w:val="22"/>
        </w:rPr>
      </w:pPr>
      <w:r w:rsidRPr="00646FC5">
        <w:rPr>
          <w:rFonts w:asciiTheme="majorHAnsi" w:hAnsiTheme="majorHAnsi" w:cstheme="majorHAnsi"/>
          <w:color w:val="000000" w:themeColor="text1"/>
          <w:sz w:val="22"/>
          <w:szCs w:val="22"/>
        </w:rPr>
        <w:t xml:space="preserve">The </w:t>
      </w:r>
      <w:r w:rsidR="00B36DED" w:rsidRPr="00646FC5">
        <w:rPr>
          <w:rFonts w:asciiTheme="majorHAnsi" w:hAnsiTheme="majorHAnsi" w:cstheme="majorHAnsi"/>
          <w:color w:val="000000" w:themeColor="text1"/>
          <w:sz w:val="22"/>
          <w:szCs w:val="22"/>
        </w:rPr>
        <w:t>Citizens Information Board welcomes the opportunity to respond to this consultation.</w:t>
      </w:r>
      <w:r w:rsidR="00646FC5">
        <w:rPr>
          <w:rFonts w:asciiTheme="majorHAnsi" w:hAnsiTheme="majorHAnsi" w:cstheme="majorHAnsi"/>
          <w:color w:val="000000" w:themeColor="text1"/>
          <w:sz w:val="22"/>
          <w:szCs w:val="22"/>
        </w:rPr>
        <w:t xml:space="preserve"> CIB is the statutory agency responsible for supporting the provision of information, advice and advocacy on public and social services.</w:t>
      </w:r>
      <w:r w:rsidR="00D12513">
        <w:rPr>
          <w:rFonts w:asciiTheme="majorHAnsi" w:hAnsiTheme="majorHAnsi" w:cstheme="majorHAnsi"/>
          <w:color w:val="000000" w:themeColor="text1"/>
          <w:sz w:val="22"/>
          <w:szCs w:val="22"/>
        </w:rPr>
        <w:t xml:space="preserve"> The Board has a particular remit in the provision of advocacy to people with disabilities. In that context CIB funds and supports NAS - the National Advocacy Service for people with disabilities.  NAS will also be making a submission in response to this consultation.</w:t>
      </w:r>
    </w:p>
    <w:p w14:paraId="18D8F7C0" w14:textId="77777777" w:rsidR="00B36DED" w:rsidRPr="00646FC5" w:rsidRDefault="00B36DED" w:rsidP="00390E77">
      <w:pPr>
        <w:pStyle w:val="NormalWeb"/>
        <w:spacing w:before="2" w:after="2"/>
        <w:jc w:val="both"/>
        <w:rPr>
          <w:rFonts w:asciiTheme="majorHAnsi" w:hAnsiTheme="majorHAnsi" w:cstheme="majorHAnsi"/>
          <w:color w:val="000000" w:themeColor="text1"/>
          <w:sz w:val="22"/>
          <w:szCs w:val="22"/>
        </w:rPr>
      </w:pPr>
    </w:p>
    <w:p w14:paraId="670071B4" w14:textId="4A24C4BC" w:rsidR="005F6919" w:rsidRPr="00390E77" w:rsidRDefault="00CF768E" w:rsidP="00FB15DA">
      <w:pPr>
        <w:pStyle w:val="NormalWeb"/>
        <w:spacing w:before="2" w:after="2"/>
        <w:jc w:val="both"/>
        <w:outlineLvl w:val="0"/>
        <w:rPr>
          <w:rFonts w:asciiTheme="majorHAnsi" w:hAnsiTheme="majorHAnsi" w:cstheme="majorHAnsi"/>
          <w:color w:val="000000" w:themeColor="text1"/>
          <w:sz w:val="22"/>
          <w:szCs w:val="22"/>
        </w:rPr>
      </w:pPr>
      <w:r w:rsidRPr="00390E77">
        <w:rPr>
          <w:rFonts w:asciiTheme="majorHAnsi" w:hAnsiTheme="majorHAnsi" w:cstheme="majorHAnsi"/>
          <w:color w:val="000000" w:themeColor="text1"/>
          <w:sz w:val="22"/>
          <w:szCs w:val="22"/>
        </w:rPr>
        <w:t>The proposed ratification</w:t>
      </w:r>
      <w:r w:rsidR="00D81C0F" w:rsidRPr="00390E77">
        <w:rPr>
          <w:rFonts w:asciiTheme="majorHAnsi" w:hAnsiTheme="majorHAnsi" w:cstheme="majorHAnsi"/>
          <w:color w:val="000000" w:themeColor="text1"/>
          <w:sz w:val="22"/>
          <w:szCs w:val="22"/>
        </w:rPr>
        <w:t xml:space="preserve"> by the Irish state </w:t>
      </w:r>
      <w:r w:rsidRPr="00390E77">
        <w:rPr>
          <w:rFonts w:asciiTheme="majorHAnsi" w:hAnsiTheme="majorHAnsi" w:cstheme="majorHAnsi"/>
          <w:color w:val="000000" w:themeColor="text1"/>
          <w:sz w:val="22"/>
          <w:szCs w:val="22"/>
        </w:rPr>
        <w:t xml:space="preserve">of the United Nations Convention on the Rights of Persons with Disabilities </w:t>
      </w:r>
      <w:r w:rsidR="00D81C0F" w:rsidRPr="00390E77">
        <w:rPr>
          <w:rFonts w:asciiTheme="majorHAnsi" w:hAnsiTheme="majorHAnsi" w:cstheme="majorHAnsi"/>
          <w:color w:val="000000" w:themeColor="text1"/>
          <w:sz w:val="22"/>
          <w:szCs w:val="22"/>
        </w:rPr>
        <w:t xml:space="preserve">(UNCRPD) </w:t>
      </w:r>
      <w:r w:rsidRPr="00390E77">
        <w:rPr>
          <w:rFonts w:asciiTheme="majorHAnsi" w:hAnsiTheme="majorHAnsi" w:cstheme="majorHAnsi"/>
          <w:color w:val="000000" w:themeColor="text1"/>
          <w:sz w:val="22"/>
          <w:szCs w:val="22"/>
        </w:rPr>
        <w:t>is a positive development</w:t>
      </w:r>
      <w:r w:rsidR="00D81C0F" w:rsidRPr="00390E77">
        <w:rPr>
          <w:rFonts w:asciiTheme="majorHAnsi" w:hAnsiTheme="majorHAnsi" w:cstheme="majorHAnsi"/>
          <w:color w:val="000000" w:themeColor="text1"/>
          <w:sz w:val="22"/>
          <w:szCs w:val="22"/>
        </w:rPr>
        <w:t xml:space="preserve"> in the protection of rights of citizens</w:t>
      </w:r>
      <w:r w:rsidRPr="00390E77">
        <w:rPr>
          <w:rFonts w:asciiTheme="majorHAnsi" w:hAnsiTheme="majorHAnsi" w:cstheme="majorHAnsi"/>
          <w:color w:val="000000" w:themeColor="text1"/>
          <w:sz w:val="22"/>
          <w:szCs w:val="22"/>
        </w:rPr>
        <w:t xml:space="preserve">. Achieving legislative clarity on the issue of deprivation of liberty in residential facilities for older people and for people with disabilities is also to be welcomed. </w:t>
      </w:r>
    </w:p>
    <w:p w14:paraId="1716E46E" w14:textId="77777777" w:rsidR="005F6919" w:rsidRPr="00390E77" w:rsidRDefault="005F6919" w:rsidP="00FB15DA">
      <w:pPr>
        <w:pStyle w:val="NormalWeb"/>
        <w:spacing w:before="2" w:after="2"/>
        <w:jc w:val="both"/>
        <w:outlineLvl w:val="0"/>
        <w:rPr>
          <w:rFonts w:asciiTheme="majorHAnsi" w:hAnsiTheme="majorHAnsi" w:cstheme="majorHAnsi"/>
          <w:color w:val="000000" w:themeColor="text1"/>
          <w:sz w:val="22"/>
          <w:szCs w:val="22"/>
        </w:rPr>
      </w:pPr>
    </w:p>
    <w:p w14:paraId="644601DC" w14:textId="23CF1767" w:rsidR="00CF768E" w:rsidRPr="00390E77" w:rsidRDefault="005F6919" w:rsidP="00FB15DA">
      <w:pPr>
        <w:pStyle w:val="NormalWeb"/>
        <w:spacing w:before="2" w:after="2"/>
        <w:jc w:val="both"/>
        <w:outlineLvl w:val="0"/>
        <w:rPr>
          <w:rFonts w:asciiTheme="majorHAnsi" w:hAnsiTheme="majorHAnsi" w:cstheme="majorHAnsi"/>
          <w:color w:val="000000" w:themeColor="text1"/>
          <w:sz w:val="22"/>
          <w:szCs w:val="22"/>
        </w:rPr>
      </w:pPr>
      <w:r w:rsidRPr="00390E77">
        <w:rPr>
          <w:rFonts w:asciiTheme="majorHAnsi" w:hAnsiTheme="majorHAnsi" w:cstheme="majorHAnsi"/>
          <w:color w:val="000000" w:themeColor="text1"/>
          <w:sz w:val="22"/>
          <w:szCs w:val="22"/>
        </w:rPr>
        <w:t>In all cases, d</w:t>
      </w:r>
      <w:r w:rsidR="00CF768E" w:rsidRPr="00390E77">
        <w:rPr>
          <w:rFonts w:asciiTheme="majorHAnsi" w:hAnsiTheme="majorHAnsi" w:cstheme="majorHAnsi"/>
          <w:color w:val="000000" w:themeColor="text1"/>
          <w:sz w:val="22"/>
          <w:szCs w:val="22"/>
        </w:rPr>
        <w:t>epri</w:t>
      </w:r>
      <w:r w:rsidRPr="00390E77">
        <w:rPr>
          <w:rFonts w:asciiTheme="majorHAnsi" w:hAnsiTheme="majorHAnsi" w:cstheme="majorHAnsi"/>
          <w:color w:val="000000" w:themeColor="text1"/>
          <w:sz w:val="22"/>
          <w:szCs w:val="22"/>
        </w:rPr>
        <w:t xml:space="preserve">vation of liberty should </w:t>
      </w:r>
      <w:r w:rsidR="00CF768E" w:rsidRPr="00390E77">
        <w:rPr>
          <w:rFonts w:asciiTheme="majorHAnsi" w:hAnsiTheme="majorHAnsi" w:cstheme="majorHAnsi"/>
          <w:color w:val="000000" w:themeColor="text1"/>
          <w:sz w:val="22"/>
          <w:szCs w:val="22"/>
        </w:rPr>
        <w:t xml:space="preserve">occur in accordance with due process of law, </w:t>
      </w:r>
      <w:r w:rsidR="00D81C0F" w:rsidRPr="00390E77">
        <w:rPr>
          <w:rFonts w:asciiTheme="majorHAnsi" w:hAnsiTheme="majorHAnsi" w:cstheme="majorHAnsi"/>
          <w:color w:val="000000" w:themeColor="text1"/>
          <w:sz w:val="22"/>
          <w:szCs w:val="22"/>
        </w:rPr>
        <w:t>and</w:t>
      </w:r>
      <w:r w:rsidR="00CF768E" w:rsidRPr="00390E77">
        <w:rPr>
          <w:rFonts w:asciiTheme="majorHAnsi" w:hAnsiTheme="majorHAnsi" w:cstheme="majorHAnsi"/>
          <w:color w:val="000000" w:themeColor="text1"/>
          <w:sz w:val="22"/>
          <w:szCs w:val="22"/>
        </w:rPr>
        <w:t xml:space="preserve"> subject to regular review and lawful challenge</w:t>
      </w:r>
      <w:r w:rsidRPr="00390E77">
        <w:rPr>
          <w:rFonts w:asciiTheme="majorHAnsi" w:hAnsiTheme="majorHAnsi" w:cstheme="majorHAnsi"/>
          <w:color w:val="000000" w:themeColor="text1"/>
          <w:sz w:val="22"/>
          <w:szCs w:val="22"/>
        </w:rPr>
        <w:t xml:space="preserve">. Notwithstanding this foundational principle, care is required to ensure that the legal structures and processes that are put in place do not become so cumbersome and bureaucratic that they detract from the quality of care provided to those who require safeguarding and protection. In this context, the opportunity to contribute to this consultation on the draft Heads of Bill on Part 13 of the Assisted Decision Making (Capacity) Act 2015 concerning the Deprivation of Liberty: Safeguard Proposals is </w:t>
      </w:r>
      <w:r w:rsidR="00D81C0F" w:rsidRPr="00390E77">
        <w:rPr>
          <w:rFonts w:asciiTheme="majorHAnsi" w:hAnsiTheme="majorHAnsi" w:cstheme="majorHAnsi"/>
          <w:color w:val="000000" w:themeColor="text1"/>
          <w:sz w:val="22"/>
          <w:szCs w:val="22"/>
        </w:rPr>
        <w:t xml:space="preserve">timely. </w:t>
      </w:r>
    </w:p>
    <w:p w14:paraId="6CC25413" w14:textId="77777777" w:rsidR="00683C62" w:rsidRPr="00390E77" w:rsidRDefault="00683C62" w:rsidP="00FB15DA">
      <w:pPr>
        <w:pStyle w:val="NormalWeb"/>
        <w:spacing w:before="2" w:after="2"/>
        <w:jc w:val="both"/>
        <w:outlineLvl w:val="0"/>
        <w:rPr>
          <w:rFonts w:asciiTheme="majorHAnsi" w:hAnsiTheme="majorHAnsi" w:cstheme="majorHAnsi"/>
          <w:b/>
          <w:color w:val="000000" w:themeColor="text1"/>
          <w:sz w:val="22"/>
          <w:szCs w:val="22"/>
        </w:rPr>
      </w:pPr>
    </w:p>
    <w:p w14:paraId="7620401B" w14:textId="77777777" w:rsidR="00F9674F" w:rsidRPr="00390E77" w:rsidRDefault="00F9674F" w:rsidP="00FB15DA">
      <w:pPr>
        <w:pStyle w:val="NormalWeb"/>
        <w:spacing w:before="2" w:after="2"/>
        <w:jc w:val="both"/>
        <w:outlineLvl w:val="0"/>
        <w:rPr>
          <w:rFonts w:asciiTheme="majorHAnsi" w:hAnsiTheme="majorHAnsi" w:cstheme="majorHAnsi"/>
          <w:b/>
          <w:color w:val="000000" w:themeColor="text1"/>
          <w:sz w:val="22"/>
          <w:szCs w:val="22"/>
        </w:rPr>
      </w:pPr>
    </w:p>
    <w:p w14:paraId="4E483887" w14:textId="77777777" w:rsidR="00CF768E" w:rsidRPr="00390E77" w:rsidRDefault="00CF768E" w:rsidP="00F65230">
      <w:pPr>
        <w:pStyle w:val="Heading2"/>
      </w:pPr>
      <w:r w:rsidRPr="00390E77">
        <w:t>Head One: Definitions</w:t>
      </w:r>
    </w:p>
    <w:p w14:paraId="43AD8276" w14:textId="77777777" w:rsidR="00683C62" w:rsidRPr="00390E77" w:rsidRDefault="00683C62" w:rsidP="00FB15DA">
      <w:pPr>
        <w:pStyle w:val="NormalWeb"/>
        <w:spacing w:before="2" w:after="2"/>
        <w:jc w:val="both"/>
        <w:outlineLvl w:val="0"/>
        <w:rPr>
          <w:rFonts w:asciiTheme="majorHAnsi" w:hAnsiTheme="majorHAnsi" w:cstheme="majorHAnsi"/>
          <w:b/>
          <w:color w:val="000000" w:themeColor="text1"/>
          <w:sz w:val="22"/>
          <w:szCs w:val="22"/>
        </w:rPr>
      </w:pPr>
    </w:p>
    <w:p w14:paraId="7272C686" w14:textId="77777777" w:rsidR="004429B2" w:rsidRPr="00F65230" w:rsidRDefault="004429B2" w:rsidP="00F65230">
      <w:pPr>
        <w:pStyle w:val="Heading3"/>
      </w:pPr>
      <w:r w:rsidRPr="00F65230">
        <w:t xml:space="preserve">Questions on Head 1: </w:t>
      </w:r>
    </w:p>
    <w:p w14:paraId="383704D5" w14:textId="0E4FC634" w:rsidR="004429B2" w:rsidRPr="00F65230" w:rsidRDefault="004429B2" w:rsidP="00F65230">
      <w:pPr>
        <w:pStyle w:val="Heading4"/>
      </w:pPr>
      <w:r w:rsidRPr="00F65230">
        <w:t>1.1  </w:t>
      </w:r>
      <w:r w:rsidR="00882189" w:rsidRPr="00F65230">
        <w:t xml:space="preserve"> </w:t>
      </w:r>
      <w:r w:rsidRPr="00F65230">
        <w:t xml:space="preserve">Do you have any views on the definitions currently included in this draft Head? </w:t>
      </w:r>
    </w:p>
    <w:p w14:paraId="31C1267D" w14:textId="77777777" w:rsidR="004429B2" w:rsidRPr="00390E77" w:rsidRDefault="004429B2" w:rsidP="00FB15DA">
      <w:pPr>
        <w:pStyle w:val="NormalWeb"/>
        <w:spacing w:before="2" w:after="2"/>
        <w:jc w:val="both"/>
        <w:rPr>
          <w:rFonts w:asciiTheme="majorHAnsi" w:hAnsiTheme="majorHAnsi" w:cstheme="majorHAnsi"/>
          <w:color w:val="000000" w:themeColor="text1"/>
          <w:sz w:val="22"/>
          <w:szCs w:val="22"/>
        </w:rPr>
      </w:pPr>
    </w:p>
    <w:p w14:paraId="59EE4B59" w14:textId="616741E7" w:rsidR="00383696" w:rsidRPr="00390E77" w:rsidRDefault="00200288" w:rsidP="00F96B6E">
      <w:pPr>
        <w:pStyle w:val="NormalWeb"/>
        <w:numPr>
          <w:ilvl w:val="0"/>
          <w:numId w:val="2"/>
        </w:numPr>
        <w:spacing w:before="2" w:after="2"/>
        <w:jc w:val="both"/>
        <w:rPr>
          <w:rFonts w:asciiTheme="majorHAnsi" w:hAnsiTheme="majorHAnsi" w:cstheme="majorHAnsi"/>
          <w:color w:val="000000" w:themeColor="text1"/>
          <w:sz w:val="22"/>
          <w:szCs w:val="22"/>
        </w:rPr>
      </w:pPr>
      <w:r w:rsidRPr="00390E77">
        <w:rPr>
          <w:rFonts w:asciiTheme="majorHAnsi" w:hAnsiTheme="majorHAnsi" w:cstheme="majorHAnsi"/>
          <w:color w:val="000000" w:themeColor="text1"/>
          <w:sz w:val="22"/>
          <w:szCs w:val="22"/>
        </w:rPr>
        <w:t>I</w:t>
      </w:r>
      <w:r w:rsidR="00527DE9" w:rsidRPr="00390E77">
        <w:rPr>
          <w:rFonts w:asciiTheme="majorHAnsi" w:hAnsiTheme="majorHAnsi" w:cstheme="majorHAnsi"/>
          <w:color w:val="000000" w:themeColor="text1"/>
          <w:sz w:val="22"/>
          <w:szCs w:val="22"/>
        </w:rPr>
        <w:t xml:space="preserve">t is noted that </w:t>
      </w:r>
      <w:r w:rsidR="00C43676" w:rsidRPr="00390E77">
        <w:rPr>
          <w:rFonts w:asciiTheme="majorHAnsi" w:hAnsiTheme="majorHAnsi" w:cstheme="majorHAnsi"/>
          <w:color w:val="000000" w:themeColor="text1"/>
          <w:sz w:val="22"/>
          <w:szCs w:val="22"/>
        </w:rPr>
        <w:t>the meaning of ‘deprivat</w:t>
      </w:r>
      <w:r w:rsidR="00527DE9" w:rsidRPr="00390E77">
        <w:rPr>
          <w:rFonts w:asciiTheme="majorHAnsi" w:hAnsiTheme="majorHAnsi" w:cstheme="majorHAnsi"/>
          <w:color w:val="000000" w:themeColor="text1"/>
          <w:sz w:val="22"/>
          <w:szCs w:val="22"/>
        </w:rPr>
        <w:t xml:space="preserve">ion of liberty’ is captured in the definitions of ‘admission’ and </w:t>
      </w:r>
      <w:r w:rsidRPr="00390E77">
        <w:rPr>
          <w:rFonts w:asciiTheme="majorHAnsi" w:hAnsiTheme="majorHAnsi" w:cstheme="majorHAnsi"/>
          <w:color w:val="000000" w:themeColor="text1"/>
          <w:sz w:val="22"/>
          <w:szCs w:val="22"/>
        </w:rPr>
        <w:t>‘admission decision</w:t>
      </w:r>
      <w:r w:rsidR="00527DE9" w:rsidRPr="00390E77">
        <w:rPr>
          <w:rFonts w:asciiTheme="majorHAnsi" w:hAnsiTheme="majorHAnsi" w:cstheme="majorHAnsi"/>
          <w:color w:val="000000" w:themeColor="text1"/>
          <w:sz w:val="22"/>
          <w:szCs w:val="22"/>
        </w:rPr>
        <w:t>’</w:t>
      </w:r>
      <w:r w:rsidR="00C43676" w:rsidRPr="00390E77">
        <w:rPr>
          <w:rFonts w:asciiTheme="majorHAnsi" w:hAnsiTheme="majorHAnsi" w:cstheme="majorHAnsi"/>
          <w:color w:val="000000" w:themeColor="text1"/>
          <w:sz w:val="22"/>
          <w:szCs w:val="22"/>
        </w:rPr>
        <w:t xml:space="preserve"> </w:t>
      </w:r>
      <w:r w:rsidRPr="00390E77">
        <w:rPr>
          <w:rFonts w:asciiTheme="majorHAnsi" w:hAnsiTheme="majorHAnsi" w:cstheme="majorHAnsi"/>
          <w:color w:val="000000" w:themeColor="text1"/>
          <w:sz w:val="22"/>
          <w:szCs w:val="22"/>
        </w:rPr>
        <w:t xml:space="preserve">and also in more detail in Head 2. Nonetheless, it is considered that </w:t>
      </w:r>
      <w:r w:rsidR="00C43676" w:rsidRPr="00390E77">
        <w:rPr>
          <w:rFonts w:asciiTheme="majorHAnsi" w:hAnsiTheme="majorHAnsi" w:cstheme="majorHAnsi"/>
          <w:color w:val="000000" w:themeColor="text1"/>
          <w:sz w:val="22"/>
          <w:szCs w:val="22"/>
        </w:rPr>
        <w:t>a spe</w:t>
      </w:r>
      <w:r w:rsidR="00527DE9" w:rsidRPr="00390E77">
        <w:rPr>
          <w:rFonts w:asciiTheme="majorHAnsi" w:hAnsiTheme="majorHAnsi" w:cstheme="majorHAnsi"/>
          <w:color w:val="000000" w:themeColor="text1"/>
          <w:sz w:val="22"/>
          <w:szCs w:val="22"/>
        </w:rPr>
        <w:t>c</w:t>
      </w:r>
      <w:r w:rsidR="00C43676" w:rsidRPr="00390E77">
        <w:rPr>
          <w:rFonts w:asciiTheme="majorHAnsi" w:hAnsiTheme="majorHAnsi" w:cstheme="majorHAnsi"/>
          <w:color w:val="000000" w:themeColor="text1"/>
          <w:sz w:val="22"/>
          <w:szCs w:val="22"/>
        </w:rPr>
        <w:t xml:space="preserve">ific </w:t>
      </w:r>
      <w:r w:rsidRPr="00390E77">
        <w:rPr>
          <w:rFonts w:asciiTheme="majorHAnsi" w:hAnsiTheme="majorHAnsi" w:cstheme="majorHAnsi"/>
          <w:color w:val="000000" w:themeColor="text1"/>
          <w:sz w:val="22"/>
          <w:szCs w:val="22"/>
        </w:rPr>
        <w:t>stand-</w:t>
      </w:r>
      <w:r w:rsidR="00527DE9" w:rsidRPr="00390E77">
        <w:rPr>
          <w:rFonts w:asciiTheme="majorHAnsi" w:hAnsiTheme="majorHAnsi" w:cstheme="majorHAnsi"/>
          <w:color w:val="000000" w:themeColor="text1"/>
          <w:sz w:val="22"/>
          <w:szCs w:val="22"/>
        </w:rPr>
        <w:t xml:space="preserve">alone </w:t>
      </w:r>
      <w:r w:rsidR="00C43676" w:rsidRPr="00390E77">
        <w:rPr>
          <w:rFonts w:asciiTheme="majorHAnsi" w:hAnsiTheme="majorHAnsi" w:cstheme="majorHAnsi"/>
          <w:color w:val="000000" w:themeColor="text1"/>
          <w:sz w:val="22"/>
          <w:szCs w:val="22"/>
        </w:rPr>
        <w:t xml:space="preserve">definition </w:t>
      </w:r>
      <w:r w:rsidR="00CC539B" w:rsidRPr="00390E77">
        <w:rPr>
          <w:rFonts w:asciiTheme="majorHAnsi" w:hAnsiTheme="majorHAnsi" w:cstheme="majorHAnsi"/>
          <w:color w:val="000000" w:themeColor="text1"/>
          <w:sz w:val="22"/>
          <w:szCs w:val="22"/>
        </w:rPr>
        <w:t xml:space="preserve">including the circumstances in which it occurs </w:t>
      </w:r>
      <w:r w:rsidR="00C43676" w:rsidRPr="00390E77">
        <w:rPr>
          <w:rFonts w:asciiTheme="majorHAnsi" w:hAnsiTheme="majorHAnsi" w:cstheme="majorHAnsi"/>
          <w:color w:val="000000" w:themeColor="text1"/>
          <w:sz w:val="22"/>
          <w:szCs w:val="22"/>
        </w:rPr>
        <w:t>would add clarity</w:t>
      </w:r>
      <w:r w:rsidR="00CC539B" w:rsidRPr="00390E77">
        <w:rPr>
          <w:rFonts w:asciiTheme="majorHAnsi" w:hAnsiTheme="majorHAnsi" w:cstheme="majorHAnsi"/>
          <w:color w:val="000000" w:themeColor="text1"/>
          <w:sz w:val="22"/>
          <w:szCs w:val="22"/>
        </w:rPr>
        <w:t xml:space="preserve"> and would provide clear guidance for decision-makers. </w:t>
      </w:r>
      <w:r w:rsidR="00F96D79" w:rsidRPr="00390E77">
        <w:rPr>
          <w:rFonts w:asciiTheme="majorHAnsi" w:hAnsiTheme="majorHAnsi" w:cstheme="majorHAnsi"/>
          <w:color w:val="000000" w:themeColor="text1"/>
          <w:sz w:val="22"/>
          <w:szCs w:val="22"/>
        </w:rPr>
        <w:t xml:space="preserve">It would be important that care is taken in constructing such a definition and ensuring that professionals and others are trained and educated in its use. A number of studies of professionals’ views </w:t>
      </w:r>
      <w:r w:rsidR="00F96B6E" w:rsidRPr="00390E77">
        <w:rPr>
          <w:rFonts w:asciiTheme="majorHAnsi" w:hAnsiTheme="majorHAnsi" w:cstheme="majorHAnsi"/>
          <w:color w:val="000000" w:themeColor="text1"/>
          <w:sz w:val="22"/>
          <w:szCs w:val="22"/>
        </w:rPr>
        <w:t xml:space="preserve">about the English Capacity Act </w:t>
      </w:r>
      <w:r w:rsidR="00756F80">
        <w:rPr>
          <w:rFonts w:asciiTheme="majorHAnsi" w:hAnsiTheme="majorHAnsi" w:cstheme="majorHAnsi"/>
          <w:color w:val="000000" w:themeColor="text1"/>
          <w:sz w:val="22"/>
          <w:szCs w:val="22"/>
        </w:rPr>
        <w:t>found widespread disagreement on</w:t>
      </w:r>
      <w:r w:rsidR="00F96D79" w:rsidRPr="00390E77">
        <w:rPr>
          <w:rFonts w:asciiTheme="majorHAnsi" w:hAnsiTheme="majorHAnsi" w:cstheme="majorHAnsi"/>
          <w:color w:val="000000" w:themeColor="text1"/>
          <w:sz w:val="22"/>
          <w:szCs w:val="22"/>
        </w:rPr>
        <w:t xml:space="preserve"> how to identify deprivation of liberty </w:t>
      </w:r>
      <w:r w:rsidR="00F96D79" w:rsidRPr="00390E77">
        <w:rPr>
          <w:color w:val="000000" w:themeColor="text1"/>
        </w:rPr>
        <w:t>(</w:t>
      </w:r>
      <w:r w:rsidR="00F96D79" w:rsidRPr="00390E77">
        <w:rPr>
          <w:rFonts w:asciiTheme="majorHAnsi" w:hAnsiTheme="majorHAnsi" w:cstheme="majorHAnsi"/>
          <w:color w:val="000000" w:themeColor="text1"/>
          <w:sz w:val="22"/>
          <w:szCs w:val="22"/>
        </w:rPr>
        <w:t xml:space="preserve">Cairns et </w:t>
      </w:r>
      <w:r w:rsidR="00F96D79" w:rsidRPr="00390E77">
        <w:rPr>
          <w:rFonts w:asciiTheme="majorHAnsi" w:hAnsiTheme="majorHAnsi" w:cstheme="majorHAnsi"/>
          <w:color w:val="000000" w:themeColor="text1"/>
          <w:sz w:val="22"/>
          <w:szCs w:val="22"/>
        </w:rPr>
        <w:lastRenderedPageBreak/>
        <w:t>al., 2011; Cairns et al</w:t>
      </w:r>
      <w:r w:rsidR="00F96B6E" w:rsidRPr="00390E77">
        <w:rPr>
          <w:rFonts w:asciiTheme="majorHAnsi" w:hAnsiTheme="majorHAnsi" w:cstheme="majorHAnsi"/>
          <w:color w:val="000000" w:themeColor="text1"/>
          <w:sz w:val="22"/>
          <w:szCs w:val="22"/>
        </w:rPr>
        <w:t>; Griffith (2013) and difficulties in providing adequate supporting documents for decision-making purposes (Lepping, 2012).</w:t>
      </w:r>
      <w:r w:rsidR="00F96D79" w:rsidRPr="00390E77">
        <w:rPr>
          <w:rFonts w:asciiTheme="majorHAnsi" w:hAnsiTheme="majorHAnsi" w:cstheme="majorHAnsi"/>
          <w:color w:val="000000" w:themeColor="text1"/>
          <w:sz w:val="22"/>
          <w:szCs w:val="22"/>
        </w:rPr>
        <w:t xml:space="preserve">  </w:t>
      </w:r>
    </w:p>
    <w:p w14:paraId="25CD692E" w14:textId="74CC00D3" w:rsidR="00200288" w:rsidRPr="00390E77" w:rsidRDefault="00CC539B" w:rsidP="00FB15DA">
      <w:pPr>
        <w:pStyle w:val="NormalWeb"/>
        <w:numPr>
          <w:ilvl w:val="0"/>
          <w:numId w:val="2"/>
        </w:numPr>
        <w:spacing w:before="2" w:after="2"/>
        <w:jc w:val="both"/>
        <w:rPr>
          <w:rFonts w:asciiTheme="majorHAnsi" w:hAnsiTheme="majorHAnsi" w:cstheme="majorHAnsi"/>
          <w:color w:val="000000" w:themeColor="text1"/>
          <w:sz w:val="22"/>
          <w:szCs w:val="22"/>
        </w:rPr>
      </w:pPr>
      <w:r w:rsidRPr="00390E77">
        <w:rPr>
          <w:rFonts w:asciiTheme="majorHAnsi" w:hAnsiTheme="majorHAnsi" w:cstheme="majorHAnsi"/>
          <w:color w:val="000000" w:themeColor="text1"/>
          <w:sz w:val="22"/>
          <w:szCs w:val="22"/>
        </w:rPr>
        <w:t xml:space="preserve">The term ‘deprivation of liberty’ has been the subject of much criticism in the UK (Bartlett, </w:t>
      </w:r>
      <w:r w:rsidR="00CC05E9" w:rsidRPr="00390E77">
        <w:rPr>
          <w:rFonts w:asciiTheme="majorHAnsi" w:hAnsiTheme="majorHAnsi" w:cstheme="majorHAnsi"/>
          <w:color w:val="000000" w:themeColor="text1"/>
          <w:sz w:val="22"/>
          <w:szCs w:val="22"/>
        </w:rPr>
        <w:t>2014; BASW, 2015</w:t>
      </w:r>
      <w:r w:rsidR="00523C15" w:rsidRPr="00390E77">
        <w:rPr>
          <w:rFonts w:asciiTheme="majorHAnsi" w:hAnsiTheme="majorHAnsi" w:cstheme="majorHAnsi"/>
          <w:color w:val="000000" w:themeColor="text1"/>
          <w:sz w:val="22"/>
          <w:szCs w:val="22"/>
        </w:rPr>
        <w:t>; Law Commission, 2015; Law Commission, 2017</w:t>
      </w:r>
      <w:r w:rsidRPr="00390E77">
        <w:rPr>
          <w:rFonts w:asciiTheme="majorHAnsi" w:hAnsiTheme="majorHAnsi" w:cstheme="majorHAnsi"/>
          <w:color w:val="000000" w:themeColor="text1"/>
          <w:sz w:val="22"/>
          <w:szCs w:val="22"/>
        </w:rPr>
        <w:t xml:space="preserve">). In general, it is considered to have negative connotations and </w:t>
      </w:r>
      <w:r w:rsidR="00E66810" w:rsidRPr="00390E77">
        <w:rPr>
          <w:rFonts w:asciiTheme="majorHAnsi" w:hAnsiTheme="majorHAnsi" w:cstheme="majorHAnsi"/>
          <w:color w:val="000000" w:themeColor="text1"/>
          <w:sz w:val="22"/>
          <w:szCs w:val="22"/>
        </w:rPr>
        <w:t xml:space="preserve">can </w:t>
      </w:r>
      <w:r w:rsidRPr="00390E77">
        <w:rPr>
          <w:rFonts w:asciiTheme="majorHAnsi" w:hAnsiTheme="majorHAnsi" w:cstheme="majorHAnsi"/>
          <w:color w:val="000000" w:themeColor="text1"/>
          <w:sz w:val="22"/>
          <w:szCs w:val="22"/>
        </w:rPr>
        <w:t>cause confusion and upset for family members</w:t>
      </w:r>
      <w:r w:rsidR="00E66810" w:rsidRPr="00390E77">
        <w:rPr>
          <w:rFonts w:asciiTheme="majorHAnsi" w:hAnsiTheme="majorHAnsi" w:cstheme="majorHAnsi"/>
          <w:color w:val="000000" w:themeColor="text1"/>
          <w:sz w:val="22"/>
          <w:szCs w:val="22"/>
        </w:rPr>
        <w:t>, as well as at times d</w:t>
      </w:r>
      <w:r w:rsidRPr="00390E77">
        <w:rPr>
          <w:rFonts w:asciiTheme="majorHAnsi" w:hAnsiTheme="majorHAnsi" w:cstheme="majorHAnsi"/>
          <w:color w:val="000000" w:themeColor="text1"/>
          <w:sz w:val="22"/>
          <w:szCs w:val="22"/>
        </w:rPr>
        <w:t>iscourag</w:t>
      </w:r>
      <w:r w:rsidR="00E66810" w:rsidRPr="00390E77">
        <w:rPr>
          <w:rFonts w:asciiTheme="majorHAnsi" w:hAnsiTheme="majorHAnsi" w:cstheme="majorHAnsi"/>
          <w:color w:val="000000" w:themeColor="text1"/>
          <w:sz w:val="22"/>
          <w:szCs w:val="22"/>
        </w:rPr>
        <w:t>ing</w:t>
      </w:r>
      <w:r w:rsidRPr="00390E77">
        <w:rPr>
          <w:rFonts w:asciiTheme="majorHAnsi" w:hAnsiTheme="majorHAnsi" w:cstheme="majorHAnsi"/>
          <w:color w:val="000000" w:themeColor="text1"/>
          <w:sz w:val="22"/>
          <w:szCs w:val="22"/>
        </w:rPr>
        <w:t xml:space="preserve"> professionals from using the </w:t>
      </w:r>
      <w:r w:rsidR="00E66810" w:rsidRPr="00390E77">
        <w:rPr>
          <w:rFonts w:asciiTheme="majorHAnsi" w:hAnsiTheme="majorHAnsi" w:cstheme="majorHAnsi"/>
          <w:color w:val="000000" w:themeColor="text1"/>
          <w:sz w:val="22"/>
          <w:szCs w:val="22"/>
        </w:rPr>
        <w:t>policy</w:t>
      </w:r>
      <w:r w:rsidRPr="00390E77">
        <w:rPr>
          <w:rFonts w:asciiTheme="majorHAnsi" w:hAnsiTheme="majorHAnsi" w:cstheme="majorHAnsi"/>
          <w:color w:val="000000" w:themeColor="text1"/>
          <w:sz w:val="22"/>
          <w:szCs w:val="22"/>
        </w:rPr>
        <w:t xml:space="preserve">. </w:t>
      </w:r>
    </w:p>
    <w:p w14:paraId="5448C700" w14:textId="719DFF90" w:rsidR="00527DE9" w:rsidRPr="00390E77" w:rsidRDefault="00CC539B" w:rsidP="00FB15DA">
      <w:pPr>
        <w:pStyle w:val="NormalWeb"/>
        <w:numPr>
          <w:ilvl w:val="0"/>
          <w:numId w:val="2"/>
        </w:numPr>
        <w:spacing w:before="2" w:after="2"/>
        <w:jc w:val="both"/>
        <w:rPr>
          <w:rFonts w:asciiTheme="majorHAnsi" w:hAnsiTheme="majorHAnsi" w:cstheme="majorHAnsi"/>
          <w:color w:val="000000" w:themeColor="text1"/>
          <w:sz w:val="22"/>
          <w:szCs w:val="22"/>
        </w:rPr>
      </w:pPr>
      <w:r w:rsidRPr="00390E77">
        <w:rPr>
          <w:rFonts w:asciiTheme="majorHAnsi" w:hAnsiTheme="majorHAnsi" w:cstheme="majorHAnsi"/>
          <w:color w:val="000000" w:themeColor="text1"/>
          <w:sz w:val="22"/>
          <w:szCs w:val="22"/>
        </w:rPr>
        <w:t>The</w:t>
      </w:r>
      <w:r w:rsidR="00014749" w:rsidRPr="00390E77">
        <w:rPr>
          <w:rFonts w:asciiTheme="majorHAnsi" w:hAnsiTheme="majorHAnsi" w:cstheme="majorHAnsi"/>
          <w:color w:val="000000" w:themeColor="text1"/>
          <w:sz w:val="22"/>
          <w:szCs w:val="22"/>
        </w:rPr>
        <w:t xml:space="preserve"> term </w:t>
      </w:r>
      <w:r w:rsidRPr="00390E77">
        <w:rPr>
          <w:rFonts w:asciiTheme="majorHAnsi" w:hAnsiTheme="majorHAnsi" w:cstheme="majorHAnsi"/>
          <w:color w:val="000000" w:themeColor="text1"/>
          <w:sz w:val="22"/>
          <w:szCs w:val="22"/>
        </w:rPr>
        <w:t xml:space="preserve">‘admission decision’ </w:t>
      </w:r>
      <w:r w:rsidR="00014749" w:rsidRPr="00390E77">
        <w:rPr>
          <w:rFonts w:asciiTheme="majorHAnsi" w:hAnsiTheme="majorHAnsi" w:cstheme="majorHAnsi"/>
          <w:color w:val="000000" w:themeColor="text1"/>
          <w:sz w:val="22"/>
          <w:szCs w:val="22"/>
        </w:rPr>
        <w:t xml:space="preserve">does not adequately describe all decisions which result in continuous supervision and control of a relevant person. For example, a relevant person </w:t>
      </w:r>
      <w:r w:rsidRPr="00390E77">
        <w:rPr>
          <w:rFonts w:asciiTheme="majorHAnsi" w:hAnsiTheme="majorHAnsi" w:cstheme="majorHAnsi"/>
          <w:color w:val="000000" w:themeColor="text1"/>
          <w:sz w:val="22"/>
          <w:szCs w:val="22"/>
        </w:rPr>
        <w:t>may lose capacity and be subject to deprivation of liberty after they have been admitted to a particular faci</w:t>
      </w:r>
      <w:r w:rsidR="002D0065" w:rsidRPr="00390E77">
        <w:rPr>
          <w:rFonts w:asciiTheme="majorHAnsi" w:hAnsiTheme="majorHAnsi" w:cstheme="majorHAnsi"/>
          <w:color w:val="000000" w:themeColor="text1"/>
          <w:sz w:val="22"/>
          <w:szCs w:val="22"/>
        </w:rPr>
        <w:t>lity or may have an</w:t>
      </w:r>
      <w:r w:rsidR="00D12513">
        <w:rPr>
          <w:rFonts w:asciiTheme="majorHAnsi" w:hAnsiTheme="majorHAnsi" w:cstheme="majorHAnsi"/>
          <w:color w:val="000000" w:themeColor="text1"/>
          <w:sz w:val="22"/>
          <w:szCs w:val="22"/>
        </w:rPr>
        <w:t xml:space="preserve"> advanced dementia or cognitive </w:t>
      </w:r>
      <w:r w:rsidR="002D0065" w:rsidRPr="00390E77">
        <w:rPr>
          <w:rFonts w:asciiTheme="majorHAnsi" w:hAnsiTheme="majorHAnsi" w:cstheme="majorHAnsi"/>
          <w:color w:val="000000" w:themeColor="text1"/>
          <w:sz w:val="22"/>
          <w:szCs w:val="22"/>
        </w:rPr>
        <w:t>impairment and require constant supervision within the home environment.</w:t>
      </w:r>
      <w:r w:rsidRPr="00390E77">
        <w:rPr>
          <w:rFonts w:asciiTheme="majorHAnsi" w:hAnsiTheme="majorHAnsi" w:cstheme="majorHAnsi"/>
          <w:color w:val="000000" w:themeColor="text1"/>
          <w:sz w:val="22"/>
          <w:szCs w:val="22"/>
        </w:rPr>
        <w:t xml:space="preserve"> </w:t>
      </w:r>
      <w:r w:rsidR="00D12513">
        <w:rPr>
          <w:rFonts w:asciiTheme="majorHAnsi" w:hAnsiTheme="majorHAnsi" w:cstheme="majorHAnsi"/>
          <w:color w:val="000000" w:themeColor="text1"/>
          <w:sz w:val="22"/>
          <w:szCs w:val="22"/>
        </w:rPr>
        <w:t xml:space="preserve">Consultation to establish a </w:t>
      </w:r>
      <w:r w:rsidR="00244ACE" w:rsidRPr="00390E77">
        <w:rPr>
          <w:rFonts w:asciiTheme="majorHAnsi" w:hAnsiTheme="majorHAnsi" w:cstheme="majorHAnsi"/>
          <w:color w:val="000000" w:themeColor="text1"/>
          <w:sz w:val="22"/>
          <w:szCs w:val="22"/>
        </w:rPr>
        <w:t>more appropriate and accurately descriptive term</w:t>
      </w:r>
      <w:r w:rsidR="00E66810" w:rsidRPr="00390E77">
        <w:rPr>
          <w:rFonts w:asciiTheme="majorHAnsi" w:hAnsiTheme="majorHAnsi" w:cstheme="majorHAnsi"/>
          <w:color w:val="000000" w:themeColor="text1"/>
          <w:sz w:val="22"/>
          <w:szCs w:val="22"/>
        </w:rPr>
        <w:t>s</w:t>
      </w:r>
      <w:r w:rsidR="00244ACE" w:rsidRPr="00390E77">
        <w:rPr>
          <w:rFonts w:asciiTheme="majorHAnsi" w:hAnsiTheme="majorHAnsi" w:cstheme="majorHAnsi"/>
          <w:color w:val="000000" w:themeColor="text1"/>
          <w:sz w:val="22"/>
          <w:szCs w:val="22"/>
        </w:rPr>
        <w:t xml:space="preserve"> for this significant decision</w:t>
      </w:r>
      <w:r w:rsidR="00756F80">
        <w:rPr>
          <w:rFonts w:asciiTheme="majorHAnsi" w:hAnsiTheme="majorHAnsi" w:cstheme="majorHAnsi"/>
          <w:color w:val="000000" w:themeColor="text1"/>
          <w:sz w:val="22"/>
          <w:szCs w:val="22"/>
        </w:rPr>
        <w:t>-</w:t>
      </w:r>
      <w:r w:rsidR="00D81C0F" w:rsidRPr="00390E77">
        <w:rPr>
          <w:rFonts w:asciiTheme="majorHAnsi" w:hAnsiTheme="majorHAnsi" w:cstheme="majorHAnsi"/>
          <w:color w:val="000000" w:themeColor="text1"/>
          <w:sz w:val="22"/>
          <w:szCs w:val="22"/>
        </w:rPr>
        <w:t>making process</w:t>
      </w:r>
      <w:r w:rsidR="00244ACE" w:rsidRPr="00390E77">
        <w:rPr>
          <w:rFonts w:asciiTheme="majorHAnsi" w:hAnsiTheme="majorHAnsi" w:cstheme="majorHAnsi"/>
          <w:color w:val="000000" w:themeColor="text1"/>
          <w:sz w:val="22"/>
          <w:szCs w:val="22"/>
        </w:rPr>
        <w:t xml:space="preserve"> should be undertaken. </w:t>
      </w:r>
    </w:p>
    <w:p w14:paraId="2A226877" w14:textId="77777777" w:rsidR="002D0065" w:rsidRPr="00390E77" w:rsidRDefault="002D0065" w:rsidP="002D0065">
      <w:pPr>
        <w:pStyle w:val="NormalWeb"/>
        <w:spacing w:before="2" w:after="2"/>
        <w:jc w:val="both"/>
        <w:rPr>
          <w:rFonts w:asciiTheme="majorHAnsi" w:hAnsiTheme="majorHAnsi" w:cstheme="majorHAnsi"/>
          <w:color w:val="000000" w:themeColor="text1"/>
          <w:sz w:val="22"/>
          <w:szCs w:val="22"/>
        </w:rPr>
      </w:pPr>
    </w:p>
    <w:p w14:paraId="07073B2C" w14:textId="77777777" w:rsidR="004429B2" w:rsidRPr="00390E77" w:rsidRDefault="004429B2" w:rsidP="00FB15DA">
      <w:pPr>
        <w:pStyle w:val="NormalWeb"/>
        <w:spacing w:before="2" w:after="2"/>
        <w:jc w:val="both"/>
        <w:rPr>
          <w:rFonts w:asciiTheme="majorHAnsi" w:hAnsiTheme="majorHAnsi" w:cstheme="majorHAnsi"/>
          <w:color w:val="000000" w:themeColor="text1"/>
          <w:sz w:val="22"/>
          <w:szCs w:val="22"/>
        </w:rPr>
      </w:pPr>
    </w:p>
    <w:p w14:paraId="3B75B73D" w14:textId="257374E9" w:rsidR="004429B2" w:rsidRPr="00390E77" w:rsidRDefault="004429B2" w:rsidP="00F65230">
      <w:pPr>
        <w:pStyle w:val="Heading4"/>
      </w:pPr>
      <w:r w:rsidRPr="00390E77">
        <w:t xml:space="preserve">1.2 </w:t>
      </w:r>
      <w:r w:rsidR="00882189">
        <w:t xml:space="preserve"> </w:t>
      </w:r>
      <w:r w:rsidRPr="00390E77">
        <w:t xml:space="preserve"> In particular, do you have any views as to the types of healthcare professionals that </w:t>
      </w:r>
    </w:p>
    <w:p w14:paraId="2E03781A" w14:textId="77777777" w:rsidR="001B49D3" w:rsidRPr="00390E77" w:rsidRDefault="004429B2" w:rsidP="00F65230">
      <w:pPr>
        <w:pStyle w:val="Heading4"/>
      </w:pPr>
      <w:r w:rsidRPr="00390E77">
        <w:t xml:space="preserve">should be included within the definition of “other medical expert”? </w:t>
      </w:r>
    </w:p>
    <w:p w14:paraId="56234839" w14:textId="77777777" w:rsidR="001B49D3" w:rsidRPr="00390E77" w:rsidRDefault="001B49D3" w:rsidP="00FB15DA">
      <w:pPr>
        <w:pStyle w:val="NormalWeb"/>
        <w:spacing w:before="2" w:after="2"/>
        <w:jc w:val="both"/>
        <w:rPr>
          <w:rFonts w:asciiTheme="majorHAnsi" w:hAnsiTheme="majorHAnsi" w:cstheme="majorHAnsi"/>
          <w:b/>
          <w:color w:val="000000" w:themeColor="text1"/>
          <w:sz w:val="22"/>
          <w:szCs w:val="22"/>
        </w:rPr>
      </w:pPr>
    </w:p>
    <w:p w14:paraId="22969730" w14:textId="06C70231" w:rsidR="0028372F" w:rsidRPr="00390E77" w:rsidRDefault="0028372F" w:rsidP="00FB15DA">
      <w:pPr>
        <w:pStyle w:val="NormalWeb"/>
        <w:numPr>
          <w:ilvl w:val="0"/>
          <w:numId w:val="4"/>
        </w:numPr>
        <w:spacing w:before="2" w:after="2"/>
        <w:jc w:val="both"/>
        <w:rPr>
          <w:rFonts w:asciiTheme="majorHAnsi" w:hAnsiTheme="majorHAnsi" w:cstheme="majorHAnsi"/>
          <w:b/>
          <w:color w:val="000000" w:themeColor="text1"/>
          <w:sz w:val="22"/>
          <w:szCs w:val="22"/>
        </w:rPr>
      </w:pPr>
      <w:r w:rsidRPr="00390E77">
        <w:rPr>
          <w:rFonts w:asciiTheme="majorHAnsi" w:hAnsiTheme="majorHAnsi" w:cstheme="majorHAnsi"/>
          <w:color w:val="000000" w:themeColor="text1"/>
          <w:sz w:val="22"/>
          <w:szCs w:val="22"/>
        </w:rPr>
        <w:t xml:space="preserve">Under ECHR law, medical evidence is required to justify a decision to deprive a person of their liberty. However, it is recommended that other healthcare </w:t>
      </w:r>
      <w:r w:rsidR="008C759F" w:rsidRPr="00390E77">
        <w:rPr>
          <w:rFonts w:asciiTheme="majorHAnsi" w:hAnsiTheme="majorHAnsi" w:cstheme="majorHAnsi"/>
          <w:color w:val="000000" w:themeColor="text1"/>
          <w:sz w:val="22"/>
          <w:szCs w:val="22"/>
        </w:rPr>
        <w:t xml:space="preserve">professionals </w:t>
      </w:r>
      <w:r w:rsidRPr="00390E77">
        <w:rPr>
          <w:rFonts w:asciiTheme="majorHAnsi" w:hAnsiTheme="majorHAnsi" w:cstheme="majorHAnsi"/>
          <w:color w:val="000000" w:themeColor="text1"/>
          <w:sz w:val="22"/>
          <w:szCs w:val="22"/>
        </w:rPr>
        <w:t xml:space="preserve">with specialist assessment expertise are </w:t>
      </w:r>
      <w:r w:rsidR="008C759F" w:rsidRPr="00390E77">
        <w:rPr>
          <w:rFonts w:asciiTheme="majorHAnsi" w:hAnsiTheme="majorHAnsi" w:cstheme="majorHAnsi"/>
          <w:color w:val="000000" w:themeColor="text1"/>
          <w:sz w:val="22"/>
          <w:szCs w:val="22"/>
        </w:rPr>
        <w:t xml:space="preserve">included within the definition of ‘other medical expert.’ </w:t>
      </w:r>
      <w:r w:rsidRPr="00390E77">
        <w:rPr>
          <w:rFonts w:asciiTheme="majorHAnsi" w:hAnsiTheme="majorHAnsi" w:cstheme="majorHAnsi"/>
          <w:color w:val="000000" w:themeColor="text1"/>
          <w:sz w:val="22"/>
          <w:szCs w:val="22"/>
        </w:rPr>
        <w:t>In</w:t>
      </w:r>
      <w:r w:rsidR="00D81C0F" w:rsidRPr="00390E77">
        <w:rPr>
          <w:rFonts w:asciiTheme="majorHAnsi" w:hAnsiTheme="majorHAnsi" w:cstheme="majorHAnsi"/>
          <w:color w:val="000000" w:themeColor="text1"/>
          <w:sz w:val="22"/>
          <w:szCs w:val="22"/>
        </w:rPr>
        <w:t xml:space="preserve"> England and Wales </w:t>
      </w:r>
      <w:r w:rsidR="00CA2C75" w:rsidRPr="00390E77">
        <w:rPr>
          <w:rFonts w:asciiTheme="majorHAnsi" w:hAnsiTheme="majorHAnsi" w:cstheme="majorHAnsi"/>
          <w:color w:val="000000" w:themeColor="text1"/>
          <w:sz w:val="22"/>
          <w:szCs w:val="22"/>
        </w:rPr>
        <w:t>other professionals</w:t>
      </w:r>
      <w:r w:rsidR="00E66810" w:rsidRPr="00390E77">
        <w:rPr>
          <w:rFonts w:asciiTheme="majorHAnsi" w:hAnsiTheme="majorHAnsi" w:cstheme="majorHAnsi"/>
          <w:color w:val="000000" w:themeColor="text1"/>
          <w:sz w:val="22"/>
          <w:szCs w:val="22"/>
        </w:rPr>
        <w:t>,</w:t>
      </w:r>
      <w:r w:rsidR="00CA2C75" w:rsidRPr="00390E77">
        <w:rPr>
          <w:rFonts w:asciiTheme="majorHAnsi" w:hAnsiTheme="majorHAnsi" w:cstheme="majorHAnsi"/>
          <w:color w:val="000000" w:themeColor="text1"/>
          <w:sz w:val="22"/>
          <w:szCs w:val="22"/>
        </w:rPr>
        <w:t xml:space="preserve"> for example Approved Mental Health Professionals</w:t>
      </w:r>
      <w:r w:rsidRPr="00390E77">
        <w:rPr>
          <w:rFonts w:asciiTheme="majorHAnsi" w:hAnsiTheme="majorHAnsi" w:cstheme="majorHAnsi"/>
          <w:color w:val="000000" w:themeColor="text1"/>
          <w:sz w:val="22"/>
          <w:szCs w:val="22"/>
        </w:rPr>
        <w:t xml:space="preserve"> (AMHPS)</w:t>
      </w:r>
      <w:r w:rsidR="00E66810" w:rsidRPr="00390E77">
        <w:rPr>
          <w:rFonts w:asciiTheme="majorHAnsi" w:hAnsiTheme="majorHAnsi" w:cstheme="majorHAnsi"/>
          <w:color w:val="000000" w:themeColor="text1"/>
          <w:sz w:val="22"/>
          <w:szCs w:val="22"/>
        </w:rPr>
        <w:t>,</w:t>
      </w:r>
      <w:r w:rsidRPr="00390E77">
        <w:rPr>
          <w:rFonts w:asciiTheme="majorHAnsi" w:hAnsiTheme="majorHAnsi" w:cstheme="majorHAnsi"/>
          <w:color w:val="000000" w:themeColor="text1"/>
          <w:sz w:val="22"/>
          <w:szCs w:val="22"/>
        </w:rPr>
        <w:t xml:space="preserve"> are </w:t>
      </w:r>
      <w:r w:rsidR="00CA2C75" w:rsidRPr="00390E77">
        <w:rPr>
          <w:rFonts w:asciiTheme="majorHAnsi" w:hAnsiTheme="majorHAnsi" w:cstheme="majorHAnsi"/>
          <w:color w:val="000000" w:themeColor="text1"/>
          <w:sz w:val="22"/>
          <w:szCs w:val="22"/>
        </w:rPr>
        <w:t xml:space="preserve">often </w:t>
      </w:r>
      <w:r w:rsidRPr="00390E77">
        <w:rPr>
          <w:rFonts w:asciiTheme="majorHAnsi" w:hAnsiTheme="majorHAnsi" w:cstheme="majorHAnsi"/>
          <w:color w:val="000000" w:themeColor="text1"/>
          <w:sz w:val="22"/>
          <w:szCs w:val="22"/>
        </w:rPr>
        <w:t xml:space="preserve">authorised by their </w:t>
      </w:r>
      <w:r w:rsidR="00E66810" w:rsidRPr="00390E77">
        <w:rPr>
          <w:rFonts w:asciiTheme="majorHAnsi" w:hAnsiTheme="majorHAnsi" w:cstheme="majorHAnsi"/>
          <w:color w:val="000000" w:themeColor="text1"/>
          <w:sz w:val="22"/>
          <w:szCs w:val="22"/>
        </w:rPr>
        <w:t xml:space="preserve">agencies </w:t>
      </w:r>
      <w:r w:rsidRPr="00390E77">
        <w:rPr>
          <w:rFonts w:asciiTheme="majorHAnsi" w:hAnsiTheme="majorHAnsi" w:cstheme="majorHAnsi"/>
          <w:color w:val="000000" w:themeColor="text1"/>
          <w:sz w:val="22"/>
          <w:szCs w:val="22"/>
        </w:rPr>
        <w:t>to carry out such assessments</w:t>
      </w:r>
      <w:r w:rsidR="00CA2C75" w:rsidRPr="00390E77">
        <w:rPr>
          <w:rFonts w:asciiTheme="majorHAnsi" w:hAnsiTheme="majorHAnsi" w:cstheme="majorHAnsi"/>
          <w:color w:val="000000" w:themeColor="text1"/>
          <w:sz w:val="22"/>
          <w:szCs w:val="22"/>
        </w:rPr>
        <w:t xml:space="preserve"> and, alongside other professional</w:t>
      </w:r>
      <w:r w:rsidR="00E66810" w:rsidRPr="00390E77">
        <w:rPr>
          <w:rFonts w:asciiTheme="majorHAnsi" w:hAnsiTheme="majorHAnsi" w:cstheme="majorHAnsi"/>
          <w:color w:val="000000" w:themeColor="text1"/>
          <w:sz w:val="22"/>
          <w:szCs w:val="22"/>
        </w:rPr>
        <w:t>s,</w:t>
      </w:r>
      <w:r w:rsidR="00CA2C75" w:rsidRPr="00390E77">
        <w:rPr>
          <w:rFonts w:asciiTheme="majorHAnsi" w:hAnsiTheme="majorHAnsi" w:cstheme="majorHAnsi"/>
          <w:color w:val="000000" w:themeColor="text1"/>
          <w:sz w:val="22"/>
          <w:szCs w:val="22"/>
        </w:rPr>
        <w:t xml:space="preserve"> carry out subsequent Best Interest Assessments (BIA)</w:t>
      </w:r>
      <w:r w:rsidRPr="00390E77">
        <w:rPr>
          <w:rFonts w:asciiTheme="majorHAnsi" w:hAnsiTheme="majorHAnsi" w:cstheme="majorHAnsi"/>
          <w:color w:val="000000" w:themeColor="text1"/>
          <w:sz w:val="22"/>
          <w:szCs w:val="22"/>
        </w:rPr>
        <w:t xml:space="preserve">. </w:t>
      </w:r>
      <w:r w:rsidR="00F96D79" w:rsidRPr="00390E77">
        <w:rPr>
          <w:rFonts w:asciiTheme="majorHAnsi" w:hAnsiTheme="majorHAnsi" w:cstheme="majorHAnsi"/>
          <w:color w:val="000000" w:themeColor="text1"/>
          <w:sz w:val="22"/>
          <w:szCs w:val="22"/>
        </w:rPr>
        <w:t xml:space="preserve">Most </w:t>
      </w:r>
      <w:r w:rsidRPr="00390E77">
        <w:rPr>
          <w:rFonts w:asciiTheme="majorHAnsi" w:hAnsiTheme="majorHAnsi" w:cstheme="majorHAnsi"/>
          <w:color w:val="000000" w:themeColor="text1"/>
          <w:sz w:val="22"/>
          <w:szCs w:val="22"/>
        </w:rPr>
        <w:t xml:space="preserve">AMHPS </w:t>
      </w:r>
      <w:r w:rsidR="00F96D79" w:rsidRPr="00390E77">
        <w:rPr>
          <w:rFonts w:asciiTheme="majorHAnsi" w:hAnsiTheme="majorHAnsi" w:cstheme="majorHAnsi"/>
          <w:color w:val="000000" w:themeColor="text1"/>
          <w:sz w:val="22"/>
          <w:szCs w:val="22"/>
        </w:rPr>
        <w:t>are</w:t>
      </w:r>
      <w:r w:rsidRPr="00390E77">
        <w:rPr>
          <w:rFonts w:asciiTheme="majorHAnsi" w:hAnsiTheme="majorHAnsi" w:cstheme="majorHAnsi"/>
          <w:color w:val="000000" w:themeColor="text1"/>
          <w:sz w:val="22"/>
          <w:szCs w:val="22"/>
        </w:rPr>
        <w:t xml:space="preserve"> social workers, </w:t>
      </w:r>
      <w:r w:rsidR="00F96D79" w:rsidRPr="00390E77">
        <w:rPr>
          <w:rFonts w:asciiTheme="majorHAnsi" w:hAnsiTheme="majorHAnsi" w:cstheme="majorHAnsi"/>
          <w:color w:val="000000" w:themeColor="text1"/>
          <w:sz w:val="22"/>
          <w:szCs w:val="22"/>
        </w:rPr>
        <w:t xml:space="preserve">with much smaller numbers of </w:t>
      </w:r>
      <w:r w:rsidRPr="00390E77">
        <w:rPr>
          <w:rFonts w:asciiTheme="majorHAnsi" w:hAnsiTheme="majorHAnsi" w:cstheme="majorHAnsi"/>
          <w:color w:val="000000" w:themeColor="text1"/>
          <w:sz w:val="22"/>
          <w:szCs w:val="22"/>
        </w:rPr>
        <w:t>nurses, occupational therapists and psychologists.</w:t>
      </w:r>
      <w:r w:rsidR="00D81C0F" w:rsidRPr="00390E77">
        <w:rPr>
          <w:rFonts w:asciiTheme="majorHAnsi" w:hAnsiTheme="majorHAnsi" w:cstheme="majorHAnsi"/>
          <w:color w:val="000000" w:themeColor="text1"/>
          <w:sz w:val="22"/>
          <w:szCs w:val="22"/>
        </w:rPr>
        <w:t xml:space="preserve"> </w:t>
      </w:r>
      <w:r w:rsidR="00CA2C75" w:rsidRPr="00390E77">
        <w:rPr>
          <w:rFonts w:asciiTheme="majorHAnsi" w:hAnsiTheme="majorHAnsi" w:cstheme="majorHAnsi"/>
          <w:color w:val="000000" w:themeColor="text1"/>
          <w:sz w:val="22"/>
          <w:szCs w:val="22"/>
        </w:rPr>
        <w:t>In Scotland, and in the proposed capacity legislation in Northern Ireland, a range of professionals are also defined in the legislation. In the Irish context it would be important to establish the role</w:t>
      </w:r>
      <w:r w:rsidR="00E66810" w:rsidRPr="00390E77">
        <w:rPr>
          <w:rFonts w:asciiTheme="majorHAnsi" w:hAnsiTheme="majorHAnsi" w:cstheme="majorHAnsi"/>
          <w:color w:val="000000" w:themeColor="text1"/>
          <w:sz w:val="22"/>
          <w:szCs w:val="22"/>
        </w:rPr>
        <w:t xml:space="preserve">, </w:t>
      </w:r>
      <w:r w:rsidR="00CA2C75" w:rsidRPr="00390E77">
        <w:rPr>
          <w:rFonts w:asciiTheme="majorHAnsi" w:hAnsiTheme="majorHAnsi" w:cstheme="majorHAnsi"/>
          <w:color w:val="000000" w:themeColor="text1"/>
          <w:sz w:val="22"/>
          <w:szCs w:val="22"/>
        </w:rPr>
        <w:t xml:space="preserve">function </w:t>
      </w:r>
      <w:r w:rsidR="00E66810" w:rsidRPr="00390E77">
        <w:rPr>
          <w:rFonts w:asciiTheme="majorHAnsi" w:hAnsiTheme="majorHAnsi" w:cstheme="majorHAnsi"/>
          <w:color w:val="000000" w:themeColor="text1"/>
          <w:sz w:val="22"/>
          <w:szCs w:val="22"/>
        </w:rPr>
        <w:t xml:space="preserve">and mix </w:t>
      </w:r>
      <w:r w:rsidR="00CA2C75" w:rsidRPr="00390E77">
        <w:rPr>
          <w:rFonts w:asciiTheme="majorHAnsi" w:hAnsiTheme="majorHAnsi" w:cstheme="majorHAnsi"/>
          <w:color w:val="000000" w:themeColor="text1"/>
          <w:sz w:val="22"/>
          <w:szCs w:val="22"/>
        </w:rPr>
        <w:t xml:space="preserve">of such professionals and </w:t>
      </w:r>
      <w:r w:rsidR="002D0065" w:rsidRPr="00390E77">
        <w:rPr>
          <w:rFonts w:asciiTheme="majorHAnsi" w:hAnsiTheme="majorHAnsi" w:cstheme="majorHAnsi"/>
          <w:color w:val="000000" w:themeColor="text1"/>
          <w:sz w:val="22"/>
          <w:szCs w:val="22"/>
        </w:rPr>
        <w:t xml:space="preserve">to develop and </w:t>
      </w:r>
      <w:r w:rsidR="00CA2C75" w:rsidRPr="00390E77">
        <w:rPr>
          <w:rFonts w:asciiTheme="majorHAnsi" w:hAnsiTheme="majorHAnsi" w:cstheme="majorHAnsi"/>
          <w:color w:val="000000" w:themeColor="text1"/>
          <w:sz w:val="22"/>
          <w:szCs w:val="22"/>
        </w:rPr>
        <w:t>deliver appropriate education and training for the role.</w:t>
      </w:r>
    </w:p>
    <w:p w14:paraId="0632D62C" w14:textId="77777777" w:rsidR="00E6708A" w:rsidRPr="00390E77" w:rsidRDefault="00E6708A" w:rsidP="00FB15DA">
      <w:pPr>
        <w:pStyle w:val="NormalWeb"/>
        <w:spacing w:before="2" w:after="2"/>
        <w:jc w:val="both"/>
        <w:outlineLvl w:val="0"/>
        <w:rPr>
          <w:rFonts w:asciiTheme="majorHAnsi" w:hAnsiTheme="majorHAnsi" w:cstheme="majorHAnsi"/>
          <w:color w:val="000000" w:themeColor="text1"/>
          <w:sz w:val="22"/>
          <w:szCs w:val="22"/>
        </w:rPr>
      </w:pPr>
    </w:p>
    <w:p w14:paraId="674EFF45" w14:textId="5958D513" w:rsidR="007F72B5" w:rsidRPr="00390E77" w:rsidRDefault="004429B2" w:rsidP="00F65230">
      <w:pPr>
        <w:pStyle w:val="Heading4"/>
      </w:pPr>
      <w:r w:rsidRPr="00390E77">
        <w:t>1.3  </w:t>
      </w:r>
      <w:r w:rsidR="00882189">
        <w:t xml:space="preserve"> </w:t>
      </w:r>
      <w:r w:rsidRPr="00390E77">
        <w:t xml:space="preserve">Do you have any other views specific to Head 1 </w:t>
      </w:r>
    </w:p>
    <w:p w14:paraId="5CA3D720" w14:textId="77777777" w:rsidR="007F72B5" w:rsidRPr="00390E77" w:rsidRDefault="007F72B5" w:rsidP="00FB15DA">
      <w:pPr>
        <w:pStyle w:val="NormalWeb"/>
        <w:spacing w:before="2" w:after="2"/>
        <w:jc w:val="both"/>
        <w:rPr>
          <w:rFonts w:asciiTheme="majorHAnsi" w:hAnsiTheme="majorHAnsi" w:cstheme="majorHAnsi"/>
          <w:b/>
          <w:color w:val="000000" w:themeColor="text1"/>
          <w:sz w:val="22"/>
          <w:szCs w:val="22"/>
        </w:rPr>
      </w:pPr>
    </w:p>
    <w:p w14:paraId="1480D765" w14:textId="19291DB0" w:rsidR="00242B4B" w:rsidRPr="00390E77" w:rsidRDefault="0028372F" w:rsidP="00FB15DA">
      <w:pPr>
        <w:pStyle w:val="ListParagraph"/>
        <w:numPr>
          <w:ilvl w:val="0"/>
          <w:numId w:val="19"/>
        </w:numPr>
        <w:jc w:val="both"/>
        <w:rPr>
          <w:rFonts w:asciiTheme="majorHAnsi" w:hAnsiTheme="majorHAnsi" w:cstheme="majorHAnsi"/>
          <w:color w:val="000000" w:themeColor="text1"/>
          <w:sz w:val="22"/>
          <w:szCs w:val="22"/>
        </w:rPr>
      </w:pPr>
      <w:r w:rsidRPr="00390E77">
        <w:rPr>
          <w:rFonts w:asciiTheme="majorHAnsi" w:hAnsiTheme="majorHAnsi" w:cstheme="majorHAnsi"/>
          <w:color w:val="000000" w:themeColor="text1"/>
          <w:sz w:val="22"/>
          <w:szCs w:val="22"/>
        </w:rPr>
        <w:t xml:space="preserve">A statutory definition of restraint practices should be </w:t>
      </w:r>
      <w:r w:rsidR="00D81C0F" w:rsidRPr="00390E77">
        <w:rPr>
          <w:rFonts w:asciiTheme="majorHAnsi" w:hAnsiTheme="majorHAnsi" w:cstheme="majorHAnsi"/>
          <w:color w:val="000000" w:themeColor="text1"/>
          <w:sz w:val="22"/>
          <w:szCs w:val="22"/>
        </w:rPr>
        <w:t>created.</w:t>
      </w:r>
      <w:r w:rsidRPr="00390E77">
        <w:rPr>
          <w:rFonts w:asciiTheme="majorHAnsi" w:hAnsiTheme="majorHAnsi" w:cstheme="majorHAnsi"/>
          <w:color w:val="000000" w:themeColor="text1"/>
          <w:sz w:val="22"/>
          <w:szCs w:val="22"/>
        </w:rPr>
        <w:t xml:space="preserve"> It is recommended that this definition is then used across all statutory and regulatory documentation such as HIQA or HSE guidance. </w:t>
      </w:r>
      <w:r w:rsidR="00D81C0F" w:rsidRPr="00390E77">
        <w:rPr>
          <w:rFonts w:asciiTheme="majorHAnsi" w:hAnsiTheme="majorHAnsi" w:cstheme="majorHAnsi"/>
          <w:color w:val="000000" w:themeColor="text1"/>
          <w:sz w:val="22"/>
          <w:szCs w:val="22"/>
        </w:rPr>
        <w:t>Such c</w:t>
      </w:r>
      <w:r w:rsidRPr="00390E77">
        <w:rPr>
          <w:rFonts w:asciiTheme="majorHAnsi" w:hAnsiTheme="majorHAnsi" w:cstheme="majorHAnsi"/>
          <w:color w:val="000000" w:themeColor="text1"/>
          <w:sz w:val="22"/>
          <w:szCs w:val="22"/>
        </w:rPr>
        <w:t>larity and consistency will promote understanding and</w:t>
      </w:r>
      <w:r w:rsidR="002D0065" w:rsidRPr="00390E77">
        <w:rPr>
          <w:rFonts w:asciiTheme="majorHAnsi" w:hAnsiTheme="majorHAnsi" w:cstheme="majorHAnsi"/>
          <w:color w:val="000000" w:themeColor="text1"/>
          <w:sz w:val="22"/>
          <w:szCs w:val="22"/>
        </w:rPr>
        <w:t xml:space="preserve"> standardised</w:t>
      </w:r>
      <w:r w:rsidRPr="00390E77">
        <w:rPr>
          <w:rFonts w:asciiTheme="majorHAnsi" w:hAnsiTheme="majorHAnsi" w:cstheme="majorHAnsi"/>
          <w:color w:val="000000" w:themeColor="text1"/>
          <w:sz w:val="22"/>
          <w:szCs w:val="22"/>
        </w:rPr>
        <w:t xml:space="preserve"> implementation across all </w:t>
      </w:r>
      <w:r w:rsidR="00D81C0F" w:rsidRPr="00390E77">
        <w:rPr>
          <w:rFonts w:asciiTheme="majorHAnsi" w:hAnsiTheme="majorHAnsi" w:cstheme="majorHAnsi"/>
          <w:color w:val="000000" w:themeColor="text1"/>
          <w:sz w:val="22"/>
          <w:szCs w:val="22"/>
        </w:rPr>
        <w:t xml:space="preserve">health and social </w:t>
      </w:r>
      <w:r w:rsidRPr="00390E77">
        <w:rPr>
          <w:rFonts w:asciiTheme="majorHAnsi" w:hAnsiTheme="majorHAnsi" w:cstheme="majorHAnsi"/>
          <w:color w:val="000000" w:themeColor="text1"/>
          <w:sz w:val="22"/>
          <w:szCs w:val="22"/>
        </w:rPr>
        <w:t>care settings</w:t>
      </w:r>
      <w:r w:rsidR="00D81C0F" w:rsidRPr="00390E77">
        <w:rPr>
          <w:rFonts w:asciiTheme="majorHAnsi" w:hAnsiTheme="majorHAnsi" w:cstheme="majorHAnsi"/>
          <w:color w:val="000000" w:themeColor="text1"/>
          <w:sz w:val="22"/>
          <w:szCs w:val="22"/>
        </w:rPr>
        <w:t xml:space="preserve"> where decisions about deprivation of liberty is being considered.</w:t>
      </w:r>
    </w:p>
    <w:p w14:paraId="2DD3FF54" w14:textId="6C05003F" w:rsidR="00E6708A" w:rsidRPr="00390E77" w:rsidRDefault="00E6708A" w:rsidP="00FB15DA">
      <w:pPr>
        <w:pStyle w:val="NormalWeb"/>
        <w:numPr>
          <w:ilvl w:val="0"/>
          <w:numId w:val="19"/>
        </w:numPr>
        <w:spacing w:before="2" w:after="2"/>
        <w:jc w:val="both"/>
        <w:rPr>
          <w:rFonts w:asciiTheme="majorHAnsi" w:hAnsiTheme="majorHAnsi" w:cstheme="majorHAnsi"/>
          <w:b/>
          <w:color w:val="000000" w:themeColor="text1"/>
          <w:sz w:val="22"/>
          <w:szCs w:val="22"/>
        </w:rPr>
      </w:pPr>
      <w:r w:rsidRPr="00390E77">
        <w:rPr>
          <w:rFonts w:asciiTheme="majorHAnsi" w:hAnsiTheme="majorHAnsi" w:cstheme="majorHAnsi"/>
          <w:color w:val="000000" w:themeColor="text1"/>
          <w:sz w:val="22"/>
          <w:szCs w:val="22"/>
        </w:rPr>
        <w:t xml:space="preserve">As the ‘person in charge’ </w:t>
      </w:r>
      <w:r w:rsidR="00B74F7A" w:rsidRPr="00390E77">
        <w:rPr>
          <w:rFonts w:asciiTheme="majorHAnsi" w:hAnsiTheme="majorHAnsi" w:cstheme="majorHAnsi"/>
          <w:color w:val="000000" w:themeColor="text1"/>
          <w:sz w:val="22"/>
          <w:szCs w:val="22"/>
        </w:rPr>
        <w:t xml:space="preserve">is proposed to have </w:t>
      </w:r>
      <w:r w:rsidRPr="00390E77">
        <w:rPr>
          <w:rFonts w:asciiTheme="majorHAnsi" w:hAnsiTheme="majorHAnsi" w:cstheme="majorHAnsi"/>
          <w:color w:val="000000" w:themeColor="text1"/>
          <w:sz w:val="22"/>
          <w:szCs w:val="22"/>
        </w:rPr>
        <w:t xml:space="preserve">significant responsibilities with regard to assessing the capacity of persons who </w:t>
      </w:r>
      <w:r w:rsidR="00D81C0F" w:rsidRPr="00390E77">
        <w:rPr>
          <w:rFonts w:asciiTheme="majorHAnsi" w:hAnsiTheme="majorHAnsi" w:cstheme="majorHAnsi"/>
          <w:color w:val="000000" w:themeColor="text1"/>
          <w:sz w:val="22"/>
          <w:szCs w:val="22"/>
        </w:rPr>
        <w:t xml:space="preserve">may be </w:t>
      </w:r>
      <w:r w:rsidRPr="00390E77">
        <w:rPr>
          <w:rFonts w:asciiTheme="majorHAnsi" w:hAnsiTheme="majorHAnsi" w:cstheme="majorHAnsi"/>
          <w:color w:val="000000" w:themeColor="text1"/>
          <w:sz w:val="22"/>
          <w:szCs w:val="22"/>
        </w:rPr>
        <w:t>admitted to the centre</w:t>
      </w:r>
      <w:r w:rsidR="00B74F7A" w:rsidRPr="00390E77">
        <w:rPr>
          <w:rFonts w:asciiTheme="majorHAnsi" w:hAnsiTheme="majorHAnsi" w:cstheme="majorHAnsi"/>
          <w:color w:val="000000" w:themeColor="text1"/>
          <w:sz w:val="22"/>
          <w:szCs w:val="22"/>
        </w:rPr>
        <w:t xml:space="preserve">, and has to pay due regard to the needs and wishes of other residents in the centre, </w:t>
      </w:r>
      <w:r w:rsidRPr="00390E77">
        <w:rPr>
          <w:rFonts w:asciiTheme="majorHAnsi" w:hAnsiTheme="majorHAnsi" w:cstheme="majorHAnsi"/>
          <w:color w:val="000000" w:themeColor="text1"/>
          <w:sz w:val="22"/>
          <w:szCs w:val="22"/>
        </w:rPr>
        <w:t>it is recommended that the ‘person in charge’ should be a ‘medical expert’ as outlined above in 1.2 or should have the ability to easily and regularly access such expertise.</w:t>
      </w:r>
    </w:p>
    <w:p w14:paraId="38F717DA" w14:textId="77777777" w:rsidR="004A0BEC" w:rsidRPr="00390E77" w:rsidRDefault="004A0BEC" w:rsidP="00FB15DA">
      <w:pPr>
        <w:jc w:val="both"/>
        <w:outlineLvl w:val="0"/>
        <w:rPr>
          <w:rFonts w:asciiTheme="majorHAnsi" w:hAnsiTheme="majorHAnsi" w:cstheme="majorHAnsi"/>
          <w:b/>
          <w:color w:val="000000" w:themeColor="text1"/>
          <w:sz w:val="22"/>
          <w:szCs w:val="22"/>
        </w:rPr>
      </w:pPr>
    </w:p>
    <w:p w14:paraId="7A5AD3F8" w14:textId="77777777" w:rsidR="00242B4B" w:rsidRPr="00390E77" w:rsidRDefault="00242B4B" w:rsidP="00F65230">
      <w:pPr>
        <w:pStyle w:val="Heading3"/>
      </w:pPr>
      <w:r w:rsidRPr="00390E77">
        <w:t>Head 2:</w:t>
      </w:r>
    </w:p>
    <w:p w14:paraId="0982BFC4" w14:textId="77777777" w:rsidR="00242B4B" w:rsidRPr="00390E77" w:rsidRDefault="00242B4B" w:rsidP="00FB15DA">
      <w:pPr>
        <w:jc w:val="both"/>
        <w:rPr>
          <w:rFonts w:asciiTheme="majorHAnsi" w:hAnsiTheme="majorHAnsi" w:cstheme="majorHAnsi"/>
          <w:color w:val="000000" w:themeColor="text1"/>
          <w:sz w:val="22"/>
          <w:szCs w:val="22"/>
        </w:rPr>
      </w:pPr>
    </w:p>
    <w:p w14:paraId="7803809E" w14:textId="3FF33037" w:rsidR="00242B4B" w:rsidRPr="00390E77" w:rsidRDefault="00874849" w:rsidP="00F65230">
      <w:pPr>
        <w:pStyle w:val="Heading4"/>
      </w:pPr>
      <w:r w:rsidRPr="00390E77">
        <w:t xml:space="preserve">2.1 </w:t>
      </w:r>
      <w:r w:rsidR="00882189">
        <w:t xml:space="preserve"> </w:t>
      </w:r>
      <w:r w:rsidR="00242B4B" w:rsidRPr="00390E77">
        <w:t>Do you have any views specific to Head 2?</w:t>
      </w:r>
    </w:p>
    <w:p w14:paraId="396A1300" w14:textId="77777777" w:rsidR="00242B4B" w:rsidRPr="00390E77" w:rsidRDefault="00242B4B" w:rsidP="00FB15DA">
      <w:pPr>
        <w:jc w:val="both"/>
        <w:rPr>
          <w:rFonts w:asciiTheme="majorHAnsi" w:hAnsiTheme="majorHAnsi" w:cstheme="majorHAnsi"/>
          <w:b/>
          <w:color w:val="000000" w:themeColor="text1"/>
          <w:sz w:val="22"/>
          <w:szCs w:val="22"/>
        </w:rPr>
      </w:pPr>
    </w:p>
    <w:p w14:paraId="3567CC87" w14:textId="4DB4C806" w:rsidR="00383696" w:rsidRPr="00390E77" w:rsidRDefault="004A0BEC" w:rsidP="00FB15DA">
      <w:pPr>
        <w:pStyle w:val="NormalWeb"/>
        <w:numPr>
          <w:ilvl w:val="0"/>
          <w:numId w:val="2"/>
        </w:numPr>
        <w:spacing w:before="2" w:after="2"/>
        <w:jc w:val="both"/>
        <w:rPr>
          <w:rFonts w:asciiTheme="majorHAnsi" w:hAnsiTheme="majorHAnsi" w:cstheme="majorHAnsi"/>
          <w:color w:val="000000" w:themeColor="text1"/>
          <w:sz w:val="22"/>
          <w:szCs w:val="22"/>
        </w:rPr>
      </w:pPr>
      <w:r w:rsidRPr="00390E77">
        <w:rPr>
          <w:rFonts w:asciiTheme="majorHAnsi" w:hAnsiTheme="majorHAnsi" w:cstheme="majorHAnsi"/>
          <w:color w:val="000000" w:themeColor="text1"/>
          <w:sz w:val="22"/>
          <w:szCs w:val="22"/>
        </w:rPr>
        <w:t xml:space="preserve">In addition to the description </w:t>
      </w:r>
      <w:r w:rsidR="00756F80">
        <w:rPr>
          <w:rFonts w:asciiTheme="majorHAnsi" w:hAnsiTheme="majorHAnsi" w:cstheme="majorHAnsi"/>
          <w:color w:val="000000" w:themeColor="text1"/>
          <w:sz w:val="22"/>
          <w:szCs w:val="22"/>
        </w:rPr>
        <w:t xml:space="preserve">of </w:t>
      </w:r>
      <w:r w:rsidR="00B74F7A" w:rsidRPr="00390E77">
        <w:rPr>
          <w:rFonts w:asciiTheme="majorHAnsi" w:hAnsiTheme="majorHAnsi" w:cstheme="majorHAnsi"/>
          <w:color w:val="000000" w:themeColor="text1"/>
          <w:sz w:val="22"/>
          <w:szCs w:val="22"/>
        </w:rPr>
        <w:t xml:space="preserve">what </w:t>
      </w:r>
      <w:r w:rsidR="00756F80">
        <w:rPr>
          <w:rFonts w:asciiTheme="majorHAnsi" w:hAnsiTheme="majorHAnsi" w:cstheme="majorHAnsi"/>
          <w:color w:val="000000" w:themeColor="text1"/>
          <w:sz w:val="22"/>
          <w:szCs w:val="22"/>
        </w:rPr>
        <w:t>constitutes</w:t>
      </w:r>
      <w:r w:rsidR="00B74F7A" w:rsidRPr="00390E77">
        <w:rPr>
          <w:rFonts w:asciiTheme="majorHAnsi" w:hAnsiTheme="majorHAnsi" w:cstheme="majorHAnsi"/>
          <w:color w:val="000000" w:themeColor="text1"/>
          <w:sz w:val="22"/>
          <w:szCs w:val="22"/>
        </w:rPr>
        <w:t xml:space="preserve"> </w:t>
      </w:r>
      <w:r w:rsidRPr="00390E77">
        <w:rPr>
          <w:rFonts w:asciiTheme="majorHAnsi" w:hAnsiTheme="majorHAnsi" w:cstheme="majorHAnsi"/>
          <w:color w:val="000000" w:themeColor="text1"/>
          <w:sz w:val="22"/>
          <w:szCs w:val="22"/>
        </w:rPr>
        <w:t>deprivation of liberty</w:t>
      </w:r>
      <w:r w:rsidR="00756F80">
        <w:rPr>
          <w:rFonts w:asciiTheme="majorHAnsi" w:hAnsiTheme="majorHAnsi" w:cstheme="majorHAnsi"/>
          <w:color w:val="000000" w:themeColor="text1"/>
          <w:sz w:val="22"/>
          <w:szCs w:val="22"/>
        </w:rPr>
        <w:t>,</w:t>
      </w:r>
      <w:r w:rsidR="00B74F7A" w:rsidRPr="00390E77">
        <w:rPr>
          <w:rFonts w:asciiTheme="majorHAnsi" w:hAnsiTheme="majorHAnsi" w:cstheme="majorHAnsi"/>
          <w:color w:val="000000" w:themeColor="text1"/>
          <w:sz w:val="22"/>
          <w:szCs w:val="22"/>
        </w:rPr>
        <w:t xml:space="preserve"> it would be important to be more directive about ex</w:t>
      </w:r>
      <w:r w:rsidRPr="00390E77">
        <w:rPr>
          <w:rFonts w:asciiTheme="majorHAnsi" w:hAnsiTheme="majorHAnsi" w:cstheme="majorHAnsi"/>
          <w:color w:val="000000" w:themeColor="text1"/>
          <w:sz w:val="22"/>
          <w:szCs w:val="22"/>
        </w:rPr>
        <w:t>clusion</w:t>
      </w:r>
      <w:r w:rsidR="00B74F7A" w:rsidRPr="00390E77">
        <w:rPr>
          <w:rFonts w:asciiTheme="majorHAnsi" w:hAnsiTheme="majorHAnsi" w:cstheme="majorHAnsi"/>
          <w:color w:val="000000" w:themeColor="text1"/>
          <w:sz w:val="22"/>
          <w:szCs w:val="22"/>
        </w:rPr>
        <w:t xml:space="preserve"> and inclusion</w:t>
      </w:r>
      <w:r w:rsidR="00383696" w:rsidRPr="00390E77">
        <w:rPr>
          <w:rFonts w:asciiTheme="majorHAnsi" w:hAnsiTheme="majorHAnsi" w:cstheme="majorHAnsi"/>
          <w:color w:val="000000" w:themeColor="text1"/>
          <w:sz w:val="22"/>
          <w:szCs w:val="22"/>
        </w:rPr>
        <w:t xml:space="preserve"> factors</w:t>
      </w:r>
      <w:r w:rsidR="00B74F7A" w:rsidRPr="00390E77">
        <w:rPr>
          <w:rFonts w:asciiTheme="majorHAnsi" w:hAnsiTheme="majorHAnsi" w:cstheme="majorHAnsi"/>
          <w:color w:val="000000" w:themeColor="text1"/>
          <w:sz w:val="22"/>
          <w:szCs w:val="22"/>
        </w:rPr>
        <w:t xml:space="preserve"> such as those </w:t>
      </w:r>
      <w:r w:rsidRPr="00390E77">
        <w:rPr>
          <w:rFonts w:asciiTheme="majorHAnsi" w:hAnsiTheme="majorHAnsi" w:cstheme="majorHAnsi"/>
          <w:color w:val="000000" w:themeColor="text1"/>
          <w:sz w:val="22"/>
          <w:szCs w:val="22"/>
        </w:rPr>
        <w:lastRenderedPageBreak/>
        <w:t>outlin</w:t>
      </w:r>
      <w:r w:rsidR="00383696" w:rsidRPr="00390E77">
        <w:rPr>
          <w:rFonts w:asciiTheme="majorHAnsi" w:hAnsiTheme="majorHAnsi" w:cstheme="majorHAnsi"/>
          <w:color w:val="000000" w:themeColor="text1"/>
          <w:sz w:val="22"/>
          <w:szCs w:val="22"/>
        </w:rPr>
        <w:t>ed in</w:t>
      </w:r>
      <w:r w:rsidR="00094CBB" w:rsidRPr="00390E77">
        <w:rPr>
          <w:rFonts w:asciiTheme="majorHAnsi" w:hAnsiTheme="majorHAnsi" w:cstheme="majorHAnsi"/>
          <w:color w:val="000000" w:themeColor="text1"/>
          <w:sz w:val="22"/>
          <w:szCs w:val="22"/>
        </w:rPr>
        <w:t xml:space="preserve"> a significant legal judgement in the UK</w:t>
      </w:r>
      <w:r w:rsidR="00756F80">
        <w:rPr>
          <w:rFonts w:asciiTheme="majorHAnsi" w:hAnsiTheme="majorHAnsi" w:cstheme="majorHAnsi"/>
          <w:color w:val="000000" w:themeColor="text1"/>
          <w:sz w:val="22"/>
          <w:szCs w:val="22"/>
        </w:rPr>
        <w:t>,</w:t>
      </w:r>
      <w:r w:rsidR="00094CBB" w:rsidRPr="00390E77">
        <w:rPr>
          <w:rFonts w:asciiTheme="majorHAnsi" w:hAnsiTheme="majorHAnsi" w:cstheme="majorHAnsi"/>
          <w:color w:val="000000" w:themeColor="text1"/>
          <w:sz w:val="22"/>
          <w:szCs w:val="22"/>
        </w:rPr>
        <w:t xml:space="preserve"> which is</w:t>
      </w:r>
      <w:r w:rsidR="00A42F7D" w:rsidRPr="00390E77">
        <w:rPr>
          <w:rFonts w:asciiTheme="majorHAnsi" w:hAnsiTheme="majorHAnsi" w:cstheme="majorHAnsi"/>
          <w:color w:val="000000" w:themeColor="text1"/>
          <w:sz w:val="22"/>
          <w:szCs w:val="22"/>
        </w:rPr>
        <w:t xml:space="preserve"> commonly referred to as the</w:t>
      </w:r>
      <w:r w:rsidR="00383696" w:rsidRPr="00390E77">
        <w:rPr>
          <w:rFonts w:asciiTheme="majorHAnsi" w:hAnsiTheme="majorHAnsi" w:cstheme="majorHAnsi"/>
          <w:color w:val="000000" w:themeColor="text1"/>
          <w:sz w:val="22"/>
          <w:szCs w:val="22"/>
        </w:rPr>
        <w:t xml:space="preserve"> Cheshire West</w:t>
      </w:r>
      <w:r w:rsidR="00A42F7D" w:rsidRPr="00390E77">
        <w:rPr>
          <w:rStyle w:val="FootnoteReference"/>
          <w:rFonts w:asciiTheme="majorHAnsi" w:hAnsiTheme="majorHAnsi" w:cstheme="majorHAnsi"/>
          <w:color w:val="000000" w:themeColor="text1"/>
          <w:sz w:val="22"/>
          <w:szCs w:val="22"/>
        </w:rPr>
        <w:footnoteReference w:id="1"/>
      </w:r>
      <w:r w:rsidR="00383696" w:rsidRPr="00390E77">
        <w:rPr>
          <w:rFonts w:asciiTheme="majorHAnsi" w:hAnsiTheme="majorHAnsi" w:cstheme="majorHAnsi"/>
          <w:color w:val="000000" w:themeColor="text1"/>
          <w:sz w:val="22"/>
          <w:szCs w:val="22"/>
        </w:rPr>
        <w:t xml:space="preserve"> case:</w:t>
      </w:r>
    </w:p>
    <w:p w14:paraId="6A1E359A" w14:textId="77777777" w:rsidR="00383696" w:rsidRPr="00390E77" w:rsidRDefault="00383696" w:rsidP="00FB15DA">
      <w:pPr>
        <w:pStyle w:val="NormalWeb"/>
        <w:numPr>
          <w:ilvl w:val="0"/>
          <w:numId w:val="6"/>
        </w:numPr>
        <w:spacing w:before="2" w:after="2"/>
        <w:jc w:val="both"/>
        <w:rPr>
          <w:rFonts w:asciiTheme="majorHAnsi" w:hAnsiTheme="majorHAnsi" w:cstheme="majorHAnsi"/>
          <w:color w:val="000000" w:themeColor="text1"/>
          <w:sz w:val="22"/>
          <w:szCs w:val="22"/>
        </w:rPr>
      </w:pPr>
      <w:r w:rsidRPr="00390E77">
        <w:rPr>
          <w:rFonts w:asciiTheme="majorHAnsi" w:hAnsiTheme="majorHAnsi" w:cstheme="majorHAnsi"/>
          <w:color w:val="000000" w:themeColor="text1"/>
          <w:sz w:val="22"/>
          <w:szCs w:val="22"/>
        </w:rPr>
        <w:t>Whether the person agrees or disagrees with the detention</w:t>
      </w:r>
    </w:p>
    <w:p w14:paraId="23FB37A1" w14:textId="77777777" w:rsidR="00383696" w:rsidRPr="00390E77" w:rsidRDefault="00383696" w:rsidP="00FB15DA">
      <w:pPr>
        <w:pStyle w:val="NormalWeb"/>
        <w:numPr>
          <w:ilvl w:val="0"/>
          <w:numId w:val="6"/>
        </w:numPr>
        <w:spacing w:before="2" w:after="2"/>
        <w:jc w:val="both"/>
        <w:rPr>
          <w:rFonts w:asciiTheme="majorHAnsi" w:hAnsiTheme="majorHAnsi" w:cstheme="majorHAnsi"/>
          <w:color w:val="000000" w:themeColor="text1"/>
          <w:sz w:val="22"/>
          <w:szCs w:val="22"/>
        </w:rPr>
      </w:pPr>
      <w:r w:rsidRPr="00390E77">
        <w:rPr>
          <w:rFonts w:asciiTheme="majorHAnsi" w:hAnsiTheme="majorHAnsi" w:cstheme="majorHAnsi"/>
          <w:color w:val="000000" w:themeColor="text1"/>
          <w:sz w:val="22"/>
          <w:szCs w:val="22"/>
        </w:rPr>
        <w:t xml:space="preserve">The purpose for the detention or </w:t>
      </w:r>
    </w:p>
    <w:p w14:paraId="7791D76E" w14:textId="77777777" w:rsidR="00383696" w:rsidRPr="00390E77" w:rsidRDefault="00383696" w:rsidP="00FB15DA">
      <w:pPr>
        <w:pStyle w:val="NormalWeb"/>
        <w:numPr>
          <w:ilvl w:val="0"/>
          <w:numId w:val="6"/>
        </w:numPr>
        <w:spacing w:before="2" w:after="2"/>
        <w:jc w:val="both"/>
        <w:rPr>
          <w:rFonts w:asciiTheme="majorHAnsi" w:hAnsiTheme="majorHAnsi" w:cstheme="majorHAnsi"/>
          <w:color w:val="000000" w:themeColor="text1"/>
          <w:sz w:val="22"/>
          <w:szCs w:val="22"/>
        </w:rPr>
      </w:pPr>
      <w:r w:rsidRPr="00390E77">
        <w:rPr>
          <w:rFonts w:asciiTheme="majorHAnsi" w:hAnsiTheme="majorHAnsi" w:cstheme="majorHAnsi"/>
          <w:color w:val="000000" w:themeColor="text1"/>
          <w:sz w:val="22"/>
          <w:szCs w:val="22"/>
        </w:rPr>
        <w:t>The extent to which it enables the person to live what might be considered a relatively normal life.</w:t>
      </w:r>
    </w:p>
    <w:p w14:paraId="31027CCA" w14:textId="77777777" w:rsidR="00383696" w:rsidRPr="00390E77" w:rsidRDefault="00383696" w:rsidP="00FB15DA">
      <w:pPr>
        <w:pStyle w:val="NormalWeb"/>
        <w:spacing w:before="2" w:after="2"/>
        <w:ind w:left="720"/>
        <w:jc w:val="both"/>
        <w:rPr>
          <w:rFonts w:asciiTheme="majorHAnsi" w:hAnsiTheme="majorHAnsi" w:cstheme="majorHAnsi"/>
          <w:color w:val="000000" w:themeColor="text1"/>
          <w:sz w:val="22"/>
          <w:szCs w:val="22"/>
        </w:rPr>
      </w:pPr>
    </w:p>
    <w:p w14:paraId="477A2587" w14:textId="77777777" w:rsidR="00383696" w:rsidRPr="00390E77" w:rsidRDefault="00383696" w:rsidP="00F65230">
      <w:pPr>
        <w:pStyle w:val="Heading3"/>
      </w:pPr>
      <w:r w:rsidRPr="00390E77">
        <w:t>Head 3:</w:t>
      </w:r>
    </w:p>
    <w:p w14:paraId="33FE8535" w14:textId="77777777" w:rsidR="00383696" w:rsidRPr="00390E77" w:rsidRDefault="00383696" w:rsidP="00FB15DA">
      <w:pPr>
        <w:jc w:val="both"/>
        <w:rPr>
          <w:rFonts w:asciiTheme="majorHAnsi" w:hAnsiTheme="majorHAnsi" w:cstheme="majorHAnsi"/>
          <w:color w:val="000000" w:themeColor="text1"/>
          <w:sz w:val="22"/>
          <w:szCs w:val="22"/>
        </w:rPr>
      </w:pPr>
    </w:p>
    <w:p w14:paraId="464921F0" w14:textId="203B6EE8" w:rsidR="00383696" w:rsidRPr="00390E77" w:rsidRDefault="00882189" w:rsidP="00F65230">
      <w:pPr>
        <w:pStyle w:val="Heading4"/>
      </w:pPr>
      <w:r>
        <w:t xml:space="preserve">3.1  </w:t>
      </w:r>
      <w:r w:rsidR="00383696" w:rsidRPr="00390E77">
        <w:t>Do you have any views specific to Head 3?</w:t>
      </w:r>
    </w:p>
    <w:p w14:paraId="7EA7CC4D" w14:textId="77777777" w:rsidR="004A0BEC" w:rsidRPr="00390E77" w:rsidRDefault="004A0BEC" w:rsidP="00FB15DA">
      <w:pPr>
        <w:jc w:val="both"/>
        <w:outlineLvl w:val="0"/>
        <w:rPr>
          <w:rFonts w:asciiTheme="majorHAnsi" w:hAnsiTheme="majorHAnsi" w:cstheme="majorHAnsi"/>
          <w:b/>
          <w:color w:val="000000" w:themeColor="text1"/>
          <w:sz w:val="22"/>
          <w:szCs w:val="22"/>
        </w:rPr>
      </w:pPr>
    </w:p>
    <w:p w14:paraId="06559731" w14:textId="77777777" w:rsidR="00DA4C6C" w:rsidRPr="00390E77" w:rsidRDefault="00F36182" w:rsidP="00FB15DA">
      <w:pPr>
        <w:pStyle w:val="ListParagraph"/>
        <w:numPr>
          <w:ilvl w:val="0"/>
          <w:numId w:val="5"/>
        </w:numPr>
        <w:jc w:val="both"/>
        <w:outlineLvl w:val="0"/>
        <w:rPr>
          <w:rFonts w:asciiTheme="majorHAnsi" w:hAnsiTheme="majorHAnsi" w:cstheme="majorHAnsi"/>
          <w:b/>
          <w:color w:val="000000" w:themeColor="text1"/>
          <w:sz w:val="22"/>
          <w:szCs w:val="22"/>
        </w:rPr>
      </w:pPr>
      <w:r w:rsidRPr="00390E77">
        <w:rPr>
          <w:rFonts w:asciiTheme="majorHAnsi" w:hAnsiTheme="majorHAnsi" w:cstheme="majorHAnsi"/>
          <w:color w:val="000000" w:themeColor="text1"/>
          <w:sz w:val="22"/>
          <w:szCs w:val="22"/>
        </w:rPr>
        <w:t xml:space="preserve">It is right that people should be able to plan ahead with regard to their future healthcare and/or safeguarding needs. </w:t>
      </w:r>
    </w:p>
    <w:p w14:paraId="0CF25802" w14:textId="77777777" w:rsidR="00646FC5" w:rsidRPr="00390E77" w:rsidRDefault="00F36182" w:rsidP="00646FC5">
      <w:pPr>
        <w:pStyle w:val="ListParagraph"/>
        <w:numPr>
          <w:ilvl w:val="0"/>
          <w:numId w:val="5"/>
        </w:numPr>
        <w:jc w:val="both"/>
        <w:outlineLvl w:val="0"/>
        <w:rPr>
          <w:rFonts w:asciiTheme="majorHAnsi" w:hAnsiTheme="majorHAnsi" w:cstheme="majorHAnsi"/>
          <w:color w:val="000000" w:themeColor="text1"/>
          <w:sz w:val="22"/>
          <w:szCs w:val="22"/>
        </w:rPr>
      </w:pPr>
      <w:r w:rsidRPr="00390E77">
        <w:rPr>
          <w:rFonts w:asciiTheme="majorHAnsi" w:hAnsiTheme="majorHAnsi" w:cstheme="majorHAnsi"/>
          <w:color w:val="000000" w:themeColor="text1"/>
          <w:sz w:val="22"/>
          <w:szCs w:val="22"/>
        </w:rPr>
        <w:t>As outlined in the explanatory notes, a</w:t>
      </w:r>
      <w:r w:rsidR="002D0065" w:rsidRPr="00390E77">
        <w:rPr>
          <w:rFonts w:asciiTheme="majorHAnsi" w:hAnsiTheme="majorHAnsi" w:cstheme="majorHAnsi"/>
          <w:color w:val="000000" w:themeColor="text1"/>
          <w:sz w:val="22"/>
          <w:szCs w:val="22"/>
        </w:rPr>
        <w:t xml:space="preserve"> public awareness</w:t>
      </w:r>
      <w:r w:rsidRPr="00390E77">
        <w:rPr>
          <w:rFonts w:asciiTheme="majorHAnsi" w:hAnsiTheme="majorHAnsi" w:cstheme="majorHAnsi"/>
          <w:color w:val="000000" w:themeColor="text1"/>
          <w:sz w:val="22"/>
          <w:szCs w:val="22"/>
        </w:rPr>
        <w:t xml:space="preserve"> campaign encouraging the use of the decision support mechanisms of the Assisted Decision Making (Capacity) Act</w:t>
      </w:r>
      <w:r w:rsidR="002D0065" w:rsidRPr="00390E77">
        <w:rPr>
          <w:rFonts w:asciiTheme="majorHAnsi" w:hAnsiTheme="majorHAnsi" w:cstheme="majorHAnsi"/>
          <w:color w:val="000000" w:themeColor="text1"/>
          <w:sz w:val="22"/>
          <w:szCs w:val="22"/>
        </w:rPr>
        <w:t>, including advance healthcare</w:t>
      </w:r>
      <w:r w:rsidR="00CA2C75" w:rsidRPr="00390E77">
        <w:rPr>
          <w:rFonts w:asciiTheme="majorHAnsi" w:hAnsiTheme="majorHAnsi" w:cstheme="majorHAnsi"/>
          <w:color w:val="000000" w:themeColor="text1"/>
          <w:sz w:val="22"/>
          <w:szCs w:val="22"/>
        </w:rPr>
        <w:t xml:space="preserve"> directives </w:t>
      </w:r>
      <w:r w:rsidRPr="00390E77">
        <w:rPr>
          <w:rFonts w:asciiTheme="majorHAnsi" w:hAnsiTheme="majorHAnsi" w:cstheme="majorHAnsi"/>
          <w:color w:val="000000" w:themeColor="text1"/>
          <w:sz w:val="22"/>
          <w:szCs w:val="22"/>
        </w:rPr>
        <w:t>and enduring powers of attorney</w:t>
      </w:r>
      <w:r w:rsidR="00756F80">
        <w:rPr>
          <w:rFonts w:asciiTheme="majorHAnsi" w:hAnsiTheme="majorHAnsi" w:cstheme="majorHAnsi"/>
          <w:color w:val="000000" w:themeColor="text1"/>
          <w:sz w:val="22"/>
          <w:szCs w:val="22"/>
        </w:rPr>
        <w:t>,</w:t>
      </w:r>
      <w:r w:rsidRPr="00390E77">
        <w:rPr>
          <w:rFonts w:asciiTheme="majorHAnsi" w:hAnsiTheme="majorHAnsi" w:cstheme="majorHAnsi"/>
          <w:color w:val="000000" w:themeColor="text1"/>
          <w:sz w:val="22"/>
          <w:szCs w:val="22"/>
        </w:rPr>
        <w:t xml:space="preserve"> is to be welcomed.</w:t>
      </w:r>
      <w:r w:rsidR="00646FC5">
        <w:rPr>
          <w:rFonts w:asciiTheme="majorHAnsi" w:hAnsiTheme="majorHAnsi" w:cstheme="majorHAnsi"/>
          <w:color w:val="000000" w:themeColor="text1"/>
          <w:sz w:val="22"/>
          <w:szCs w:val="22"/>
        </w:rPr>
        <w:t xml:space="preserve"> </w:t>
      </w:r>
      <w:r w:rsidR="00646FC5" w:rsidRPr="00390E77">
        <w:rPr>
          <w:rFonts w:asciiTheme="majorHAnsi" w:hAnsiTheme="majorHAnsi" w:cstheme="majorHAnsi"/>
          <w:color w:val="000000" w:themeColor="text1"/>
          <w:sz w:val="22"/>
          <w:szCs w:val="22"/>
        </w:rPr>
        <w:t>However, notwithstanding the possible success of such a campaign</w:t>
      </w:r>
      <w:r w:rsidR="00646FC5">
        <w:rPr>
          <w:rFonts w:asciiTheme="majorHAnsi" w:hAnsiTheme="majorHAnsi" w:cstheme="majorHAnsi"/>
          <w:color w:val="000000" w:themeColor="text1"/>
          <w:sz w:val="22"/>
          <w:szCs w:val="22"/>
        </w:rPr>
        <w:t>,</w:t>
      </w:r>
      <w:r w:rsidR="00646FC5" w:rsidRPr="00390E77">
        <w:rPr>
          <w:rFonts w:asciiTheme="majorHAnsi" w:hAnsiTheme="majorHAnsi" w:cstheme="majorHAnsi"/>
          <w:color w:val="000000" w:themeColor="text1"/>
          <w:sz w:val="22"/>
          <w:szCs w:val="22"/>
        </w:rPr>
        <w:t xml:space="preserve"> it is likely that very many people will not have planned ahead with regard to these issues</w:t>
      </w:r>
      <w:r w:rsidR="00646FC5">
        <w:rPr>
          <w:rFonts w:asciiTheme="majorHAnsi" w:hAnsiTheme="majorHAnsi" w:cstheme="majorHAnsi"/>
          <w:color w:val="000000" w:themeColor="text1"/>
          <w:sz w:val="22"/>
          <w:szCs w:val="22"/>
        </w:rPr>
        <w:t>,</w:t>
      </w:r>
      <w:r w:rsidR="00646FC5" w:rsidRPr="00390E77">
        <w:rPr>
          <w:rFonts w:asciiTheme="majorHAnsi" w:hAnsiTheme="majorHAnsi" w:cstheme="majorHAnsi"/>
          <w:color w:val="000000" w:themeColor="text1"/>
          <w:sz w:val="22"/>
          <w:szCs w:val="22"/>
        </w:rPr>
        <w:t xml:space="preserve"> therefore necessitating a large number of admissions in urgent circumstances (Head 5). </w:t>
      </w:r>
    </w:p>
    <w:p w14:paraId="7CEAA4AD" w14:textId="08D4A1FC" w:rsidR="00CC05E9" w:rsidRPr="00390E77" w:rsidRDefault="00646FC5" w:rsidP="00E66810">
      <w:pPr>
        <w:pStyle w:val="ListParagraph"/>
        <w:numPr>
          <w:ilvl w:val="0"/>
          <w:numId w:val="5"/>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I</w:t>
      </w:r>
      <w:r w:rsidR="00CA2C75" w:rsidRPr="00390E77">
        <w:rPr>
          <w:rFonts w:asciiTheme="majorHAnsi" w:hAnsiTheme="majorHAnsi" w:cstheme="majorHAnsi"/>
          <w:color w:val="000000" w:themeColor="text1"/>
          <w:sz w:val="22"/>
          <w:szCs w:val="22"/>
        </w:rPr>
        <w:t>n preparing for these forms of supported decision making</w:t>
      </w:r>
      <w:r w:rsidR="00756F80">
        <w:rPr>
          <w:rFonts w:asciiTheme="majorHAnsi" w:hAnsiTheme="majorHAnsi" w:cstheme="majorHAnsi"/>
          <w:color w:val="000000" w:themeColor="text1"/>
          <w:sz w:val="22"/>
          <w:szCs w:val="22"/>
        </w:rPr>
        <w:t>, it is important to recognis</w:t>
      </w:r>
      <w:r w:rsidR="00CA2C75" w:rsidRPr="00390E77">
        <w:rPr>
          <w:rFonts w:asciiTheme="majorHAnsi" w:hAnsiTheme="majorHAnsi" w:cstheme="majorHAnsi"/>
          <w:color w:val="000000" w:themeColor="text1"/>
          <w:sz w:val="22"/>
          <w:szCs w:val="22"/>
        </w:rPr>
        <w:t>e potential barriers that prevent desired outcomes (Dickson et al, 2013</w:t>
      </w:r>
      <w:r w:rsidR="00D37415">
        <w:rPr>
          <w:rFonts w:asciiTheme="majorHAnsi" w:hAnsiTheme="majorHAnsi" w:cstheme="majorHAnsi"/>
          <w:color w:val="000000" w:themeColor="text1"/>
          <w:sz w:val="22"/>
          <w:szCs w:val="22"/>
        </w:rPr>
        <w:t xml:space="preserve">; Godfrey &amp; Hackett, </w:t>
      </w:r>
      <w:r w:rsidR="00C54AC6" w:rsidRPr="00390E77">
        <w:rPr>
          <w:rFonts w:asciiTheme="majorHAnsi" w:hAnsiTheme="majorHAnsi" w:cstheme="majorHAnsi"/>
          <w:color w:val="000000" w:themeColor="text1"/>
          <w:sz w:val="22"/>
          <w:szCs w:val="22"/>
        </w:rPr>
        <w:t xml:space="preserve">2015). </w:t>
      </w:r>
      <w:r w:rsidR="002D0065" w:rsidRPr="00390E77">
        <w:rPr>
          <w:rFonts w:asciiTheme="majorHAnsi" w:hAnsiTheme="majorHAnsi" w:cstheme="majorHAnsi"/>
          <w:color w:val="000000" w:themeColor="text1"/>
          <w:sz w:val="22"/>
          <w:szCs w:val="22"/>
        </w:rPr>
        <w:t>It is also critical that health and social care professionals receive appropriate training so that they can support and guide individuals to forward plan and to express and document their expressed wishes and preferences.</w:t>
      </w:r>
    </w:p>
    <w:p w14:paraId="66E45057" w14:textId="01DC875E" w:rsidR="00CC05E9" w:rsidRPr="00390E77" w:rsidRDefault="00CC05E9" w:rsidP="00CC05E9">
      <w:pPr>
        <w:pStyle w:val="ListParagraph"/>
        <w:numPr>
          <w:ilvl w:val="0"/>
          <w:numId w:val="5"/>
        </w:numPr>
        <w:jc w:val="both"/>
        <w:outlineLvl w:val="0"/>
        <w:rPr>
          <w:rFonts w:asciiTheme="majorHAnsi" w:hAnsiTheme="majorHAnsi" w:cstheme="majorHAnsi"/>
          <w:b/>
          <w:color w:val="000000" w:themeColor="text1"/>
          <w:sz w:val="22"/>
          <w:szCs w:val="22"/>
        </w:rPr>
      </w:pPr>
      <w:r w:rsidRPr="00390E77">
        <w:rPr>
          <w:rFonts w:asciiTheme="majorHAnsi" w:hAnsiTheme="majorHAnsi" w:cstheme="majorHAnsi"/>
          <w:color w:val="000000" w:themeColor="text1"/>
          <w:sz w:val="22"/>
          <w:szCs w:val="22"/>
        </w:rPr>
        <w:t>It is also recommended that the differentiation between assisted decision making and co-decision making is defined more specifically. In practice, the differentiation between “support” and “co-decision making” may not be clearly understood by relatives and friends of persons who may require assistance</w:t>
      </w:r>
      <w:r w:rsidR="00B32D20">
        <w:rPr>
          <w:rFonts w:asciiTheme="majorHAnsi" w:hAnsiTheme="majorHAnsi" w:cstheme="majorHAnsi"/>
          <w:color w:val="000000" w:themeColor="text1"/>
          <w:sz w:val="22"/>
          <w:szCs w:val="22"/>
        </w:rPr>
        <w:t xml:space="preserve"> or wish to partake in equal (co-decision-making).</w:t>
      </w:r>
    </w:p>
    <w:p w14:paraId="21656617" w14:textId="77777777" w:rsidR="00DA10BF" w:rsidRDefault="00DA10BF" w:rsidP="00FB15DA">
      <w:pPr>
        <w:jc w:val="both"/>
        <w:outlineLvl w:val="0"/>
        <w:rPr>
          <w:rFonts w:asciiTheme="majorHAnsi" w:hAnsiTheme="majorHAnsi" w:cstheme="majorHAnsi"/>
          <w:b/>
          <w:color w:val="000000" w:themeColor="text1"/>
          <w:sz w:val="22"/>
          <w:szCs w:val="22"/>
        </w:rPr>
      </w:pPr>
    </w:p>
    <w:p w14:paraId="2BE122D7" w14:textId="77777777" w:rsidR="00874849" w:rsidRPr="00390E77" w:rsidRDefault="00874849" w:rsidP="00F65230">
      <w:pPr>
        <w:pStyle w:val="Heading3"/>
      </w:pPr>
      <w:r w:rsidRPr="00390E77">
        <w:t>Head 4:</w:t>
      </w:r>
    </w:p>
    <w:p w14:paraId="77026ABE" w14:textId="6F8D808D" w:rsidR="00874849" w:rsidRPr="00390E77" w:rsidRDefault="00874849" w:rsidP="00F65230">
      <w:pPr>
        <w:pStyle w:val="Heading4"/>
        <w:rPr>
          <w:rFonts w:eastAsia="Times New Roman"/>
          <w:lang w:eastAsia="en-IE"/>
        </w:rPr>
      </w:pPr>
      <w:r w:rsidRPr="00390E77">
        <w:rPr>
          <w:rFonts w:eastAsia="Times New Roman"/>
          <w:lang w:eastAsia="en-IE"/>
        </w:rPr>
        <w:t>4.1  </w:t>
      </w:r>
      <w:r w:rsidR="00882189">
        <w:rPr>
          <w:rFonts w:eastAsia="Times New Roman"/>
          <w:lang w:eastAsia="en-IE"/>
        </w:rPr>
        <w:t xml:space="preserve"> </w:t>
      </w:r>
      <w:r w:rsidRPr="00390E77">
        <w:rPr>
          <w:rFonts w:eastAsia="Times New Roman"/>
          <w:lang w:eastAsia="en-IE"/>
        </w:rPr>
        <w:t xml:space="preserve">Do you think the term “under continuous supervision and control” should be defined? If so, what should this definition include? </w:t>
      </w:r>
    </w:p>
    <w:p w14:paraId="32C5F6A8" w14:textId="111E0B83" w:rsidR="00874849" w:rsidRPr="00390E77" w:rsidRDefault="00874849" w:rsidP="00FB15DA">
      <w:pPr>
        <w:pStyle w:val="ListParagraph"/>
        <w:numPr>
          <w:ilvl w:val="0"/>
          <w:numId w:val="8"/>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 xml:space="preserve">The term “under continuous supervision and control” </w:t>
      </w:r>
      <w:r w:rsidR="00881ACD" w:rsidRPr="00390E77">
        <w:rPr>
          <w:rFonts w:asciiTheme="majorHAnsi" w:eastAsia="Times New Roman" w:hAnsiTheme="majorHAnsi" w:cstheme="majorHAnsi"/>
          <w:color w:val="000000" w:themeColor="text1"/>
          <w:sz w:val="22"/>
          <w:szCs w:val="22"/>
          <w:lang w:val="en-IE" w:eastAsia="en-IE"/>
        </w:rPr>
        <w:t>derives from</w:t>
      </w:r>
      <w:r w:rsidR="00CC05E9" w:rsidRPr="00390E77">
        <w:rPr>
          <w:rFonts w:asciiTheme="majorHAnsi" w:eastAsia="Times New Roman" w:hAnsiTheme="majorHAnsi" w:cstheme="majorHAnsi"/>
          <w:color w:val="000000" w:themeColor="text1"/>
          <w:sz w:val="22"/>
          <w:szCs w:val="22"/>
          <w:lang w:val="en-IE" w:eastAsia="en-IE"/>
        </w:rPr>
        <w:t xml:space="preserve"> the </w:t>
      </w:r>
      <w:r w:rsidR="00881ACD" w:rsidRPr="00390E77">
        <w:rPr>
          <w:rFonts w:asciiTheme="majorHAnsi" w:eastAsia="Times New Roman" w:hAnsiTheme="majorHAnsi" w:cstheme="majorHAnsi"/>
          <w:color w:val="000000" w:themeColor="text1"/>
          <w:sz w:val="22"/>
          <w:szCs w:val="22"/>
          <w:lang w:val="en-IE" w:eastAsia="en-IE"/>
        </w:rPr>
        <w:t>Cheshire West</w:t>
      </w:r>
      <w:r w:rsidR="00A42F7D" w:rsidRPr="00390E77">
        <w:rPr>
          <w:rFonts w:asciiTheme="majorHAnsi" w:eastAsia="Times New Roman" w:hAnsiTheme="majorHAnsi" w:cstheme="majorHAnsi"/>
          <w:color w:val="000000" w:themeColor="text1"/>
          <w:sz w:val="22"/>
          <w:szCs w:val="22"/>
          <w:lang w:val="en-IE" w:eastAsia="en-IE"/>
        </w:rPr>
        <w:t xml:space="preserve"> case</w:t>
      </w:r>
      <w:r w:rsidR="00881ACD" w:rsidRPr="00390E77">
        <w:rPr>
          <w:rFonts w:asciiTheme="majorHAnsi" w:eastAsia="Times New Roman" w:hAnsiTheme="majorHAnsi" w:cstheme="majorHAnsi"/>
          <w:color w:val="000000" w:themeColor="text1"/>
          <w:sz w:val="22"/>
          <w:szCs w:val="22"/>
          <w:lang w:val="en-IE" w:eastAsia="en-IE"/>
        </w:rPr>
        <w:t xml:space="preserve">. However, the term </w:t>
      </w:r>
      <w:r w:rsidRPr="00390E77">
        <w:rPr>
          <w:rFonts w:asciiTheme="majorHAnsi" w:eastAsia="Times New Roman" w:hAnsiTheme="majorHAnsi" w:cstheme="majorHAnsi"/>
          <w:color w:val="000000" w:themeColor="text1"/>
          <w:sz w:val="22"/>
          <w:szCs w:val="22"/>
          <w:lang w:val="en-IE" w:eastAsia="en-IE"/>
        </w:rPr>
        <w:t xml:space="preserve">should have a clear definition </w:t>
      </w:r>
      <w:r w:rsidR="00881ACD" w:rsidRPr="00390E77">
        <w:rPr>
          <w:rFonts w:asciiTheme="majorHAnsi" w:eastAsia="Times New Roman" w:hAnsiTheme="majorHAnsi" w:cstheme="majorHAnsi"/>
          <w:color w:val="000000" w:themeColor="text1"/>
          <w:sz w:val="22"/>
          <w:szCs w:val="22"/>
          <w:lang w:val="en-IE" w:eastAsia="en-IE"/>
        </w:rPr>
        <w:t>in the Irish context</w:t>
      </w:r>
      <w:r w:rsidR="00B74F7A" w:rsidRPr="00390E77">
        <w:rPr>
          <w:rFonts w:asciiTheme="majorHAnsi" w:eastAsia="Times New Roman" w:hAnsiTheme="majorHAnsi" w:cstheme="majorHAnsi"/>
          <w:color w:val="000000" w:themeColor="text1"/>
          <w:sz w:val="22"/>
          <w:szCs w:val="22"/>
          <w:lang w:val="en-IE" w:eastAsia="en-IE"/>
        </w:rPr>
        <w:t>, given the different configurations of health and social care,</w:t>
      </w:r>
      <w:r w:rsidR="00881ACD" w:rsidRPr="00390E77">
        <w:rPr>
          <w:rFonts w:asciiTheme="majorHAnsi" w:eastAsia="Times New Roman" w:hAnsiTheme="majorHAnsi" w:cstheme="majorHAnsi"/>
          <w:color w:val="000000" w:themeColor="text1"/>
          <w:sz w:val="22"/>
          <w:szCs w:val="22"/>
          <w:lang w:val="en-IE" w:eastAsia="en-IE"/>
        </w:rPr>
        <w:t xml:space="preserve"> and should also be </w:t>
      </w:r>
      <w:r w:rsidRPr="00390E77">
        <w:rPr>
          <w:rFonts w:asciiTheme="majorHAnsi" w:eastAsia="Times New Roman" w:hAnsiTheme="majorHAnsi" w:cstheme="majorHAnsi"/>
          <w:color w:val="000000" w:themeColor="text1"/>
          <w:sz w:val="22"/>
          <w:szCs w:val="22"/>
          <w:lang w:val="en-IE" w:eastAsia="en-IE"/>
        </w:rPr>
        <w:t>accompanied by illustrative examples of what does and does not constitute continuous supervision and control</w:t>
      </w:r>
      <w:r w:rsidR="00881ACD" w:rsidRPr="00390E77">
        <w:rPr>
          <w:rFonts w:asciiTheme="majorHAnsi" w:eastAsia="Times New Roman" w:hAnsiTheme="majorHAnsi" w:cstheme="majorHAnsi"/>
          <w:color w:val="000000" w:themeColor="text1"/>
          <w:sz w:val="22"/>
          <w:szCs w:val="22"/>
          <w:lang w:val="en-IE" w:eastAsia="en-IE"/>
        </w:rPr>
        <w:t xml:space="preserve"> in different settings. For example</w:t>
      </w:r>
      <w:r w:rsidR="00C07E23">
        <w:rPr>
          <w:rFonts w:asciiTheme="majorHAnsi" w:eastAsia="Times New Roman" w:hAnsiTheme="majorHAnsi" w:cstheme="majorHAnsi"/>
          <w:color w:val="000000" w:themeColor="text1"/>
          <w:sz w:val="22"/>
          <w:szCs w:val="22"/>
          <w:lang w:val="en-IE" w:eastAsia="en-IE"/>
        </w:rPr>
        <w:t>,</w:t>
      </w:r>
      <w:r w:rsidR="00881ACD" w:rsidRPr="00390E77">
        <w:rPr>
          <w:rFonts w:asciiTheme="majorHAnsi" w:eastAsia="Times New Roman" w:hAnsiTheme="majorHAnsi" w:cstheme="majorHAnsi"/>
          <w:color w:val="000000" w:themeColor="text1"/>
          <w:sz w:val="22"/>
          <w:szCs w:val="22"/>
          <w:lang w:val="en-IE" w:eastAsia="en-IE"/>
        </w:rPr>
        <w:t xml:space="preserve"> the definition may vary considerably in hospitals, intensive care units, palliative care settings, nursing homes for elderly people, centres for people with varying degrees of intellectual disability </w:t>
      </w:r>
      <w:r w:rsidR="00B74F7A" w:rsidRPr="00390E77">
        <w:rPr>
          <w:rFonts w:asciiTheme="majorHAnsi" w:eastAsia="Times New Roman" w:hAnsiTheme="majorHAnsi" w:cstheme="majorHAnsi"/>
          <w:color w:val="000000" w:themeColor="text1"/>
          <w:sz w:val="22"/>
          <w:szCs w:val="22"/>
          <w:lang w:val="en-IE" w:eastAsia="en-IE"/>
        </w:rPr>
        <w:t>and capacity</w:t>
      </w:r>
      <w:r w:rsidR="00881ACD" w:rsidRPr="00390E77">
        <w:rPr>
          <w:rFonts w:asciiTheme="majorHAnsi" w:eastAsia="Times New Roman" w:hAnsiTheme="majorHAnsi" w:cstheme="majorHAnsi"/>
          <w:color w:val="000000" w:themeColor="text1"/>
          <w:sz w:val="22"/>
          <w:szCs w:val="22"/>
          <w:lang w:val="en-IE" w:eastAsia="en-IE"/>
        </w:rPr>
        <w:t xml:space="preserve">. </w:t>
      </w:r>
    </w:p>
    <w:p w14:paraId="6F9459C7" w14:textId="2ABC704F" w:rsidR="00874849" w:rsidRPr="00390E77" w:rsidRDefault="00874849" w:rsidP="00F65230">
      <w:pPr>
        <w:pStyle w:val="Heading4"/>
        <w:rPr>
          <w:rFonts w:eastAsia="Times New Roman"/>
          <w:lang w:eastAsia="en-IE"/>
        </w:rPr>
      </w:pPr>
      <w:r w:rsidRPr="00390E77">
        <w:rPr>
          <w:rFonts w:eastAsia="Times New Roman"/>
          <w:lang w:eastAsia="en-IE"/>
        </w:rPr>
        <w:t>4.2  </w:t>
      </w:r>
      <w:r w:rsidR="00216C29">
        <w:rPr>
          <w:rFonts w:eastAsia="Times New Roman"/>
          <w:lang w:eastAsia="en-IE"/>
        </w:rPr>
        <w:t xml:space="preserve"> </w:t>
      </w:r>
      <w:r w:rsidRPr="00390E77">
        <w:rPr>
          <w:rFonts w:eastAsia="Times New Roman"/>
          <w:lang w:eastAsia="en-IE"/>
        </w:rPr>
        <w:t>When the person in charge</w:t>
      </w:r>
      <w:r w:rsidR="00881ACD" w:rsidRPr="00390E77">
        <w:rPr>
          <w:rFonts w:eastAsia="Times New Roman"/>
          <w:position w:val="10"/>
          <w:lang w:eastAsia="en-IE"/>
        </w:rPr>
        <w:t xml:space="preserve"> </w:t>
      </w:r>
      <w:r w:rsidRPr="00390E77">
        <w:rPr>
          <w:rFonts w:eastAsia="Times New Roman"/>
          <w:lang w:eastAsia="en-IE"/>
        </w:rPr>
        <w:t xml:space="preserve">has reason to believe that a relevant person may lack capacity to decide to live in a relevant facility, who should be notified with a view to affording them the opportunity to make an application to Court under Part 5 of the Act? This issue also arises in Heads 3(3), 7(4) and 8(1). </w:t>
      </w:r>
    </w:p>
    <w:p w14:paraId="294523D3" w14:textId="2A127EB6" w:rsidR="00881ACD" w:rsidRPr="00390E77" w:rsidRDefault="00881ACD" w:rsidP="00FB15DA">
      <w:pPr>
        <w:pStyle w:val="ListParagraph"/>
        <w:numPr>
          <w:ilvl w:val="0"/>
          <w:numId w:val="8"/>
        </w:num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lastRenderedPageBreak/>
        <w:t xml:space="preserve">This places a burden of responsibility on persons in charge of facilities. Clear guidelines and/or specialist training </w:t>
      </w:r>
      <w:r w:rsidR="00B74F7A" w:rsidRPr="00390E77">
        <w:rPr>
          <w:rFonts w:asciiTheme="majorHAnsi" w:eastAsia="Times New Roman" w:hAnsiTheme="majorHAnsi" w:cstheme="majorHAnsi"/>
          <w:color w:val="000000" w:themeColor="text1"/>
          <w:sz w:val="22"/>
          <w:szCs w:val="22"/>
          <w:lang w:val="en-IE" w:eastAsia="en-IE"/>
        </w:rPr>
        <w:t xml:space="preserve">are </w:t>
      </w:r>
      <w:r w:rsidRPr="00390E77">
        <w:rPr>
          <w:rFonts w:asciiTheme="majorHAnsi" w:eastAsia="Times New Roman" w:hAnsiTheme="majorHAnsi" w:cstheme="majorHAnsi"/>
          <w:color w:val="000000" w:themeColor="text1"/>
          <w:sz w:val="22"/>
          <w:szCs w:val="22"/>
          <w:lang w:val="en-IE" w:eastAsia="en-IE"/>
        </w:rPr>
        <w:t xml:space="preserve">required for persons in charge to enable them to make competent assessments of the capacity of persons who use their facility or who are to be admitted to their facility. </w:t>
      </w:r>
    </w:p>
    <w:p w14:paraId="5C7C2B4B" w14:textId="0E489FB3" w:rsidR="00CE0C84" w:rsidRPr="00390E77" w:rsidRDefault="00881ACD" w:rsidP="00FB15DA">
      <w:pPr>
        <w:pStyle w:val="ListParagraph"/>
        <w:numPr>
          <w:ilvl w:val="0"/>
          <w:numId w:val="8"/>
        </w:num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In many cases</w:t>
      </w:r>
      <w:r w:rsidR="00C07E23">
        <w:rPr>
          <w:rFonts w:asciiTheme="majorHAnsi" w:eastAsia="Times New Roman" w:hAnsiTheme="majorHAnsi" w:cstheme="majorHAnsi"/>
          <w:color w:val="000000" w:themeColor="text1"/>
          <w:sz w:val="22"/>
          <w:szCs w:val="22"/>
          <w:lang w:val="en-IE" w:eastAsia="en-IE"/>
        </w:rPr>
        <w:t>,</w:t>
      </w:r>
      <w:r w:rsidRPr="00390E77">
        <w:rPr>
          <w:rFonts w:asciiTheme="majorHAnsi" w:eastAsia="Times New Roman" w:hAnsiTheme="majorHAnsi" w:cstheme="majorHAnsi"/>
          <w:color w:val="000000" w:themeColor="text1"/>
          <w:sz w:val="22"/>
          <w:szCs w:val="22"/>
          <w:lang w:val="en-IE" w:eastAsia="en-IE"/>
        </w:rPr>
        <w:t xml:space="preserve"> assessments of capacity ma</w:t>
      </w:r>
      <w:r w:rsidR="00EB2D2B">
        <w:rPr>
          <w:rFonts w:asciiTheme="majorHAnsi" w:eastAsia="Times New Roman" w:hAnsiTheme="majorHAnsi" w:cstheme="majorHAnsi"/>
          <w:color w:val="000000" w:themeColor="text1"/>
          <w:sz w:val="22"/>
          <w:szCs w:val="22"/>
          <w:lang w:val="en-IE" w:eastAsia="en-IE"/>
        </w:rPr>
        <w:t xml:space="preserve">y form part of the ongoing care </w:t>
      </w:r>
      <w:r w:rsidRPr="00390E77">
        <w:rPr>
          <w:rFonts w:asciiTheme="majorHAnsi" w:eastAsia="Times New Roman" w:hAnsiTheme="majorHAnsi" w:cstheme="majorHAnsi"/>
          <w:color w:val="000000" w:themeColor="text1"/>
          <w:sz w:val="22"/>
          <w:szCs w:val="22"/>
          <w:lang w:val="en-IE" w:eastAsia="en-IE"/>
        </w:rPr>
        <w:t xml:space="preserve">plan for existing residents. </w:t>
      </w:r>
      <w:r w:rsidR="00263095" w:rsidRPr="00390E77">
        <w:rPr>
          <w:rFonts w:asciiTheme="majorHAnsi" w:eastAsia="Times New Roman" w:hAnsiTheme="majorHAnsi" w:cstheme="majorHAnsi"/>
          <w:color w:val="000000" w:themeColor="text1"/>
          <w:sz w:val="22"/>
          <w:szCs w:val="22"/>
          <w:lang w:val="en-IE" w:eastAsia="en-IE"/>
        </w:rPr>
        <w:t xml:space="preserve">Identification and appointment </w:t>
      </w:r>
      <w:r w:rsidR="00CE0C84" w:rsidRPr="00390E77">
        <w:rPr>
          <w:rFonts w:asciiTheme="majorHAnsi" w:eastAsia="Times New Roman" w:hAnsiTheme="majorHAnsi" w:cstheme="majorHAnsi"/>
          <w:color w:val="000000" w:themeColor="text1"/>
          <w:sz w:val="22"/>
          <w:szCs w:val="22"/>
          <w:lang w:val="en-IE" w:eastAsia="en-IE"/>
        </w:rPr>
        <w:t>o</w:t>
      </w:r>
      <w:r w:rsidR="00263095" w:rsidRPr="00390E77">
        <w:rPr>
          <w:rFonts w:asciiTheme="majorHAnsi" w:eastAsia="Times New Roman" w:hAnsiTheme="majorHAnsi" w:cstheme="majorHAnsi"/>
          <w:color w:val="000000" w:themeColor="text1"/>
          <w:sz w:val="22"/>
          <w:szCs w:val="22"/>
          <w:lang w:val="en-IE" w:eastAsia="en-IE"/>
        </w:rPr>
        <w:t>f co</w:t>
      </w:r>
      <w:r w:rsidR="00CE0C84" w:rsidRPr="00390E77">
        <w:rPr>
          <w:rFonts w:asciiTheme="majorHAnsi" w:eastAsia="Times New Roman" w:hAnsiTheme="majorHAnsi" w:cstheme="majorHAnsi"/>
          <w:color w:val="000000" w:themeColor="text1"/>
          <w:sz w:val="22"/>
          <w:szCs w:val="22"/>
          <w:lang w:val="en-IE" w:eastAsia="en-IE"/>
        </w:rPr>
        <w:t>-decision makers, decision-making representatives or attorneys may be part of the care-planning process.</w:t>
      </w:r>
    </w:p>
    <w:p w14:paraId="626BA769" w14:textId="07CD4BC5" w:rsidR="002D0065" w:rsidRPr="00390E77" w:rsidRDefault="00C07E23" w:rsidP="00FB15DA">
      <w:pPr>
        <w:pStyle w:val="ListParagraph"/>
        <w:numPr>
          <w:ilvl w:val="0"/>
          <w:numId w:val="8"/>
        </w:num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r>
        <w:rPr>
          <w:rFonts w:asciiTheme="majorHAnsi" w:eastAsia="Times New Roman" w:hAnsiTheme="majorHAnsi" w:cstheme="majorHAnsi"/>
          <w:color w:val="000000" w:themeColor="text1"/>
          <w:sz w:val="22"/>
          <w:szCs w:val="22"/>
          <w:lang w:val="en-IE" w:eastAsia="en-IE"/>
        </w:rPr>
        <w:t>The current situation where</w:t>
      </w:r>
      <w:r w:rsidR="002D0065" w:rsidRPr="00390E77">
        <w:rPr>
          <w:rFonts w:asciiTheme="majorHAnsi" w:eastAsia="Times New Roman" w:hAnsiTheme="majorHAnsi" w:cstheme="majorHAnsi"/>
          <w:color w:val="000000" w:themeColor="text1"/>
          <w:sz w:val="22"/>
          <w:szCs w:val="22"/>
          <w:lang w:val="en-IE" w:eastAsia="en-IE"/>
        </w:rPr>
        <w:t xml:space="preserve"> </w:t>
      </w:r>
      <w:r>
        <w:rPr>
          <w:rFonts w:asciiTheme="majorHAnsi" w:eastAsia="Times New Roman" w:hAnsiTheme="majorHAnsi" w:cstheme="majorHAnsi"/>
          <w:color w:val="000000" w:themeColor="text1"/>
          <w:sz w:val="22"/>
          <w:szCs w:val="22"/>
          <w:lang w:val="en-IE" w:eastAsia="en-IE"/>
        </w:rPr>
        <w:t>general</w:t>
      </w:r>
      <w:r w:rsidR="002D0065" w:rsidRPr="00390E77">
        <w:rPr>
          <w:rFonts w:asciiTheme="majorHAnsi" w:eastAsia="Times New Roman" w:hAnsiTheme="majorHAnsi" w:cstheme="majorHAnsi"/>
          <w:color w:val="000000" w:themeColor="text1"/>
          <w:sz w:val="22"/>
          <w:szCs w:val="22"/>
          <w:lang w:val="en-IE" w:eastAsia="en-IE"/>
        </w:rPr>
        <w:t xml:space="preserve"> social </w:t>
      </w:r>
      <w:r w:rsidR="00882189">
        <w:rPr>
          <w:rFonts w:asciiTheme="majorHAnsi" w:eastAsia="Times New Roman" w:hAnsiTheme="majorHAnsi" w:cstheme="majorHAnsi"/>
          <w:color w:val="000000" w:themeColor="text1"/>
          <w:sz w:val="22"/>
          <w:szCs w:val="22"/>
          <w:lang w:val="en-IE" w:eastAsia="en-IE"/>
        </w:rPr>
        <w:t xml:space="preserve">workers, </w:t>
      </w:r>
      <w:r w:rsidR="00E60FD7" w:rsidRPr="00390E77">
        <w:rPr>
          <w:rFonts w:asciiTheme="majorHAnsi" w:eastAsia="Times New Roman" w:hAnsiTheme="majorHAnsi" w:cstheme="majorHAnsi"/>
          <w:color w:val="000000" w:themeColor="text1"/>
          <w:sz w:val="22"/>
          <w:szCs w:val="22"/>
          <w:lang w:val="en-IE" w:eastAsia="en-IE"/>
        </w:rPr>
        <w:t>Adult Safeguarding social w</w:t>
      </w:r>
      <w:r w:rsidR="002D0065" w:rsidRPr="00390E77">
        <w:rPr>
          <w:rFonts w:asciiTheme="majorHAnsi" w:eastAsia="Times New Roman" w:hAnsiTheme="majorHAnsi" w:cstheme="majorHAnsi"/>
          <w:color w:val="000000" w:themeColor="text1"/>
          <w:sz w:val="22"/>
          <w:szCs w:val="22"/>
          <w:lang w:val="en-IE" w:eastAsia="en-IE"/>
        </w:rPr>
        <w:t xml:space="preserve">orkers </w:t>
      </w:r>
      <w:r w:rsidR="00882189">
        <w:rPr>
          <w:rFonts w:asciiTheme="majorHAnsi" w:eastAsia="Times New Roman" w:hAnsiTheme="majorHAnsi" w:cstheme="majorHAnsi"/>
          <w:color w:val="000000" w:themeColor="text1"/>
          <w:sz w:val="22"/>
          <w:szCs w:val="22"/>
          <w:lang w:val="en-IE" w:eastAsia="en-IE"/>
        </w:rPr>
        <w:t xml:space="preserve">and independent advocates </w:t>
      </w:r>
      <w:r w:rsidR="002D0065" w:rsidRPr="00390E77">
        <w:rPr>
          <w:rFonts w:asciiTheme="majorHAnsi" w:eastAsia="Times New Roman" w:hAnsiTheme="majorHAnsi" w:cstheme="majorHAnsi"/>
          <w:color w:val="000000" w:themeColor="text1"/>
          <w:sz w:val="22"/>
          <w:szCs w:val="22"/>
          <w:lang w:val="en-IE" w:eastAsia="en-IE"/>
        </w:rPr>
        <w:t xml:space="preserve">do not have authority to </w:t>
      </w:r>
      <w:r w:rsidR="00862A8B" w:rsidRPr="00390E77">
        <w:rPr>
          <w:rFonts w:asciiTheme="majorHAnsi" w:eastAsia="Times New Roman" w:hAnsiTheme="majorHAnsi" w:cstheme="majorHAnsi"/>
          <w:color w:val="000000" w:themeColor="text1"/>
          <w:sz w:val="22"/>
          <w:szCs w:val="22"/>
          <w:lang w:val="en-IE" w:eastAsia="en-IE"/>
        </w:rPr>
        <w:t>enter private nursing homes or to offer support and assistance to individuals living in private residential care facilities should be reviewed in consideration of their</w:t>
      </w:r>
      <w:r w:rsidR="00E60FD7" w:rsidRPr="00390E77">
        <w:rPr>
          <w:rFonts w:asciiTheme="majorHAnsi" w:eastAsia="Times New Roman" w:hAnsiTheme="majorHAnsi" w:cstheme="majorHAnsi"/>
          <w:color w:val="000000" w:themeColor="text1"/>
          <w:sz w:val="22"/>
          <w:szCs w:val="22"/>
          <w:lang w:val="en-IE" w:eastAsia="en-IE"/>
        </w:rPr>
        <w:t xml:space="preserve"> potential</w:t>
      </w:r>
      <w:r w:rsidR="00862A8B" w:rsidRPr="00390E77">
        <w:rPr>
          <w:rFonts w:asciiTheme="majorHAnsi" w:eastAsia="Times New Roman" w:hAnsiTheme="majorHAnsi" w:cstheme="majorHAnsi"/>
          <w:color w:val="000000" w:themeColor="text1"/>
          <w:sz w:val="22"/>
          <w:szCs w:val="22"/>
          <w:lang w:val="en-IE" w:eastAsia="en-IE"/>
        </w:rPr>
        <w:t xml:space="preserve"> advocacy role</w:t>
      </w:r>
      <w:r w:rsidR="00E60FD7" w:rsidRPr="00390E77">
        <w:rPr>
          <w:rFonts w:asciiTheme="majorHAnsi" w:eastAsia="Times New Roman" w:hAnsiTheme="majorHAnsi" w:cstheme="majorHAnsi"/>
          <w:color w:val="000000" w:themeColor="text1"/>
          <w:sz w:val="22"/>
          <w:szCs w:val="22"/>
          <w:lang w:val="en-IE" w:eastAsia="en-IE"/>
        </w:rPr>
        <w:t xml:space="preserve"> for individuals in residential/nursing home care</w:t>
      </w:r>
      <w:r w:rsidR="00862A8B" w:rsidRPr="00390E77">
        <w:rPr>
          <w:rFonts w:asciiTheme="majorHAnsi" w:eastAsia="Times New Roman" w:hAnsiTheme="majorHAnsi" w:cstheme="majorHAnsi"/>
          <w:color w:val="000000" w:themeColor="text1"/>
          <w:sz w:val="22"/>
          <w:szCs w:val="22"/>
          <w:lang w:val="en-IE" w:eastAsia="en-IE"/>
        </w:rPr>
        <w:t>.</w:t>
      </w:r>
    </w:p>
    <w:p w14:paraId="6800B2ED" w14:textId="43204178" w:rsidR="005A4B51" w:rsidRPr="00390E77" w:rsidRDefault="00874849" w:rsidP="00F65230">
      <w:pPr>
        <w:pStyle w:val="Heading2"/>
        <w:rPr>
          <w:rFonts w:eastAsia="Times New Roman"/>
          <w:lang w:eastAsia="en-IE"/>
        </w:rPr>
      </w:pPr>
      <w:r w:rsidRPr="00390E77">
        <w:rPr>
          <w:rFonts w:eastAsia="Times New Roman"/>
          <w:lang w:eastAsia="en-IE"/>
        </w:rPr>
        <w:t>4.3  </w:t>
      </w:r>
      <w:r w:rsidR="00882189">
        <w:rPr>
          <w:rFonts w:eastAsia="Times New Roman"/>
          <w:lang w:eastAsia="en-IE"/>
        </w:rPr>
        <w:t xml:space="preserve"> </w:t>
      </w:r>
      <w:r w:rsidRPr="00390E77">
        <w:rPr>
          <w:rFonts w:eastAsia="Times New Roman"/>
          <w:lang w:eastAsia="en-IE"/>
        </w:rPr>
        <w:t xml:space="preserve">Do you have any other views specific to Head 4? </w:t>
      </w:r>
    </w:p>
    <w:p w14:paraId="7DDD0DB4" w14:textId="77777777" w:rsidR="005A4B51" w:rsidRPr="00390E77" w:rsidRDefault="005A4B51" w:rsidP="00F65230">
      <w:pPr>
        <w:pStyle w:val="Heading3"/>
        <w:rPr>
          <w:rFonts w:eastAsia="Times New Roman"/>
          <w:lang w:eastAsia="en-IE"/>
        </w:rPr>
      </w:pPr>
      <w:r w:rsidRPr="00390E77">
        <w:rPr>
          <w:rFonts w:eastAsia="Times New Roman"/>
          <w:lang w:eastAsia="en-IE"/>
        </w:rPr>
        <w:t>Head 5</w:t>
      </w:r>
    </w:p>
    <w:p w14:paraId="2463A9E7" w14:textId="477C8038" w:rsidR="001C7CE4" w:rsidRPr="00390E77" w:rsidRDefault="001C7CE4" w:rsidP="00F65230">
      <w:pPr>
        <w:pStyle w:val="Heading4"/>
        <w:rPr>
          <w:rFonts w:eastAsia="Times New Roman"/>
          <w:lang w:eastAsia="en-IE"/>
        </w:rPr>
      </w:pPr>
      <w:r w:rsidRPr="00390E77">
        <w:rPr>
          <w:rFonts w:eastAsia="Times New Roman"/>
          <w:lang w:eastAsia="en-IE"/>
        </w:rPr>
        <w:t>5.1  </w:t>
      </w:r>
      <w:r w:rsidR="00882189">
        <w:rPr>
          <w:rFonts w:eastAsia="Times New Roman"/>
          <w:lang w:eastAsia="en-IE"/>
        </w:rPr>
        <w:t xml:space="preserve"> </w:t>
      </w:r>
      <w:r w:rsidRPr="00390E77">
        <w:rPr>
          <w:rFonts w:eastAsia="Times New Roman"/>
          <w:lang w:eastAsia="en-IE"/>
        </w:rPr>
        <w:t xml:space="preserve">In subhead (1), what are your views on the proposed circumstances in which an urgent admission can be made? </w:t>
      </w:r>
    </w:p>
    <w:p w14:paraId="1E79D1F8" w14:textId="2889280C" w:rsidR="001C7CE4" w:rsidRPr="00390E77" w:rsidRDefault="001C7CE4" w:rsidP="00FB15DA">
      <w:pPr>
        <w:pStyle w:val="ListParagraph"/>
        <w:numPr>
          <w:ilvl w:val="0"/>
          <w:numId w:val="10"/>
        </w:num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Where there are no alternatives, the proposed circumstances outlined in subhead 1.5 warrant urgent admission of a relevant person.</w:t>
      </w:r>
    </w:p>
    <w:p w14:paraId="4278E2C6" w14:textId="24F105DB" w:rsidR="001C7CE4" w:rsidRPr="00390E77" w:rsidRDefault="00263095" w:rsidP="00FB15DA">
      <w:pPr>
        <w:pStyle w:val="ListParagraph"/>
        <w:numPr>
          <w:ilvl w:val="0"/>
          <w:numId w:val="10"/>
        </w:num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It is possible that such</w:t>
      </w:r>
      <w:r w:rsidR="001C7CE4" w:rsidRPr="00390E77">
        <w:rPr>
          <w:rFonts w:asciiTheme="majorHAnsi" w:eastAsia="Times New Roman" w:hAnsiTheme="majorHAnsi" w:cstheme="majorHAnsi"/>
          <w:color w:val="000000" w:themeColor="text1"/>
          <w:sz w:val="22"/>
          <w:szCs w:val="22"/>
          <w:lang w:val="en-IE" w:eastAsia="en-IE"/>
        </w:rPr>
        <w:t xml:space="preserve"> circumstances will arise frequently in cases of a sudden deterioration of a person’s capacity</w:t>
      </w:r>
      <w:r w:rsidR="00B74F7A" w:rsidRPr="00390E77">
        <w:rPr>
          <w:rFonts w:asciiTheme="majorHAnsi" w:eastAsia="Times New Roman" w:hAnsiTheme="majorHAnsi" w:cstheme="majorHAnsi"/>
          <w:color w:val="000000" w:themeColor="text1"/>
          <w:sz w:val="22"/>
          <w:szCs w:val="22"/>
          <w:lang w:val="en-IE" w:eastAsia="en-IE"/>
        </w:rPr>
        <w:t>,</w:t>
      </w:r>
      <w:r w:rsidR="001C7CE4" w:rsidRPr="00390E77">
        <w:rPr>
          <w:rFonts w:asciiTheme="majorHAnsi" w:eastAsia="Times New Roman" w:hAnsiTheme="majorHAnsi" w:cstheme="majorHAnsi"/>
          <w:color w:val="000000" w:themeColor="text1"/>
          <w:sz w:val="22"/>
          <w:szCs w:val="22"/>
          <w:lang w:val="en-IE" w:eastAsia="en-IE"/>
        </w:rPr>
        <w:t xml:space="preserve"> a sudden increase in their care needs</w:t>
      </w:r>
      <w:r w:rsidR="007B091F" w:rsidRPr="00390E77">
        <w:rPr>
          <w:rFonts w:asciiTheme="majorHAnsi" w:eastAsia="Times New Roman" w:hAnsiTheme="majorHAnsi" w:cstheme="majorHAnsi"/>
          <w:color w:val="000000" w:themeColor="text1"/>
          <w:sz w:val="22"/>
          <w:szCs w:val="22"/>
          <w:lang w:val="en-IE" w:eastAsia="en-IE"/>
        </w:rPr>
        <w:t xml:space="preserve"> </w:t>
      </w:r>
      <w:r w:rsidR="001C7CE4" w:rsidRPr="00390E77">
        <w:rPr>
          <w:rFonts w:asciiTheme="majorHAnsi" w:eastAsia="Times New Roman" w:hAnsiTheme="majorHAnsi" w:cstheme="majorHAnsi"/>
          <w:color w:val="000000" w:themeColor="text1"/>
          <w:sz w:val="22"/>
          <w:szCs w:val="22"/>
          <w:lang w:val="en-IE" w:eastAsia="en-IE"/>
        </w:rPr>
        <w:t>or a sudden breakdown of their</w:t>
      </w:r>
      <w:r w:rsidR="007B091F" w:rsidRPr="00390E77">
        <w:rPr>
          <w:rFonts w:asciiTheme="majorHAnsi" w:eastAsia="Times New Roman" w:hAnsiTheme="majorHAnsi" w:cstheme="majorHAnsi"/>
          <w:color w:val="000000" w:themeColor="text1"/>
          <w:sz w:val="22"/>
          <w:szCs w:val="22"/>
          <w:lang w:val="en-IE" w:eastAsia="en-IE"/>
        </w:rPr>
        <w:t xml:space="preserve"> formal or informal</w:t>
      </w:r>
      <w:r w:rsidR="001C7CE4" w:rsidRPr="00390E77">
        <w:rPr>
          <w:rFonts w:asciiTheme="majorHAnsi" w:eastAsia="Times New Roman" w:hAnsiTheme="majorHAnsi" w:cstheme="majorHAnsi"/>
          <w:color w:val="000000" w:themeColor="text1"/>
          <w:sz w:val="22"/>
          <w:szCs w:val="22"/>
          <w:lang w:val="en-IE" w:eastAsia="en-IE"/>
        </w:rPr>
        <w:t xml:space="preserve"> care arrangements</w:t>
      </w:r>
      <w:r w:rsidR="00470F73" w:rsidRPr="00390E77">
        <w:rPr>
          <w:rFonts w:asciiTheme="majorHAnsi" w:eastAsia="Times New Roman" w:hAnsiTheme="majorHAnsi" w:cstheme="majorHAnsi"/>
          <w:color w:val="000000" w:themeColor="text1"/>
          <w:sz w:val="22"/>
          <w:szCs w:val="22"/>
          <w:lang w:val="en-IE" w:eastAsia="en-IE"/>
        </w:rPr>
        <w:t xml:space="preserve"> and where no advance care provisions are in place.</w:t>
      </w:r>
    </w:p>
    <w:p w14:paraId="32A08AF1" w14:textId="4EB617C0" w:rsidR="00470F73" w:rsidRPr="00390E77" w:rsidRDefault="00470F73" w:rsidP="00FB15DA">
      <w:pPr>
        <w:pStyle w:val="ListParagraph"/>
        <w:numPr>
          <w:ilvl w:val="0"/>
          <w:numId w:val="10"/>
        </w:num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While it is acknowledged that medical evidence should be sought without delay, the timescale of three days may not always be practical</w:t>
      </w:r>
      <w:r w:rsidR="00C07E23">
        <w:rPr>
          <w:rFonts w:asciiTheme="majorHAnsi" w:eastAsia="Times New Roman" w:hAnsiTheme="majorHAnsi" w:cstheme="majorHAnsi"/>
          <w:color w:val="000000" w:themeColor="text1"/>
          <w:sz w:val="22"/>
          <w:szCs w:val="22"/>
          <w:lang w:val="en-IE" w:eastAsia="en-IE"/>
        </w:rPr>
        <w:t>,</w:t>
      </w:r>
      <w:r w:rsidRPr="00390E77">
        <w:rPr>
          <w:rFonts w:asciiTheme="majorHAnsi" w:eastAsia="Times New Roman" w:hAnsiTheme="majorHAnsi" w:cstheme="majorHAnsi"/>
          <w:color w:val="000000" w:themeColor="text1"/>
          <w:sz w:val="22"/>
          <w:szCs w:val="22"/>
          <w:lang w:val="en-IE" w:eastAsia="en-IE"/>
        </w:rPr>
        <w:t xml:space="preserve"> particularly at holiday weekend</w:t>
      </w:r>
      <w:r w:rsidR="00E520E2">
        <w:rPr>
          <w:rFonts w:asciiTheme="majorHAnsi" w:eastAsia="Times New Roman" w:hAnsiTheme="majorHAnsi" w:cstheme="majorHAnsi"/>
          <w:color w:val="000000" w:themeColor="text1"/>
          <w:sz w:val="22"/>
          <w:szCs w:val="22"/>
          <w:lang w:val="en-IE" w:eastAsia="en-IE"/>
        </w:rPr>
        <w:t>s and where out-of-</w:t>
      </w:r>
      <w:r w:rsidR="00B74F7A" w:rsidRPr="00390E77">
        <w:rPr>
          <w:rFonts w:asciiTheme="majorHAnsi" w:eastAsia="Times New Roman" w:hAnsiTheme="majorHAnsi" w:cstheme="majorHAnsi"/>
          <w:color w:val="000000" w:themeColor="text1"/>
          <w:sz w:val="22"/>
          <w:szCs w:val="22"/>
          <w:lang w:val="en-IE" w:eastAsia="en-IE"/>
        </w:rPr>
        <w:t>hours services are not properly resourced</w:t>
      </w:r>
      <w:r w:rsidRPr="00390E77">
        <w:rPr>
          <w:rFonts w:asciiTheme="majorHAnsi" w:eastAsia="Times New Roman" w:hAnsiTheme="majorHAnsi" w:cstheme="majorHAnsi"/>
          <w:color w:val="000000" w:themeColor="text1"/>
          <w:sz w:val="22"/>
          <w:szCs w:val="22"/>
          <w:lang w:val="en-IE" w:eastAsia="en-IE"/>
        </w:rPr>
        <w:t xml:space="preserve">. </w:t>
      </w:r>
    </w:p>
    <w:p w14:paraId="53FEFE31" w14:textId="77777777" w:rsidR="00470F73" w:rsidRPr="00390E77" w:rsidRDefault="00470F73" w:rsidP="00FB15DA">
      <w:pPr>
        <w:pStyle w:val="ListParagraph"/>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p>
    <w:p w14:paraId="786A71F1" w14:textId="592B8906" w:rsidR="001C7CE4" w:rsidRPr="00390E77" w:rsidRDefault="00882189" w:rsidP="00F65230">
      <w:pPr>
        <w:pStyle w:val="Heading4"/>
        <w:rPr>
          <w:rFonts w:eastAsia="Times New Roman"/>
          <w:lang w:eastAsia="en-IE"/>
        </w:rPr>
      </w:pPr>
      <w:r>
        <w:rPr>
          <w:rFonts w:eastAsia="Times New Roman"/>
          <w:lang w:eastAsia="en-IE"/>
        </w:rPr>
        <w:t xml:space="preserve">5.2  </w:t>
      </w:r>
      <w:r w:rsidR="001C7CE4" w:rsidRPr="00390E77">
        <w:rPr>
          <w:rFonts w:eastAsia="Times New Roman"/>
          <w:lang w:eastAsia="en-IE"/>
        </w:rPr>
        <w:t xml:space="preserve">In subhead 2(b), should a health professional other than a registered medical practitioner be able to provide medical evidence? If so, what type of healthcare professional? This issue also arises in Head 6(2). </w:t>
      </w:r>
    </w:p>
    <w:p w14:paraId="26A22A15" w14:textId="7752B7F2" w:rsidR="00470F73" w:rsidRPr="00390E77" w:rsidRDefault="00470F73" w:rsidP="00FB15DA">
      <w:pPr>
        <w:pStyle w:val="ListParagraph"/>
        <w:numPr>
          <w:ilvl w:val="0"/>
          <w:numId w:val="21"/>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As noted in section 1.2 above</w:t>
      </w:r>
      <w:r w:rsidR="00C07E23">
        <w:rPr>
          <w:rFonts w:asciiTheme="majorHAnsi" w:eastAsia="Times New Roman" w:hAnsiTheme="majorHAnsi" w:cstheme="majorHAnsi"/>
          <w:color w:val="000000" w:themeColor="text1"/>
          <w:sz w:val="22"/>
          <w:szCs w:val="22"/>
          <w:lang w:val="en-IE" w:eastAsia="en-IE"/>
        </w:rPr>
        <w:t>,</w:t>
      </w:r>
      <w:r w:rsidRPr="00390E77">
        <w:rPr>
          <w:rFonts w:asciiTheme="majorHAnsi" w:eastAsia="Times New Roman" w:hAnsiTheme="majorHAnsi" w:cstheme="majorHAnsi"/>
          <w:color w:val="000000" w:themeColor="text1"/>
          <w:sz w:val="22"/>
          <w:szCs w:val="22"/>
          <w:lang w:val="en-IE" w:eastAsia="en-IE"/>
        </w:rPr>
        <w:t xml:space="preserve"> </w:t>
      </w:r>
      <w:r w:rsidRPr="00390E77">
        <w:rPr>
          <w:rFonts w:asciiTheme="majorHAnsi" w:hAnsiTheme="majorHAnsi" w:cstheme="majorHAnsi"/>
          <w:color w:val="000000" w:themeColor="text1"/>
          <w:sz w:val="22"/>
          <w:szCs w:val="22"/>
        </w:rPr>
        <w:t xml:space="preserve">it is recommended that other healthcare professionals with specialist assessment expertise are included within the definition of </w:t>
      </w:r>
      <w:r w:rsidR="00E66810" w:rsidRPr="00390E77">
        <w:rPr>
          <w:rFonts w:asciiTheme="majorHAnsi" w:hAnsiTheme="majorHAnsi" w:cstheme="majorHAnsi"/>
          <w:color w:val="000000" w:themeColor="text1"/>
          <w:sz w:val="22"/>
          <w:szCs w:val="22"/>
        </w:rPr>
        <w:t xml:space="preserve">the </w:t>
      </w:r>
      <w:r w:rsidRPr="00390E77">
        <w:rPr>
          <w:rFonts w:asciiTheme="majorHAnsi" w:hAnsiTheme="majorHAnsi" w:cstheme="majorHAnsi"/>
          <w:color w:val="000000" w:themeColor="text1"/>
          <w:sz w:val="22"/>
          <w:szCs w:val="22"/>
        </w:rPr>
        <w:t xml:space="preserve">‘other medical expert’ and therefore could be able to provide medical evidence in these circumstances. </w:t>
      </w:r>
    </w:p>
    <w:p w14:paraId="3635211A" w14:textId="0FEBDD00" w:rsidR="001C7CE4" w:rsidRPr="00390E77" w:rsidRDefault="001C7CE4" w:rsidP="00F65230">
      <w:pPr>
        <w:pStyle w:val="Heading4"/>
        <w:rPr>
          <w:rFonts w:eastAsia="Times New Roman"/>
          <w:lang w:eastAsia="en-IE"/>
        </w:rPr>
      </w:pPr>
      <w:r w:rsidRPr="00390E77">
        <w:rPr>
          <w:rFonts w:eastAsia="Times New Roman"/>
          <w:lang w:eastAsia="en-IE"/>
        </w:rPr>
        <w:t>5.3  </w:t>
      </w:r>
      <w:r w:rsidR="00882189">
        <w:rPr>
          <w:rFonts w:eastAsia="Times New Roman"/>
          <w:lang w:eastAsia="en-IE"/>
        </w:rPr>
        <w:t xml:space="preserve"> </w:t>
      </w:r>
      <w:r w:rsidRPr="00390E77">
        <w:rPr>
          <w:rFonts w:eastAsia="Times New Roman"/>
          <w:lang w:eastAsia="en-IE"/>
        </w:rPr>
        <w:t xml:space="preserve">In subhead (7), who should make the application to Court if no one else does so? Do you have a view on the proposed role of the Director of the Decision Support Service? This issue also arises in Heads 7(6), 7(11) and 8(3). </w:t>
      </w:r>
    </w:p>
    <w:p w14:paraId="2F43A223" w14:textId="5D311CF8" w:rsidR="00470F73" w:rsidRPr="00390E77" w:rsidRDefault="00FB15DA" w:rsidP="00FB15DA">
      <w:pPr>
        <w:pStyle w:val="ListParagraph"/>
        <w:numPr>
          <w:ilvl w:val="0"/>
          <w:numId w:val="21"/>
        </w:num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 xml:space="preserve">The appointment of the Director of the Decision Support Service in October 2017 is welcomed. </w:t>
      </w:r>
      <w:r w:rsidR="00470F73" w:rsidRPr="00390E77">
        <w:rPr>
          <w:rFonts w:asciiTheme="majorHAnsi" w:eastAsia="Times New Roman" w:hAnsiTheme="majorHAnsi" w:cstheme="majorHAnsi"/>
          <w:color w:val="000000" w:themeColor="text1"/>
          <w:sz w:val="22"/>
          <w:szCs w:val="22"/>
          <w:lang w:val="en-IE" w:eastAsia="en-IE"/>
        </w:rPr>
        <w:t>This ro</w:t>
      </w:r>
      <w:r w:rsidRPr="00390E77">
        <w:rPr>
          <w:rFonts w:asciiTheme="majorHAnsi" w:eastAsia="Times New Roman" w:hAnsiTheme="majorHAnsi" w:cstheme="majorHAnsi"/>
          <w:color w:val="000000" w:themeColor="text1"/>
          <w:sz w:val="22"/>
          <w:szCs w:val="22"/>
          <w:lang w:val="en-IE" w:eastAsia="en-IE"/>
        </w:rPr>
        <w:t>le falls within the remit of this service</w:t>
      </w:r>
      <w:r w:rsidR="00C07E23">
        <w:rPr>
          <w:rFonts w:asciiTheme="majorHAnsi" w:eastAsia="Times New Roman" w:hAnsiTheme="majorHAnsi" w:cstheme="majorHAnsi"/>
          <w:color w:val="000000" w:themeColor="text1"/>
          <w:sz w:val="22"/>
          <w:szCs w:val="22"/>
          <w:lang w:val="en-IE" w:eastAsia="en-IE"/>
        </w:rPr>
        <w:t>,</w:t>
      </w:r>
      <w:r w:rsidR="00470F73" w:rsidRPr="00390E77">
        <w:rPr>
          <w:rFonts w:asciiTheme="majorHAnsi" w:eastAsia="Times New Roman" w:hAnsiTheme="majorHAnsi" w:cstheme="majorHAnsi"/>
          <w:color w:val="000000" w:themeColor="text1"/>
          <w:sz w:val="22"/>
          <w:szCs w:val="22"/>
          <w:lang w:val="en-IE" w:eastAsia="en-IE"/>
        </w:rPr>
        <w:t xml:space="preserve"> </w:t>
      </w:r>
      <w:r w:rsidRPr="00390E77">
        <w:rPr>
          <w:rFonts w:asciiTheme="majorHAnsi" w:eastAsia="Times New Roman" w:hAnsiTheme="majorHAnsi" w:cstheme="majorHAnsi"/>
          <w:color w:val="000000" w:themeColor="text1"/>
          <w:sz w:val="22"/>
          <w:szCs w:val="22"/>
          <w:lang w:val="en-IE" w:eastAsia="en-IE"/>
        </w:rPr>
        <w:t xml:space="preserve">though the ability to make the application to court within the defined time-frame will depend on the resources available to the Director and also on the number of available and suitably qualified people that have been appointed to the panel of Decision-Making representatives. </w:t>
      </w:r>
    </w:p>
    <w:p w14:paraId="50AFDB53" w14:textId="7634822B" w:rsidR="005A4B51" w:rsidRPr="00390E77" w:rsidRDefault="001C7CE4" w:rsidP="00F65230">
      <w:pPr>
        <w:pStyle w:val="Heading4"/>
        <w:rPr>
          <w:rFonts w:eastAsia="Times New Roman"/>
          <w:lang w:eastAsia="en-IE"/>
        </w:rPr>
      </w:pPr>
      <w:r w:rsidRPr="00390E77">
        <w:rPr>
          <w:rFonts w:eastAsia="Times New Roman"/>
          <w:lang w:eastAsia="en-IE"/>
        </w:rPr>
        <w:t xml:space="preserve">5.4 </w:t>
      </w:r>
      <w:r w:rsidR="00882189">
        <w:rPr>
          <w:rFonts w:eastAsia="Times New Roman"/>
          <w:lang w:eastAsia="en-IE"/>
        </w:rPr>
        <w:t xml:space="preserve"> </w:t>
      </w:r>
      <w:r w:rsidRPr="00390E77">
        <w:rPr>
          <w:rFonts w:eastAsia="Times New Roman"/>
          <w:lang w:eastAsia="en-IE"/>
        </w:rPr>
        <w:t xml:space="preserve"> Do you have any other views specific to Head 5? </w:t>
      </w:r>
    </w:p>
    <w:p w14:paraId="057DEB5A" w14:textId="77777777" w:rsidR="00EB6CDF" w:rsidRPr="00390E77" w:rsidRDefault="00EB6CDF" w:rsidP="00F65230">
      <w:pPr>
        <w:pStyle w:val="Heading3"/>
        <w:rPr>
          <w:rFonts w:eastAsia="Times New Roman"/>
          <w:lang w:eastAsia="en-IE"/>
        </w:rPr>
      </w:pPr>
      <w:r w:rsidRPr="00390E77">
        <w:rPr>
          <w:rFonts w:eastAsia="Times New Roman"/>
          <w:lang w:eastAsia="en-IE"/>
        </w:rPr>
        <w:t xml:space="preserve">Head 6: </w:t>
      </w:r>
    </w:p>
    <w:p w14:paraId="4ABA9A43" w14:textId="5772A767" w:rsidR="00EB6CDF" w:rsidRPr="00390E77" w:rsidRDefault="00EB6CDF" w:rsidP="00F65230">
      <w:pPr>
        <w:pStyle w:val="Heading4"/>
        <w:rPr>
          <w:rFonts w:eastAsia="Times New Roman"/>
          <w:lang w:eastAsia="en-IE"/>
        </w:rPr>
      </w:pPr>
      <w:r w:rsidRPr="00390E77">
        <w:rPr>
          <w:rFonts w:eastAsia="Times New Roman"/>
          <w:lang w:eastAsia="en-IE"/>
        </w:rPr>
        <w:t>6.1  </w:t>
      </w:r>
      <w:r w:rsidR="00882189">
        <w:rPr>
          <w:rFonts w:eastAsia="Times New Roman"/>
          <w:lang w:eastAsia="en-IE"/>
        </w:rPr>
        <w:t xml:space="preserve"> </w:t>
      </w:r>
      <w:r w:rsidRPr="00390E77">
        <w:rPr>
          <w:rFonts w:eastAsia="Times New Roman"/>
          <w:lang w:eastAsia="en-IE"/>
        </w:rPr>
        <w:t xml:space="preserve">Is the evidence of one medical expert sufficient? </w:t>
      </w:r>
    </w:p>
    <w:p w14:paraId="73BCC983" w14:textId="035431EE" w:rsidR="006607E8" w:rsidRPr="00390E77" w:rsidRDefault="006607E8" w:rsidP="006607E8">
      <w:pPr>
        <w:pStyle w:val="ListParagraph"/>
        <w:numPr>
          <w:ilvl w:val="0"/>
          <w:numId w:val="10"/>
        </w:num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lastRenderedPageBreak/>
        <w:t xml:space="preserve">Independence and objectivity is essential when making important decisions about a person’s liberty. This is particularly the case where the same health and social care professionals </w:t>
      </w:r>
      <w:r w:rsidR="00A42F7D" w:rsidRPr="00390E77">
        <w:rPr>
          <w:rFonts w:asciiTheme="majorHAnsi" w:eastAsia="Times New Roman" w:hAnsiTheme="majorHAnsi" w:cstheme="majorHAnsi"/>
          <w:color w:val="000000" w:themeColor="text1"/>
          <w:sz w:val="22"/>
          <w:szCs w:val="22"/>
          <w:lang w:val="en-IE" w:eastAsia="en-IE"/>
        </w:rPr>
        <w:t xml:space="preserve">who </w:t>
      </w:r>
      <w:r w:rsidRPr="00390E77">
        <w:rPr>
          <w:rFonts w:asciiTheme="majorHAnsi" w:eastAsia="Times New Roman" w:hAnsiTheme="majorHAnsi" w:cstheme="majorHAnsi"/>
          <w:color w:val="000000" w:themeColor="text1"/>
          <w:sz w:val="22"/>
          <w:szCs w:val="22"/>
          <w:lang w:val="en-IE" w:eastAsia="en-IE"/>
        </w:rPr>
        <w:t>are responsible for depriving a person of their liberty</w:t>
      </w:r>
      <w:r w:rsidR="00A42F7D" w:rsidRPr="00390E77">
        <w:rPr>
          <w:rFonts w:asciiTheme="majorHAnsi" w:eastAsia="Times New Roman" w:hAnsiTheme="majorHAnsi" w:cstheme="majorHAnsi"/>
          <w:color w:val="000000" w:themeColor="text1"/>
          <w:sz w:val="22"/>
          <w:szCs w:val="22"/>
          <w:lang w:val="en-IE" w:eastAsia="en-IE"/>
        </w:rPr>
        <w:t xml:space="preserve"> </w:t>
      </w:r>
      <w:r w:rsidRPr="00390E77">
        <w:rPr>
          <w:rFonts w:asciiTheme="majorHAnsi" w:eastAsia="Times New Roman" w:hAnsiTheme="majorHAnsi" w:cstheme="majorHAnsi"/>
          <w:color w:val="000000" w:themeColor="text1"/>
          <w:sz w:val="22"/>
          <w:szCs w:val="22"/>
          <w:lang w:val="en-IE" w:eastAsia="en-IE"/>
        </w:rPr>
        <w:t xml:space="preserve">are also engaged in delivering </w:t>
      </w:r>
      <w:r w:rsidR="00A42F7D" w:rsidRPr="00390E77">
        <w:rPr>
          <w:rFonts w:asciiTheme="majorHAnsi" w:eastAsia="Times New Roman" w:hAnsiTheme="majorHAnsi" w:cstheme="majorHAnsi"/>
          <w:color w:val="000000" w:themeColor="text1"/>
          <w:sz w:val="22"/>
          <w:szCs w:val="22"/>
          <w:lang w:val="en-IE" w:eastAsia="en-IE"/>
        </w:rPr>
        <w:t xml:space="preserve">ongoing </w:t>
      </w:r>
      <w:r w:rsidRPr="00390E77">
        <w:rPr>
          <w:rFonts w:asciiTheme="majorHAnsi" w:eastAsia="Times New Roman" w:hAnsiTheme="majorHAnsi" w:cstheme="majorHAnsi"/>
          <w:color w:val="000000" w:themeColor="text1"/>
          <w:sz w:val="22"/>
          <w:szCs w:val="22"/>
          <w:lang w:val="en-IE" w:eastAsia="en-IE"/>
        </w:rPr>
        <w:t>care to that person.</w:t>
      </w:r>
    </w:p>
    <w:p w14:paraId="7D3C71F7" w14:textId="26409886" w:rsidR="00A42F7D" w:rsidRPr="00390E77" w:rsidRDefault="008630D5" w:rsidP="00A42F7D">
      <w:pPr>
        <w:pStyle w:val="ListParagraph"/>
        <w:numPr>
          <w:ilvl w:val="0"/>
          <w:numId w:val="22"/>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 xml:space="preserve">The availability of </w:t>
      </w:r>
      <w:r w:rsidR="00B74F7A" w:rsidRPr="00390E77">
        <w:rPr>
          <w:rFonts w:asciiTheme="majorHAnsi" w:eastAsia="Times New Roman" w:hAnsiTheme="majorHAnsi" w:cstheme="majorHAnsi"/>
          <w:color w:val="000000" w:themeColor="text1"/>
          <w:sz w:val="22"/>
          <w:szCs w:val="22"/>
          <w:lang w:val="en-IE" w:eastAsia="en-IE"/>
        </w:rPr>
        <w:t xml:space="preserve">independent </w:t>
      </w:r>
      <w:r w:rsidRPr="00390E77">
        <w:rPr>
          <w:rFonts w:asciiTheme="majorHAnsi" w:eastAsia="Times New Roman" w:hAnsiTheme="majorHAnsi" w:cstheme="majorHAnsi"/>
          <w:color w:val="000000" w:themeColor="text1"/>
          <w:sz w:val="22"/>
          <w:szCs w:val="22"/>
          <w:lang w:val="en-IE" w:eastAsia="en-IE"/>
        </w:rPr>
        <w:t>medical experts</w:t>
      </w:r>
      <w:r w:rsidR="00B74F7A" w:rsidRPr="00390E77">
        <w:rPr>
          <w:rFonts w:asciiTheme="majorHAnsi" w:eastAsia="Times New Roman" w:hAnsiTheme="majorHAnsi" w:cstheme="majorHAnsi"/>
          <w:color w:val="000000" w:themeColor="text1"/>
          <w:sz w:val="22"/>
          <w:szCs w:val="22"/>
          <w:lang w:val="en-IE" w:eastAsia="en-IE"/>
        </w:rPr>
        <w:t xml:space="preserve"> who will not have already known the relevant person</w:t>
      </w:r>
      <w:r w:rsidR="00966E14" w:rsidRPr="00390E77">
        <w:rPr>
          <w:rFonts w:asciiTheme="majorHAnsi" w:eastAsia="Times New Roman" w:hAnsiTheme="majorHAnsi" w:cstheme="majorHAnsi"/>
          <w:color w:val="000000" w:themeColor="text1"/>
          <w:sz w:val="22"/>
          <w:szCs w:val="22"/>
          <w:lang w:val="en-IE" w:eastAsia="en-IE"/>
        </w:rPr>
        <w:t xml:space="preserve"> is a crucial safeguard</w:t>
      </w:r>
      <w:r w:rsidR="00A42F7D" w:rsidRPr="00390E77">
        <w:rPr>
          <w:rFonts w:asciiTheme="majorHAnsi" w:eastAsia="Times New Roman" w:hAnsiTheme="majorHAnsi" w:cstheme="majorHAnsi"/>
          <w:color w:val="000000" w:themeColor="text1"/>
          <w:sz w:val="22"/>
          <w:szCs w:val="22"/>
          <w:lang w:val="en-IE" w:eastAsia="en-IE"/>
        </w:rPr>
        <w:t>. However</w:t>
      </w:r>
      <w:r w:rsidR="00966E14" w:rsidRPr="00390E77">
        <w:rPr>
          <w:rFonts w:asciiTheme="majorHAnsi" w:eastAsia="Times New Roman" w:hAnsiTheme="majorHAnsi" w:cstheme="majorHAnsi"/>
          <w:color w:val="000000" w:themeColor="text1"/>
          <w:sz w:val="22"/>
          <w:szCs w:val="22"/>
          <w:lang w:val="en-IE" w:eastAsia="en-IE"/>
        </w:rPr>
        <w:t xml:space="preserve">, </w:t>
      </w:r>
      <w:r w:rsidR="00A42F7D" w:rsidRPr="00390E77">
        <w:rPr>
          <w:rFonts w:asciiTheme="majorHAnsi" w:eastAsia="Times New Roman" w:hAnsiTheme="majorHAnsi" w:cstheme="majorHAnsi"/>
          <w:color w:val="000000" w:themeColor="text1"/>
          <w:sz w:val="22"/>
          <w:szCs w:val="22"/>
          <w:lang w:val="en-IE" w:eastAsia="en-IE"/>
        </w:rPr>
        <w:t>this requirement could pose significant challenges in the Irish system which is currently short staffed and under significant pressure. In December 2017, the HSE National Director for Mental Health Services reported significant difficulties in recruiting and retaining staff and outlined that staffing levels were at 80% of recommended delivery levels and in some areas</w:t>
      </w:r>
      <w:r w:rsidR="00C07E23">
        <w:rPr>
          <w:rFonts w:asciiTheme="majorHAnsi" w:eastAsia="Times New Roman" w:hAnsiTheme="majorHAnsi" w:cstheme="majorHAnsi"/>
          <w:color w:val="000000" w:themeColor="text1"/>
          <w:sz w:val="22"/>
          <w:szCs w:val="22"/>
          <w:lang w:val="en-IE" w:eastAsia="en-IE"/>
        </w:rPr>
        <w:t>,</w:t>
      </w:r>
      <w:r w:rsidR="00A42F7D" w:rsidRPr="00390E77">
        <w:rPr>
          <w:rFonts w:asciiTheme="majorHAnsi" w:eastAsia="Times New Roman" w:hAnsiTheme="majorHAnsi" w:cstheme="majorHAnsi"/>
          <w:color w:val="000000" w:themeColor="text1"/>
          <w:sz w:val="22"/>
          <w:szCs w:val="22"/>
          <w:lang w:val="en-IE" w:eastAsia="en-IE"/>
        </w:rPr>
        <w:t xml:space="preserve"> such as Old Age Psychiatry</w:t>
      </w:r>
      <w:r w:rsidR="00C07E23">
        <w:rPr>
          <w:rFonts w:asciiTheme="majorHAnsi" w:eastAsia="Times New Roman" w:hAnsiTheme="majorHAnsi" w:cstheme="majorHAnsi"/>
          <w:color w:val="000000" w:themeColor="text1"/>
          <w:sz w:val="22"/>
          <w:szCs w:val="22"/>
          <w:lang w:val="en-IE" w:eastAsia="en-IE"/>
        </w:rPr>
        <w:t>,</w:t>
      </w:r>
      <w:r w:rsidR="00A42F7D" w:rsidRPr="00390E77">
        <w:rPr>
          <w:rFonts w:asciiTheme="majorHAnsi" w:eastAsia="Times New Roman" w:hAnsiTheme="majorHAnsi" w:cstheme="majorHAnsi"/>
          <w:color w:val="000000" w:themeColor="text1"/>
          <w:sz w:val="22"/>
          <w:szCs w:val="22"/>
          <w:lang w:val="en-IE" w:eastAsia="en-IE"/>
        </w:rPr>
        <w:t xml:space="preserve"> were as low as 61% (O’Connor, 2017). </w:t>
      </w:r>
    </w:p>
    <w:p w14:paraId="050EC58C" w14:textId="73886E92" w:rsidR="006607E8" w:rsidRPr="00390E77" w:rsidRDefault="006607E8" w:rsidP="00E83525">
      <w:pPr>
        <w:pStyle w:val="ListParagraph"/>
        <w:numPr>
          <w:ilvl w:val="0"/>
          <w:numId w:val="10"/>
        </w:num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In situations where the person objects to the proposed care arrangements</w:t>
      </w:r>
      <w:r w:rsidR="008630D5" w:rsidRPr="00390E77">
        <w:rPr>
          <w:rFonts w:asciiTheme="majorHAnsi" w:eastAsia="Times New Roman" w:hAnsiTheme="majorHAnsi" w:cstheme="majorHAnsi"/>
          <w:color w:val="000000" w:themeColor="text1"/>
          <w:sz w:val="22"/>
          <w:szCs w:val="22"/>
          <w:lang w:val="en-IE" w:eastAsia="en-IE"/>
        </w:rPr>
        <w:t xml:space="preserve">, evidence from another medical expert could help </w:t>
      </w:r>
      <w:r w:rsidR="00C07E23">
        <w:rPr>
          <w:rFonts w:asciiTheme="majorHAnsi" w:eastAsia="Times New Roman" w:hAnsiTheme="majorHAnsi" w:cstheme="majorHAnsi"/>
          <w:color w:val="000000" w:themeColor="text1"/>
          <w:sz w:val="22"/>
          <w:szCs w:val="22"/>
          <w:lang w:val="en-IE" w:eastAsia="en-IE"/>
        </w:rPr>
        <w:t xml:space="preserve">to </w:t>
      </w:r>
      <w:r w:rsidR="008630D5" w:rsidRPr="00390E77">
        <w:rPr>
          <w:rFonts w:asciiTheme="majorHAnsi" w:eastAsia="Times New Roman" w:hAnsiTheme="majorHAnsi" w:cstheme="majorHAnsi"/>
          <w:color w:val="000000" w:themeColor="text1"/>
          <w:sz w:val="22"/>
          <w:szCs w:val="22"/>
          <w:lang w:val="en-IE" w:eastAsia="en-IE"/>
        </w:rPr>
        <w:t>resolve the dispute.</w:t>
      </w:r>
    </w:p>
    <w:p w14:paraId="22BD481B" w14:textId="77777777" w:rsidR="006607E8" w:rsidRPr="00390E77" w:rsidRDefault="006607E8" w:rsidP="008630D5">
      <w:pPr>
        <w:pStyle w:val="ListParagraph"/>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p>
    <w:p w14:paraId="5283E8C8" w14:textId="648CF6F4" w:rsidR="00EB6CDF" w:rsidRPr="00390E77" w:rsidRDefault="00EB6CDF" w:rsidP="00F65230">
      <w:pPr>
        <w:pStyle w:val="Heading4"/>
        <w:rPr>
          <w:rFonts w:eastAsia="Times New Roman"/>
          <w:lang w:eastAsia="en-IE"/>
        </w:rPr>
      </w:pPr>
      <w:r w:rsidRPr="00390E77">
        <w:rPr>
          <w:rFonts w:eastAsia="Times New Roman"/>
          <w:lang w:eastAsia="en-IE"/>
        </w:rPr>
        <w:t>6.2  </w:t>
      </w:r>
      <w:r w:rsidR="00882189">
        <w:rPr>
          <w:rFonts w:eastAsia="Times New Roman"/>
          <w:lang w:eastAsia="en-IE"/>
        </w:rPr>
        <w:t xml:space="preserve"> </w:t>
      </w:r>
      <w:r w:rsidRPr="00390E77">
        <w:rPr>
          <w:rFonts w:eastAsia="Times New Roman"/>
          <w:lang w:eastAsia="en-IE"/>
        </w:rPr>
        <w:t xml:space="preserve">Do you have any other views specific to Head 6? </w:t>
      </w:r>
    </w:p>
    <w:p w14:paraId="09E9CA8E" w14:textId="05A43F1B" w:rsidR="00F96B6E" w:rsidRPr="00E045EE" w:rsidRDefault="00FB15DA">
      <w:pPr>
        <w:pStyle w:val="ListParagraph"/>
        <w:numPr>
          <w:ilvl w:val="0"/>
          <w:numId w:val="10"/>
        </w:numPr>
        <w:spacing w:before="100" w:beforeAutospacing="1" w:after="100" w:afterAutospacing="1"/>
        <w:jc w:val="both"/>
        <w:rPr>
          <w:rFonts w:asciiTheme="majorHAnsi" w:eastAsia="Times New Roman" w:hAnsiTheme="majorHAnsi" w:cstheme="majorHAnsi"/>
          <w: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 xml:space="preserve">The requirement in Head </w:t>
      </w:r>
      <w:r w:rsidR="009C4CCC" w:rsidRPr="00390E77">
        <w:rPr>
          <w:rFonts w:asciiTheme="majorHAnsi" w:eastAsia="Times New Roman" w:hAnsiTheme="majorHAnsi" w:cstheme="majorHAnsi"/>
          <w:color w:val="000000" w:themeColor="text1"/>
          <w:sz w:val="22"/>
          <w:szCs w:val="22"/>
          <w:lang w:val="en-IE" w:eastAsia="en-IE"/>
        </w:rPr>
        <w:t xml:space="preserve">3 (a) and (b) that admission decisions should be made where it is necessary to protect the relevant person and/or </w:t>
      </w:r>
      <w:r w:rsidR="00C2374D">
        <w:rPr>
          <w:rFonts w:asciiTheme="majorHAnsi" w:eastAsia="Times New Roman" w:hAnsiTheme="majorHAnsi" w:cstheme="majorHAnsi"/>
          <w:color w:val="000000" w:themeColor="text1"/>
          <w:sz w:val="22"/>
          <w:szCs w:val="22"/>
          <w:lang w:val="en-IE" w:eastAsia="en-IE"/>
        </w:rPr>
        <w:t>where</w:t>
      </w:r>
      <w:r w:rsidR="009C4CCC" w:rsidRPr="00390E77">
        <w:rPr>
          <w:rFonts w:asciiTheme="majorHAnsi" w:eastAsia="Times New Roman" w:hAnsiTheme="majorHAnsi" w:cstheme="majorHAnsi"/>
          <w:color w:val="000000" w:themeColor="text1"/>
          <w:sz w:val="22"/>
          <w:szCs w:val="22"/>
          <w:lang w:val="en-IE" w:eastAsia="en-IE"/>
        </w:rPr>
        <w:t xml:space="preserve"> there is no other appropriate and less intrusive manner of protecting the person from harm raises complex questions and concerns. </w:t>
      </w:r>
      <w:r w:rsidR="00F96B6E" w:rsidRPr="00390E77">
        <w:rPr>
          <w:rFonts w:asciiTheme="majorHAnsi" w:eastAsia="Times New Roman" w:hAnsiTheme="majorHAnsi" w:cstheme="majorHAnsi"/>
          <w:color w:val="000000" w:themeColor="text1"/>
          <w:sz w:val="22"/>
          <w:szCs w:val="22"/>
          <w:lang w:val="en-IE" w:eastAsia="en-IE"/>
        </w:rPr>
        <w:t>For example</w:t>
      </w:r>
      <w:r w:rsidR="00C2374D">
        <w:rPr>
          <w:rFonts w:asciiTheme="majorHAnsi" w:eastAsia="Times New Roman" w:hAnsiTheme="majorHAnsi" w:cstheme="majorHAnsi"/>
          <w:color w:val="000000" w:themeColor="text1"/>
          <w:sz w:val="22"/>
          <w:szCs w:val="22"/>
          <w:lang w:val="en-IE" w:eastAsia="en-IE"/>
        </w:rPr>
        <w:t>,</w:t>
      </w:r>
      <w:r w:rsidR="00F96B6E" w:rsidRPr="00390E77">
        <w:rPr>
          <w:rFonts w:asciiTheme="majorHAnsi" w:eastAsia="Times New Roman" w:hAnsiTheme="majorHAnsi" w:cstheme="majorHAnsi"/>
          <w:color w:val="000000" w:themeColor="text1"/>
          <w:sz w:val="22"/>
          <w:szCs w:val="22"/>
          <w:lang w:val="en-IE" w:eastAsia="en-IE"/>
        </w:rPr>
        <w:t xml:space="preserve"> t</w:t>
      </w:r>
      <w:r w:rsidR="009C4CCC" w:rsidRPr="00390E77">
        <w:rPr>
          <w:rFonts w:asciiTheme="majorHAnsi" w:eastAsia="Times New Roman" w:hAnsiTheme="majorHAnsi" w:cstheme="majorHAnsi"/>
          <w:color w:val="000000" w:themeColor="text1"/>
          <w:sz w:val="22"/>
          <w:szCs w:val="22"/>
          <w:lang w:val="en-IE" w:eastAsia="en-IE"/>
        </w:rPr>
        <w:t>he UK Law Reform Commission (2017, p13) cite</w:t>
      </w:r>
      <w:r w:rsidR="00C2374D">
        <w:rPr>
          <w:rFonts w:asciiTheme="majorHAnsi" w:eastAsia="Times New Roman" w:hAnsiTheme="majorHAnsi" w:cstheme="majorHAnsi"/>
          <w:color w:val="000000" w:themeColor="text1"/>
          <w:sz w:val="22"/>
          <w:szCs w:val="22"/>
          <w:lang w:val="en-IE" w:eastAsia="en-IE"/>
        </w:rPr>
        <w:t>s</w:t>
      </w:r>
      <w:r w:rsidR="009C4CCC" w:rsidRPr="00390E77">
        <w:rPr>
          <w:rFonts w:asciiTheme="majorHAnsi" w:eastAsia="Times New Roman" w:hAnsiTheme="majorHAnsi" w:cstheme="majorHAnsi"/>
          <w:color w:val="000000" w:themeColor="text1"/>
          <w:sz w:val="22"/>
          <w:szCs w:val="22"/>
          <w:lang w:val="en-IE" w:eastAsia="en-IE"/>
        </w:rPr>
        <w:t xml:space="preserve"> confusion over the role of best interests</w:t>
      </w:r>
      <w:r w:rsidR="00F96B6E" w:rsidRPr="00390E77">
        <w:rPr>
          <w:rFonts w:asciiTheme="majorHAnsi" w:eastAsia="Times New Roman" w:hAnsiTheme="majorHAnsi" w:cstheme="majorHAnsi"/>
          <w:color w:val="000000" w:themeColor="text1"/>
          <w:sz w:val="22"/>
          <w:szCs w:val="22"/>
          <w:lang w:val="en-IE" w:eastAsia="en-IE"/>
        </w:rPr>
        <w:t xml:space="preserve"> assessments</w:t>
      </w:r>
      <w:r w:rsidR="009C4CCC" w:rsidRPr="00390E77">
        <w:rPr>
          <w:rFonts w:asciiTheme="majorHAnsi" w:eastAsia="Times New Roman" w:hAnsiTheme="majorHAnsi" w:cstheme="majorHAnsi"/>
          <w:color w:val="000000" w:themeColor="text1"/>
          <w:sz w:val="22"/>
          <w:szCs w:val="22"/>
          <w:lang w:val="en-IE" w:eastAsia="en-IE"/>
        </w:rPr>
        <w:t xml:space="preserve"> and state</w:t>
      </w:r>
      <w:r w:rsidR="00C2374D">
        <w:rPr>
          <w:rFonts w:asciiTheme="majorHAnsi" w:eastAsia="Times New Roman" w:hAnsiTheme="majorHAnsi" w:cstheme="majorHAnsi"/>
          <w:color w:val="000000" w:themeColor="text1"/>
          <w:sz w:val="22"/>
          <w:szCs w:val="22"/>
          <w:lang w:val="en-IE" w:eastAsia="en-IE"/>
        </w:rPr>
        <w:t>s</w:t>
      </w:r>
      <w:r w:rsidR="009C4CCC" w:rsidRPr="00390E77">
        <w:rPr>
          <w:rFonts w:asciiTheme="majorHAnsi" w:eastAsia="Times New Roman" w:hAnsiTheme="majorHAnsi" w:cstheme="majorHAnsi"/>
          <w:color w:val="000000" w:themeColor="text1"/>
          <w:sz w:val="22"/>
          <w:szCs w:val="22"/>
          <w:lang w:val="en-IE" w:eastAsia="en-IE"/>
        </w:rPr>
        <w:t xml:space="preserve"> that families informed them that: “</w:t>
      </w:r>
      <w:r w:rsidR="009C4CCC" w:rsidRPr="00390E77">
        <w:rPr>
          <w:rFonts w:asciiTheme="majorHAnsi" w:eastAsia="Times New Roman" w:hAnsiTheme="majorHAnsi" w:cstheme="majorHAnsi"/>
          <w:i/>
          <w:color w:val="000000" w:themeColor="text1"/>
          <w:sz w:val="22"/>
          <w:szCs w:val="22"/>
          <w:lang w:val="en-IE" w:eastAsia="en-IE"/>
        </w:rPr>
        <w:t>placement decisions were often dressed up as being in the persons best interests when really they were being taken on the basis of the cheapest available option”</w:t>
      </w:r>
      <w:r w:rsidR="009C4CCC" w:rsidRPr="00390E77">
        <w:rPr>
          <w:rFonts w:asciiTheme="majorHAnsi" w:eastAsia="Times New Roman" w:hAnsiTheme="majorHAnsi" w:cstheme="majorHAnsi"/>
          <w:color w:val="000000" w:themeColor="text1"/>
          <w:sz w:val="22"/>
          <w:szCs w:val="22"/>
          <w:lang w:val="en-IE" w:eastAsia="en-IE"/>
        </w:rPr>
        <w:t xml:space="preserve"> or that “</w:t>
      </w:r>
      <w:r w:rsidR="009C4CCC" w:rsidRPr="00390E77">
        <w:rPr>
          <w:rFonts w:asciiTheme="majorHAnsi" w:eastAsia="Times New Roman" w:hAnsiTheme="majorHAnsi" w:cstheme="majorHAnsi"/>
          <w:i/>
          <w:color w:val="000000" w:themeColor="text1"/>
          <w:sz w:val="22"/>
          <w:szCs w:val="22"/>
          <w:lang w:val="en-IE" w:eastAsia="en-IE"/>
        </w:rPr>
        <w:t>people were offered no choice over their placements thus leaving no room for a ‘real’ best interests decision.”</w:t>
      </w:r>
      <w:r w:rsidR="007B091F" w:rsidRPr="00390E77">
        <w:rPr>
          <w:rFonts w:asciiTheme="majorHAnsi" w:eastAsia="Times New Roman" w:hAnsiTheme="majorHAnsi" w:cstheme="majorHAnsi"/>
          <w:color w:val="000000" w:themeColor="text1"/>
          <w:sz w:val="22"/>
          <w:szCs w:val="22"/>
          <w:lang w:val="en-IE" w:eastAsia="en-IE"/>
        </w:rPr>
        <w:t xml:space="preserve"> It may be adv</w:t>
      </w:r>
      <w:r w:rsidR="00E045EE">
        <w:rPr>
          <w:rFonts w:asciiTheme="majorHAnsi" w:eastAsia="Times New Roman" w:hAnsiTheme="majorHAnsi" w:cstheme="majorHAnsi"/>
          <w:color w:val="000000" w:themeColor="text1"/>
          <w:sz w:val="22"/>
          <w:szCs w:val="22"/>
          <w:lang w:val="en-IE" w:eastAsia="en-IE"/>
        </w:rPr>
        <w:t>isable therefore that a strong well-being</w:t>
      </w:r>
      <w:r w:rsidR="007B091F" w:rsidRPr="00390E77">
        <w:rPr>
          <w:rFonts w:asciiTheme="majorHAnsi" w:eastAsia="Times New Roman" w:hAnsiTheme="majorHAnsi" w:cstheme="majorHAnsi"/>
          <w:color w:val="000000" w:themeColor="text1"/>
          <w:sz w:val="22"/>
          <w:szCs w:val="22"/>
          <w:lang w:val="en-IE" w:eastAsia="en-IE"/>
        </w:rPr>
        <w:t xml:space="preserve"> principle is followed rather than the principle of best interests.</w:t>
      </w:r>
      <w:r w:rsidR="00E045EE">
        <w:rPr>
          <w:rFonts w:asciiTheme="majorHAnsi" w:eastAsia="Times New Roman" w:hAnsiTheme="majorHAnsi" w:cstheme="majorHAnsi"/>
          <w:color w:val="000000" w:themeColor="text1"/>
          <w:sz w:val="22"/>
          <w:szCs w:val="22"/>
          <w:lang w:val="en-IE" w:eastAsia="en-IE"/>
        </w:rPr>
        <w:t xml:space="preserve"> The </w:t>
      </w:r>
      <w:r w:rsidR="00E045EE" w:rsidRPr="00390E77">
        <w:rPr>
          <w:rFonts w:asciiTheme="majorHAnsi" w:hAnsiTheme="majorHAnsi" w:cstheme="majorHAnsi"/>
          <w:color w:val="000000" w:themeColor="text1"/>
          <w:sz w:val="22"/>
          <w:szCs w:val="22"/>
        </w:rPr>
        <w:t>Assisted Decision Making (Capacity) Act</w:t>
      </w:r>
      <w:r w:rsidR="00E045EE" w:rsidRPr="00C6280D">
        <w:rPr>
          <w:rFonts w:cstheme="minorHAnsi"/>
          <w:color w:val="303030"/>
          <w:lang w:val="en"/>
        </w:rPr>
        <w:t xml:space="preserve"> </w:t>
      </w:r>
      <w:r w:rsidR="00E045EE" w:rsidRPr="00E045EE">
        <w:rPr>
          <w:rFonts w:asciiTheme="majorHAnsi" w:hAnsiTheme="majorHAnsi" w:cstheme="minorHAnsi"/>
          <w:color w:val="303030"/>
          <w:sz w:val="22"/>
          <w:szCs w:val="22"/>
          <w:lang w:val="en"/>
        </w:rPr>
        <w:t>strongly favours the a</w:t>
      </w:r>
      <w:r w:rsidR="00E045EE">
        <w:rPr>
          <w:rFonts w:asciiTheme="majorHAnsi" w:hAnsiTheme="majorHAnsi" w:cstheme="minorHAnsi"/>
          <w:color w:val="303030"/>
          <w:sz w:val="22"/>
          <w:szCs w:val="22"/>
          <w:lang w:val="en"/>
        </w:rPr>
        <w:t xml:space="preserve">pproach of decisions being made based on the will and </w:t>
      </w:r>
      <w:r w:rsidR="00B05D3F">
        <w:rPr>
          <w:rFonts w:asciiTheme="majorHAnsi" w:hAnsiTheme="majorHAnsi" w:cstheme="minorHAnsi"/>
          <w:color w:val="303030"/>
          <w:sz w:val="22"/>
          <w:szCs w:val="22"/>
          <w:lang w:val="en"/>
        </w:rPr>
        <w:t>preference of</w:t>
      </w:r>
      <w:r w:rsidR="00E045EE">
        <w:rPr>
          <w:rFonts w:asciiTheme="majorHAnsi" w:hAnsiTheme="majorHAnsi" w:cstheme="minorHAnsi"/>
          <w:color w:val="303030"/>
          <w:sz w:val="22"/>
          <w:szCs w:val="22"/>
          <w:lang w:val="en"/>
        </w:rPr>
        <w:t xml:space="preserve"> the person affected over </w:t>
      </w:r>
      <w:r w:rsidR="00E045EE" w:rsidRPr="00E045EE">
        <w:rPr>
          <w:rFonts w:asciiTheme="majorHAnsi" w:hAnsiTheme="majorHAnsi" w:cstheme="minorHAnsi"/>
          <w:color w:val="303030"/>
          <w:sz w:val="22"/>
          <w:szCs w:val="22"/>
          <w:lang w:val="en"/>
        </w:rPr>
        <w:t>best interests</w:t>
      </w:r>
      <w:r w:rsidR="00E045EE">
        <w:rPr>
          <w:rFonts w:asciiTheme="majorHAnsi" w:hAnsiTheme="majorHAnsi" w:cstheme="minorHAnsi"/>
          <w:color w:val="303030"/>
          <w:sz w:val="22"/>
          <w:szCs w:val="22"/>
          <w:lang w:val="en"/>
        </w:rPr>
        <w:t>.</w:t>
      </w:r>
    </w:p>
    <w:p w14:paraId="1B1D5002" w14:textId="4853C3E2" w:rsidR="006607E8" w:rsidRPr="00390E77" w:rsidRDefault="009C4CCC" w:rsidP="00434152">
      <w:pPr>
        <w:pStyle w:val="ListParagraph"/>
        <w:numPr>
          <w:ilvl w:val="0"/>
          <w:numId w:val="10"/>
        </w:num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The lack of choice and availability of placement and support</w:t>
      </w:r>
      <w:r w:rsidR="00C2374D">
        <w:rPr>
          <w:rFonts w:asciiTheme="majorHAnsi" w:eastAsia="Times New Roman" w:hAnsiTheme="majorHAnsi" w:cstheme="majorHAnsi"/>
          <w:color w:val="000000" w:themeColor="text1"/>
          <w:sz w:val="22"/>
          <w:szCs w:val="22"/>
          <w:lang w:val="en-IE" w:eastAsia="en-IE"/>
        </w:rPr>
        <w:t xml:space="preserve"> options,</w:t>
      </w:r>
      <w:r w:rsidRPr="00390E77">
        <w:rPr>
          <w:rFonts w:asciiTheme="majorHAnsi" w:eastAsia="Times New Roman" w:hAnsiTheme="majorHAnsi" w:cstheme="majorHAnsi"/>
          <w:color w:val="000000" w:themeColor="text1"/>
          <w:sz w:val="22"/>
          <w:szCs w:val="22"/>
          <w:lang w:val="en-IE" w:eastAsia="en-IE"/>
        </w:rPr>
        <w:t xml:space="preserve"> especially home support</w:t>
      </w:r>
      <w:r w:rsidR="00C2374D">
        <w:rPr>
          <w:rFonts w:asciiTheme="majorHAnsi" w:eastAsia="Times New Roman" w:hAnsiTheme="majorHAnsi" w:cstheme="majorHAnsi"/>
          <w:color w:val="000000" w:themeColor="text1"/>
          <w:sz w:val="22"/>
          <w:szCs w:val="22"/>
          <w:lang w:val="en-IE" w:eastAsia="en-IE"/>
        </w:rPr>
        <w:t xml:space="preserve"> options,</w:t>
      </w:r>
      <w:r w:rsidRPr="00390E77">
        <w:rPr>
          <w:rFonts w:asciiTheme="majorHAnsi" w:eastAsia="Times New Roman" w:hAnsiTheme="majorHAnsi" w:cstheme="majorHAnsi"/>
          <w:color w:val="000000" w:themeColor="text1"/>
          <w:sz w:val="22"/>
          <w:szCs w:val="22"/>
          <w:lang w:val="en-IE" w:eastAsia="en-IE"/>
        </w:rPr>
        <w:t xml:space="preserve"> in Ireland are a concern in this regard.</w:t>
      </w:r>
      <w:r w:rsidR="007B091F" w:rsidRPr="00390E77">
        <w:rPr>
          <w:color w:val="000000" w:themeColor="text1"/>
        </w:rPr>
        <w:t xml:space="preserve"> </w:t>
      </w:r>
      <w:r w:rsidR="007B091F" w:rsidRPr="00390E77">
        <w:rPr>
          <w:rFonts w:asciiTheme="majorHAnsi" w:hAnsiTheme="majorHAnsi"/>
          <w:color w:val="000000" w:themeColor="text1"/>
          <w:sz w:val="22"/>
          <w:szCs w:val="22"/>
        </w:rPr>
        <w:t xml:space="preserve">For example, </w:t>
      </w:r>
      <w:r w:rsidR="007B091F" w:rsidRPr="00390E77">
        <w:rPr>
          <w:rFonts w:asciiTheme="majorHAnsi" w:eastAsia="Times New Roman" w:hAnsiTheme="majorHAnsi" w:cstheme="majorHAnsi"/>
          <w:color w:val="000000" w:themeColor="text1"/>
          <w:sz w:val="22"/>
          <w:szCs w:val="22"/>
          <w:lang w:eastAsia="en-IE"/>
        </w:rPr>
        <w:t>older people are regularly obliged to go into long-term care prematurely</w:t>
      </w:r>
      <w:r w:rsidR="00FF0B02" w:rsidRPr="00390E77">
        <w:rPr>
          <w:rFonts w:asciiTheme="majorHAnsi" w:eastAsia="Times New Roman" w:hAnsiTheme="majorHAnsi" w:cstheme="majorHAnsi"/>
          <w:color w:val="000000" w:themeColor="text1"/>
          <w:sz w:val="22"/>
          <w:szCs w:val="22"/>
          <w:lang w:eastAsia="en-IE"/>
        </w:rPr>
        <w:t xml:space="preserve"> and un</w:t>
      </w:r>
      <w:r w:rsidR="00E60FD7" w:rsidRPr="00390E77">
        <w:rPr>
          <w:rFonts w:asciiTheme="majorHAnsi" w:eastAsia="Times New Roman" w:hAnsiTheme="majorHAnsi" w:cstheme="majorHAnsi"/>
          <w:color w:val="000000" w:themeColor="text1"/>
          <w:sz w:val="22"/>
          <w:szCs w:val="22"/>
          <w:lang w:eastAsia="en-IE"/>
        </w:rPr>
        <w:t>n</w:t>
      </w:r>
      <w:r w:rsidR="00FF0B02" w:rsidRPr="00390E77">
        <w:rPr>
          <w:rFonts w:asciiTheme="majorHAnsi" w:eastAsia="Times New Roman" w:hAnsiTheme="majorHAnsi" w:cstheme="majorHAnsi"/>
          <w:color w:val="000000" w:themeColor="text1"/>
          <w:sz w:val="22"/>
          <w:szCs w:val="22"/>
          <w:lang w:eastAsia="en-IE"/>
        </w:rPr>
        <w:t>ecessarily</w:t>
      </w:r>
      <w:r w:rsidR="007B091F" w:rsidRPr="00390E77">
        <w:rPr>
          <w:rFonts w:asciiTheme="majorHAnsi" w:eastAsia="Times New Roman" w:hAnsiTheme="majorHAnsi" w:cstheme="majorHAnsi"/>
          <w:color w:val="000000" w:themeColor="text1"/>
          <w:sz w:val="22"/>
          <w:szCs w:val="22"/>
          <w:lang w:eastAsia="en-IE"/>
        </w:rPr>
        <w:t xml:space="preserve"> because of the lack of service availability. This issue is particularly</w:t>
      </w:r>
      <w:r w:rsidR="00FF0B02" w:rsidRPr="00390E77">
        <w:rPr>
          <w:rFonts w:asciiTheme="majorHAnsi" w:eastAsia="Times New Roman" w:hAnsiTheme="majorHAnsi" w:cstheme="majorHAnsi"/>
          <w:color w:val="000000" w:themeColor="text1"/>
          <w:sz w:val="22"/>
          <w:szCs w:val="22"/>
          <w:lang w:eastAsia="en-IE"/>
        </w:rPr>
        <w:t xml:space="preserve"> prevale</w:t>
      </w:r>
      <w:r w:rsidR="007B091F" w:rsidRPr="00390E77">
        <w:rPr>
          <w:rFonts w:asciiTheme="majorHAnsi" w:eastAsia="Times New Roman" w:hAnsiTheme="majorHAnsi" w:cstheme="majorHAnsi"/>
          <w:color w:val="000000" w:themeColor="text1"/>
          <w:sz w:val="22"/>
          <w:szCs w:val="22"/>
          <w:lang w:eastAsia="en-IE"/>
        </w:rPr>
        <w:t>nt for people with a</w:t>
      </w:r>
      <w:r w:rsidR="00E60FD7" w:rsidRPr="00390E77">
        <w:rPr>
          <w:rFonts w:asciiTheme="majorHAnsi" w:eastAsia="Times New Roman" w:hAnsiTheme="majorHAnsi" w:cstheme="majorHAnsi"/>
          <w:color w:val="000000" w:themeColor="text1"/>
          <w:sz w:val="22"/>
          <w:szCs w:val="22"/>
          <w:lang w:eastAsia="en-IE"/>
        </w:rPr>
        <w:t xml:space="preserve"> mild/moderate</w:t>
      </w:r>
      <w:r w:rsidR="007B091F" w:rsidRPr="00390E77">
        <w:rPr>
          <w:rFonts w:asciiTheme="majorHAnsi" w:eastAsia="Times New Roman" w:hAnsiTheme="majorHAnsi" w:cstheme="majorHAnsi"/>
          <w:color w:val="000000" w:themeColor="text1"/>
          <w:sz w:val="22"/>
          <w:szCs w:val="22"/>
          <w:lang w:eastAsia="en-IE"/>
        </w:rPr>
        <w:t xml:space="preserve"> dementia</w:t>
      </w:r>
      <w:r w:rsidR="00FF0B02" w:rsidRPr="00390E77">
        <w:rPr>
          <w:rFonts w:asciiTheme="majorHAnsi" w:eastAsia="Times New Roman" w:hAnsiTheme="majorHAnsi" w:cstheme="majorHAnsi"/>
          <w:color w:val="000000" w:themeColor="text1"/>
          <w:sz w:val="22"/>
          <w:szCs w:val="22"/>
          <w:lang w:eastAsia="en-IE"/>
        </w:rPr>
        <w:t xml:space="preserve"> (Donnelly et al.2016).</w:t>
      </w:r>
      <w:r w:rsidRPr="00390E77">
        <w:rPr>
          <w:rFonts w:asciiTheme="majorHAnsi" w:eastAsia="Times New Roman" w:hAnsiTheme="majorHAnsi" w:cstheme="majorHAnsi"/>
          <w:color w:val="000000" w:themeColor="text1"/>
          <w:sz w:val="22"/>
          <w:szCs w:val="22"/>
          <w:lang w:val="en-IE" w:eastAsia="en-IE"/>
        </w:rPr>
        <w:t xml:space="preserve"> For many people</w:t>
      </w:r>
      <w:r w:rsidR="00C2374D">
        <w:rPr>
          <w:rFonts w:asciiTheme="majorHAnsi" w:eastAsia="Times New Roman" w:hAnsiTheme="majorHAnsi" w:cstheme="majorHAnsi"/>
          <w:color w:val="000000" w:themeColor="text1"/>
          <w:sz w:val="22"/>
          <w:szCs w:val="22"/>
          <w:lang w:val="en-IE" w:eastAsia="en-IE"/>
        </w:rPr>
        <w:t>,</w:t>
      </w:r>
      <w:r w:rsidRPr="00390E77">
        <w:rPr>
          <w:rFonts w:asciiTheme="majorHAnsi" w:eastAsia="Times New Roman" w:hAnsiTheme="majorHAnsi" w:cstheme="majorHAnsi"/>
          <w:color w:val="000000" w:themeColor="text1"/>
          <w:sz w:val="22"/>
          <w:szCs w:val="22"/>
          <w:lang w:val="en-IE" w:eastAsia="en-IE"/>
        </w:rPr>
        <w:t xml:space="preserve"> the reason that they require admission to a care setting </w:t>
      </w:r>
      <w:r w:rsidR="002D4D5A" w:rsidRPr="00390E77">
        <w:rPr>
          <w:rFonts w:asciiTheme="majorHAnsi" w:eastAsia="Times New Roman" w:hAnsiTheme="majorHAnsi" w:cstheme="majorHAnsi"/>
          <w:color w:val="000000" w:themeColor="text1"/>
          <w:sz w:val="22"/>
          <w:szCs w:val="22"/>
          <w:lang w:val="en-IE" w:eastAsia="en-IE"/>
        </w:rPr>
        <w:t>-</w:t>
      </w:r>
      <w:r w:rsidR="00C2374D">
        <w:rPr>
          <w:rFonts w:asciiTheme="majorHAnsi" w:eastAsia="Times New Roman" w:hAnsiTheme="majorHAnsi" w:cstheme="majorHAnsi"/>
          <w:color w:val="000000" w:themeColor="text1"/>
          <w:sz w:val="22"/>
          <w:szCs w:val="22"/>
          <w:lang w:val="en-IE" w:eastAsia="en-IE"/>
        </w:rPr>
        <w:t xml:space="preserve"> </w:t>
      </w:r>
      <w:r w:rsidRPr="00390E77">
        <w:rPr>
          <w:rFonts w:asciiTheme="majorHAnsi" w:eastAsia="Times New Roman" w:hAnsiTheme="majorHAnsi" w:cstheme="majorHAnsi"/>
          <w:color w:val="000000" w:themeColor="text1"/>
          <w:sz w:val="22"/>
          <w:szCs w:val="22"/>
          <w:lang w:val="en-IE" w:eastAsia="en-IE"/>
        </w:rPr>
        <w:t>where a deprivation of liberty will occur</w:t>
      </w:r>
      <w:r w:rsidR="00C2374D">
        <w:rPr>
          <w:rFonts w:asciiTheme="majorHAnsi" w:eastAsia="Times New Roman" w:hAnsiTheme="majorHAnsi" w:cstheme="majorHAnsi"/>
          <w:color w:val="000000" w:themeColor="text1"/>
          <w:sz w:val="22"/>
          <w:szCs w:val="22"/>
          <w:lang w:val="en-IE" w:eastAsia="en-IE"/>
        </w:rPr>
        <w:t xml:space="preserve"> </w:t>
      </w:r>
      <w:r w:rsidR="002D4D5A" w:rsidRPr="00390E77">
        <w:rPr>
          <w:rFonts w:asciiTheme="majorHAnsi" w:eastAsia="Times New Roman" w:hAnsiTheme="majorHAnsi" w:cstheme="majorHAnsi"/>
          <w:color w:val="000000" w:themeColor="text1"/>
          <w:sz w:val="22"/>
          <w:szCs w:val="22"/>
          <w:lang w:val="en-IE" w:eastAsia="en-IE"/>
        </w:rPr>
        <w:t>-</w:t>
      </w:r>
      <w:r w:rsidR="00C2374D">
        <w:rPr>
          <w:rFonts w:asciiTheme="majorHAnsi" w:eastAsia="Times New Roman" w:hAnsiTheme="majorHAnsi" w:cstheme="majorHAnsi"/>
          <w:color w:val="000000" w:themeColor="text1"/>
          <w:sz w:val="22"/>
          <w:szCs w:val="22"/>
          <w:lang w:val="en-IE" w:eastAsia="en-IE"/>
        </w:rPr>
        <w:t xml:space="preserve"> is that</w:t>
      </w:r>
      <w:r w:rsidRPr="00390E77">
        <w:rPr>
          <w:rFonts w:asciiTheme="majorHAnsi" w:eastAsia="Times New Roman" w:hAnsiTheme="majorHAnsi" w:cstheme="majorHAnsi"/>
          <w:color w:val="000000" w:themeColor="text1"/>
          <w:sz w:val="22"/>
          <w:szCs w:val="22"/>
          <w:lang w:val="en-IE" w:eastAsia="en-IE"/>
        </w:rPr>
        <w:t xml:space="preserve"> it is not considered safe for them to be unsupervised in their home setting. However, </w:t>
      </w:r>
      <w:r w:rsidR="002D4D5A" w:rsidRPr="00390E77">
        <w:rPr>
          <w:rFonts w:asciiTheme="majorHAnsi" w:eastAsia="Times New Roman" w:hAnsiTheme="majorHAnsi" w:cstheme="majorHAnsi"/>
          <w:color w:val="000000" w:themeColor="text1"/>
          <w:sz w:val="22"/>
          <w:szCs w:val="22"/>
          <w:lang w:val="en-IE" w:eastAsia="en-IE"/>
        </w:rPr>
        <w:t xml:space="preserve">if </w:t>
      </w:r>
      <w:r w:rsidRPr="00390E77">
        <w:rPr>
          <w:rFonts w:asciiTheme="majorHAnsi" w:eastAsia="Times New Roman" w:hAnsiTheme="majorHAnsi" w:cstheme="majorHAnsi"/>
          <w:color w:val="000000" w:themeColor="text1"/>
          <w:sz w:val="22"/>
          <w:szCs w:val="22"/>
          <w:lang w:val="en-IE" w:eastAsia="en-IE"/>
        </w:rPr>
        <w:t>a tailored range of in-home supports were available then the question of their admission to a car</w:t>
      </w:r>
      <w:r w:rsidR="006607E8" w:rsidRPr="00390E77">
        <w:rPr>
          <w:rFonts w:asciiTheme="majorHAnsi" w:eastAsia="Times New Roman" w:hAnsiTheme="majorHAnsi" w:cstheme="majorHAnsi"/>
          <w:color w:val="000000" w:themeColor="text1"/>
          <w:sz w:val="22"/>
          <w:szCs w:val="22"/>
          <w:lang w:val="en-IE" w:eastAsia="en-IE"/>
        </w:rPr>
        <w:t>e setting would not arise or would arise in fewer situations</w:t>
      </w:r>
      <w:r w:rsidRPr="00390E77">
        <w:rPr>
          <w:rFonts w:asciiTheme="majorHAnsi" w:eastAsia="Times New Roman" w:hAnsiTheme="majorHAnsi" w:cstheme="majorHAnsi"/>
          <w:color w:val="000000" w:themeColor="text1"/>
          <w:sz w:val="22"/>
          <w:szCs w:val="22"/>
          <w:lang w:val="en-IE" w:eastAsia="en-IE"/>
        </w:rPr>
        <w:t xml:space="preserve">.  </w:t>
      </w:r>
      <w:r w:rsidR="002D4D5A" w:rsidRPr="00390E77">
        <w:rPr>
          <w:rFonts w:asciiTheme="majorHAnsi" w:eastAsia="Times New Roman" w:hAnsiTheme="majorHAnsi" w:cstheme="majorHAnsi"/>
          <w:color w:val="000000" w:themeColor="text1"/>
          <w:sz w:val="22"/>
          <w:szCs w:val="22"/>
          <w:lang w:val="en-IE" w:eastAsia="en-IE"/>
        </w:rPr>
        <w:t>Therefore</w:t>
      </w:r>
      <w:r w:rsidR="00C2374D">
        <w:rPr>
          <w:rFonts w:asciiTheme="majorHAnsi" w:eastAsia="Times New Roman" w:hAnsiTheme="majorHAnsi" w:cstheme="majorHAnsi"/>
          <w:color w:val="000000" w:themeColor="text1"/>
          <w:sz w:val="22"/>
          <w:szCs w:val="22"/>
          <w:lang w:val="en-IE" w:eastAsia="en-IE"/>
        </w:rPr>
        <w:t>,</w:t>
      </w:r>
      <w:r w:rsidR="002D4D5A" w:rsidRPr="00390E77">
        <w:rPr>
          <w:rFonts w:asciiTheme="majorHAnsi" w:eastAsia="Times New Roman" w:hAnsiTheme="majorHAnsi" w:cstheme="majorHAnsi"/>
          <w:color w:val="000000" w:themeColor="text1"/>
          <w:sz w:val="22"/>
          <w:szCs w:val="22"/>
          <w:lang w:val="en-IE" w:eastAsia="en-IE"/>
        </w:rPr>
        <w:t xml:space="preserve"> it is recommended that </w:t>
      </w:r>
      <w:r w:rsidR="006607E8" w:rsidRPr="00390E77">
        <w:rPr>
          <w:rFonts w:asciiTheme="majorHAnsi" w:eastAsia="Times New Roman" w:hAnsiTheme="majorHAnsi" w:cstheme="majorHAnsi"/>
          <w:color w:val="000000" w:themeColor="text1"/>
          <w:sz w:val="22"/>
          <w:szCs w:val="22"/>
          <w:lang w:val="en-IE" w:eastAsia="en-IE"/>
        </w:rPr>
        <w:t xml:space="preserve">priority is given to expanding </w:t>
      </w:r>
      <w:r w:rsidR="002D4D5A" w:rsidRPr="00390E77">
        <w:rPr>
          <w:rFonts w:asciiTheme="majorHAnsi" w:eastAsia="Times New Roman" w:hAnsiTheme="majorHAnsi" w:cstheme="majorHAnsi"/>
          <w:color w:val="000000" w:themeColor="text1"/>
          <w:sz w:val="22"/>
          <w:szCs w:val="22"/>
          <w:lang w:val="en-IE" w:eastAsia="en-IE"/>
        </w:rPr>
        <w:t xml:space="preserve">the </w:t>
      </w:r>
      <w:r w:rsidR="006607E8" w:rsidRPr="00390E77">
        <w:rPr>
          <w:rFonts w:asciiTheme="majorHAnsi" w:eastAsia="Times New Roman" w:hAnsiTheme="majorHAnsi" w:cstheme="majorHAnsi"/>
          <w:color w:val="000000" w:themeColor="text1"/>
          <w:sz w:val="22"/>
          <w:szCs w:val="22"/>
          <w:lang w:val="en-IE" w:eastAsia="en-IE"/>
        </w:rPr>
        <w:t>availability of flexible in-home supports to facilitate people to stay in their own homes for longer</w:t>
      </w:r>
      <w:r w:rsidR="00FF0B02" w:rsidRPr="00390E77">
        <w:rPr>
          <w:rFonts w:asciiTheme="majorHAnsi" w:eastAsia="Times New Roman" w:hAnsiTheme="majorHAnsi" w:cstheme="majorHAnsi"/>
          <w:color w:val="000000" w:themeColor="text1"/>
          <w:sz w:val="22"/>
          <w:szCs w:val="22"/>
          <w:lang w:val="en-IE" w:eastAsia="en-IE"/>
        </w:rPr>
        <w:t xml:space="preserve"> and that a statutory right to home care should be established, similar to the statutory right to nursing home care under the Nursing Home Support Scheme Act, 2009</w:t>
      </w:r>
      <w:r w:rsidR="006607E8" w:rsidRPr="00390E77">
        <w:rPr>
          <w:rFonts w:asciiTheme="majorHAnsi" w:eastAsia="Times New Roman" w:hAnsiTheme="majorHAnsi" w:cstheme="majorHAnsi"/>
          <w:color w:val="000000" w:themeColor="text1"/>
          <w:sz w:val="22"/>
          <w:szCs w:val="22"/>
          <w:lang w:val="en-IE" w:eastAsia="en-IE"/>
        </w:rPr>
        <w:t>.</w:t>
      </w:r>
      <w:r w:rsidR="00E045EE">
        <w:rPr>
          <w:rStyle w:val="FootnoteReference"/>
          <w:rFonts w:asciiTheme="majorHAnsi" w:eastAsia="Times New Roman" w:hAnsiTheme="majorHAnsi" w:cstheme="majorHAnsi"/>
          <w:color w:val="000000" w:themeColor="text1"/>
          <w:sz w:val="22"/>
          <w:szCs w:val="22"/>
          <w:lang w:val="en-IE" w:eastAsia="en-IE"/>
        </w:rPr>
        <w:footnoteReference w:id="2"/>
      </w:r>
    </w:p>
    <w:p w14:paraId="4E930C15" w14:textId="77777777" w:rsidR="006607E8" w:rsidRPr="00390E77" w:rsidRDefault="006607E8" w:rsidP="006607E8">
      <w:pPr>
        <w:pStyle w:val="ListParagraph"/>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p>
    <w:p w14:paraId="7A4353AC" w14:textId="77777777" w:rsidR="00EB6CDF" w:rsidRPr="00F65230" w:rsidRDefault="00EB6CDF" w:rsidP="00F65230">
      <w:pPr>
        <w:pStyle w:val="Heading3"/>
        <w:rPr>
          <w:rFonts w:eastAsia="Times New Roman"/>
          <w:lang w:eastAsia="en-IE"/>
        </w:rPr>
      </w:pPr>
      <w:r w:rsidRPr="00F65230">
        <w:rPr>
          <w:rFonts w:eastAsia="Times New Roman"/>
          <w:lang w:eastAsia="en-IE"/>
        </w:rPr>
        <w:t xml:space="preserve">Questions on Head 7: </w:t>
      </w:r>
    </w:p>
    <w:p w14:paraId="03EDE9B8" w14:textId="77777777" w:rsidR="00EB6CDF" w:rsidRPr="00390E77" w:rsidRDefault="00EB6CDF" w:rsidP="00F65230">
      <w:pPr>
        <w:pStyle w:val="Heading4"/>
        <w:rPr>
          <w:rFonts w:eastAsia="Times New Roman"/>
          <w:lang w:eastAsia="en-IE"/>
        </w:rPr>
      </w:pPr>
      <w:r w:rsidRPr="00390E77">
        <w:rPr>
          <w:rFonts w:eastAsia="Times New Roman"/>
          <w:lang w:eastAsia="en-IE"/>
        </w:rPr>
        <w:lastRenderedPageBreak/>
        <w:t xml:space="preserve">7.1  In subhead (2), do you have views on how the issue of fluctuating capacity should be addressed? </w:t>
      </w:r>
    </w:p>
    <w:p w14:paraId="592BF19D" w14:textId="7CA794EE" w:rsidR="00F9674F" w:rsidRPr="002635D2" w:rsidRDefault="00F9674F" w:rsidP="002635D2">
      <w:pPr>
        <w:pStyle w:val="ListParagraph"/>
        <w:numPr>
          <w:ilvl w:val="0"/>
          <w:numId w:val="10"/>
        </w:num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The issue of fluctuating capacity should be specifical</w:t>
      </w:r>
      <w:r w:rsidR="002635D2">
        <w:rPr>
          <w:rFonts w:asciiTheme="majorHAnsi" w:eastAsia="Times New Roman" w:hAnsiTheme="majorHAnsi" w:cstheme="majorHAnsi"/>
          <w:color w:val="000000" w:themeColor="text1"/>
          <w:sz w:val="22"/>
          <w:szCs w:val="22"/>
          <w:lang w:val="en-IE" w:eastAsia="en-IE"/>
        </w:rPr>
        <w:t xml:space="preserve">ly addressed in the legislation in line with the general principles of the </w:t>
      </w:r>
      <w:r w:rsidR="002635D2" w:rsidRPr="00390E77">
        <w:rPr>
          <w:rFonts w:asciiTheme="majorHAnsi" w:hAnsiTheme="majorHAnsi" w:cstheme="majorHAnsi"/>
          <w:color w:val="000000" w:themeColor="text1"/>
          <w:sz w:val="22"/>
          <w:szCs w:val="22"/>
        </w:rPr>
        <w:t>Assisted Decision Making (Capacity) Act</w:t>
      </w:r>
      <w:r w:rsidR="002635D2" w:rsidRPr="002635D2">
        <w:rPr>
          <w:rFonts w:asciiTheme="majorHAnsi" w:hAnsiTheme="majorHAnsi" w:cstheme="majorHAnsi"/>
          <w:color w:val="000000" w:themeColor="text1"/>
          <w:sz w:val="22"/>
          <w:szCs w:val="22"/>
        </w:rPr>
        <w:t xml:space="preserve">, which </w:t>
      </w:r>
      <w:r w:rsidR="002635D2" w:rsidRPr="002635D2">
        <w:rPr>
          <w:rFonts w:asciiTheme="majorHAnsi" w:hAnsiTheme="majorHAnsi" w:cs="Arial"/>
          <w:sz w:val="22"/>
          <w:szCs w:val="22"/>
          <w:lang w:val="en"/>
        </w:rPr>
        <w:t>recognises that capacity can fluctuate in certain cases</w:t>
      </w:r>
      <w:r w:rsidR="002635D2">
        <w:rPr>
          <w:rFonts w:asciiTheme="majorHAnsi" w:hAnsiTheme="majorHAnsi" w:cs="Arial"/>
          <w:sz w:val="22"/>
          <w:szCs w:val="22"/>
          <w:lang w:val="en"/>
        </w:rPr>
        <w:t>.</w:t>
      </w:r>
      <w:r w:rsidRPr="002635D2">
        <w:rPr>
          <w:rFonts w:asciiTheme="majorHAnsi" w:eastAsia="Times New Roman" w:hAnsiTheme="majorHAnsi" w:cstheme="majorHAnsi"/>
          <w:color w:val="000000" w:themeColor="text1"/>
          <w:sz w:val="22"/>
          <w:szCs w:val="22"/>
          <w:lang w:val="en-IE" w:eastAsia="en-IE"/>
        </w:rPr>
        <w:t xml:space="preserve">To not do so would result in in a continuous cycle of </w:t>
      </w:r>
      <w:r w:rsidR="00434E60" w:rsidRPr="002635D2">
        <w:rPr>
          <w:rFonts w:asciiTheme="majorHAnsi" w:eastAsia="Times New Roman" w:hAnsiTheme="majorHAnsi" w:cstheme="majorHAnsi"/>
          <w:color w:val="000000" w:themeColor="text1"/>
          <w:sz w:val="22"/>
          <w:szCs w:val="22"/>
          <w:lang w:val="en-IE" w:eastAsia="en-IE"/>
        </w:rPr>
        <w:t>assessment, court applications and re-admission and could expose health and social care professionals to legal risks.</w:t>
      </w:r>
    </w:p>
    <w:p w14:paraId="05E0EF9A" w14:textId="5B745467" w:rsidR="00434E60" w:rsidRPr="00390E77" w:rsidRDefault="00434E60" w:rsidP="00FB15DA">
      <w:pPr>
        <w:pStyle w:val="ListParagraph"/>
        <w:numPr>
          <w:ilvl w:val="0"/>
          <w:numId w:val="10"/>
        </w:num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It is c</w:t>
      </w:r>
      <w:r w:rsidR="00FF0B02" w:rsidRPr="00390E77">
        <w:rPr>
          <w:rFonts w:asciiTheme="majorHAnsi" w:eastAsia="Times New Roman" w:hAnsiTheme="majorHAnsi" w:cstheme="majorHAnsi"/>
          <w:color w:val="000000" w:themeColor="text1"/>
          <w:sz w:val="22"/>
          <w:szCs w:val="22"/>
          <w:lang w:val="en-IE" w:eastAsia="en-IE"/>
        </w:rPr>
        <w:t xml:space="preserve">onsidered that the view of the </w:t>
      </w:r>
      <w:r w:rsidRPr="00390E77">
        <w:rPr>
          <w:rFonts w:asciiTheme="majorHAnsi" w:eastAsia="Times New Roman" w:hAnsiTheme="majorHAnsi" w:cstheme="majorHAnsi"/>
          <w:color w:val="000000" w:themeColor="text1"/>
          <w:sz w:val="22"/>
          <w:szCs w:val="22"/>
          <w:lang w:val="en-IE" w:eastAsia="en-IE"/>
        </w:rPr>
        <w:t>UK Law Commission (2017, pp12-13)</w:t>
      </w:r>
      <w:r w:rsidR="00966E14" w:rsidRPr="00390E77">
        <w:rPr>
          <w:rFonts w:asciiTheme="majorHAnsi" w:eastAsia="Times New Roman" w:hAnsiTheme="majorHAnsi" w:cstheme="majorHAnsi"/>
          <w:color w:val="000000" w:themeColor="text1"/>
          <w:sz w:val="22"/>
          <w:szCs w:val="22"/>
          <w:lang w:val="en-IE" w:eastAsia="en-IE"/>
        </w:rPr>
        <w:t xml:space="preserve"> </w:t>
      </w:r>
      <w:r w:rsidRPr="00390E77">
        <w:rPr>
          <w:rFonts w:asciiTheme="majorHAnsi" w:eastAsia="Times New Roman" w:hAnsiTheme="majorHAnsi" w:cstheme="majorHAnsi"/>
          <w:color w:val="000000" w:themeColor="text1"/>
          <w:sz w:val="22"/>
          <w:szCs w:val="22"/>
          <w:lang w:val="en-IE" w:eastAsia="en-IE"/>
        </w:rPr>
        <w:t>on this point is applicable to the Irish context: “</w:t>
      </w:r>
      <w:r w:rsidRPr="00390E77">
        <w:rPr>
          <w:rFonts w:asciiTheme="majorHAnsi" w:eastAsia="Times New Roman" w:hAnsiTheme="majorHAnsi" w:cstheme="majorHAnsi"/>
          <w:i/>
          <w:color w:val="000000" w:themeColor="text1"/>
          <w:sz w:val="22"/>
          <w:szCs w:val="22"/>
          <w:lang w:val="en-IE" w:eastAsia="en-IE"/>
        </w:rPr>
        <w:t>A risk of harm may be continuously present in cases of fluctuating capacity owing to the risk of a person losing the ability to keep themselves safe whilst at large on their own</w:t>
      </w:r>
      <w:r w:rsidRPr="00390E77">
        <w:rPr>
          <w:rFonts w:asciiTheme="majorHAnsi" w:eastAsia="Times New Roman" w:hAnsiTheme="majorHAnsi" w:cstheme="majorHAnsi"/>
          <w:color w:val="000000" w:themeColor="text1"/>
          <w:sz w:val="22"/>
          <w:szCs w:val="22"/>
          <w:lang w:val="en-IE" w:eastAsia="en-IE"/>
        </w:rPr>
        <w:t>” and therefore “</w:t>
      </w:r>
      <w:r w:rsidRPr="00390E77">
        <w:rPr>
          <w:rFonts w:asciiTheme="majorHAnsi" w:eastAsia="Times New Roman" w:hAnsiTheme="majorHAnsi" w:cstheme="majorHAnsi"/>
          <w:i/>
          <w:color w:val="000000" w:themeColor="text1"/>
          <w:sz w:val="22"/>
          <w:szCs w:val="22"/>
          <w:lang w:val="en-IE" w:eastAsia="en-IE"/>
        </w:rPr>
        <w:t>it is legitimate to authorise arrangements that remain in place even during limited periods of capacity to consent or object to the arrangements.</w:t>
      </w:r>
      <w:r w:rsidRPr="00390E77">
        <w:rPr>
          <w:rFonts w:asciiTheme="majorHAnsi" w:eastAsia="Times New Roman" w:hAnsiTheme="majorHAnsi" w:cstheme="majorHAnsi"/>
          <w:color w:val="000000" w:themeColor="text1"/>
          <w:sz w:val="22"/>
          <w:szCs w:val="22"/>
          <w:lang w:val="en-IE" w:eastAsia="en-IE"/>
        </w:rPr>
        <w:t xml:space="preserve">” </w:t>
      </w:r>
    </w:p>
    <w:p w14:paraId="21549913" w14:textId="0EEAD4FF" w:rsidR="00EB6CDF" w:rsidRPr="00390E77" w:rsidRDefault="00EB6CDF" w:rsidP="00F65230">
      <w:pPr>
        <w:pStyle w:val="Heading4"/>
        <w:rPr>
          <w:rFonts w:eastAsia="Times New Roman"/>
          <w:lang w:eastAsia="en-IE"/>
        </w:rPr>
      </w:pPr>
      <w:r w:rsidRPr="00390E77">
        <w:rPr>
          <w:rFonts w:eastAsia="Times New Roman"/>
          <w:lang w:eastAsia="en-IE"/>
        </w:rPr>
        <w:t xml:space="preserve">7.2 </w:t>
      </w:r>
      <w:r w:rsidR="00882189">
        <w:rPr>
          <w:rFonts w:eastAsia="Times New Roman"/>
          <w:lang w:eastAsia="en-IE"/>
        </w:rPr>
        <w:t xml:space="preserve"> </w:t>
      </w:r>
      <w:r w:rsidRPr="00390E77">
        <w:rPr>
          <w:rFonts w:eastAsia="Times New Roman"/>
          <w:lang w:eastAsia="en-IE"/>
        </w:rPr>
        <w:t xml:space="preserve"> In subhead (2), do you have a view on the length of time that would be considered a “short period”? This issue also arises in Heads 7(8), 7(12) and 8(5) </w:t>
      </w:r>
    </w:p>
    <w:p w14:paraId="4581353C" w14:textId="4C2B6D44" w:rsidR="00434E60" w:rsidRPr="00390E77" w:rsidRDefault="00434E60" w:rsidP="00FB15DA">
      <w:pPr>
        <w:pStyle w:val="ListParagraph"/>
        <w:numPr>
          <w:ilvl w:val="0"/>
          <w:numId w:val="18"/>
        </w:num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 xml:space="preserve">It is considered that the issue of fluctuating capacity should be addressed as part of an individualised care plan for the person and in this context a ‘short period’ should be defined </w:t>
      </w:r>
      <w:r w:rsidR="00301EAF" w:rsidRPr="00390E77">
        <w:rPr>
          <w:rFonts w:asciiTheme="majorHAnsi" w:eastAsia="Times New Roman" w:hAnsiTheme="majorHAnsi" w:cstheme="majorHAnsi"/>
          <w:color w:val="000000" w:themeColor="text1"/>
          <w:sz w:val="22"/>
          <w:szCs w:val="22"/>
          <w:lang w:val="en-IE" w:eastAsia="en-IE"/>
        </w:rPr>
        <w:t xml:space="preserve">specifically </w:t>
      </w:r>
      <w:r w:rsidRPr="00390E77">
        <w:rPr>
          <w:rFonts w:asciiTheme="majorHAnsi" w:eastAsia="Times New Roman" w:hAnsiTheme="majorHAnsi" w:cstheme="majorHAnsi"/>
          <w:color w:val="000000" w:themeColor="text1"/>
          <w:sz w:val="22"/>
          <w:szCs w:val="22"/>
          <w:lang w:val="en-IE" w:eastAsia="en-IE"/>
        </w:rPr>
        <w:t>with regard to the individual’s care needs and history of care needs. Fluctuation in capacity for one individual may last minutes</w:t>
      </w:r>
      <w:r w:rsidR="00C2374D">
        <w:rPr>
          <w:rFonts w:asciiTheme="majorHAnsi" w:eastAsia="Times New Roman" w:hAnsiTheme="majorHAnsi" w:cstheme="majorHAnsi"/>
          <w:color w:val="000000" w:themeColor="text1"/>
          <w:sz w:val="22"/>
          <w:szCs w:val="22"/>
          <w:lang w:val="en-IE" w:eastAsia="en-IE"/>
        </w:rPr>
        <w:t>,</w:t>
      </w:r>
      <w:r w:rsidRPr="00390E77">
        <w:rPr>
          <w:rFonts w:asciiTheme="majorHAnsi" w:eastAsia="Times New Roman" w:hAnsiTheme="majorHAnsi" w:cstheme="majorHAnsi"/>
          <w:color w:val="000000" w:themeColor="text1"/>
          <w:sz w:val="22"/>
          <w:szCs w:val="22"/>
          <w:lang w:val="en-IE" w:eastAsia="en-IE"/>
        </w:rPr>
        <w:t xml:space="preserve"> but for others </w:t>
      </w:r>
      <w:r w:rsidR="00966E14" w:rsidRPr="00390E77">
        <w:rPr>
          <w:rFonts w:asciiTheme="majorHAnsi" w:eastAsia="Times New Roman" w:hAnsiTheme="majorHAnsi" w:cstheme="majorHAnsi"/>
          <w:color w:val="000000" w:themeColor="text1"/>
          <w:sz w:val="22"/>
          <w:szCs w:val="22"/>
          <w:lang w:val="en-IE" w:eastAsia="en-IE"/>
        </w:rPr>
        <w:t xml:space="preserve">it </w:t>
      </w:r>
      <w:r w:rsidR="00301EAF" w:rsidRPr="00390E77">
        <w:rPr>
          <w:rFonts w:asciiTheme="majorHAnsi" w:eastAsia="Times New Roman" w:hAnsiTheme="majorHAnsi" w:cstheme="majorHAnsi"/>
          <w:color w:val="000000" w:themeColor="text1"/>
          <w:sz w:val="22"/>
          <w:szCs w:val="22"/>
          <w:lang w:val="en-IE" w:eastAsia="en-IE"/>
        </w:rPr>
        <w:t>might last for hours or days.</w:t>
      </w:r>
    </w:p>
    <w:p w14:paraId="08E415A4" w14:textId="77777777" w:rsidR="00301EAF" w:rsidRPr="00390E77" w:rsidRDefault="00301EAF" w:rsidP="00FB15DA">
      <w:pPr>
        <w:pStyle w:val="ListParagraph"/>
        <w:numPr>
          <w:ilvl w:val="0"/>
          <w:numId w:val="18"/>
        </w:num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 xml:space="preserve">It should be acknowledged however </w:t>
      </w:r>
      <w:r w:rsidR="00FB15DA" w:rsidRPr="00390E77">
        <w:rPr>
          <w:rFonts w:asciiTheme="majorHAnsi" w:eastAsia="Times New Roman" w:hAnsiTheme="majorHAnsi" w:cstheme="majorHAnsi"/>
          <w:color w:val="000000" w:themeColor="text1"/>
          <w:sz w:val="22"/>
          <w:szCs w:val="22"/>
          <w:lang w:val="en-IE" w:eastAsia="en-IE"/>
        </w:rPr>
        <w:t xml:space="preserve">that on the occasions where individuals regain their </w:t>
      </w:r>
      <w:r w:rsidRPr="00390E77">
        <w:rPr>
          <w:rFonts w:asciiTheme="majorHAnsi" w:eastAsia="Times New Roman" w:hAnsiTheme="majorHAnsi" w:cstheme="majorHAnsi"/>
          <w:color w:val="000000" w:themeColor="text1"/>
          <w:sz w:val="22"/>
          <w:szCs w:val="22"/>
          <w:lang w:val="en-IE" w:eastAsia="en-IE"/>
        </w:rPr>
        <w:t xml:space="preserve">capacity to consent or </w:t>
      </w:r>
      <w:r w:rsidR="00FB15DA" w:rsidRPr="00390E77">
        <w:rPr>
          <w:rFonts w:asciiTheme="majorHAnsi" w:eastAsia="Times New Roman" w:hAnsiTheme="majorHAnsi" w:cstheme="majorHAnsi"/>
          <w:color w:val="000000" w:themeColor="text1"/>
          <w:sz w:val="22"/>
          <w:szCs w:val="22"/>
          <w:lang w:val="en-IE" w:eastAsia="en-IE"/>
        </w:rPr>
        <w:t xml:space="preserve">their capacity </w:t>
      </w:r>
      <w:r w:rsidRPr="00390E77">
        <w:rPr>
          <w:rFonts w:asciiTheme="majorHAnsi" w:eastAsia="Times New Roman" w:hAnsiTheme="majorHAnsi" w:cstheme="majorHAnsi"/>
          <w:color w:val="000000" w:themeColor="text1"/>
          <w:sz w:val="22"/>
          <w:szCs w:val="22"/>
          <w:lang w:val="en-IE" w:eastAsia="en-IE"/>
        </w:rPr>
        <w:t>to ob</w:t>
      </w:r>
      <w:r w:rsidR="00FB15DA" w:rsidRPr="00390E77">
        <w:rPr>
          <w:rFonts w:asciiTheme="majorHAnsi" w:eastAsia="Times New Roman" w:hAnsiTheme="majorHAnsi" w:cstheme="majorHAnsi"/>
          <w:color w:val="000000" w:themeColor="text1"/>
          <w:sz w:val="22"/>
          <w:szCs w:val="22"/>
          <w:lang w:val="en-IE" w:eastAsia="en-IE"/>
        </w:rPr>
        <w:t>ject to care provisions, this</w:t>
      </w:r>
      <w:r w:rsidRPr="00390E77">
        <w:rPr>
          <w:rFonts w:asciiTheme="majorHAnsi" w:eastAsia="Times New Roman" w:hAnsiTheme="majorHAnsi" w:cstheme="majorHAnsi"/>
          <w:color w:val="000000" w:themeColor="text1"/>
          <w:sz w:val="22"/>
          <w:szCs w:val="22"/>
          <w:lang w:val="en-IE" w:eastAsia="en-IE"/>
        </w:rPr>
        <w:t xml:space="preserve"> may cause distress or upset for the individual concerned and indeed for staff or family members who must explain the rationale for the imposition of such arrangements.</w:t>
      </w:r>
      <w:r w:rsidR="00FB15DA" w:rsidRPr="00390E77">
        <w:rPr>
          <w:rFonts w:asciiTheme="majorHAnsi" w:eastAsia="Times New Roman" w:hAnsiTheme="majorHAnsi" w:cstheme="majorHAnsi"/>
          <w:color w:val="000000" w:themeColor="text1"/>
          <w:sz w:val="22"/>
          <w:szCs w:val="22"/>
          <w:lang w:val="en-IE" w:eastAsia="en-IE"/>
        </w:rPr>
        <w:t xml:space="preserve"> It is recommended that constructive management of such instances</w:t>
      </w:r>
      <w:r w:rsidRPr="00390E77">
        <w:rPr>
          <w:rFonts w:asciiTheme="majorHAnsi" w:eastAsia="Times New Roman" w:hAnsiTheme="majorHAnsi" w:cstheme="majorHAnsi"/>
          <w:color w:val="000000" w:themeColor="text1"/>
          <w:sz w:val="22"/>
          <w:szCs w:val="22"/>
          <w:lang w:val="en-IE" w:eastAsia="en-IE"/>
        </w:rPr>
        <w:t xml:space="preserve"> should also be addressed as part of the individual’s care plan and in a manner that minimises distress or upset for the individual concerned. </w:t>
      </w:r>
    </w:p>
    <w:p w14:paraId="311EFC10" w14:textId="61F9F2C2" w:rsidR="00EB6CDF" w:rsidRPr="00390E77" w:rsidRDefault="00EB6CDF" w:rsidP="00F65230">
      <w:pPr>
        <w:pStyle w:val="Heading4"/>
        <w:rPr>
          <w:rFonts w:eastAsia="Times New Roman"/>
          <w:lang w:eastAsia="en-IE"/>
        </w:rPr>
      </w:pPr>
      <w:r w:rsidRPr="00390E77">
        <w:rPr>
          <w:rFonts w:eastAsia="Times New Roman"/>
          <w:lang w:eastAsia="en-IE"/>
        </w:rPr>
        <w:t>7.3  </w:t>
      </w:r>
      <w:r w:rsidR="00882189">
        <w:rPr>
          <w:rFonts w:eastAsia="Times New Roman"/>
          <w:lang w:eastAsia="en-IE"/>
        </w:rPr>
        <w:t xml:space="preserve"> </w:t>
      </w:r>
      <w:r w:rsidRPr="00390E77">
        <w:rPr>
          <w:rFonts w:eastAsia="Times New Roman"/>
          <w:lang w:eastAsia="en-IE"/>
        </w:rPr>
        <w:t xml:space="preserve">Do you have any other views specific to Head 7? </w:t>
      </w:r>
    </w:p>
    <w:p w14:paraId="0CB8B03B" w14:textId="77777777" w:rsidR="008630D5" w:rsidRPr="00390E77" w:rsidRDefault="008630D5" w:rsidP="008630D5">
      <w:pPr>
        <w:pStyle w:val="ListParagraph"/>
        <w:numPr>
          <w:ilvl w:val="0"/>
          <w:numId w:val="22"/>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Notwithstanding the points outlined above in 7.1 and 7.2 with regard to fluctuating capacity, it is important to recognise that situations may arise where a person who previously lacked capacity may regain it permanently or for longer than a ‘short period.’ It is recommended that court applications for review should be treated expeditiously.</w:t>
      </w:r>
    </w:p>
    <w:p w14:paraId="3A3226A2" w14:textId="77777777" w:rsidR="00216C29" w:rsidRDefault="00216C29" w:rsidP="00FB15DA">
      <w:p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p>
    <w:p w14:paraId="244D86AD" w14:textId="77777777" w:rsidR="00EB6CDF" w:rsidRPr="00390E77" w:rsidRDefault="00EB6CDF" w:rsidP="00F65230">
      <w:pPr>
        <w:pStyle w:val="Heading3"/>
        <w:rPr>
          <w:rFonts w:eastAsia="Times New Roman"/>
          <w:lang w:eastAsia="en-IE"/>
        </w:rPr>
      </w:pPr>
      <w:r w:rsidRPr="00390E77">
        <w:rPr>
          <w:rFonts w:eastAsia="Times New Roman"/>
          <w:lang w:eastAsia="en-IE"/>
        </w:rPr>
        <w:t xml:space="preserve">Head 8: </w:t>
      </w:r>
    </w:p>
    <w:p w14:paraId="4D345A03" w14:textId="77777777" w:rsidR="00EB6CDF" w:rsidRPr="00390E77" w:rsidRDefault="00EB6CDF" w:rsidP="00F65230">
      <w:pPr>
        <w:pStyle w:val="Heading4"/>
        <w:rPr>
          <w:rFonts w:eastAsia="Times New Roman"/>
          <w:lang w:eastAsia="en-IE"/>
        </w:rPr>
      </w:pPr>
      <w:r w:rsidRPr="00390E77">
        <w:rPr>
          <w:rFonts w:eastAsia="Times New Roman"/>
          <w:lang w:eastAsia="en-IE"/>
        </w:rPr>
        <w:t xml:space="preserve">8.1 Do you have any views specific to Head 8? </w:t>
      </w:r>
    </w:p>
    <w:p w14:paraId="6C6E03A6" w14:textId="77777777" w:rsidR="008630D5" w:rsidRPr="00390E77" w:rsidRDefault="008630D5" w:rsidP="008630D5">
      <w:pPr>
        <w:pStyle w:val="ListParagraph"/>
        <w:numPr>
          <w:ilvl w:val="0"/>
          <w:numId w:val="22"/>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 xml:space="preserve">The transitional arrangements for existing residents on commencement of </w:t>
      </w:r>
      <w:r w:rsidR="00B91A63" w:rsidRPr="00390E77">
        <w:rPr>
          <w:rFonts w:asciiTheme="majorHAnsi" w:eastAsia="Times New Roman" w:hAnsiTheme="majorHAnsi" w:cstheme="majorHAnsi"/>
          <w:color w:val="000000" w:themeColor="text1"/>
          <w:sz w:val="22"/>
          <w:szCs w:val="22"/>
          <w:lang w:val="en-IE" w:eastAsia="en-IE"/>
        </w:rPr>
        <w:t>this legislation are a matter of concern in terms of the resources required to ensure compliance with the law.</w:t>
      </w:r>
    </w:p>
    <w:p w14:paraId="095528C1" w14:textId="7FE453F6" w:rsidR="00646FC5" w:rsidRDefault="00B91A63" w:rsidP="00FB15DA">
      <w:pPr>
        <w:pStyle w:val="ListParagraph"/>
        <w:numPr>
          <w:ilvl w:val="0"/>
          <w:numId w:val="22"/>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Census figures from 2016 show that over 22,700 people were resident in nursing homes. Figures from 2012 indicate that at that time there were over 8,000 people with disabilities in residential care. Not all of these people lack capacity to consent or are subject to deprivation of their liberty</w:t>
      </w:r>
      <w:r w:rsidR="00FD33DE" w:rsidRPr="00390E77">
        <w:rPr>
          <w:rFonts w:asciiTheme="majorHAnsi" w:eastAsia="Times New Roman" w:hAnsiTheme="majorHAnsi" w:cstheme="majorHAnsi"/>
          <w:color w:val="000000" w:themeColor="text1"/>
          <w:sz w:val="22"/>
          <w:szCs w:val="22"/>
          <w:lang w:val="en-IE" w:eastAsia="en-IE"/>
        </w:rPr>
        <w:t>,</w:t>
      </w:r>
      <w:r w:rsidRPr="00390E77">
        <w:rPr>
          <w:rFonts w:asciiTheme="majorHAnsi" w:eastAsia="Times New Roman" w:hAnsiTheme="majorHAnsi" w:cstheme="majorHAnsi"/>
          <w:color w:val="000000" w:themeColor="text1"/>
          <w:sz w:val="22"/>
          <w:szCs w:val="22"/>
          <w:lang w:val="en-IE" w:eastAsia="en-IE"/>
        </w:rPr>
        <w:t xml:space="preserve"> but all will need to</w:t>
      </w:r>
      <w:r w:rsidR="00FD33DE" w:rsidRPr="00390E77">
        <w:rPr>
          <w:rFonts w:asciiTheme="majorHAnsi" w:eastAsia="Times New Roman" w:hAnsiTheme="majorHAnsi" w:cstheme="majorHAnsi"/>
          <w:color w:val="000000" w:themeColor="text1"/>
          <w:sz w:val="22"/>
          <w:szCs w:val="22"/>
          <w:lang w:val="en-IE" w:eastAsia="en-IE"/>
        </w:rPr>
        <w:t xml:space="preserve"> be assessed and it is </w:t>
      </w:r>
      <w:r w:rsidR="00FD33DE" w:rsidRPr="00390E77">
        <w:rPr>
          <w:rFonts w:asciiTheme="majorHAnsi" w:eastAsia="Times New Roman" w:hAnsiTheme="majorHAnsi" w:cstheme="majorHAnsi"/>
          <w:color w:val="000000" w:themeColor="text1"/>
          <w:sz w:val="22"/>
          <w:szCs w:val="22"/>
          <w:lang w:val="en-IE" w:eastAsia="en-IE"/>
        </w:rPr>
        <w:lastRenderedPageBreak/>
        <w:t>highly probable that many are experiencing a deprivation of their liberty to which they lack capacity to consent</w:t>
      </w:r>
      <w:r w:rsidRPr="00390E77">
        <w:rPr>
          <w:rFonts w:asciiTheme="majorHAnsi" w:eastAsia="Times New Roman" w:hAnsiTheme="majorHAnsi" w:cstheme="majorHAnsi"/>
          <w:color w:val="000000" w:themeColor="text1"/>
          <w:sz w:val="22"/>
          <w:szCs w:val="22"/>
          <w:lang w:val="en-IE" w:eastAsia="en-IE"/>
        </w:rPr>
        <w:t>. Implementation of the law in this regard will require significant resources</w:t>
      </w:r>
      <w:r w:rsidR="00447C29">
        <w:rPr>
          <w:rFonts w:asciiTheme="majorHAnsi" w:eastAsia="Times New Roman" w:hAnsiTheme="majorHAnsi" w:cstheme="majorHAnsi"/>
          <w:color w:val="000000" w:themeColor="text1"/>
          <w:sz w:val="22"/>
          <w:szCs w:val="22"/>
          <w:lang w:val="en-IE" w:eastAsia="en-IE"/>
        </w:rPr>
        <w:t>,</w:t>
      </w:r>
      <w:r w:rsidRPr="00390E77">
        <w:rPr>
          <w:rFonts w:asciiTheme="majorHAnsi" w:eastAsia="Times New Roman" w:hAnsiTheme="majorHAnsi" w:cstheme="majorHAnsi"/>
          <w:color w:val="000000" w:themeColor="text1"/>
          <w:sz w:val="22"/>
          <w:szCs w:val="22"/>
          <w:lang w:val="en-IE" w:eastAsia="en-IE"/>
        </w:rPr>
        <w:t xml:space="preserve"> both in terms of assessment and in terms of court applications. It will be important to ensure that care for this vulnerable grouping is not compromised through this process.</w:t>
      </w:r>
    </w:p>
    <w:p w14:paraId="757611E7" w14:textId="77777777" w:rsidR="00216C29" w:rsidRPr="00216C29" w:rsidRDefault="00216C29" w:rsidP="00216C29">
      <w:pPr>
        <w:pStyle w:val="ListParagraph"/>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p>
    <w:p w14:paraId="2A4D7AEE" w14:textId="77777777" w:rsidR="00EB6CDF" w:rsidRPr="00390E77" w:rsidRDefault="00EB6CDF" w:rsidP="00F65230">
      <w:pPr>
        <w:pStyle w:val="Heading3"/>
        <w:rPr>
          <w:rFonts w:eastAsia="Times New Roman"/>
          <w:lang w:eastAsia="en-IE"/>
        </w:rPr>
      </w:pPr>
      <w:r w:rsidRPr="00390E77">
        <w:rPr>
          <w:rFonts w:eastAsia="Times New Roman"/>
          <w:lang w:eastAsia="en-IE"/>
        </w:rPr>
        <w:t xml:space="preserve">Head 9: </w:t>
      </w:r>
    </w:p>
    <w:p w14:paraId="7971C2E4" w14:textId="77777777" w:rsidR="00EB6CDF" w:rsidRPr="00390E77" w:rsidRDefault="00EB6CDF" w:rsidP="00F65230">
      <w:pPr>
        <w:pStyle w:val="Heading4"/>
        <w:rPr>
          <w:rFonts w:eastAsia="Times New Roman"/>
          <w:lang w:eastAsia="en-IE"/>
        </w:rPr>
      </w:pPr>
      <w:r w:rsidRPr="00390E77">
        <w:rPr>
          <w:rFonts w:eastAsia="Times New Roman"/>
          <w:lang w:eastAsia="en-IE"/>
        </w:rPr>
        <w:t xml:space="preserve">9.1 Do you have any views specific to Head 9? </w:t>
      </w:r>
    </w:p>
    <w:p w14:paraId="1C4E9B24" w14:textId="6D782216" w:rsidR="00677BDA" w:rsidRPr="00390E77" w:rsidRDefault="00E266DB" w:rsidP="00FB15DA">
      <w:pPr>
        <w:pStyle w:val="ListParagraph"/>
        <w:numPr>
          <w:ilvl w:val="0"/>
          <w:numId w:val="10"/>
        </w:num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All restrict</w:t>
      </w:r>
      <w:r w:rsidR="00155FF1">
        <w:rPr>
          <w:rFonts w:asciiTheme="majorHAnsi" w:eastAsia="Times New Roman" w:hAnsiTheme="majorHAnsi" w:cstheme="majorHAnsi"/>
          <w:color w:val="000000" w:themeColor="text1"/>
          <w:sz w:val="22"/>
          <w:szCs w:val="22"/>
          <w:lang w:val="en-IE" w:eastAsia="en-IE"/>
        </w:rPr>
        <w:t xml:space="preserve">ions or deprivations imposed </w:t>
      </w:r>
      <w:r w:rsidRPr="00390E77">
        <w:rPr>
          <w:rFonts w:asciiTheme="majorHAnsi" w:eastAsia="Times New Roman" w:hAnsiTheme="majorHAnsi" w:cstheme="majorHAnsi"/>
          <w:color w:val="000000" w:themeColor="text1"/>
          <w:sz w:val="22"/>
          <w:szCs w:val="22"/>
          <w:lang w:val="en-IE" w:eastAsia="en-IE"/>
        </w:rPr>
        <w:t>on a person should be subject to frequent review and</w:t>
      </w:r>
      <w:r w:rsidR="00155FF1">
        <w:rPr>
          <w:rFonts w:asciiTheme="majorHAnsi" w:eastAsia="Times New Roman" w:hAnsiTheme="majorHAnsi" w:cstheme="majorHAnsi"/>
          <w:color w:val="000000" w:themeColor="text1"/>
          <w:sz w:val="22"/>
          <w:szCs w:val="22"/>
          <w:lang w:val="en-IE" w:eastAsia="en-IE"/>
        </w:rPr>
        <w:t>,</w:t>
      </w:r>
      <w:r w:rsidRPr="00390E77">
        <w:rPr>
          <w:rFonts w:asciiTheme="majorHAnsi" w:eastAsia="Times New Roman" w:hAnsiTheme="majorHAnsi" w:cstheme="majorHAnsi"/>
          <w:color w:val="000000" w:themeColor="text1"/>
          <w:sz w:val="22"/>
          <w:szCs w:val="22"/>
          <w:lang w:val="en-IE" w:eastAsia="en-IE"/>
        </w:rPr>
        <w:t xml:space="preserve"> where appropriate or necessary</w:t>
      </w:r>
      <w:r w:rsidR="00155FF1">
        <w:rPr>
          <w:rFonts w:asciiTheme="majorHAnsi" w:eastAsia="Times New Roman" w:hAnsiTheme="majorHAnsi" w:cstheme="majorHAnsi"/>
          <w:color w:val="000000" w:themeColor="text1"/>
          <w:sz w:val="22"/>
          <w:szCs w:val="22"/>
          <w:lang w:val="en-IE" w:eastAsia="en-IE"/>
        </w:rPr>
        <w:t>,</w:t>
      </w:r>
      <w:r w:rsidRPr="00390E77">
        <w:rPr>
          <w:rFonts w:asciiTheme="majorHAnsi" w:eastAsia="Times New Roman" w:hAnsiTheme="majorHAnsi" w:cstheme="majorHAnsi"/>
          <w:color w:val="000000" w:themeColor="text1"/>
          <w:sz w:val="22"/>
          <w:szCs w:val="22"/>
          <w:lang w:val="en-IE" w:eastAsia="en-IE"/>
        </w:rPr>
        <w:t xml:space="preserve"> subject to appeal or challenge.</w:t>
      </w:r>
    </w:p>
    <w:p w14:paraId="0EA286BA" w14:textId="77777777" w:rsidR="00882B2E" w:rsidRPr="00390E77" w:rsidRDefault="00882B2E" w:rsidP="00FB15DA">
      <w:pPr>
        <w:pStyle w:val="ListParagraph"/>
        <w:numPr>
          <w:ilvl w:val="0"/>
          <w:numId w:val="10"/>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It is considered that in this context the deprivation of liberty and the admission decision are inextricably linked and therefore ‘hooking’</w:t>
      </w:r>
      <w:r w:rsidR="00966E14" w:rsidRPr="00390E77">
        <w:rPr>
          <w:rFonts w:asciiTheme="majorHAnsi" w:eastAsia="Times New Roman" w:hAnsiTheme="majorHAnsi" w:cstheme="majorHAnsi"/>
          <w:color w:val="000000" w:themeColor="text1"/>
          <w:sz w:val="22"/>
          <w:szCs w:val="22"/>
          <w:lang w:val="en-IE" w:eastAsia="en-IE"/>
        </w:rPr>
        <w:t xml:space="preserve"> </w:t>
      </w:r>
      <w:r w:rsidRPr="00390E77">
        <w:rPr>
          <w:rFonts w:asciiTheme="majorHAnsi" w:eastAsia="Times New Roman" w:hAnsiTheme="majorHAnsi" w:cstheme="majorHAnsi"/>
          <w:color w:val="000000" w:themeColor="text1"/>
          <w:sz w:val="22"/>
          <w:szCs w:val="22"/>
          <w:lang w:val="en-IE" w:eastAsia="en-IE"/>
        </w:rPr>
        <w:t>the deprivation of liberty review to the review of capacity is reasonable.</w:t>
      </w:r>
    </w:p>
    <w:p w14:paraId="0C174E76" w14:textId="10898FA4" w:rsidR="00882B2E" w:rsidRPr="00390E77" w:rsidRDefault="00FD33DE" w:rsidP="00FB15DA">
      <w:pPr>
        <w:pStyle w:val="ListParagraph"/>
        <w:numPr>
          <w:ilvl w:val="0"/>
          <w:numId w:val="10"/>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I</w:t>
      </w:r>
      <w:r w:rsidR="00966E14" w:rsidRPr="00390E77">
        <w:rPr>
          <w:rFonts w:asciiTheme="majorHAnsi" w:eastAsia="Times New Roman" w:hAnsiTheme="majorHAnsi" w:cstheme="majorHAnsi"/>
          <w:color w:val="000000" w:themeColor="text1"/>
          <w:sz w:val="22"/>
          <w:szCs w:val="22"/>
          <w:lang w:val="en-IE" w:eastAsia="en-IE"/>
        </w:rPr>
        <w:t xml:space="preserve">t may be that there is </w:t>
      </w:r>
      <w:r w:rsidRPr="00390E77">
        <w:rPr>
          <w:rFonts w:asciiTheme="majorHAnsi" w:eastAsia="Times New Roman" w:hAnsiTheme="majorHAnsi" w:cstheme="majorHAnsi"/>
          <w:color w:val="000000" w:themeColor="text1"/>
          <w:sz w:val="22"/>
          <w:szCs w:val="22"/>
          <w:lang w:val="en-IE" w:eastAsia="en-IE"/>
        </w:rPr>
        <w:t>a case for extending the period of judicial review in situation</w:t>
      </w:r>
      <w:r w:rsidR="00882B2E" w:rsidRPr="00390E77">
        <w:rPr>
          <w:rFonts w:asciiTheme="majorHAnsi" w:eastAsia="Times New Roman" w:hAnsiTheme="majorHAnsi" w:cstheme="majorHAnsi"/>
          <w:color w:val="000000" w:themeColor="text1"/>
          <w:sz w:val="22"/>
          <w:szCs w:val="22"/>
          <w:lang w:val="en-IE" w:eastAsia="en-IE"/>
        </w:rPr>
        <w:t xml:space="preserve">s where there is a long-term and stable </w:t>
      </w:r>
      <w:r w:rsidRPr="00390E77">
        <w:rPr>
          <w:rFonts w:asciiTheme="majorHAnsi" w:eastAsia="Times New Roman" w:hAnsiTheme="majorHAnsi" w:cstheme="majorHAnsi"/>
          <w:color w:val="000000" w:themeColor="text1"/>
          <w:sz w:val="22"/>
          <w:szCs w:val="22"/>
          <w:lang w:val="en-IE" w:eastAsia="en-IE"/>
        </w:rPr>
        <w:t>diagnosis which results in a lack of capacity</w:t>
      </w:r>
      <w:r w:rsidR="00155FF1">
        <w:rPr>
          <w:rFonts w:asciiTheme="majorHAnsi" w:eastAsia="Times New Roman" w:hAnsiTheme="majorHAnsi" w:cstheme="majorHAnsi"/>
          <w:color w:val="000000" w:themeColor="text1"/>
          <w:sz w:val="22"/>
          <w:szCs w:val="22"/>
          <w:lang w:val="en-IE" w:eastAsia="en-IE"/>
        </w:rPr>
        <w:t>.</w:t>
      </w:r>
    </w:p>
    <w:p w14:paraId="7529C3E1" w14:textId="77777777" w:rsidR="00EB6CDF" w:rsidRPr="00390E77" w:rsidRDefault="00EB6CDF" w:rsidP="00F65230">
      <w:pPr>
        <w:pStyle w:val="Heading3"/>
        <w:rPr>
          <w:rFonts w:eastAsia="Times New Roman"/>
          <w:lang w:eastAsia="en-IE"/>
        </w:rPr>
      </w:pPr>
      <w:r w:rsidRPr="00390E77">
        <w:rPr>
          <w:rFonts w:eastAsia="Times New Roman"/>
          <w:lang w:eastAsia="en-IE"/>
        </w:rPr>
        <w:t xml:space="preserve">Head 10: </w:t>
      </w:r>
    </w:p>
    <w:p w14:paraId="5E4C85B9" w14:textId="77777777" w:rsidR="00EB6CDF" w:rsidRPr="00390E77" w:rsidRDefault="00EB6CDF" w:rsidP="00F65230">
      <w:pPr>
        <w:pStyle w:val="Heading4"/>
        <w:rPr>
          <w:rFonts w:eastAsia="Times New Roman"/>
          <w:lang w:eastAsia="en-IE"/>
        </w:rPr>
      </w:pPr>
      <w:r w:rsidRPr="00390E77">
        <w:rPr>
          <w:rFonts w:eastAsia="Times New Roman"/>
          <w:lang w:eastAsia="en-IE"/>
        </w:rPr>
        <w:t xml:space="preserve">10.1 Do you have any views specific to Head 10? </w:t>
      </w:r>
    </w:p>
    <w:p w14:paraId="38B2F521" w14:textId="77777777" w:rsidR="00677BDA" w:rsidRPr="00390E77" w:rsidRDefault="00080019" w:rsidP="00FB15DA">
      <w:pPr>
        <w:pStyle w:val="ListParagraph"/>
        <w:numPr>
          <w:ilvl w:val="0"/>
          <w:numId w:val="10"/>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C</w:t>
      </w:r>
      <w:r w:rsidR="00677BDA" w:rsidRPr="00390E77">
        <w:rPr>
          <w:rFonts w:asciiTheme="majorHAnsi" w:eastAsia="Times New Roman" w:hAnsiTheme="majorHAnsi" w:cstheme="majorHAnsi"/>
          <w:color w:val="000000" w:themeColor="text1"/>
          <w:sz w:val="22"/>
          <w:szCs w:val="22"/>
          <w:lang w:val="en-IE" w:eastAsia="en-IE"/>
        </w:rPr>
        <w:t xml:space="preserve">hemical restraint </w:t>
      </w:r>
      <w:r w:rsidR="00E3286C" w:rsidRPr="00390E77">
        <w:rPr>
          <w:rFonts w:asciiTheme="majorHAnsi" w:eastAsia="Times New Roman" w:hAnsiTheme="majorHAnsi" w:cstheme="majorHAnsi"/>
          <w:color w:val="000000" w:themeColor="text1"/>
          <w:sz w:val="22"/>
          <w:szCs w:val="22"/>
          <w:lang w:val="en-IE" w:eastAsia="en-IE"/>
        </w:rPr>
        <w:t xml:space="preserve">is </w:t>
      </w:r>
      <w:r w:rsidR="00E3286C" w:rsidRPr="0002191D">
        <w:rPr>
          <w:rFonts w:asciiTheme="majorHAnsi" w:eastAsia="Times New Roman" w:hAnsiTheme="majorHAnsi" w:cstheme="majorHAnsi"/>
          <w:color w:val="000000" w:themeColor="text1"/>
          <w:sz w:val="22"/>
          <w:szCs w:val="22"/>
          <w:lang w:val="en-IE" w:eastAsia="en-IE"/>
        </w:rPr>
        <w:t>degrading and inhuman</w:t>
      </w:r>
      <w:r w:rsidR="00E3286C" w:rsidRPr="00390E77">
        <w:rPr>
          <w:rFonts w:asciiTheme="majorHAnsi" w:eastAsia="Times New Roman" w:hAnsiTheme="majorHAnsi" w:cstheme="majorHAnsi"/>
          <w:color w:val="000000" w:themeColor="text1"/>
          <w:sz w:val="22"/>
          <w:szCs w:val="22"/>
          <w:lang w:val="en-IE" w:eastAsia="en-IE"/>
        </w:rPr>
        <w:t>. In order to comply with the ECHR</w:t>
      </w:r>
      <w:r w:rsidR="00966E14" w:rsidRPr="00390E77">
        <w:rPr>
          <w:rFonts w:asciiTheme="majorHAnsi" w:eastAsia="Times New Roman" w:hAnsiTheme="majorHAnsi" w:cstheme="majorHAnsi"/>
          <w:color w:val="000000" w:themeColor="text1"/>
          <w:sz w:val="22"/>
          <w:szCs w:val="22"/>
          <w:lang w:val="en-IE" w:eastAsia="en-IE"/>
        </w:rPr>
        <w:t>,</w:t>
      </w:r>
      <w:r w:rsidR="00E3286C" w:rsidRPr="00390E77">
        <w:rPr>
          <w:rFonts w:asciiTheme="majorHAnsi" w:eastAsia="Times New Roman" w:hAnsiTheme="majorHAnsi" w:cstheme="majorHAnsi"/>
          <w:color w:val="000000" w:themeColor="text1"/>
          <w:sz w:val="22"/>
          <w:szCs w:val="22"/>
          <w:lang w:val="en-IE" w:eastAsia="en-IE"/>
        </w:rPr>
        <w:t xml:space="preserve"> l</w:t>
      </w:r>
      <w:r w:rsidRPr="00390E77">
        <w:rPr>
          <w:rFonts w:asciiTheme="majorHAnsi" w:eastAsia="Times New Roman" w:hAnsiTheme="majorHAnsi" w:cstheme="majorHAnsi"/>
          <w:color w:val="000000" w:themeColor="text1"/>
          <w:sz w:val="22"/>
          <w:szCs w:val="22"/>
          <w:lang w:val="en-IE" w:eastAsia="en-IE"/>
        </w:rPr>
        <w:t xml:space="preserve">egislation should be enacted </w:t>
      </w:r>
      <w:r w:rsidR="00E3286C" w:rsidRPr="00390E77">
        <w:rPr>
          <w:rFonts w:asciiTheme="majorHAnsi" w:eastAsia="Times New Roman" w:hAnsiTheme="majorHAnsi" w:cstheme="majorHAnsi"/>
          <w:color w:val="000000" w:themeColor="text1"/>
          <w:sz w:val="22"/>
          <w:szCs w:val="22"/>
          <w:lang w:val="en-IE" w:eastAsia="en-IE"/>
        </w:rPr>
        <w:t xml:space="preserve">in Ireland </w:t>
      </w:r>
      <w:r w:rsidRPr="00390E77">
        <w:rPr>
          <w:rFonts w:asciiTheme="majorHAnsi" w:eastAsia="Times New Roman" w:hAnsiTheme="majorHAnsi" w:cstheme="majorHAnsi"/>
          <w:color w:val="000000" w:themeColor="text1"/>
          <w:sz w:val="22"/>
          <w:szCs w:val="22"/>
          <w:lang w:val="en-IE" w:eastAsia="en-IE"/>
        </w:rPr>
        <w:t xml:space="preserve">to </w:t>
      </w:r>
      <w:r w:rsidR="00E3286C" w:rsidRPr="00390E77">
        <w:rPr>
          <w:rFonts w:asciiTheme="majorHAnsi" w:eastAsia="Times New Roman" w:hAnsiTheme="majorHAnsi" w:cstheme="majorHAnsi"/>
          <w:color w:val="000000" w:themeColor="text1"/>
          <w:sz w:val="22"/>
          <w:szCs w:val="22"/>
          <w:lang w:val="en-IE" w:eastAsia="en-IE"/>
        </w:rPr>
        <w:t>enforce an outright ban</w:t>
      </w:r>
      <w:r w:rsidR="00677BDA" w:rsidRPr="00390E77">
        <w:rPr>
          <w:rFonts w:asciiTheme="majorHAnsi" w:eastAsia="Times New Roman" w:hAnsiTheme="majorHAnsi" w:cstheme="majorHAnsi"/>
          <w:color w:val="000000" w:themeColor="text1"/>
          <w:sz w:val="22"/>
          <w:szCs w:val="22"/>
          <w:lang w:val="en-IE" w:eastAsia="en-IE"/>
        </w:rPr>
        <w:t>.</w:t>
      </w:r>
    </w:p>
    <w:p w14:paraId="4472D48C" w14:textId="77777777" w:rsidR="006A1B48" w:rsidRPr="00390E77" w:rsidRDefault="009E2971" w:rsidP="00FB15DA">
      <w:pPr>
        <w:pStyle w:val="ListParagraph"/>
        <w:numPr>
          <w:ilvl w:val="0"/>
          <w:numId w:val="10"/>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Medication should only be administered for a medically identifiable condition</w:t>
      </w:r>
      <w:r w:rsidR="006A1B48" w:rsidRPr="00390E77">
        <w:rPr>
          <w:rFonts w:asciiTheme="majorHAnsi" w:eastAsia="Times New Roman" w:hAnsiTheme="majorHAnsi" w:cstheme="majorHAnsi"/>
          <w:color w:val="000000" w:themeColor="text1"/>
          <w:sz w:val="22"/>
          <w:szCs w:val="22"/>
          <w:lang w:val="en-IE" w:eastAsia="en-IE"/>
        </w:rPr>
        <w:t xml:space="preserve"> and</w:t>
      </w:r>
      <w:r w:rsidR="00966E14" w:rsidRPr="00390E77">
        <w:rPr>
          <w:rFonts w:asciiTheme="majorHAnsi" w:eastAsia="Times New Roman" w:hAnsiTheme="majorHAnsi" w:cstheme="majorHAnsi"/>
          <w:color w:val="000000" w:themeColor="text1"/>
          <w:sz w:val="22"/>
          <w:szCs w:val="22"/>
          <w:lang w:val="en-IE" w:eastAsia="en-IE"/>
        </w:rPr>
        <w:t>,</w:t>
      </w:r>
      <w:r w:rsidR="006A1B48" w:rsidRPr="00390E77">
        <w:rPr>
          <w:rFonts w:asciiTheme="majorHAnsi" w:eastAsia="Times New Roman" w:hAnsiTheme="majorHAnsi" w:cstheme="majorHAnsi"/>
          <w:color w:val="000000" w:themeColor="text1"/>
          <w:sz w:val="22"/>
          <w:szCs w:val="22"/>
          <w:lang w:val="en-IE" w:eastAsia="en-IE"/>
        </w:rPr>
        <w:t xml:space="preserve"> </w:t>
      </w:r>
      <w:r w:rsidR="00244ACE" w:rsidRPr="00390E77">
        <w:rPr>
          <w:rFonts w:asciiTheme="majorHAnsi" w:eastAsia="Times New Roman" w:hAnsiTheme="majorHAnsi" w:cstheme="majorHAnsi"/>
          <w:color w:val="000000" w:themeColor="text1"/>
          <w:sz w:val="22"/>
          <w:szCs w:val="22"/>
          <w:lang w:val="en-IE" w:eastAsia="en-IE"/>
        </w:rPr>
        <w:t>in this regard</w:t>
      </w:r>
      <w:r w:rsidR="00966E14" w:rsidRPr="00390E77">
        <w:rPr>
          <w:rFonts w:asciiTheme="majorHAnsi" w:eastAsia="Times New Roman" w:hAnsiTheme="majorHAnsi" w:cstheme="majorHAnsi"/>
          <w:color w:val="000000" w:themeColor="text1"/>
          <w:sz w:val="22"/>
          <w:szCs w:val="22"/>
          <w:lang w:val="en-IE" w:eastAsia="en-IE"/>
        </w:rPr>
        <w:t>,</w:t>
      </w:r>
      <w:r w:rsidR="00244ACE" w:rsidRPr="00390E77">
        <w:rPr>
          <w:rFonts w:asciiTheme="majorHAnsi" w:eastAsia="Times New Roman" w:hAnsiTheme="majorHAnsi" w:cstheme="majorHAnsi"/>
          <w:color w:val="000000" w:themeColor="text1"/>
          <w:sz w:val="22"/>
          <w:szCs w:val="22"/>
          <w:lang w:val="en-IE" w:eastAsia="en-IE"/>
        </w:rPr>
        <w:t xml:space="preserve"> </w:t>
      </w:r>
      <w:r w:rsidR="006A1B48" w:rsidRPr="00390E77">
        <w:rPr>
          <w:rFonts w:asciiTheme="majorHAnsi" w:eastAsia="Times New Roman" w:hAnsiTheme="majorHAnsi" w:cstheme="majorHAnsi"/>
          <w:color w:val="000000" w:themeColor="text1"/>
          <w:sz w:val="22"/>
          <w:szCs w:val="22"/>
          <w:lang w:val="en-IE" w:eastAsia="en-IE"/>
        </w:rPr>
        <w:t xml:space="preserve">clear </w:t>
      </w:r>
      <w:r w:rsidR="00244ACE" w:rsidRPr="00390E77">
        <w:rPr>
          <w:rFonts w:asciiTheme="majorHAnsi" w:eastAsia="Times New Roman" w:hAnsiTheme="majorHAnsi" w:cstheme="majorHAnsi"/>
          <w:color w:val="000000" w:themeColor="text1"/>
          <w:sz w:val="22"/>
          <w:szCs w:val="22"/>
          <w:lang w:val="en-IE" w:eastAsia="en-IE"/>
        </w:rPr>
        <w:t xml:space="preserve">and comprehensive </w:t>
      </w:r>
      <w:r w:rsidR="006A1B48" w:rsidRPr="00390E77">
        <w:rPr>
          <w:rFonts w:asciiTheme="majorHAnsi" w:eastAsia="Times New Roman" w:hAnsiTheme="majorHAnsi" w:cstheme="majorHAnsi"/>
          <w:color w:val="000000" w:themeColor="text1"/>
          <w:sz w:val="22"/>
          <w:szCs w:val="22"/>
          <w:lang w:val="en-IE" w:eastAsia="en-IE"/>
        </w:rPr>
        <w:t>recor</w:t>
      </w:r>
      <w:r w:rsidR="00244ACE" w:rsidRPr="00390E77">
        <w:rPr>
          <w:rFonts w:asciiTheme="majorHAnsi" w:eastAsia="Times New Roman" w:hAnsiTheme="majorHAnsi" w:cstheme="majorHAnsi"/>
          <w:color w:val="000000" w:themeColor="text1"/>
          <w:sz w:val="22"/>
          <w:szCs w:val="22"/>
          <w:lang w:val="en-IE" w:eastAsia="en-IE"/>
        </w:rPr>
        <w:t>ds</w:t>
      </w:r>
      <w:r w:rsidR="006A1B48" w:rsidRPr="00390E77">
        <w:rPr>
          <w:rFonts w:asciiTheme="majorHAnsi" w:eastAsia="Times New Roman" w:hAnsiTheme="majorHAnsi" w:cstheme="majorHAnsi"/>
          <w:color w:val="000000" w:themeColor="text1"/>
          <w:sz w:val="22"/>
          <w:szCs w:val="22"/>
          <w:lang w:val="en-IE" w:eastAsia="en-IE"/>
        </w:rPr>
        <w:t xml:space="preserve"> should be maintained</w:t>
      </w:r>
      <w:r w:rsidRPr="00390E77">
        <w:rPr>
          <w:rFonts w:asciiTheme="majorHAnsi" w:eastAsia="Times New Roman" w:hAnsiTheme="majorHAnsi" w:cstheme="majorHAnsi"/>
          <w:color w:val="000000" w:themeColor="text1"/>
          <w:sz w:val="22"/>
          <w:szCs w:val="22"/>
          <w:lang w:val="en-IE" w:eastAsia="en-IE"/>
        </w:rPr>
        <w:t>.</w:t>
      </w:r>
      <w:r w:rsidR="00677BDA" w:rsidRPr="00390E77">
        <w:rPr>
          <w:rFonts w:asciiTheme="majorHAnsi" w:eastAsia="Times New Roman" w:hAnsiTheme="majorHAnsi" w:cstheme="majorHAnsi"/>
          <w:color w:val="000000" w:themeColor="text1"/>
          <w:sz w:val="22"/>
          <w:szCs w:val="22"/>
          <w:lang w:val="en-IE" w:eastAsia="en-IE"/>
        </w:rPr>
        <w:t xml:space="preserve"> </w:t>
      </w:r>
    </w:p>
    <w:p w14:paraId="0450C55F" w14:textId="6BF7BC48" w:rsidR="006A1B48" w:rsidRPr="00390E77" w:rsidRDefault="006A1B48" w:rsidP="00FB15DA">
      <w:pPr>
        <w:pStyle w:val="ListParagraph"/>
        <w:numPr>
          <w:ilvl w:val="0"/>
          <w:numId w:val="10"/>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 xml:space="preserve">The appropriate use of drugs to reduce symptoms of medical conditions such as anxiety, depression or psychosis does not constitute restraint. However, </w:t>
      </w:r>
      <w:r w:rsidR="003F2DFE" w:rsidRPr="00390E77">
        <w:rPr>
          <w:rFonts w:asciiTheme="majorHAnsi" w:eastAsia="Times New Roman" w:hAnsiTheme="majorHAnsi" w:cstheme="majorHAnsi"/>
          <w:color w:val="000000" w:themeColor="text1"/>
          <w:sz w:val="22"/>
          <w:szCs w:val="22"/>
          <w:lang w:val="en-IE" w:eastAsia="en-IE"/>
        </w:rPr>
        <w:t xml:space="preserve">a fundamental principle is that </w:t>
      </w:r>
      <w:r w:rsidRPr="00390E77">
        <w:rPr>
          <w:rFonts w:asciiTheme="majorHAnsi" w:eastAsia="Times New Roman" w:hAnsiTheme="majorHAnsi" w:cstheme="majorHAnsi"/>
          <w:color w:val="000000" w:themeColor="text1"/>
          <w:sz w:val="22"/>
          <w:szCs w:val="22"/>
          <w:lang w:val="en-IE" w:eastAsia="en-IE"/>
        </w:rPr>
        <w:t xml:space="preserve">informed consent should be sought </w:t>
      </w:r>
      <w:r w:rsidR="003F2DFE" w:rsidRPr="00390E77">
        <w:rPr>
          <w:rFonts w:asciiTheme="majorHAnsi" w:eastAsia="Times New Roman" w:hAnsiTheme="majorHAnsi" w:cstheme="majorHAnsi"/>
          <w:color w:val="000000" w:themeColor="text1"/>
          <w:sz w:val="22"/>
          <w:szCs w:val="22"/>
          <w:lang w:val="en-IE" w:eastAsia="en-IE"/>
        </w:rPr>
        <w:t xml:space="preserve">before </w:t>
      </w:r>
      <w:r w:rsidR="00094CBB" w:rsidRPr="00390E77">
        <w:rPr>
          <w:rFonts w:asciiTheme="majorHAnsi" w:eastAsia="Times New Roman" w:hAnsiTheme="majorHAnsi" w:cstheme="majorHAnsi"/>
          <w:color w:val="000000" w:themeColor="text1"/>
          <w:sz w:val="22"/>
          <w:szCs w:val="22"/>
          <w:lang w:val="en-IE" w:eastAsia="en-IE"/>
        </w:rPr>
        <w:t xml:space="preserve">any intervention is commenced and </w:t>
      </w:r>
      <w:r w:rsidRPr="00390E77">
        <w:rPr>
          <w:rFonts w:asciiTheme="majorHAnsi" w:eastAsia="Times New Roman" w:hAnsiTheme="majorHAnsi" w:cstheme="majorHAnsi"/>
          <w:color w:val="000000" w:themeColor="text1"/>
          <w:sz w:val="22"/>
          <w:szCs w:val="22"/>
          <w:lang w:val="en-IE" w:eastAsia="en-IE"/>
        </w:rPr>
        <w:t>before medication is prescribed</w:t>
      </w:r>
      <w:r w:rsidR="00094CBB" w:rsidRPr="00390E77">
        <w:rPr>
          <w:rFonts w:asciiTheme="majorHAnsi" w:eastAsia="Times New Roman" w:hAnsiTheme="majorHAnsi" w:cstheme="majorHAnsi"/>
          <w:color w:val="000000" w:themeColor="text1"/>
          <w:sz w:val="22"/>
          <w:szCs w:val="22"/>
          <w:lang w:val="en-IE" w:eastAsia="en-IE"/>
        </w:rPr>
        <w:t xml:space="preserve">. </w:t>
      </w:r>
    </w:p>
    <w:p w14:paraId="29B07E11" w14:textId="150330F3" w:rsidR="009E2971" w:rsidRPr="00390E77" w:rsidRDefault="00677BDA" w:rsidP="00FB15DA">
      <w:pPr>
        <w:pStyle w:val="ListParagraph"/>
        <w:numPr>
          <w:ilvl w:val="0"/>
          <w:numId w:val="10"/>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For the purposes of clarity, illustrative guidelines which clarify circumstances where administration of medication could be construed as chemical r</w:t>
      </w:r>
      <w:r w:rsidR="006A1B48" w:rsidRPr="00390E77">
        <w:rPr>
          <w:rFonts w:asciiTheme="majorHAnsi" w:eastAsia="Times New Roman" w:hAnsiTheme="majorHAnsi" w:cstheme="majorHAnsi"/>
          <w:color w:val="000000" w:themeColor="text1"/>
          <w:sz w:val="22"/>
          <w:szCs w:val="22"/>
          <w:lang w:val="en-IE" w:eastAsia="en-IE"/>
        </w:rPr>
        <w:t xml:space="preserve">estraint should be drawn up. For example, </w:t>
      </w:r>
      <w:r w:rsidR="00523C15" w:rsidRPr="00390E77">
        <w:rPr>
          <w:rFonts w:asciiTheme="majorHAnsi" w:eastAsia="Times New Roman" w:hAnsiTheme="majorHAnsi" w:cstheme="majorHAnsi"/>
          <w:color w:val="000000" w:themeColor="text1"/>
          <w:sz w:val="22"/>
          <w:szCs w:val="22"/>
          <w:lang w:val="en-IE" w:eastAsia="en-IE"/>
        </w:rPr>
        <w:t xml:space="preserve">healthcare staff should be clear that </w:t>
      </w:r>
      <w:r w:rsidR="006A1B48" w:rsidRPr="00390E77">
        <w:rPr>
          <w:rFonts w:asciiTheme="majorHAnsi" w:eastAsia="Times New Roman" w:hAnsiTheme="majorHAnsi" w:cstheme="majorHAnsi"/>
          <w:color w:val="000000" w:themeColor="text1"/>
          <w:sz w:val="22"/>
          <w:szCs w:val="22"/>
          <w:lang w:val="en-IE" w:eastAsia="en-IE"/>
        </w:rPr>
        <w:t xml:space="preserve">the use of sleeping pills or </w:t>
      </w:r>
      <w:r w:rsidR="006A1B48" w:rsidRPr="0002191D">
        <w:rPr>
          <w:rFonts w:asciiTheme="majorHAnsi" w:eastAsia="Times New Roman" w:hAnsiTheme="majorHAnsi" w:cstheme="majorHAnsi"/>
          <w:color w:val="000000" w:themeColor="text1"/>
          <w:sz w:val="22"/>
          <w:szCs w:val="22"/>
          <w:lang w:val="en-IE" w:eastAsia="en-IE"/>
        </w:rPr>
        <w:t>sedation for staff convenience or disciplinary purposes</w:t>
      </w:r>
      <w:r w:rsidR="00523C15" w:rsidRPr="0002191D">
        <w:rPr>
          <w:rFonts w:asciiTheme="majorHAnsi" w:eastAsia="Times New Roman" w:hAnsiTheme="majorHAnsi" w:cstheme="majorHAnsi"/>
          <w:color w:val="000000" w:themeColor="text1"/>
          <w:sz w:val="22"/>
          <w:szCs w:val="22"/>
          <w:lang w:val="en-IE" w:eastAsia="en-IE"/>
        </w:rPr>
        <w:t xml:space="preserve"> is not</w:t>
      </w:r>
      <w:r w:rsidR="00523C15" w:rsidRPr="00390E77">
        <w:rPr>
          <w:rFonts w:asciiTheme="majorHAnsi" w:eastAsia="Times New Roman" w:hAnsiTheme="majorHAnsi" w:cstheme="majorHAnsi"/>
          <w:color w:val="000000" w:themeColor="text1"/>
          <w:sz w:val="22"/>
          <w:szCs w:val="22"/>
          <w:lang w:val="en-IE" w:eastAsia="en-IE"/>
        </w:rPr>
        <w:t xml:space="preserve"> acceptable</w:t>
      </w:r>
      <w:r w:rsidR="006A1B48" w:rsidRPr="00390E77">
        <w:rPr>
          <w:rFonts w:asciiTheme="majorHAnsi" w:eastAsia="Times New Roman" w:hAnsiTheme="majorHAnsi" w:cstheme="majorHAnsi"/>
          <w:color w:val="000000" w:themeColor="text1"/>
          <w:sz w:val="22"/>
          <w:szCs w:val="22"/>
          <w:lang w:val="en-IE" w:eastAsia="en-IE"/>
        </w:rPr>
        <w:t>.</w:t>
      </w:r>
    </w:p>
    <w:p w14:paraId="73996FEF" w14:textId="57F58BCE" w:rsidR="003F2DFE" w:rsidRPr="00390E77" w:rsidRDefault="009E2971" w:rsidP="003F2DFE">
      <w:pPr>
        <w:pStyle w:val="ListParagraph"/>
        <w:numPr>
          <w:ilvl w:val="0"/>
          <w:numId w:val="10"/>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In order to avoid duplication</w:t>
      </w:r>
      <w:r w:rsidR="00E3286C" w:rsidRPr="00390E77">
        <w:rPr>
          <w:rFonts w:asciiTheme="majorHAnsi" w:eastAsia="Times New Roman" w:hAnsiTheme="majorHAnsi" w:cstheme="majorHAnsi"/>
          <w:color w:val="000000" w:themeColor="text1"/>
          <w:sz w:val="22"/>
          <w:szCs w:val="22"/>
          <w:lang w:val="en-IE" w:eastAsia="en-IE"/>
        </w:rPr>
        <w:t xml:space="preserve"> and to ensure clarity and consistency</w:t>
      </w:r>
      <w:r w:rsidRPr="00390E77">
        <w:rPr>
          <w:rFonts w:asciiTheme="majorHAnsi" w:eastAsia="Times New Roman" w:hAnsiTheme="majorHAnsi" w:cstheme="majorHAnsi"/>
          <w:color w:val="000000" w:themeColor="text1"/>
          <w:sz w:val="22"/>
          <w:szCs w:val="22"/>
          <w:lang w:val="en-IE" w:eastAsia="en-IE"/>
        </w:rPr>
        <w:t xml:space="preserve">, policies with regard to </w:t>
      </w:r>
      <w:r w:rsidR="001129E4">
        <w:rPr>
          <w:rFonts w:asciiTheme="majorHAnsi" w:eastAsia="Times New Roman" w:hAnsiTheme="majorHAnsi" w:cstheme="majorHAnsi"/>
          <w:color w:val="000000" w:themeColor="text1"/>
          <w:sz w:val="22"/>
          <w:szCs w:val="22"/>
          <w:lang w:val="en-IE" w:eastAsia="en-IE"/>
        </w:rPr>
        <w:t xml:space="preserve">the </w:t>
      </w:r>
      <w:r w:rsidRPr="00390E77">
        <w:rPr>
          <w:rFonts w:asciiTheme="majorHAnsi" w:eastAsia="Times New Roman" w:hAnsiTheme="majorHAnsi" w:cstheme="majorHAnsi"/>
          <w:color w:val="000000" w:themeColor="text1"/>
          <w:sz w:val="22"/>
          <w:szCs w:val="22"/>
          <w:lang w:val="en-IE" w:eastAsia="en-IE"/>
        </w:rPr>
        <w:t xml:space="preserve">use of chemical restraint in exceptional circumstances should replicate those of other regulatory bodies such as </w:t>
      </w:r>
      <w:r w:rsidR="00E3286C" w:rsidRPr="00390E77">
        <w:rPr>
          <w:rFonts w:asciiTheme="majorHAnsi" w:eastAsia="Times New Roman" w:hAnsiTheme="majorHAnsi" w:cstheme="majorHAnsi"/>
          <w:color w:val="000000" w:themeColor="text1"/>
          <w:sz w:val="22"/>
          <w:szCs w:val="22"/>
          <w:lang w:val="en-IE" w:eastAsia="en-IE"/>
        </w:rPr>
        <w:t>HIQA and the HSE</w:t>
      </w:r>
      <w:r w:rsidR="00677BDA" w:rsidRPr="00390E77">
        <w:rPr>
          <w:rFonts w:asciiTheme="majorHAnsi" w:eastAsia="Times New Roman" w:hAnsiTheme="majorHAnsi" w:cstheme="majorHAnsi"/>
          <w:color w:val="000000" w:themeColor="text1"/>
          <w:sz w:val="22"/>
          <w:szCs w:val="22"/>
          <w:lang w:val="en-IE" w:eastAsia="en-IE"/>
        </w:rPr>
        <w:t xml:space="preserve">. </w:t>
      </w:r>
      <w:r w:rsidR="003F2DFE" w:rsidRPr="00390E77">
        <w:rPr>
          <w:rFonts w:asciiTheme="majorHAnsi" w:eastAsia="Times New Roman" w:hAnsiTheme="majorHAnsi" w:cstheme="majorHAnsi"/>
          <w:color w:val="000000" w:themeColor="text1"/>
          <w:sz w:val="22"/>
          <w:szCs w:val="22"/>
          <w:lang w:val="en-IE" w:eastAsia="en-IE"/>
        </w:rPr>
        <w:t xml:space="preserve">For example, the HSE National Consent Policy (2017, p.29) recommends a functional or decision-specific approach to the assessment of capacity and also that capacity should be judged on an issue-specific and time-specific basis. Such an approach </w:t>
      </w:r>
      <w:r w:rsidR="00523C15" w:rsidRPr="00390E77">
        <w:rPr>
          <w:rFonts w:asciiTheme="majorHAnsi" w:eastAsia="Times New Roman" w:hAnsiTheme="majorHAnsi" w:cstheme="majorHAnsi"/>
          <w:color w:val="000000" w:themeColor="text1"/>
          <w:sz w:val="22"/>
          <w:szCs w:val="22"/>
          <w:lang w:val="en-IE" w:eastAsia="en-IE"/>
        </w:rPr>
        <w:t xml:space="preserve">is compatible with the proposed heads as it </w:t>
      </w:r>
      <w:r w:rsidR="003F2DFE" w:rsidRPr="00390E77">
        <w:rPr>
          <w:rFonts w:asciiTheme="majorHAnsi" w:eastAsia="Times New Roman" w:hAnsiTheme="majorHAnsi" w:cstheme="majorHAnsi"/>
          <w:color w:val="000000" w:themeColor="text1"/>
          <w:sz w:val="22"/>
          <w:szCs w:val="22"/>
          <w:lang w:val="en-IE" w:eastAsia="en-IE"/>
        </w:rPr>
        <w:t xml:space="preserve">recognises that capacity may fluctuate and that there is a hierarchy of complexity of decisions and that cognitive deficits are only relevant if they actually impact on decision making. </w:t>
      </w:r>
    </w:p>
    <w:p w14:paraId="2555BCEC" w14:textId="74DDF646" w:rsidR="003F2DFE" w:rsidRPr="00390E77" w:rsidRDefault="003F2DFE" w:rsidP="003F2DFE">
      <w:pPr>
        <w:pStyle w:val="ListParagraph"/>
        <w:numPr>
          <w:ilvl w:val="0"/>
          <w:numId w:val="10"/>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In emergency situations where treatment is considered immediately necessary, the HSE National Consent Policy (2017, p.33) recommends that the treatment provided should be the least restrictive of the future choices of the person and that where possible</w:t>
      </w:r>
      <w:r w:rsidR="00523C15" w:rsidRPr="00390E77">
        <w:rPr>
          <w:rFonts w:asciiTheme="majorHAnsi" w:eastAsia="Times New Roman" w:hAnsiTheme="majorHAnsi" w:cstheme="majorHAnsi"/>
          <w:color w:val="000000" w:themeColor="text1"/>
          <w:sz w:val="22"/>
          <w:szCs w:val="22"/>
          <w:lang w:val="en-IE" w:eastAsia="en-IE"/>
        </w:rPr>
        <w:t>,</w:t>
      </w:r>
      <w:r w:rsidRPr="00390E77">
        <w:rPr>
          <w:rFonts w:asciiTheme="majorHAnsi" w:eastAsia="Times New Roman" w:hAnsiTheme="majorHAnsi" w:cstheme="majorHAnsi"/>
          <w:color w:val="000000" w:themeColor="text1"/>
          <w:sz w:val="22"/>
          <w:szCs w:val="22"/>
          <w:lang w:val="en-IE" w:eastAsia="en-IE"/>
        </w:rPr>
        <w:t xml:space="preserve"> those close to the person should be consulted with as they may be able to provide insight into the person’s preferences.</w:t>
      </w:r>
    </w:p>
    <w:p w14:paraId="2309202C" w14:textId="6ECD4286" w:rsidR="00646FC5" w:rsidRDefault="003F2DFE" w:rsidP="00FB15DA">
      <w:pPr>
        <w:pStyle w:val="ListParagraph"/>
        <w:numPr>
          <w:ilvl w:val="0"/>
          <w:numId w:val="10"/>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It is recommended that requirements for medication and all healthcare interventions are reviewed regularly as part of the person’s individual c</w:t>
      </w:r>
      <w:r w:rsidR="001129E4">
        <w:rPr>
          <w:rFonts w:asciiTheme="majorHAnsi" w:eastAsia="Times New Roman" w:hAnsiTheme="majorHAnsi" w:cstheme="majorHAnsi"/>
          <w:color w:val="000000" w:themeColor="text1"/>
          <w:sz w:val="22"/>
          <w:szCs w:val="22"/>
          <w:lang w:val="en-IE" w:eastAsia="en-IE"/>
        </w:rPr>
        <w:t xml:space="preserve">are plan. Such a review is well </w:t>
      </w:r>
      <w:r w:rsidRPr="00390E77">
        <w:rPr>
          <w:rFonts w:asciiTheme="majorHAnsi" w:eastAsia="Times New Roman" w:hAnsiTheme="majorHAnsi" w:cstheme="majorHAnsi"/>
          <w:color w:val="000000" w:themeColor="text1"/>
          <w:sz w:val="22"/>
          <w:szCs w:val="22"/>
          <w:lang w:val="en-IE" w:eastAsia="en-IE"/>
        </w:rPr>
        <w:t xml:space="preserve">placed to assess the capacity and/or fluctuating capacity of the </w:t>
      </w:r>
      <w:r w:rsidRPr="00390E77">
        <w:rPr>
          <w:rFonts w:asciiTheme="majorHAnsi" w:eastAsia="Times New Roman" w:hAnsiTheme="majorHAnsi" w:cstheme="majorHAnsi"/>
          <w:color w:val="000000" w:themeColor="text1"/>
          <w:sz w:val="22"/>
          <w:szCs w:val="22"/>
          <w:lang w:val="en-IE" w:eastAsia="en-IE"/>
        </w:rPr>
        <w:lastRenderedPageBreak/>
        <w:t xml:space="preserve">person to make decisions with regard to their care. The individual care plan would also provide valuable insight to inform decisions in emergency situations. </w:t>
      </w:r>
    </w:p>
    <w:p w14:paraId="537DF3E8" w14:textId="77777777" w:rsidR="00882189" w:rsidRPr="00882189" w:rsidRDefault="00882189" w:rsidP="00882189">
      <w:pPr>
        <w:pStyle w:val="ListParagraph"/>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p>
    <w:p w14:paraId="41AD7AC8" w14:textId="77777777" w:rsidR="00EB6CDF" w:rsidRPr="00390E77" w:rsidRDefault="00EB6CDF" w:rsidP="00F65230">
      <w:pPr>
        <w:pStyle w:val="Heading3"/>
        <w:rPr>
          <w:rFonts w:eastAsia="Times New Roman"/>
          <w:lang w:eastAsia="en-IE"/>
        </w:rPr>
      </w:pPr>
      <w:r w:rsidRPr="00390E77">
        <w:rPr>
          <w:rFonts w:eastAsia="Times New Roman"/>
          <w:lang w:eastAsia="en-IE"/>
        </w:rPr>
        <w:t xml:space="preserve">Head 11: </w:t>
      </w:r>
    </w:p>
    <w:p w14:paraId="374C30C9" w14:textId="4D99CFC4" w:rsidR="00EB6CDF" w:rsidRPr="00390E77" w:rsidRDefault="00EB6CDF" w:rsidP="00F65230">
      <w:pPr>
        <w:pStyle w:val="Heading4"/>
        <w:rPr>
          <w:rFonts w:eastAsia="Times New Roman"/>
          <w:lang w:eastAsia="en-IE"/>
        </w:rPr>
      </w:pPr>
      <w:r w:rsidRPr="00390E77">
        <w:rPr>
          <w:rFonts w:eastAsia="Times New Roman"/>
          <w:lang w:eastAsia="en-IE"/>
        </w:rPr>
        <w:t>11.1  </w:t>
      </w:r>
      <w:r w:rsidR="00216C29">
        <w:rPr>
          <w:rFonts w:eastAsia="Times New Roman"/>
          <w:lang w:eastAsia="en-IE"/>
        </w:rPr>
        <w:t xml:space="preserve"> </w:t>
      </w:r>
      <w:r w:rsidRPr="00390E77">
        <w:rPr>
          <w:rFonts w:eastAsia="Times New Roman"/>
          <w:lang w:eastAsia="en-IE"/>
        </w:rPr>
        <w:t xml:space="preserve">Do you have a view on the types of records that must be kept under this Head? </w:t>
      </w:r>
    </w:p>
    <w:p w14:paraId="00F8589A" w14:textId="77777777" w:rsidR="009E2971" w:rsidRPr="00390E77" w:rsidRDefault="009E2971" w:rsidP="00FB15DA">
      <w:pPr>
        <w:pStyle w:val="ListParagraph"/>
        <w:numPr>
          <w:ilvl w:val="0"/>
          <w:numId w:val="10"/>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Deprivation of Liberty is a serious issue and clear records of the decision and the basis for the decision should be maintained and up to date.</w:t>
      </w:r>
    </w:p>
    <w:p w14:paraId="526BCDA8" w14:textId="1EBABA70" w:rsidR="00E3286C" w:rsidRPr="00390E77" w:rsidRDefault="009E2971" w:rsidP="00D53B50">
      <w:pPr>
        <w:pStyle w:val="ListParagraph"/>
        <w:numPr>
          <w:ilvl w:val="0"/>
          <w:numId w:val="10"/>
        </w:num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However, it is a</w:t>
      </w:r>
      <w:r w:rsidR="00E3286C" w:rsidRPr="00390E77">
        <w:rPr>
          <w:rFonts w:asciiTheme="majorHAnsi" w:eastAsia="Times New Roman" w:hAnsiTheme="majorHAnsi" w:cstheme="majorHAnsi"/>
          <w:color w:val="000000" w:themeColor="text1"/>
          <w:sz w:val="22"/>
          <w:szCs w:val="22"/>
          <w:lang w:val="en-IE" w:eastAsia="en-IE"/>
        </w:rPr>
        <w:t>lso important that the system does</w:t>
      </w:r>
      <w:r w:rsidRPr="00390E77">
        <w:rPr>
          <w:rFonts w:asciiTheme="majorHAnsi" w:eastAsia="Times New Roman" w:hAnsiTheme="majorHAnsi" w:cstheme="majorHAnsi"/>
          <w:color w:val="000000" w:themeColor="text1"/>
          <w:sz w:val="22"/>
          <w:szCs w:val="22"/>
          <w:lang w:val="en-IE" w:eastAsia="en-IE"/>
        </w:rPr>
        <w:t xml:space="preserve"> not </w:t>
      </w:r>
      <w:r w:rsidR="00E3286C" w:rsidRPr="00390E77">
        <w:rPr>
          <w:rFonts w:asciiTheme="majorHAnsi" w:eastAsia="Times New Roman" w:hAnsiTheme="majorHAnsi" w:cstheme="majorHAnsi"/>
          <w:color w:val="000000" w:themeColor="text1"/>
          <w:sz w:val="22"/>
          <w:szCs w:val="22"/>
          <w:lang w:val="en-IE" w:eastAsia="en-IE"/>
        </w:rPr>
        <w:t xml:space="preserve">become </w:t>
      </w:r>
      <w:r w:rsidRPr="00390E77">
        <w:rPr>
          <w:rFonts w:asciiTheme="majorHAnsi" w:eastAsia="Times New Roman" w:hAnsiTheme="majorHAnsi" w:cstheme="majorHAnsi"/>
          <w:color w:val="000000" w:themeColor="text1"/>
          <w:sz w:val="22"/>
          <w:szCs w:val="22"/>
          <w:lang w:val="en-IE" w:eastAsia="en-IE"/>
        </w:rPr>
        <w:t xml:space="preserve">cumbersome </w:t>
      </w:r>
      <w:r w:rsidR="00E3286C" w:rsidRPr="00390E77">
        <w:rPr>
          <w:rFonts w:asciiTheme="majorHAnsi" w:eastAsia="Times New Roman" w:hAnsiTheme="majorHAnsi" w:cstheme="majorHAnsi"/>
          <w:color w:val="000000" w:themeColor="text1"/>
          <w:sz w:val="22"/>
          <w:szCs w:val="22"/>
          <w:lang w:val="en-IE" w:eastAsia="en-IE"/>
        </w:rPr>
        <w:t>or overly bureaucratic</w:t>
      </w:r>
      <w:r w:rsidR="00E66810" w:rsidRPr="00390E77">
        <w:rPr>
          <w:rFonts w:asciiTheme="majorHAnsi" w:eastAsia="Times New Roman" w:hAnsiTheme="majorHAnsi" w:cstheme="majorHAnsi"/>
          <w:color w:val="000000" w:themeColor="text1"/>
          <w:sz w:val="22"/>
          <w:szCs w:val="22"/>
          <w:lang w:val="en-IE" w:eastAsia="en-IE"/>
        </w:rPr>
        <w:t xml:space="preserve"> (Bartlett, 2014)</w:t>
      </w:r>
      <w:r w:rsidR="00E3286C" w:rsidRPr="00390E77">
        <w:rPr>
          <w:rFonts w:asciiTheme="majorHAnsi" w:eastAsia="Times New Roman" w:hAnsiTheme="majorHAnsi" w:cstheme="majorHAnsi"/>
          <w:color w:val="000000" w:themeColor="text1"/>
          <w:sz w:val="22"/>
          <w:szCs w:val="22"/>
          <w:lang w:val="en-IE" w:eastAsia="en-IE"/>
        </w:rPr>
        <w:t>. Consideration should be given to incorporating such records into the ind</w:t>
      </w:r>
      <w:r w:rsidR="001129E4">
        <w:rPr>
          <w:rFonts w:asciiTheme="majorHAnsi" w:eastAsia="Times New Roman" w:hAnsiTheme="majorHAnsi" w:cstheme="majorHAnsi"/>
          <w:color w:val="000000" w:themeColor="text1"/>
          <w:sz w:val="22"/>
          <w:szCs w:val="22"/>
          <w:lang w:val="en-IE" w:eastAsia="en-IE"/>
        </w:rPr>
        <w:t>ividual care plan so that paper</w:t>
      </w:r>
      <w:r w:rsidR="00E3286C" w:rsidRPr="00390E77">
        <w:rPr>
          <w:rFonts w:asciiTheme="majorHAnsi" w:eastAsia="Times New Roman" w:hAnsiTheme="majorHAnsi" w:cstheme="majorHAnsi"/>
          <w:color w:val="000000" w:themeColor="text1"/>
          <w:sz w:val="22"/>
          <w:szCs w:val="22"/>
          <w:lang w:val="en-IE" w:eastAsia="en-IE"/>
        </w:rPr>
        <w:t xml:space="preserve">work and duplication is minimised. </w:t>
      </w:r>
    </w:p>
    <w:p w14:paraId="0CBD8B57" w14:textId="2202F468" w:rsidR="00EB6CDF" w:rsidRPr="00390E77" w:rsidRDefault="00EB6CDF" w:rsidP="00F65230">
      <w:pPr>
        <w:pStyle w:val="Heading4"/>
        <w:rPr>
          <w:rFonts w:eastAsia="Times New Roman"/>
          <w:lang w:eastAsia="en-IE"/>
        </w:rPr>
      </w:pPr>
      <w:r w:rsidRPr="00390E77">
        <w:rPr>
          <w:rFonts w:eastAsia="Times New Roman"/>
          <w:lang w:eastAsia="en-IE"/>
        </w:rPr>
        <w:t>11.2  </w:t>
      </w:r>
      <w:r w:rsidR="00882189">
        <w:rPr>
          <w:rFonts w:eastAsia="Times New Roman"/>
          <w:lang w:eastAsia="en-IE"/>
        </w:rPr>
        <w:t xml:space="preserve"> </w:t>
      </w:r>
      <w:r w:rsidRPr="00390E77">
        <w:rPr>
          <w:rFonts w:eastAsia="Times New Roman"/>
          <w:lang w:eastAsia="en-IE"/>
        </w:rPr>
        <w:t xml:space="preserve">Do you have any other views specific to Head 11? </w:t>
      </w:r>
    </w:p>
    <w:p w14:paraId="5E97375C" w14:textId="77777777" w:rsidR="00EB6CDF" w:rsidRPr="00390E77" w:rsidRDefault="00EB6CDF" w:rsidP="00F65230">
      <w:pPr>
        <w:pStyle w:val="Heading3"/>
        <w:rPr>
          <w:rFonts w:eastAsia="Times New Roman"/>
          <w:lang w:eastAsia="en-IE"/>
        </w:rPr>
      </w:pPr>
      <w:r w:rsidRPr="00390E77">
        <w:rPr>
          <w:rFonts w:eastAsia="Times New Roman"/>
          <w:lang w:eastAsia="en-IE"/>
        </w:rPr>
        <w:t xml:space="preserve">Head 12: </w:t>
      </w:r>
    </w:p>
    <w:p w14:paraId="6A33AB72" w14:textId="66670D8D" w:rsidR="00EB6CDF" w:rsidRPr="00390E77" w:rsidRDefault="00EB6CDF" w:rsidP="00F65230">
      <w:pPr>
        <w:pStyle w:val="Heading4"/>
        <w:rPr>
          <w:rFonts w:eastAsia="Times New Roman"/>
          <w:lang w:eastAsia="en-IE"/>
        </w:rPr>
      </w:pPr>
      <w:r w:rsidRPr="00390E77">
        <w:rPr>
          <w:rFonts w:eastAsia="Times New Roman"/>
          <w:lang w:eastAsia="en-IE"/>
        </w:rPr>
        <w:t xml:space="preserve">12.1 </w:t>
      </w:r>
      <w:r w:rsidR="00882189">
        <w:rPr>
          <w:rFonts w:eastAsia="Times New Roman"/>
          <w:lang w:eastAsia="en-IE"/>
        </w:rPr>
        <w:t xml:space="preserve"> </w:t>
      </w:r>
      <w:r w:rsidRPr="00390E77">
        <w:rPr>
          <w:rFonts w:eastAsia="Times New Roman"/>
          <w:lang w:eastAsia="en-IE"/>
        </w:rPr>
        <w:t xml:space="preserve"> In subhead (1), do you think that the Minister should be empowered to make regulations on any other aspect of the Heads? </w:t>
      </w:r>
    </w:p>
    <w:p w14:paraId="5B452B40" w14:textId="77777777" w:rsidR="00FF3110" w:rsidRPr="00390E77" w:rsidRDefault="00E3286C" w:rsidP="00FB15DA">
      <w:pPr>
        <w:pStyle w:val="ListParagraph"/>
        <w:numPr>
          <w:ilvl w:val="0"/>
          <w:numId w:val="10"/>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It is considered that t</w:t>
      </w:r>
      <w:r w:rsidR="00FF3110" w:rsidRPr="00390E77">
        <w:rPr>
          <w:rFonts w:asciiTheme="majorHAnsi" w:eastAsia="Times New Roman" w:hAnsiTheme="majorHAnsi" w:cstheme="majorHAnsi"/>
          <w:color w:val="000000" w:themeColor="text1"/>
          <w:sz w:val="22"/>
          <w:szCs w:val="22"/>
          <w:lang w:val="en-IE" w:eastAsia="en-IE"/>
        </w:rPr>
        <w:t>he Minister should be empowered to make regulations in this regard</w:t>
      </w:r>
      <w:r w:rsidRPr="00390E77">
        <w:rPr>
          <w:rFonts w:asciiTheme="majorHAnsi" w:eastAsia="Times New Roman" w:hAnsiTheme="majorHAnsi" w:cstheme="majorHAnsi"/>
          <w:color w:val="000000" w:themeColor="text1"/>
          <w:sz w:val="22"/>
          <w:szCs w:val="22"/>
          <w:lang w:val="en-IE" w:eastAsia="en-IE"/>
        </w:rPr>
        <w:t xml:space="preserve"> as this will facilitate a more responsive and flexible system</w:t>
      </w:r>
      <w:r w:rsidR="00FF3110" w:rsidRPr="00390E77">
        <w:rPr>
          <w:rFonts w:asciiTheme="majorHAnsi" w:eastAsia="Times New Roman" w:hAnsiTheme="majorHAnsi" w:cstheme="majorHAnsi"/>
          <w:color w:val="000000" w:themeColor="text1"/>
          <w:sz w:val="22"/>
          <w:szCs w:val="22"/>
          <w:lang w:val="en-IE" w:eastAsia="en-IE"/>
        </w:rPr>
        <w:t xml:space="preserve">. </w:t>
      </w:r>
    </w:p>
    <w:p w14:paraId="0799133D" w14:textId="3BEBF616" w:rsidR="00FF3110" w:rsidRPr="00390E77" w:rsidRDefault="00FF3110" w:rsidP="00E3286C">
      <w:pPr>
        <w:pStyle w:val="ListParagraph"/>
        <w:numPr>
          <w:ilvl w:val="0"/>
          <w:numId w:val="10"/>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To avoid duplication and to streamline implementation, regulations with regard to these safeguards should replicate regulations</w:t>
      </w:r>
      <w:r w:rsidR="001129E4">
        <w:rPr>
          <w:rFonts w:asciiTheme="majorHAnsi" w:eastAsia="Times New Roman" w:hAnsiTheme="majorHAnsi" w:cstheme="majorHAnsi"/>
          <w:color w:val="000000" w:themeColor="text1"/>
          <w:sz w:val="22"/>
          <w:szCs w:val="22"/>
          <w:lang w:val="en-IE" w:eastAsia="en-IE"/>
        </w:rPr>
        <w:t xml:space="preserve"> that are in place elsewhere, for example, </w:t>
      </w:r>
      <w:r w:rsidRPr="00390E77">
        <w:rPr>
          <w:rFonts w:asciiTheme="majorHAnsi" w:eastAsia="Times New Roman" w:hAnsiTheme="majorHAnsi" w:cstheme="majorHAnsi"/>
          <w:color w:val="000000" w:themeColor="text1"/>
          <w:sz w:val="22"/>
          <w:szCs w:val="22"/>
          <w:lang w:val="en-IE" w:eastAsia="en-IE"/>
        </w:rPr>
        <w:t xml:space="preserve">HIQA </w:t>
      </w:r>
      <w:r w:rsidR="00E3286C" w:rsidRPr="00390E77">
        <w:rPr>
          <w:rFonts w:asciiTheme="majorHAnsi" w:eastAsia="Times New Roman" w:hAnsiTheme="majorHAnsi" w:cstheme="majorHAnsi"/>
          <w:color w:val="000000" w:themeColor="text1"/>
          <w:sz w:val="22"/>
          <w:szCs w:val="22"/>
          <w:lang w:val="en-IE" w:eastAsia="en-IE"/>
        </w:rPr>
        <w:t xml:space="preserve">and HSE </w:t>
      </w:r>
      <w:r w:rsidR="001129E4">
        <w:rPr>
          <w:rFonts w:asciiTheme="majorHAnsi" w:eastAsia="Times New Roman" w:hAnsiTheme="majorHAnsi" w:cstheme="majorHAnsi"/>
          <w:color w:val="000000" w:themeColor="text1"/>
          <w:sz w:val="22"/>
          <w:szCs w:val="22"/>
          <w:lang w:val="en-IE" w:eastAsia="en-IE"/>
        </w:rPr>
        <w:t>regulations.</w:t>
      </w:r>
    </w:p>
    <w:p w14:paraId="1683CE99" w14:textId="1A7FB6E9" w:rsidR="00EB6CDF" w:rsidRPr="00390E77" w:rsidRDefault="00EB6CDF" w:rsidP="00F65230">
      <w:pPr>
        <w:pStyle w:val="Heading4"/>
        <w:rPr>
          <w:rFonts w:eastAsia="Times New Roman"/>
          <w:lang w:eastAsia="en-IE"/>
        </w:rPr>
      </w:pPr>
      <w:r w:rsidRPr="00390E77">
        <w:rPr>
          <w:rFonts w:eastAsia="Times New Roman"/>
          <w:lang w:eastAsia="en-IE"/>
        </w:rPr>
        <w:t>12.2  </w:t>
      </w:r>
      <w:r w:rsidR="00882189">
        <w:rPr>
          <w:rFonts w:eastAsia="Times New Roman"/>
          <w:lang w:eastAsia="en-IE"/>
        </w:rPr>
        <w:t xml:space="preserve"> </w:t>
      </w:r>
      <w:r w:rsidRPr="00390E77">
        <w:rPr>
          <w:rFonts w:eastAsia="Times New Roman"/>
          <w:lang w:eastAsia="en-IE"/>
        </w:rPr>
        <w:t xml:space="preserve">In subhead (2), do you have a view on any other policy and procedure that should be included in this subhead? </w:t>
      </w:r>
    </w:p>
    <w:p w14:paraId="59998957" w14:textId="77777777" w:rsidR="00FF3110" w:rsidRPr="00390E77" w:rsidRDefault="00E3286C" w:rsidP="00FB15DA">
      <w:pPr>
        <w:pStyle w:val="ListParagraph"/>
        <w:numPr>
          <w:ilvl w:val="0"/>
          <w:numId w:val="10"/>
        </w:num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It is recommended that a detailed code of practice with clear definitions of all aspects of these safeguards is drawn up. The code of practice should contain illustrative examples and be easily understood and accessible for professionals, families and service users.</w:t>
      </w:r>
    </w:p>
    <w:p w14:paraId="7236AC90" w14:textId="726C7547" w:rsidR="00EB6CDF" w:rsidRPr="00390E77" w:rsidRDefault="00EB6CDF" w:rsidP="00F65230">
      <w:pPr>
        <w:pStyle w:val="Heading4"/>
        <w:rPr>
          <w:rFonts w:eastAsia="Times New Roman"/>
          <w:lang w:eastAsia="en-IE"/>
        </w:rPr>
      </w:pPr>
      <w:r w:rsidRPr="00390E77">
        <w:rPr>
          <w:rFonts w:eastAsia="Times New Roman"/>
          <w:lang w:eastAsia="en-IE"/>
        </w:rPr>
        <w:t xml:space="preserve">12.3 </w:t>
      </w:r>
      <w:r w:rsidR="00882189">
        <w:rPr>
          <w:rFonts w:eastAsia="Times New Roman"/>
          <w:lang w:eastAsia="en-IE"/>
        </w:rPr>
        <w:t xml:space="preserve"> </w:t>
      </w:r>
      <w:r w:rsidRPr="00390E77">
        <w:rPr>
          <w:rFonts w:eastAsia="Times New Roman"/>
          <w:lang w:eastAsia="en-IE"/>
        </w:rPr>
        <w:t xml:space="preserve"> Do you have any other views specific to Head 12? </w:t>
      </w:r>
    </w:p>
    <w:p w14:paraId="368707F9" w14:textId="77777777" w:rsidR="00EB6CDF" w:rsidRPr="00390E77" w:rsidRDefault="00EB6CDF" w:rsidP="00F65230">
      <w:pPr>
        <w:pStyle w:val="Heading3"/>
        <w:rPr>
          <w:rFonts w:eastAsia="Times New Roman"/>
          <w:lang w:eastAsia="en-IE"/>
        </w:rPr>
      </w:pPr>
      <w:r w:rsidRPr="00390E77">
        <w:rPr>
          <w:rFonts w:eastAsia="Times New Roman"/>
          <w:lang w:eastAsia="en-IE"/>
        </w:rPr>
        <w:t xml:space="preserve">Head 13: </w:t>
      </w:r>
    </w:p>
    <w:p w14:paraId="7549B871" w14:textId="3098D692" w:rsidR="00EB6CDF" w:rsidRPr="00390E77" w:rsidRDefault="00EB6CDF" w:rsidP="00F65230">
      <w:pPr>
        <w:pStyle w:val="Heading4"/>
        <w:rPr>
          <w:rFonts w:eastAsia="Times New Roman"/>
          <w:lang w:eastAsia="en-IE"/>
        </w:rPr>
      </w:pPr>
      <w:r w:rsidRPr="00390E77">
        <w:rPr>
          <w:rFonts w:eastAsia="Times New Roman"/>
          <w:lang w:eastAsia="en-IE"/>
        </w:rPr>
        <w:t>13.1  </w:t>
      </w:r>
      <w:r w:rsidR="00882189">
        <w:rPr>
          <w:rFonts w:eastAsia="Times New Roman"/>
          <w:lang w:eastAsia="en-IE"/>
        </w:rPr>
        <w:t xml:space="preserve"> </w:t>
      </w:r>
      <w:r w:rsidRPr="00390E77">
        <w:rPr>
          <w:rFonts w:eastAsia="Times New Roman"/>
          <w:lang w:eastAsia="en-IE"/>
        </w:rPr>
        <w:t xml:space="preserve">Do you have a view on the proposed offences set out in this Head? </w:t>
      </w:r>
    </w:p>
    <w:p w14:paraId="2835B0DA" w14:textId="77777777" w:rsidR="00364FA2" w:rsidRPr="00390E77" w:rsidRDefault="00FF3110" w:rsidP="00FB15DA">
      <w:pPr>
        <w:pStyle w:val="ListParagraph"/>
        <w:numPr>
          <w:ilvl w:val="0"/>
          <w:numId w:val="10"/>
        </w:num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It is noted that Subhead 1 refers to ‘deliberate’ contravention of the safeguards in Heads 4,5,6 or 7. More clarity is required i</w:t>
      </w:r>
      <w:r w:rsidR="00E3286C" w:rsidRPr="00390E77">
        <w:rPr>
          <w:rFonts w:asciiTheme="majorHAnsi" w:eastAsia="Times New Roman" w:hAnsiTheme="majorHAnsi" w:cstheme="majorHAnsi"/>
          <w:color w:val="000000" w:themeColor="text1"/>
          <w:sz w:val="22"/>
          <w:szCs w:val="22"/>
          <w:lang w:val="en-IE" w:eastAsia="en-IE"/>
        </w:rPr>
        <w:t>n order to prevent</w:t>
      </w:r>
      <w:r w:rsidRPr="00390E77">
        <w:rPr>
          <w:rFonts w:asciiTheme="majorHAnsi" w:eastAsia="Times New Roman" w:hAnsiTheme="majorHAnsi" w:cstheme="majorHAnsi"/>
          <w:color w:val="000000" w:themeColor="text1"/>
          <w:sz w:val="22"/>
          <w:szCs w:val="22"/>
          <w:lang w:val="en-IE" w:eastAsia="en-IE"/>
        </w:rPr>
        <w:t xml:space="preserve"> inadvertent contravention of the safeguards. </w:t>
      </w:r>
    </w:p>
    <w:p w14:paraId="2ECE60F4" w14:textId="45DC279E" w:rsidR="00EB6CDF" w:rsidRPr="00390E77" w:rsidRDefault="00EB6CDF" w:rsidP="00F65230">
      <w:pPr>
        <w:pStyle w:val="Heading4"/>
        <w:rPr>
          <w:rFonts w:eastAsia="Times New Roman"/>
          <w:lang w:eastAsia="en-IE"/>
        </w:rPr>
      </w:pPr>
      <w:r w:rsidRPr="00390E77">
        <w:rPr>
          <w:rFonts w:eastAsia="Times New Roman"/>
          <w:lang w:eastAsia="en-IE"/>
        </w:rPr>
        <w:t>13.2  </w:t>
      </w:r>
      <w:r w:rsidR="00882189">
        <w:rPr>
          <w:rFonts w:eastAsia="Times New Roman"/>
          <w:lang w:eastAsia="en-IE"/>
        </w:rPr>
        <w:t xml:space="preserve"> </w:t>
      </w:r>
      <w:r w:rsidRPr="00390E77">
        <w:rPr>
          <w:rFonts w:eastAsia="Times New Roman"/>
          <w:lang w:eastAsia="en-IE"/>
        </w:rPr>
        <w:t xml:space="preserve">Do you have any other views specific to Head 13? </w:t>
      </w:r>
    </w:p>
    <w:p w14:paraId="3E6A4E9A" w14:textId="54DACF78" w:rsidR="00FF3110" w:rsidRPr="00390E77" w:rsidRDefault="00FF3110" w:rsidP="00FB15DA">
      <w:pPr>
        <w:pStyle w:val="ListParagraph"/>
        <w:numPr>
          <w:ilvl w:val="0"/>
          <w:numId w:val="10"/>
        </w:num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 xml:space="preserve">Delays due to circumstances out of the control of a person making an admission </w:t>
      </w:r>
      <w:r w:rsidRPr="0088365D">
        <w:rPr>
          <w:rFonts w:asciiTheme="majorHAnsi" w:eastAsia="Times New Roman" w:hAnsiTheme="majorHAnsi" w:cstheme="majorHAnsi"/>
          <w:color w:val="000000" w:themeColor="text1"/>
          <w:sz w:val="22"/>
          <w:szCs w:val="22"/>
          <w:lang w:val="en-IE" w:eastAsia="en-IE"/>
        </w:rPr>
        <w:t>particularly in the case of urgent admissions may result in inadvertent contravention of the safeguards and m</w:t>
      </w:r>
      <w:r w:rsidR="0088365D" w:rsidRPr="0088365D">
        <w:rPr>
          <w:rFonts w:asciiTheme="majorHAnsi" w:eastAsia="Times New Roman" w:hAnsiTheme="majorHAnsi" w:cstheme="majorHAnsi"/>
          <w:color w:val="000000" w:themeColor="text1"/>
          <w:sz w:val="22"/>
          <w:szCs w:val="22"/>
          <w:lang w:val="en-IE" w:eastAsia="en-IE"/>
        </w:rPr>
        <w:t>ay cause anxiety or concern.</w:t>
      </w:r>
    </w:p>
    <w:p w14:paraId="20C46DFE" w14:textId="77777777" w:rsidR="00216C29" w:rsidRDefault="00216C29" w:rsidP="00FB15DA">
      <w:p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p>
    <w:p w14:paraId="7A2B966E" w14:textId="77777777" w:rsidR="00EB6CDF" w:rsidRPr="00390E77" w:rsidRDefault="00EB6CDF" w:rsidP="00F65230">
      <w:pPr>
        <w:pStyle w:val="Heading3"/>
        <w:rPr>
          <w:rFonts w:eastAsia="Times New Roman"/>
          <w:lang w:eastAsia="en-IE"/>
        </w:rPr>
      </w:pPr>
      <w:r w:rsidRPr="00390E77">
        <w:rPr>
          <w:rFonts w:eastAsia="Times New Roman"/>
          <w:lang w:eastAsia="en-IE"/>
        </w:rPr>
        <w:t>General Questions</w:t>
      </w:r>
    </w:p>
    <w:p w14:paraId="75370327" w14:textId="492E64EF" w:rsidR="00EB6CDF" w:rsidRPr="001129E4" w:rsidRDefault="001129E4" w:rsidP="00F65230">
      <w:pPr>
        <w:pStyle w:val="Heading4"/>
        <w:rPr>
          <w:rFonts w:eastAsia="Times New Roman"/>
          <w:lang w:eastAsia="en-IE"/>
        </w:rPr>
      </w:pPr>
      <w:r>
        <w:rPr>
          <w:rFonts w:eastAsia="Times New Roman"/>
          <w:lang w:eastAsia="en-IE"/>
        </w:rPr>
        <w:lastRenderedPageBreak/>
        <w:t xml:space="preserve">14.1 </w:t>
      </w:r>
      <w:r w:rsidR="00EB6CDF" w:rsidRPr="001129E4">
        <w:rPr>
          <w:rFonts w:eastAsia="Times New Roman"/>
          <w:lang w:eastAsia="en-IE"/>
        </w:rPr>
        <w:t xml:space="preserve">A number of the Heads - 5(2)(b), 5(3), 5(4), 5(7), 5(8), 7(6), 7(9), 7(11), (8(1) and 8(3) - set down timeframes within which certain actions must be taken. Do you have a view on any of these proposed timeframes? </w:t>
      </w:r>
    </w:p>
    <w:p w14:paraId="5788B728" w14:textId="30240A55" w:rsidR="00517314" w:rsidRPr="00390E77" w:rsidRDefault="00517314" w:rsidP="00517314">
      <w:pPr>
        <w:pStyle w:val="ListParagraph"/>
        <w:numPr>
          <w:ilvl w:val="0"/>
          <w:numId w:val="10"/>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390E77">
        <w:rPr>
          <w:rFonts w:asciiTheme="majorHAnsi" w:eastAsia="Times New Roman" w:hAnsiTheme="majorHAnsi" w:cstheme="majorHAnsi"/>
          <w:color w:val="000000" w:themeColor="text1"/>
          <w:sz w:val="22"/>
          <w:szCs w:val="22"/>
          <w:lang w:val="en-IE" w:eastAsia="en-IE"/>
        </w:rPr>
        <w:t>As noted in the comments under section 5.1 above, specification of timescales may be problematic</w:t>
      </w:r>
      <w:r w:rsidR="00E520E2">
        <w:rPr>
          <w:rFonts w:asciiTheme="majorHAnsi" w:eastAsia="Times New Roman" w:hAnsiTheme="majorHAnsi" w:cstheme="majorHAnsi"/>
          <w:color w:val="000000" w:themeColor="text1"/>
          <w:sz w:val="22"/>
          <w:szCs w:val="22"/>
          <w:lang w:val="en-IE" w:eastAsia="en-IE"/>
        </w:rPr>
        <w:t>,</w:t>
      </w:r>
      <w:r w:rsidRPr="00390E77">
        <w:rPr>
          <w:rFonts w:asciiTheme="majorHAnsi" w:eastAsia="Times New Roman" w:hAnsiTheme="majorHAnsi" w:cstheme="majorHAnsi"/>
          <w:color w:val="000000" w:themeColor="text1"/>
          <w:sz w:val="22"/>
          <w:szCs w:val="22"/>
          <w:lang w:val="en-IE" w:eastAsia="en-IE"/>
        </w:rPr>
        <w:t xml:space="preserve"> particularly at holiday periods or in areas where out-of-hours services are not properly resourced. It may also be </w:t>
      </w:r>
      <w:r w:rsidR="007142BB">
        <w:rPr>
          <w:rFonts w:asciiTheme="majorHAnsi" w:eastAsia="Times New Roman" w:hAnsiTheme="majorHAnsi" w:cstheme="majorHAnsi"/>
          <w:color w:val="000000" w:themeColor="text1"/>
          <w:sz w:val="22"/>
          <w:szCs w:val="22"/>
          <w:lang w:val="en-IE" w:eastAsia="en-IE"/>
        </w:rPr>
        <w:t>better</w:t>
      </w:r>
      <w:r w:rsidRPr="00390E77">
        <w:rPr>
          <w:rFonts w:asciiTheme="majorHAnsi" w:eastAsia="Times New Roman" w:hAnsiTheme="majorHAnsi" w:cstheme="majorHAnsi"/>
          <w:color w:val="000000" w:themeColor="text1"/>
          <w:sz w:val="22"/>
          <w:szCs w:val="22"/>
          <w:lang w:val="en-IE" w:eastAsia="en-IE"/>
        </w:rPr>
        <w:t xml:space="preserve"> in some situations to increase the timescale in order to access relevant details of the person’s previous medical history which would support a more informed decision in the person’s best interests. </w:t>
      </w:r>
    </w:p>
    <w:p w14:paraId="5A80DF7C" w14:textId="29E8B7EF" w:rsidR="00EB6CDF" w:rsidRPr="001129E4" w:rsidRDefault="00EB6CDF" w:rsidP="00F65230">
      <w:pPr>
        <w:pStyle w:val="Heading4"/>
        <w:rPr>
          <w:rFonts w:eastAsia="Times New Roman"/>
          <w:lang w:eastAsia="en-IE"/>
        </w:rPr>
      </w:pPr>
      <w:r w:rsidRPr="001129E4">
        <w:rPr>
          <w:rFonts w:eastAsia="Times New Roman"/>
          <w:lang w:eastAsia="en-IE"/>
        </w:rPr>
        <w:t>14.2  </w:t>
      </w:r>
      <w:r w:rsidR="00882189">
        <w:rPr>
          <w:rFonts w:eastAsia="Times New Roman"/>
          <w:lang w:eastAsia="en-IE"/>
        </w:rPr>
        <w:t xml:space="preserve"> </w:t>
      </w:r>
      <w:r w:rsidRPr="001129E4">
        <w:rPr>
          <w:rFonts w:eastAsia="Times New Roman"/>
          <w:lang w:eastAsia="en-IE"/>
        </w:rPr>
        <w:t xml:space="preserve">The draft Heads apply to older people, persons with disabilities and people with a mental health illness. In terms of timeframes and in light of the existing provisions of the Mental Health Act 2001, should those with mental health illness be treated differently to others? </w:t>
      </w:r>
    </w:p>
    <w:p w14:paraId="1D0A7CAE" w14:textId="7289F775" w:rsidR="00EB6CDF" w:rsidRPr="001129E4" w:rsidRDefault="00EB6CDF" w:rsidP="00F65230">
      <w:pPr>
        <w:pStyle w:val="Heading4"/>
        <w:rPr>
          <w:rFonts w:eastAsia="Times New Roman"/>
          <w:lang w:eastAsia="en-IE"/>
        </w:rPr>
      </w:pPr>
      <w:r w:rsidRPr="001129E4">
        <w:rPr>
          <w:rFonts w:eastAsia="Times New Roman"/>
          <w:lang w:eastAsia="en-IE"/>
        </w:rPr>
        <w:t xml:space="preserve">14.3 </w:t>
      </w:r>
      <w:r w:rsidR="00882189">
        <w:rPr>
          <w:rFonts w:eastAsia="Times New Roman"/>
          <w:lang w:eastAsia="en-IE"/>
        </w:rPr>
        <w:t xml:space="preserve"> </w:t>
      </w:r>
      <w:r w:rsidRPr="001129E4">
        <w:rPr>
          <w:rFonts w:eastAsia="Times New Roman"/>
          <w:lang w:eastAsia="en-IE"/>
        </w:rPr>
        <w:t xml:space="preserve">Do you have any other views on the draft provisions? </w:t>
      </w:r>
    </w:p>
    <w:p w14:paraId="1628F554" w14:textId="2EFF4CE2" w:rsidR="00523C15" w:rsidRPr="001129E4" w:rsidRDefault="00C01BBF" w:rsidP="001129E4">
      <w:pPr>
        <w:pStyle w:val="ListParagraph"/>
        <w:numPr>
          <w:ilvl w:val="0"/>
          <w:numId w:val="10"/>
        </w:num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1129E4">
        <w:rPr>
          <w:rFonts w:asciiTheme="majorHAnsi" w:eastAsia="Times New Roman" w:hAnsiTheme="majorHAnsi" w:cstheme="majorHAnsi"/>
          <w:color w:val="000000" w:themeColor="text1"/>
          <w:sz w:val="22"/>
          <w:szCs w:val="22"/>
          <w:lang w:val="en-IE" w:eastAsia="en-IE"/>
        </w:rPr>
        <w:t>When a citizen is being subject to deprivation of liberty safeguards, it is crucial that appropriate reciprocal measures are in place to protect rights. In the case of the English Mental Capacity Act, an Independent Mental Capacity Advocacy system was introduced to protect the needs and rights of relevant persons who appeared to have little or no social and familial support</w:t>
      </w:r>
      <w:r w:rsidR="00FD5F4A" w:rsidRPr="001129E4">
        <w:rPr>
          <w:rFonts w:asciiTheme="majorHAnsi" w:eastAsia="Times New Roman" w:hAnsiTheme="majorHAnsi" w:cstheme="majorHAnsi"/>
          <w:color w:val="000000" w:themeColor="text1"/>
          <w:sz w:val="22"/>
          <w:szCs w:val="22"/>
          <w:lang w:val="en-IE" w:eastAsia="en-IE"/>
        </w:rPr>
        <w:t xml:space="preserve"> (Newbinging et al, 2015)</w:t>
      </w:r>
      <w:r w:rsidRPr="001129E4">
        <w:rPr>
          <w:rFonts w:asciiTheme="majorHAnsi" w:eastAsia="Times New Roman" w:hAnsiTheme="majorHAnsi" w:cstheme="majorHAnsi"/>
          <w:color w:val="000000" w:themeColor="text1"/>
          <w:sz w:val="22"/>
          <w:szCs w:val="22"/>
          <w:lang w:val="en-IE" w:eastAsia="en-IE"/>
        </w:rPr>
        <w:t xml:space="preserve">. It is recommended that such an advocacy system should be resourced by the </w:t>
      </w:r>
      <w:r w:rsidR="00B05D3F">
        <w:rPr>
          <w:rFonts w:asciiTheme="majorHAnsi" w:eastAsia="Times New Roman" w:hAnsiTheme="majorHAnsi" w:cstheme="majorHAnsi"/>
          <w:color w:val="000000" w:themeColor="text1"/>
          <w:sz w:val="22"/>
          <w:szCs w:val="22"/>
          <w:lang w:val="en-IE" w:eastAsia="en-IE"/>
        </w:rPr>
        <w:t xml:space="preserve">State. </w:t>
      </w:r>
      <w:r w:rsidRPr="001129E4">
        <w:rPr>
          <w:rFonts w:asciiTheme="majorHAnsi" w:eastAsia="Times New Roman" w:hAnsiTheme="majorHAnsi" w:cstheme="majorHAnsi"/>
          <w:color w:val="000000" w:themeColor="text1"/>
          <w:sz w:val="22"/>
          <w:szCs w:val="22"/>
          <w:lang w:val="en-IE" w:eastAsia="en-IE"/>
        </w:rPr>
        <w:t xml:space="preserve">This system would work in tandem with </w:t>
      </w:r>
      <w:r w:rsidR="00523C15" w:rsidRPr="001129E4">
        <w:rPr>
          <w:rFonts w:asciiTheme="majorHAnsi" w:eastAsia="Times New Roman" w:hAnsiTheme="majorHAnsi" w:cstheme="majorHAnsi"/>
          <w:color w:val="000000" w:themeColor="text1"/>
          <w:sz w:val="22"/>
          <w:szCs w:val="22"/>
          <w:lang w:val="en-IE" w:eastAsia="en-IE"/>
        </w:rPr>
        <w:t xml:space="preserve">the </w:t>
      </w:r>
      <w:r w:rsidRPr="001129E4">
        <w:rPr>
          <w:rFonts w:asciiTheme="majorHAnsi" w:eastAsia="Times New Roman" w:hAnsiTheme="majorHAnsi" w:cstheme="majorHAnsi"/>
          <w:color w:val="000000" w:themeColor="text1"/>
          <w:sz w:val="22"/>
          <w:szCs w:val="22"/>
          <w:lang w:val="en-IE" w:eastAsia="en-IE"/>
        </w:rPr>
        <w:t xml:space="preserve">proposed </w:t>
      </w:r>
      <w:r w:rsidR="00523C15" w:rsidRPr="001129E4">
        <w:rPr>
          <w:rFonts w:asciiTheme="majorHAnsi" w:eastAsia="Times New Roman" w:hAnsiTheme="majorHAnsi" w:cstheme="majorHAnsi"/>
          <w:color w:val="000000" w:themeColor="text1"/>
          <w:sz w:val="22"/>
          <w:szCs w:val="22"/>
          <w:lang w:val="en-IE" w:eastAsia="en-IE"/>
        </w:rPr>
        <w:t>Decision Making Support Service</w:t>
      </w:r>
      <w:r w:rsidRPr="001129E4">
        <w:rPr>
          <w:rFonts w:asciiTheme="majorHAnsi" w:eastAsia="Times New Roman" w:hAnsiTheme="majorHAnsi" w:cstheme="majorHAnsi"/>
          <w:color w:val="000000" w:themeColor="text1"/>
          <w:sz w:val="22"/>
          <w:szCs w:val="22"/>
          <w:lang w:val="en-IE" w:eastAsia="en-IE"/>
        </w:rPr>
        <w:t xml:space="preserve">. </w:t>
      </w:r>
    </w:p>
    <w:p w14:paraId="48151F5C" w14:textId="77777777" w:rsidR="00966E14" w:rsidRPr="00390E77" w:rsidRDefault="00966E14" w:rsidP="00E66810">
      <w:p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p>
    <w:p w14:paraId="4D3B6D46" w14:textId="77777777" w:rsidR="00C01BBF" w:rsidRPr="00390E77" w:rsidRDefault="00C01BBF" w:rsidP="00FB15DA">
      <w:p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p>
    <w:p w14:paraId="196A017A" w14:textId="77777777" w:rsidR="00D12513" w:rsidRDefault="00D12513" w:rsidP="00FB15DA">
      <w:p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p>
    <w:p w14:paraId="31E72E34" w14:textId="77777777" w:rsidR="00882189" w:rsidRDefault="00882189" w:rsidP="00FB15DA">
      <w:p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p>
    <w:p w14:paraId="0CE44D8C" w14:textId="77777777" w:rsidR="00882189" w:rsidRDefault="00882189" w:rsidP="00FB15DA">
      <w:pPr>
        <w:spacing w:before="100" w:beforeAutospacing="1" w:after="100" w:afterAutospacing="1"/>
        <w:jc w:val="both"/>
        <w:rPr>
          <w:rFonts w:asciiTheme="majorHAnsi" w:eastAsia="Times New Roman" w:hAnsiTheme="majorHAnsi" w:cstheme="majorHAnsi"/>
          <w:b/>
          <w:color w:val="000000" w:themeColor="text1"/>
          <w:sz w:val="22"/>
          <w:szCs w:val="22"/>
          <w:lang w:val="en-IE" w:eastAsia="en-IE"/>
        </w:rPr>
      </w:pPr>
    </w:p>
    <w:p w14:paraId="3A84EAF1" w14:textId="12C755A7" w:rsidR="00020DD3" w:rsidRPr="00D12513" w:rsidRDefault="00020DD3" w:rsidP="00F65230">
      <w:pPr>
        <w:pStyle w:val="Heading2"/>
        <w:rPr>
          <w:rFonts w:eastAsia="Times New Roman"/>
          <w:lang w:eastAsia="en-IE"/>
        </w:rPr>
      </w:pPr>
      <w:r w:rsidRPr="00E520E2">
        <w:rPr>
          <w:rFonts w:eastAsia="Times New Roman"/>
          <w:lang w:eastAsia="en-IE"/>
        </w:rPr>
        <w:t>References</w:t>
      </w:r>
    </w:p>
    <w:p w14:paraId="1835F0A0" w14:textId="5FB7F5F8" w:rsidR="00020DD3" w:rsidRPr="00E520E2" w:rsidRDefault="00020DD3" w:rsidP="00FB15DA">
      <w:p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E520E2">
        <w:rPr>
          <w:rFonts w:asciiTheme="majorHAnsi" w:eastAsia="Times New Roman" w:hAnsiTheme="majorHAnsi" w:cstheme="majorHAnsi"/>
          <w:color w:val="000000" w:themeColor="text1"/>
          <w:sz w:val="22"/>
          <w:szCs w:val="22"/>
          <w:lang w:val="en-IE" w:eastAsia="en-IE"/>
        </w:rPr>
        <w:t xml:space="preserve">Bartlett, P. (2014). Reforming the deprivation of liberty safeguards (DOLS): what is it exactly that we want?. European Journal of Current Legal Issues, 20(3).  </w:t>
      </w:r>
    </w:p>
    <w:p w14:paraId="70D06EBF" w14:textId="36660CF0" w:rsidR="00517314" w:rsidRPr="00E520E2" w:rsidRDefault="00517314" w:rsidP="00517314">
      <w:pPr>
        <w:jc w:val="both"/>
        <w:rPr>
          <w:rFonts w:asciiTheme="majorHAnsi" w:hAnsiTheme="majorHAnsi" w:cstheme="majorHAnsi"/>
          <w:color w:val="000000" w:themeColor="text1"/>
          <w:sz w:val="22"/>
          <w:szCs w:val="22"/>
          <w:lang w:val="en-IE"/>
        </w:rPr>
      </w:pPr>
      <w:r w:rsidRPr="00E520E2">
        <w:rPr>
          <w:rFonts w:asciiTheme="majorHAnsi" w:hAnsiTheme="majorHAnsi" w:cstheme="majorHAnsi"/>
          <w:color w:val="000000" w:themeColor="text1"/>
          <w:sz w:val="22"/>
          <w:szCs w:val="22"/>
          <w:lang w:val="en-IE"/>
        </w:rPr>
        <w:t xml:space="preserve">BASW, (2015) The response of The British Association of Social Workers (BASW) to the Law Commission’s consultation paper on deprivation of liberty, 26 October, 2015. Available at: </w:t>
      </w:r>
      <w:r w:rsidRPr="00E520E2">
        <w:rPr>
          <w:rFonts w:asciiTheme="majorHAnsi" w:hAnsiTheme="majorHAnsi" w:cstheme="majorHAnsi"/>
          <w:color w:val="000000" w:themeColor="text1"/>
          <w:sz w:val="22"/>
          <w:szCs w:val="22"/>
          <w:u w:val="single"/>
          <w:lang w:val="en-IE" w:eastAsia="en-IE"/>
        </w:rPr>
        <w:t>https://www.basw.co.uk/news/article/?id=1073</w:t>
      </w:r>
    </w:p>
    <w:p w14:paraId="07357FCA" w14:textId="1C4BBE05" w:rsidR="00517314" w:rsidRPr="00E520E2" w:rsidRDefault="00517314" w:rsidP="00517314">
      <w:pPr>
        <w:jc w:val="both"/>
        <w:rPr>
          <w:rFonts w:asciiTheme="majorHAnsi" w:hAnsiTheme="majorHAnsi" w:cstheme="majorHAnsi"/>
          <w:color w:val="000000" w:themeColor="text1"/>
          <w:sz w:val="22"/>
          <w:szCs w:val="22"/>
          <w:lang w:val="en-IE" w:eastAsia="en-IE"/>
        </w:rPr>
      </w:pPr>
    </w:p>
    <w:p w14:paraId="2A74192A" w14:textId="6C74A129" w:rsidR="00517314" w:rsidRPr="00E520E2" w:rsidRDefault="00517314" w:rsidP="00E520E2">
      <w:pPr>
        <w:jc w:val="both"/>
        <w:rPr>
          <w:rFonts w:asciiTheme="majorHAnsi" w:hAnsiTheme="majorHAnsi" w:cstheme="majorHAnsi"/>
          <w:color w:val="000000" w:themeColor="text1"/>
          <w:sz w:val="22"/>
          <w:szCs w:val="22"/>
          <w:shd w:val="clear" w:color="auto" w:fill="FFFFFF"/>
          <w:lang w:val="en-IE" w:eastAsia="en-IE"/>
        </w:rPr>
      </w:pPr>
      <w:r w:rsidRPr="00E520E2">
        <w:rPr>
          <w:rFonts w:asciiTheme="majorHAnsi" w:hAnsiTheme="majorHAnsi" w:cstheme="majorHAnsi"/>
          <w:bCs/>
          <w:color w:val="000000" w:themeColor="text1"/>
          <w:sz w:val="22"/>
          <w:szCs w:val="22"/>
          <w:lang w:val="en-IE"/>
        </w:rPr>
        <w:t>BASW (2016), The British Association of Social Workers (BASW) response to the Law Commission’s Mental Capacity and Deprivation of Lib</w:t>
      </w:r>
      <w:r w:rsidR="00E520E2">
        <w:rPr>
          <w:rFonts w:asciiTheme="majorHAnsi" w:hAnsiTheme="majorHAnsi" w:cstheme="majorHAnsi"/>
          <w:bCs/>
          <w:color w:val="000000" w:themeColor="text1"/>
          <w:sz w:val="22"/>
          <w:szCs w:val="22"/>
          <w:lang w:val="en-IE"/>
        </w:rPr>
        <w:t xml:space="preserve">erty Interim Statement of May 25, </w:t>
      </w:r>
      <w:r w:rsidRPr="00E520E2">
        <w:rPr>
          <w:rFonts w:asciiTheme="majorHAnsi" w:hAnsiTheme="majorHAnsi" w:cstheme="majorHAnsi"/>
          <w:bCs/>
          <w:color w:val="000000" w:themeColor="text1"/>
          <w:sz w:val="22"/>
          <w:szCs w:val="22"/>
          <w:lang w:val="en-IE"/>
        </w:rPr>
        <w:t xml:space="preserve">2016. </w:t>
      </w:r>
      <w:r w:rsidRPr="00E520E2">
        <w:rPr>
          <w:rFonts w:asciiTheme="majorHAnsi" w:hAnsiTheme="majorHAnsi" w:cstheme="majorHAnsi"/>
          <w:color w:val="000000" w:themeColor="text1"/>
          <w:sz w:val="22"/>
          <w:szCs w:val="22"/>
          <w:u w:val="single"/>
          <w:lang w:val="en-IE"/>
        </w:rPr>
        <w:t xml:space="preserve">Available at: </w:t>
      </w:r>
      <w:hyperlink r:id="rId9" w:history="1">
        <w:r w:rsidRPr="00E520E2">
          <w:rPr>
            <w:rStyle w:val="Hyperlink"/>
            <w:rFonts w:asciiTheme="majorHAnsi" w:hAnsiTheme="majorHAnsi" w:cstheme="majorHAnsi"/>
            <w:color w:val="000000" w:themeColor="text1"/>
            <w:sz w:val="22"/>
            <w:szCs w:val="22"/>
          </w:rPr>
          <w:t>https://www.basw.co.uk/resource/?id=5457</w:t>
        </w:r>
      </w:hyperlink>
    </w:p>
    <w:p w14:paraId="6D60EA3B" w14:textId="24BBD366" w:rsidR="00EB6CDF" w:rsidRPr="00E520E2" w:rsidRDefault="00020DD3" w:rsidP="00FB15DA">
      <w:p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E520E2">
        <w:rPr>
          <w:rFonts w:asciiTheme="majorHAnsi" w:eastAsia="Times New Roman" w:hAnsiTheme="majorHAnsi" w:cstheme="majorHAnsi"/>
          <w:color w:val="000000" w:themeColor="text1"/>
          <w:sz w:val="22"/>
          <w:szCs w:val="22"/>
          <w:lang w:val="en-IE" w:eastAsia="en-IE"/>
        </w:rPr>
        <w:t>Cairns, R., Brown, P., Grant-Peterkin, H., Owen, G. S., Richardson, G., Szmukler, G., &amp; Hotopf, M. (2011). Mired in confusion: making sense of the Deprivation of Liberty Safeguards. Medicine, Science and the Law, 51(4), 228-236.</w:t>
      </w:r>
    </w:p>
    <w:p w14:paraId="3204E8A4" w14:textId="1E0EE9A0" w:rsidR="00FF0B02" w:rsidRPr="00E520E2" w:rsidRDefault="00FF0B02" w:rsidP="00FB15DA">
      <w:pPr>
        <w:spacing w:before="100" w:beforeAutospacing="1" w:after="100" w:afterAutospacing="1"/>
        <w:jc w:val="both"/>
        <w:rPr>
          <w:rFonts w:asciiTheme="majorHAnsi" w:eastAsia="Times New Roman" w:hAnsiTheme="majorHAnsi" w:cstheme="majorHAnsi"/>
          <w:color w:val="000000" w:themeColor="text1"/>
          <w:sz w:val="22"/>
          <w:szCs w:val="22"/>
          <w:lang w:eastAsia="en-IE"/>
        </w:rPr>
      </w:pPr>
      <w:r w:rsidRPr="00E520E2">
        <w:rPr>
          <w:rFonts w:asciiTheme="majorHAnsi" w:eastAsia="Times New Roman" w:hAnsiTheme="majorHAnsi" w:cstheme="majorHAnsi"/>
          <w:color w:val="000000" w:themeColor="text1"/>
          <w:sz w:val="22"/>
          <w:szCs w:val="22"/>
          <w:lang w:eastAsia="en-IE"/>
        </w:rPr>
        <w:lastRenderedPageBreak/>
        <w:t>Donnelly, S., O'Brien, M., Begley, E. and Brennan, J. (2016). </w:t>
      </w:r>
      <w:r w:rsidRPr="00E520E2">
        <w:rPr>
          <w:rFonts w:asciiTheme="majorHAnsi" w:eastAsia="Times New Roman" w:hAnsiTheme="majorHAnsi" w:cstheme="majorHAnsi"/>
          <w:i/>
          <w:iCs/>
          <w:color w:val="000000" w:themeColor="text1"/>
          <w:sz w:val="22"/>
          <w:szCs w:val="22"/>
          <w:lang w:eastAsia="en-IE"/>
        </w:rPr>
        <w:t>I'd prefer to stay at home but I don't have a choice. Meeting Older People's Preference for Care: Policy, but what about practice?</w:t>
      </w:r>
      <w:r w:rsidRPr="00E520E2">
        <w:rPr>
          <w:rFonts w:asciiTheme="majorHAnsi" w:eastAsia="Times New Roman" w:hAnsiTheme="majorHAnsi" w:cstheme="majorHAnsi"/>
          <w:color w:val="000000" w:themeColor="text1"/>
          <w:sz w:val="22"/>
          <w:szCs w:val="22"/>
          <w:lang w:eastAsia="en-IE"/>
        </w:rPr>
        <w:t>. UCD. </w:t>
      </w:r>
    </w:p>
    <w:p w14:paraId="3A06C328" w14:textId="015D9C18" w:rsidR="00EB6CDF" w:rsidRPr="00E520E2" w:rsidRDefault="00F96B6E" w:rsidP="00FB15DA">
      <w:p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E520E2">
        <w:rPr>
          <w:rFonts w:asciiTheme="majorHAnsi" w:eastAsia="Times New Roman" w:hAnsiTheme="majorHAnsi" w:cstheme="majorHAnsi"/>
          <w:color w:val="000000" w:themeColor="text1"/>
          <w:sz w:val="22"/>
          <w:szCs w:val="22"/>
          <w:lang w:val="en-IE" w:eastAsia="en-IE"/>
        </w:rPr>
        <w:t>Godfrey, M., &amp; Hackett, J. (2015). Advanced care planning: policy and real-life decision-making?.</w:t>
      </w:r>
    </w:p>
    <w:p w14:paraId="48E3017D" w14:textId="19FF0102" w:rsidR="003F2DFE" w:rsidRPr="00E520E2" w:rsidRDefault="00020DD3" w:rsidP="00FB15DA">
      <w:p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E520E2">
        <w:rPr>
          <w:rFonts w:asciiTheme="majorHAnsi" w:eastAsia="Times New Roman" w:hAnsiTheme="majorHAnsi" w:cstheme="majorHAnsi"/>
          <w:color w:val="000000" w:themeColor="text1"/>
          <w:sz w:val="22"/>
          <w:szCs w:val="22"/>
          <w:lang w:val="en-IE" w:eastAsia="en-IE"/>
        </w:rPr>
        <w:t>Griffith, R. (2013). Nurses need a standard definition of a deprivation of liberty. British Journal of Nursing, 22(16), 960-961.</w:t>
      </w:r>
    </w:p>
    <w:p w14:paraId="47BCEA02" w14:textId="771F33F9" w:rsidR="003F2DFE" w:rsidRPr="00E520E2" w:rsidRDefault="003F2DFE" w:rsidP="00E520E2">
      <w:pPr>
        <w:autoSpaceDE w:val="0"/>
        <w:autoSpaceDN w:val="0"/>
        <w:adjustRightInd w:val="0"/>
        <w:spacing w:after="240"/>
        <w:rPr>
          <w:rFonts w:asciiTheme="majorHAnsi" w:hAnsiTheme="majorHAnsi" w:cstheme="majorHAnsi"/>
          <w:color w:val="000000" w:themeColor="text1"/>
          <w:sz w:val="22"/>
          <w:szCs w:val="22"/>
          <w:lang w:val="en-IE"/>
        </w:rPr>
      </w:pPr>
      <w:r w:rsidRPr="00E520E2">
        <w:rPr>
          <w:rFonts w:asciiTheme="majorHAnsi" w:hAnsiTheme="majorHAnsi" w:cstheme="majorHAnsi"/>
          <w:color w:val="000000" w:themeColor="text1"/>
          <w:sz w:val="22"/>
          <w:szCs w:val="22"/>
          <w:lang w:val="en-IE"/>
        </w:rPr>
        <w:t xml:space="preserve">HSE National Consent Policy (2017) QPSD-D-026-1.2 V.1.2 </w:t>
      </w:r>
      <w:r w:rsidR="00523C15" w:rsidRPr="00E520E2">
        <w:rPr>
          <w:rFonts w:asciiTheme="majorHAnsi" w:hAnsiTheme="majorHAnsi" w:cstheme="majorHAnsi"/>
          <w:color w:val="000000" w:themeColor="text1"/>
          <w:sz w:val="22"/>
          <w:szCs w:val="22"/>
          <w:lang w:val="en-IE"/>
        </w:rPr>
        <w:t xml:space="preserve">National Consent Advisory Group. </w:t>
      </w:r>
      <w:r w:rsidRPr="00E520E2">
        <w:rPr>
          <w:rFonts w:asciiTheme="majorHAnsi" w:hAnsiTheme="majorHAnsi" w:cstheme="majorHAnsi"/>
          <w:color w:val="000000" w:themeColor="text1"/>
          <w:sz w:val="22"/>
          <w:szCs w:val="22"/>
          <w:lang w:val="en-IE"/>
        </w:rPr>
        <w:t xml:space="preserve">Available at </w:t>
      </w:r>
      <w:r w:rsidRPr="00E520E2">
        <w:rPr>
          <w:rFonts w:asciiTheme="majorHAnsi" w:hAnsiTheme="majorHAnsi" w:cstheme="majorHAnsi"/>
          <w:color w:val="000000" w:themeColor="text1"/>
          <w:sz w:val="22"/>
          <w:szCs w:val="22"/>
          <w:u w:val="single"/>
          <w:lang w:val="en-IE"/>
        </w:rPr>
        <w:t>https://www.hse.ie/eng/about/wh</w:t>
      </w:r>
      <w:r w:rsidR="00E520E2" w:rsidRPr="00E520E2">
        <w:rPr>
          <w:rFonts w:asciiTheme="majorHAnsi" w:hAnsiTheme="majorHAnsi" w:cstheme="majorHAnsi"/>
          <w:color w:val="000000" w:themeColor="text1"/>
          <w:sz w:val="22"/>
          <w:szCs w:val="22"/>
          <w:u w:val="single"/>
          <w:lang w:val="en-IE"/>
        </w:rPr>
        <w:t>o/qid/other-quality-improvement-</w:t>
      </w:r>
      <w:r w:rsidRPr="00E520E2">
        <w:rPr>
          <w:rFonts w:asciiTheme="majorHAnsi" w:hAnsiTheme="majorHAnsi" w:cstheme="majorHAnsi"/>
          <w:color w:val="000000" w:themeColor="text1"/>
          <w:sz w:val="22"/>
          <w:szCs w:val="22"/>
          <w:u w:val="single"/>
          <w:lang w:val="en-IE"/>
        </w:rPr>
        <w:t>programmes/consent/national-consent-policy-august-2017.pdf</w:t>
      </w:r>
    </w:p>
    <w:p w14:paraId="27CB1443" w14:textId="440E7ECA" w:rsidR="00523C15" w:rsidRPr="00E520E2" w:rsidRDefault="00523C15" w:rsidP="00E66810">
      <w:pPr>
        <w:autoSpaceDE w:val="0"/>
        <w:autoSpaceDN w:val="0"/>
        <w:adjustRightInd w:val="0"/>
        <w:spacing w:after="240" w:line="260" w:lineRule="atLeast"/>
        <w:rPr>
          <w:rFonts w:asciiTheme="majorHAnsi" w:hAnsiTheme="majorHAnsi" w:cstheme="majorHAnsi"/>
          <w:color w:val="000000" w:themeColor="text1"/>
          <w:sz w:val="22"/>
          <w:szCs w:val="22"/>
          <w:lang w:val="en-IE"/>
        </w:rPr>
      </w:pPr>
      <w:r w:rsidRPr="00E520E2">
        <w:rPr>
          <w:rFonts w:asciiTheme="majorHAnsi" w:hAnsiTheme="majorHAnsi" w:cstheme="majorHAnsi"/>
          <w:color w:val="000000" w:themeColor="text1"/>
          <w:sz w:val="22"/>
          <w:szCs w:val="22"/>
          <w:lang w:val="en-IE"/>
        </w:rPr>
        <w:t xml:space="preserve">Law Commission (2015), “Mental capacity and deprivation of liberty: a consultation paper”, Information literacy competency standards for higher education, CP No. 222, Law Commission, London. </w:t>
      </w:r>
    </w:p>
    <w:p w14:paraId="059543D0" w14:textId="7E0CC515" w:rsidR="00523C15" w:rsidRPr="00E520E2" w:rsidRDefault="00523C15" w:rsidP="00FB15DA">
      <w:p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E520E2">
        <w:rPr>
          <w:rFonts w:asciiTheme="majorHAnsi" w:eastAsia="Times New Roman" w:hAnsiTheme="majorHAnsi" w:cstheme="majorHAnsi"/>
          <w:color w:val="000000" w:themeColor="text1"/>
          <w:sz w:val="22"/>
          <w:szCs w:val="22"/>
          <w:lang w:val="en-IE" w:eastAsia="en-IE"/>
        </w:rPr>
        <w:t xml:space="preserve">Law Commission (2017), Mental Capacity and Deprivation of Liberty Summary. Law Com No 372(Summary) 13 March, 2017. Available at: </w:t>
      </w:r>
      <w:hyperlink r:id="rId10" w:history="1">
        <w:r w:rsidRPr="00E520E2">
          <w:rPr>
            <w:rStyle w:val="Hyperlink"/>
            <w:rFonts w:asciiTheme="majorHAnsi" w:eastAsia="Times New Roman" w:hAnsiTheme="majorHAnsi" w:cstheme="majorHAnsi"/>
            <w:color w:val="000000" w:themeColor="text1"/>
            <w:sz w:val="22"/>
            <w:szCs w:val="22"/>
            <w:lang w:val="en-IE" w:eastAsia="en-IE"/>
          </w:rPr>
          <w:t>https://www.lawcom.gov.uk/project/mental-capacity-and-deprivation-of</w:t>
        </w:r>
      </w:hyperlink>
      <w:r w:rsidRPr="00E520E2">
        <w:rPr>
          <w:rFonts w:asciiTheme="majorHAnsi" w:eastAsia="Times New Roman" w:hAnsiTheme="majorHAnsi" w:cstheme="majorHAnsi"/>
          <w:color w:val="000000" w:themeColor="text1"/>
          <w:sz w:val="22"/>
          <w:szCs w:val="22"/>
          <w:lang w:val="en-IE" w:eastAsia="en-IE"/>
        </w:rPr>
        <w:t xml:space="preserve"> liberty/</w:t>
      </w:r>
    </w:p>
    <w:p w14:paraId="79DCD643" w14:textId="7B22EAC3" w:rsidR="00020DD3" w:rsidRPr="00E520E2" w:rsidRDefault="00020DD3" w:rsidP="00FB15DA">
      <w:pPr>
        <w:spacing w:before="100" w:beforeAutospacing="1" w:after="100" w:afterAutospacing="1"/>
        <w:jc w:val="both"/>
        <w:rPr>
          <w:rFonts w:asciiTheme="majorHAnsi" w:eastAsia="Times New Roman" w:hAnsiTheme="majorHAnsi" w:cstheme="majorHAnsi"/>
          <w:color w:val="000000" w:themeColor="text1"/>
          <w:sz w:val="22"/>
          <w:szCs w:val="22"/>
          <w:lang w:val="en-IE" w:eastAsia="en-IE"/>
        </w:rPr>
      </w:pPr>
      <w:r w:rsidRPr="00E520E2">
        <w:rPr>
          <w:rFonts w:asciiTheme="majorHAnsi" w:eastAsia="Times New Roman" w:hAnsiTheme="majorHAnsi" w:cstheme="majorHAnsi"/>
          <w:color w:val="000000" w:themeColor="text1"/>
          <w:sz w:val="22"/>
          <w:szCs w:val="22"/>
          <w:lang w:val="en-IE" w:eastAsia="en-IE"/>
        </w:rPr>
        <w:t>Lepping, P., Sambhi, R. S., &amp; Williams-Jones, K. (2010). Deprivation of liberty safeguards: how prepared are we?. Journal of medical ethics, 36(3), 170-173.</w:t>
      </w:r>
    </w:p>
    <w:p w14:paraId="2E934A26" w14:textId="2C669377" w:rsidR="00C01BBF" w:rsidRPr="00E520E2" w:rsidRDefault="00C01BBF" w:rsidP="00A42F7D">
      <w:pPr>
        <w:jc w:val="both"/>
        <w:rPr>
          <w:rFonts w:asciiTheme="majorHAnsi" w:hAnsiTheme="majorHAnsi" w:cstheme="majorHAnsi"/>
          <w:color w:val="000000" w:themeColor="text1"/>
          <w:sz w:val="22"/>
          <w:szCs w:val="22"/>
          <w:lang w:val="en-IE" w:eastAsia="en-IE"/>
        </w:rPr>
      </w:pPr>
      <w:r w:rsidRPr="00E520E2">
        <w:rPr>
          <w:rFonts w:asciiTheme="majorHAnsi" w:hAnsiTheme="majorHAnsi" w:cstheme="majorHAnsi"/>
          <w:color w:val="000000" w:themeColor="text1"/>
          <w:sz w:val="22"/>
          <w:szCs w:val="22"/>
          <w:lang w:val="en-IE" w:eastAsia="en-IE"/>
        </w:rPr>
        <w:t>Newbigging, K., Ridley, J., McKeown, M., Machin, K., &amp; Poursanidou, K. (2015). ‘When you haven't got much of a voice’: an evaluation of the quality of Independent Mental Health Advocate (IMHA) services in England. Health &amp; social care in the community, 23(3), 313-324.</w:t>
      </w:r>
    </w:p>
    <w:p w14:paraId="63904E9F" w14:textId="77777777" w:rsidR="00C01BBF" w:rsidRPr="00E520E2" w:rsidRDefault="00C01BBF" w:rsidP="00A42F7D">
      <w:pPr>
        <w:jc w:val="both"/>
        <w:rPr>
          <w:rFonts w:asciiTheme="majorHAnsi" w:hAnsiTheme="majorHAnsi" w:cstheme="majorHAnsi"/>
          <w:color w:val="000000" w:themeColor="text1"/>
          <w:sz w:val="22"/>
          <w:szCs w:val="22"/>
          <w:lang w:val="en-IE" w:eastAsia="en-IE"/>
        </w:rPr>
      </w:pPr>
    </w:p>
    <w:p w14:paraId="4EF4F5F0" w14:textId="36B75278" w:rsidR="00A42F7D" w:rsidRPr="00E520E2" w:rsidRDefault="00A42F7D" w:rsidP="00A42F7D">
      <w:pPr>
        <w:jc w:val="both"/>
        <w:rPr>
          <w:rFonts w:asciiTheme="majorHAnsi" w:hAnsiTheme="majorHAnsi" w:cstheme="majorHAnsi"/>
          <w:color w:val="000000" w:themeColor="text1"/>
          <w:sz w:val="22"/>
          <w:szCs w:val="22"/>
          <w:lang w:val="en-IE" w:eastAsia="en-IE"/>
        </w:rPr>
      </w:pPr>
      <w:r w:rsidRPr="00E520E2">
        <w:rPr>
          <w:rFonts w:asciiTheme="majorHAnsi" w:hAnsiTheme="majorHAnsi" w:cstheme="majorHAnsi"/>
          <w:color w:val="000000" w:themeColor="text1"/>
          <w:sz w:val="22"/>
          <w:szCs w:val="22"/>
          <w:lang w:val="en-IE" w:eastAsia="en-IE"/>
        </w:rPr>
        <w:t>O’Connor, A., (2017), Joint Committee on the Future of Mental Health Opening Statement by Anne O’Connor, Nati</w:t>
      </w:r>
      <w:r w:rsidR="001B7BC6">
        <w:rPr>
          <w:rFonts w:asciiTheme="majorHAnsi" w:hAnsiTheme="majorHAnsi" w:cstheme="majorHAnsi"/>
          <w:color w:val="000000" w:themeColor="text1"/>
          <w:sz w:val="22"/>
          <w:szCs w:val="22"/>
          <w:lang w:val="en-IE" w:eastAsia="en-IE"/>
        </w:rPr>
        <w:t>onal Director HSE Mental Health</w:t>
      </w:r>
      <w:r w:rsidRPr="00E520E2">
        <w:rPr>
          <w:rFonts w:asciiTheme="majorHAnsi" w:hAnsiTheme="majorHAnsi" w:cstheme="majorHAnsi"/>
          <w:color w:val="000000" w:themeColor="text1"/>
          <w:sz w:val="22"/>
          <w:szCs w:val="22"/>
          <w:lang w:val="en-IE" w:eastAsia="en-IE"/>
        </w:rPr>
        <w:t>, Thursday 30</w:t>
      </w:r>
      <w:r w:rsidRPr="00E520E2">
        <w:rPr>
          <w:rFonts w:asciiTheme="majorHAnsi" w:hAnsiTheme="majorHAnsi" w:cstheme="majorHAnsi"/>
          <w:color w:val="000000" w:themeColor="text1"/>
          <w:sz w:val="22"/>
          <w:szCs w:val="22"/>
          <w:vertAlign w:val="superscript"/>
          <w:lang w:val="en-IE" w:eastAsia="en-IE"/>
        </w:rPr>
        <w:t>th</w:t>
      </w:r>
      <w:r w:rsidRPr="00E520E2">
        <w:rPr>
          <w:rFonts w:asciiTheme="majorHAnsi" w:hAnsiTheme="majorHAnsi" w:cstheme="majorHAnsi"/>
          <w:color w:val="000000" w:themeColor="text1"/>
          <w:sz w:val="22"/>
          <w:szCs w:val="22"/>
          <w:lang w:val="en-IE" w:eastAsia="en-IE"/>
        </w:rPr>
        <w:t xml:space="preserve"> November, 2017. Available at: </w:t>
      </w:r>
      <w:r w:rsidRPr="00E520E2">
        <w:rPr>
          <w:rFonts w:asciiTheme="majorHAnsi" w:hAnsiTheme="majorHAnsi" w:cstheme="majorHAnsi"/>
          <w:color w:val="000000" w:themeColor="text1"/>
          <w:sz w:val="22"/>
          <w:szCs w:val="22"/>
          <w:u w:val="single"/>
          <w:lang w:val="en-IE" w:eastAsia="en-IE"/>
        </w:rPr>
        <w:t>https://data.oireachtas.ie/.../submissions/.../2017-11-30_opening-statement-hse-anne-oconnor</w:t>
      </w:r>
    </w:p>
    <w:p w14:paraId="4E2C7F47" w14:textId="77777777" w:rsidR="004429B2" w:rsidRPr="00390E77" w:rsidRDefault="004429B2" w:rsidP="00FB15DA">
      <w:pPr>
        <w:jc w:val="both"/>
        <w:rPr>
          <w:rFonts w:asciiTheme="majorHAnsi" w:hAnsiTheme="majorHAnsi" w:cstheme="majorHAnsi"/>
          <w:color w:val="000000" w:themeColor="text1"/>
          <w:sz w:val="22"/>
          <w:szCs w:val="22"/>
        </w:rPr>
      </w:pPr>
    </w:p>
    <w:sectPr w:rsidR="004429B2" w:rsidRPr="00390E77" w:rsidSect="004429B2">
      <w:headerReference w:type="even" r:id="rId11"/>
      <w:headerReference w:type="default" r:id="rId12"/>
      <w:footerReference w:type="even" r:id="rId13"/>
      <w:footerReference w:type="default" r:id="rId14"/>
      <w:headerReference w:type="first" r:id="rId15"/>
      <w:footerReference w:type="first" r:id="rId16"/>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1203C" w14:textId="77777777" w:rsidR="00C2546A" w:rsidRDefault="00C2546A">
      <w:r>
        <w:separator/>
      </w:r>
    </w:p>
  </w:endnote>
  <w:endnote w:type="continuationSeparator" w:id="0">
    <w:p w14:paraId="2CCA7FFC" w14:textId="77777777" w:rsidR="00C2546A" w:rsidRDefault="00C2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4A232" w14:textId="77777777" w:rsidR="004459CB" w:rsidRDefault="004459CB" w:rsidP="001B4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EF1408" w14:textId="77777777" w:rsidR="004459CB" w:rsidRDefault="004459CB" w:rsidP="001B49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71864" w14:textId="2303C4B9" w:rsidR="004459CB" w:rsidRDefault="004459CB" w:rsidP="001B4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18FC">
      <w:rPr>
        <w:rStyle w:val="PageNumber"/>
        <w:noProof/>
      </w:rPr>
      <w:t>1</w:t>
    </w:r>
    <w:r>
      <w:rPr>
        <w:rStyle w:val="PageNumber"/>
      </w:rPr>
      <w:fldChar w:fldCharType="end"/>
    </w:r>
  </w:p>
  <w:p w14:paraId="217FAC84" w14:textId="77777777" w:rsidR="004459CB" w:rsidRDefault="004459CB" w:rsidP="001B49D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1A68" w14:textId="77777777" w:rsidR="00FF1656" w:rsidRDefault="00FF1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62274" w14:textId="77777777" w:rsidR="00C2546A" w:rsidRDefault="00C2546A">
      <w:r>
        <w:separator/>
      </w:r>
    </w:p>
  </w:footnote>
  <w:footnote w:type="continuationSeparator" w:id="0">
    <w:p w14:paraId="3AC00F48" w14:textId="77777777" w:rsidR="00C2546A" w:rsidRDefault="00C2546A">
      <w:r>
        <w:continuationSeparator/>
      </w:r>
    </w:p>
  </w:footnote>
  <w:footnote w:id="1">
    <w:p w14:paraId="69B36484" w14:textId="77777777" w:rsidR="00A42F7D" w:rsidRPr="008744E8" w:rsidRDefault="00A42F7D" w:rsidP="00A42F7D">
      <w:pPr>
        <w:rPr>
          <w:rFonts w:asciiTheme="majorHAnsi" w:eastAsia="Times New Roman" w:hAnsiTheme="majorHAnsi" w:cstheme="majorHAnsi"/>
          <w:lang w:val="en-IE" w:eastAsia="en-IE"/>
        </w:rPr>
      </w:pPr>
      <w:r>
        <w:rPr>
          <w:rStyle w:val="FootnoteReference"/>
        </w:rPr>
        <w:footnoteRef/>
      </w:r>
      <w:r>
        <w:t xml:space="preserve"> </w:t>
      </w:r>
      <w:r w:rsidRPr="008744E8">
        <w:rPr>
          <w:rFonts w:asciiTheme="majorHAnsi" w:eastAsia="Times New Roman" w:hAnsiTheme="majorHAnsi" w:cstheme="majorHAnsi"/>
          <w:iCs/>
          <w:color w:val="111111"/>
          <w:sz w:val="22"/>
          <w:szCs w:val="22"/>
          <w:lang w:val="en-IE" w:eastAsia="en-IE"/>
        </w:rPr>
        <w:t>P v Cheshire West and Chester; P and Q v Surrey County Council</w:t>
      </w:r>
      <w:r w:rsidRPr="008744E8">
        <w:rPr>
          <w:rFonts w:asciiTheme="majorHAnsi" w:eastAsia="Times New Roman" w:hAnsiTheme="majorHAnsi" w:cstheme="majorHAnsi"/>
          <w:color w:val="111111"/>
          <w:sz w:val="22"/>
          <w:szCs w:val="22"/>
          <w:shd w:val="clear" w:color="auto" w:fill="FFFFFF"/>
          <w:lang w:val="en-IE" w:eastAsia="en-IE"/>
        </w:rPr>
        <w:t> [2014] UKSC 19.</w:t>
      </w:r>
    </w:p>
    <w:p w14:paraId="287E2162" w14:textId="13100C45" w:rsidR="00A42F7D" w:rsidRPr="00E66810" w:rsidRDefault="00A42F7D">
      <w:pPr>
        <w:pStyle w:val="FootnoteText"/>
        <w:rPr>
          <w:lang w:val="en-IE"/>
        </w:rPr>
      </w:pPr>
    </w:p>
  </w:footnote>
  <w:footnote w:id="2">
    <w:p w14:paraId="508E7F94" w14:textId="59914788" w:rsidR="00E045EE" w:rsidRDefault="00E045EE">
      <w:pPr>
        <w:pStyle w:val="FootnoteText"/>
      </w:pPr>
      <w:r>
        <w:rPr>
          <w:rStyle w:val="FootnoteReference"/>
        </w:rPr>
        <w:footnoteRef/>
      </w:r>
      <w:r>
        <w:t xml:space="preserve"> </w:t>
      </w:r>
      <w:hyperlink r:id="rId1" w:history="1">
        <w:r w:rsidRPr="002D7BB3">
          <w:rPr>
            <w:rStyle w:val="Hyperlink"/>
          </w:rPr>
          <w:t>http://www.citizensinformationboard.ie/downloads/social_policy/submissions2017/Home_Care_Services_CIB_Submission.pdf</w:t>
        </w:r>
      </w:hyperlink>
    </w:p>
    <w:p w14:paraId="0139B24D" w14:textId="77777777" w:rsidR="00E045EE" w:rsidRPr="00E045EE" w:rsidRDefault="00E045EE">
      <w:pPr>
        <w:pStyle w:val="FootnoteText"/>
        <w:rPr>
          <w:lang w:val="en-I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5D73B" w14:textId="77777777" w:rsidR="00FF1656" w:rsidRDefault="00FF16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C766D" w14:textId="77777777" w:rsidR="00FF1656" w:rsidRDefault="00FF16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56D57" w14:textId="77777777" w:rsidR="00FF1656" w:rsidRDefault="00FF16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6E32"/>
    <w:multiLevelType w:val="hybridMultilevel"/>
    <w:tmpl w:val="8388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62BAD"/>
    <w:multiLevelType w:val="hybridMultilevel"/>
    <w:tmpl w:val="3552F7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F86F12"/>
    <w:multiLevelType w:val="hybridMultilevel"/>
    <w:tmpl w:val="971A60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7942C5"/>
    <w:multiLevelType w:val="hybridMultilevel"/>
    <w:tmpl w:val="0A6A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B1E4C"/>
    <w:multiLevelType w:val="hybridMultilevel"/>
    <w:tmpl w:val="13DE7C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4C5871"/>
    <w:multiLevelType w:val="multilevel"/>
    <w:tmpl w:val="3AD6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3470BB"/>
    <w:multiLevelType w:val="hybridMultilevel"/>
    <w:tmpl w:val="B15A3B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566367"/>
    <w:multiLevelType w:val="hybridMultilevel"/>
    <w:tmpl w:val="58182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04164"/>
    <w:multiLevelType w:val="hybridMultilevel"/>
    <w:tmpl w:val="A6A22F1A"/>
    <w:lvl w:ilvl="0" w:tplc="18090003">
      <w:start w:val="1"/>
      <w:numFmt w:val="bullet"/>
      <w:lvlText w:val="o"/>
      <w:lvlJc w:val="left"/>
      <w:pPr>
        <w:ind w:left="2486" w:hanging="360"/>
      </w:pPr>
      <w:rPr>
        <w:rFonts w:ascii="Courier New" w:hAnsi="Courier New" w:cs="Courier New" w:hint="default"/>
      </w:rPr>
    </w:lvl>
    <w:lvl w:ilvl="1" w:tplc="04090003" w:tentative="1">
      <w:start w:val="1"/>
      <w:numFmt w:val="bullet"/>
      <w:lvlText w:val="o"/>
      <w:lvlJc w:val="left"/>
      <w:pPr>
        <w:ind w:left="3206" w:hanging="360"/>
      </w:pPr>
      <w:rPr>
        <w:rFonts w:ascii="Courier New" w:hAnsi="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9" w15:restartNumberingAfterBreak="0">
    <w:nsid w:val="29E72FF2"/>
    <w:multiLevelType w:val="multilevel"/>
    <w:tmpl w:val="24AAF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9C49EF"/>
    <w:multiLevelType w:val="multilevel"/>
    <w:tmpl w:val="245C6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57362C"/>
    <w:multiLevelType w:val="multilevel"/>
    <w:tmpl w:val="E7B6B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731618"/>
    <w:multiLevelType w:val="hybridMultilevel"/>
    <w:tmpl w:val="A2B80B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6FE5041"/>
    <w:multiLevelType w:val="multilevel"/>
    <w:tmpl w:val="4A003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FD71ED"/>
    <w:multiLevelType w:val="multilevel"/>
    <w:tmpl w:val="E59E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981581"/>
    <w:multiLevelType w:val="hybridMultilevel"/>
    <w:tmpl w:val="2FCE6D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BA630E6"/>
    <w:multiLevelType w:val="hybridMultilevel"/>
    <w:tmpl w:val="4A389C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10F44CE"/>
    <w:multiLevelType w:val="hybridMultilevel"/>
    <w:tmpl w:val="A25C54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7516381"/>
    <w:multiLevelType w:val="hybridMultilevel"/>
    <w:tmpl w:val="0C0096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78E7FB1"/>
    <w:multiLevelType w:val="multilevel"/>
    <w:tmpl w:val="164A5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1959CC"/>
    <w:multiLevelType w:val="multilevel"/>
    <w:tmpl w:val="6B840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F01A70"/>
    <w:multiLevelType w:val="multilevel"/>
    <w:tmpl w:val="E4EA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5A7B43"/>
    <w:multiLevelType w:val="hybridMultilevel"/>
    <w:tmpl w:val="F7BED7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7"/>
  </w:num>
  <w:num w:numId="4">
    <w:abstractNumId w:val="0"/>
  </w:num>
  <w:num w:numId="5">
    <w:abstractNumId w:val="15"/>
  </w:num>
  <w:num w:numId="6">
    <w:abstractNumId w:val="8"/>
  </w:num>
  <w:num w:numId="7">
    <w:abstractNumId w:val="14"/>
  </w:num>
  <w:num w:numId="8">
    <w:abstractNumId w:val="6"/>
  </w:num>
  <w:num w:numId="9">
    <w:abstractNumId w:val="11"/>
  </w:num>
  <w:num w:numId="10">
    <w:abstractNumId w:val="1"/>
  </w:num>
  <w:num w:numId="11">
    <w:abstractNumId w:val="18"/>
  </w:num>
  <w:num w:numId="12">
    <w:abstractNumId w:val="19"/>
  </w:num>
  <w:num w:numId="13">
    <w:abstractNumId w:val="13"/>
  </w:num>
  <w:num w:numId="14">
    <w:abstractNumId w:val="5"/>
  </w:num>
  <w:num w:numId="15">
    <w:abstractNumId w:val="9"/>
  </w:num>
  <w:num w:numId="16">
    <w:abstractNumId w:val="20"/>
  </w:num>
  <w:num w:numId="17">
    <w:abstractNumId w:val="10"/>
  </w:num>
  <w:num w:numId="18">
    <w:abstractNumId w:val="22"/>
  </w:num>
  <w:num w:numId="19">
    <w:abstractNumId w:val="12"/>
  </w:num>
  <w:num w:numId="20">
    <w:abstractNumId w:val="16"/>
  </w:num>
  <w:num w:numId="21">
    <w:abstractNumId w:val="17"/>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B2"/>
    <w:rsid w:val="00014749"/>
    <w:rsid w:val="00020DD3"/>
    <w:rsid w:val="0002191D"/>
    <w:rsid w:val="000270F2"/>
    <w:rsid w:val="00047105"/>
    <w:rsid w:val="00080019"/>
    <w:rsid w:val="00094CBB"/>
    <w:rsid w:val="001129E4"/>
    <w:rsid w:val="0014195E"/>
    <w:rsid w:val="00155FF1"/>
    <w:rsid w:val="00164AAB"/>
    <w:rsid w:val="001B41BD"/>
    <w:rsid w:val="001B49D3"/>
    <w:rsid w:val="001B7BC6"/>
    <w:rsid w:val="001C7CE4"/>
    <w:rsid w:val="00200288"/>
    <w:rsid w:val="00216C29"/>
    <w:rsid w:val="002218FC"/>
    <w:rsid w:val="00222FDB"/>
    <w:rsid w:val="00242B4B"/>
    <w:rsid w:val="00244ACE"/>
    <w:rsid w:val="00263095"/>
    <w:rsid w:val="002635D2"/>
    <w:rsid w:val="0028372F"/>
    <w:rsid w:val="002D0065"/>
    <w:rsid w:val="002D4D5A"/>
    <w:rsid w:val="002D7A57"/>
    <w:rsid w:val="00301EAF"/>
    <w:rsid w:val="00313740"/>
    <w:rsid w:val="00364FA2"/>
    <w:rsid w:val="00383696"/>
    <w:rsid w:val="003862C6"/>
    <w:rsid w:val="00387178"/>
    <w:rsid w:val="00390E77"/>
    <w:rsid w:val="003F2DFE"/>
    <w:rsid w:val="00434E60"/>
    <w:rsid w:val="004429B2"/>
    <w:rsid w:val="004459CB"/>
    <w:rsid w:val="00447C29"/>
    <w:rsid w:val="00470F73"/>
    <w:rsid w:val="004A0BEC"/>
    <w:rsid w:val="004A275F"/>
    <w:rsid w:val="004F2618"/>
    <w:rsid w:val="00517314"/>
    <w:rsid w:val="00523C15"/>
    <w:rsid w:val="00526F70"/>
    <w:rsid w:val="00527DE9"/>
    <w:rsid w:val="00573032"/>
    <w:rsid w:val="005A4B51"/>
    <w:rsid w:val="005F6919"/>
    <w:rsid w:val="0062189D"/>
    <w:rsid w:val="00646FC5"/>
    <w:rsid w:val="0065061F"/>
    <w:rsid w:val="00652D2F"/>
    <w:rsid w:val="00660736"/>
    <w:rsid w:val="006607E8"/>
    <w:rsid w:val="00677BDA"/>
    <w:rsid w:val="00683C62"/>
    <w:rsid w:val="006A1B48"/>
    <w:rsid w:val="006C5A11"/>
    <w:rsid w:val="007142BB"/>
    <w:rsid w:val="00756F80"/>
    <w:rsid w:val="007B091F"/>
    <w:rsid w:val="007D3687"/>
    <w:rsid w:val="007E6682"/>
    <w:rsid w:val="007F72B5"/>
    <w:rsid w:val="00862A8B"/>
    <w:rsid w:val="008630D5"/>
    <w:rsid w:val="00874849"/>
    <w:rsid w:val="00881ACD"/>
    <w:rsid w:val="00882189"/>
    <w:rsid w:val="00882B2E"/>
    <w:rsid w:val="0088365D"/>
    <w:rsid w:val="00892BCC"/>
    <w:rsid w:val="008C759F"/>
    <w:rsid w:val="00966E14"/>
    <w:rsid w:val="00997FA1"/>
    <w:rsid w:val="009B5B23"/>
    <w:rsid w:val="009C4CCC"/>
    <w:rsid w:val="009D4610"/>
    <w:rsid w:val="009E2971"/>
    <w:rsid w:val="00A42F7D"/>
    <w:rsid w:val="00A43B23"/>
    <w:rsid w:val="00A646F1"/>
    <w:rsid w:val="00A66C46"/>
    <w:rsid w:val="00A97A1C"/>
    <w:rsid w:val="00AD146E"/>
    <w:rsid w:val="00AD5DE8"/>
    <w:rsid w:val="00B05D3F"/>
    <w:rsid w:val="00B32D20"/>
    <w:rsid w:val="00B36DED"/>
    <w:rsid w:val="00B744CD"/>
    <w:rsid w:val="00B74F7A"/>
    <w:rsid w:val="00B91A63"/>
    <w:rsid w:val="00BE543C"/>
    <w:rsid w:val="00C01BBF"/>
    <w:rsid w:val="00C07E23"/>
    <w:rsid w:val="00C147DF"/>
    <w:rsid w:val="00C2374D"/>
    <w:rsid w:val="00C2546A"/>
    <w:rsid w:val="00C43676"/>
    <w:rsid w:val="00C54AC6"/>
    <w:rsid w:val="00CA2C75"/>
    <w:rsid w:val="00CC05E9"/>
    <w:rsid w:val="00CC539B"/>
    <w:rsid w:val="00CE0C84"/>
    <w:rsid w:val="00CE2941"/>
    <w:rsid w:val="00CF768E"/>
    <w:rsid w:val="00D12513"/>
    <w:rsid w:val="00D37415"/>
    <w:rsid w:val="00D81C0F"/>
    <w:rsid w:val="00DA10BF"/>
    <w:rsid w:val="00DA4C6C"/>
    <w:rsid w:val="00DB0D91"/>
    <w:rsid w:val="00DB3C0A"/>
    <w:rsid w:val="00DC1392"/>
    <w:rsid w:val="00E045EE"/>
    <w:rsid w:val="00E266DB"/>
    <w:rsid w:val="00E3286C"/>
    <w:rsid w:val="00E520E2"/>
    <w:rsid w:val="00E60FD7"/>
    <w:rsid w:val="00E66810"/>
    <w:rsid w:val="00E6708A"/>
    <w:rsid w:val="00E971F0"/>
    <w:rsid w:val="00EB2D2B"/>
    <w:rsid w:val="00EB6CDF"/>
    <w:rsid w:val="00F36182"/>
    <w:rsid w:val="00F65230"/>
    <w:rsid w:val="00F9674F"/>
    <w:rsid w:val="00F96B6E"/>
    <w:rsid w:val="00F96D79"/>
    <w:rsid w:val="00FA5296"/>
    <w:rsid w:val="00FB15DA"/>
    <w:rsid w:val="00FC61E5"/>
    <w:rsid w:val="00FD3330"/>
    <w:rsid w:val="00FD33DE"/>
    <w:rsid w:val="00FD5F4A"/>
    <w:rsid w:val="00FF0B02"/>
    <w:rsid w:val="00FF1656"/>
    <w:rsid w:val="00FF3027"/>
    <w:rsid w:val="00FF3110"/>
    <w:rsid w:val="00FF49C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FF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417"/>
  </w:style>
  <w:style w:type="paragraph" w:styleId="Heading1">
    <w:name w:val="heading 1"/>
    <w:basedOn w:val="NormalWeb"/>
    <w:next w:val="Normal"/>
    <w:link w:val="Heading1Char"/>
    <w:uiPriority w:val="9"/>
    <w:qFormat/>
    <w:rsid w:val="00F65230"/>
    <w:pPr>
      <w:spacing w:before="2" w:after="2"/>
      <w:jc w:val="center"/>
      <w:outlineLvl w:val="0"/>
    </w:pPr>
    <w:rPr>
      <w:rFonts w:asciiTheme="majorHAnsi" w:hAnsiTheme="majorHAnsi" w:cstheme="majorHAnsi"/>
      <w:b/>
      <w:color w:val="000000" w:themeColor="text1"/>
      <w:sz w:val="28"/>
      <w:szCs w:val="28"/>
    </w:rPr>
  </w:style>
  <w:style w:type="paragraph" w:styleId="Heading2">
    <w:name w:val="heading 2"/>
    <w:basedOn w:val="NormalWeb"/>
    <w:next w:val="Normal"/>
    <w:link w:val="Heading2Char"/>
    <w:uiPriority w:val="9"/>
    <w:unhideWhenUsed/>
    <w:qFormat/>
    <w:rsid w:val="00F65230"/>
    <w:pPr>
      <w:spacing w:before="2" w:after="2"/>
      <w:jc w:val="both"/>
      <w:outlineLvl w:val="1"/>
    </w:pPr>
    <w:rPr>
      <w:rFonts w:asciiTheme="majorHAnsi" w:hAnsiTheme="majorHAnsi" w:cstheme="majorHAnsi"/>
      <w:b/>
      <w:color w:val="000000" w:themeColor="text1"/>
      <w:sz w:val="22"/>
      <w:szCs w:val="22"/>
    </w:rPr>
  </w:style>
  <w:style w:type="paragraph" w:styleId="Heading3">
    <w:name w:val="heading 3"/>
    <w:basedOn w:val="NormalWeb"/>
    <w:next w:val="Normal"/>
    <w:link w:val="Heading3Char"/>
    <w:uiPriority w:val="9"/>
    <w:unhideWhenUsed/>
    <w:qFormat/>
    <w:rsid w:val="00F65230"/>
    <w:pPr>
      <w:spacing w:before="2" w:after="2"/>
      <w:jc w:val="both"/>
      <w:outlineLvl w:val="2"/>
    </w:pPr>
    <w:rPr>
      <w:rFonts w:asciiTheme="majorHAnsi" w:hAnsiTheme="majorHAnsi" w:cstheme="majorHAnsi"/>
      <w:b/>
      <w:color w:val="000000" w:themeColor="text1"/>
      <w:sz w:val="22"/>
      <w:szCs w:val="22"/>
    </w:rPr>
  </w:style>
  <w:style w:type="paragraph" w:styleId="Heading4">
    <w:name w:val="heading 4"/>
    <w:basedOn w:val="NormalWeb"/>
    <w:next w:val="Normal"/>
    <w:link w:val="Heading4Char"/>
    <w:uiPriority w:val="9"/>
    <w:unhideWhenUsed/>
    <w:qFormat/>
    <w:rsid w:val="00F65230"/>
    <w:pPr>
      <w:spacing w:before="2" w:after="2"/>
      <w:jc w:val="both"/>
      <w:outlineLvl w:val="3"/>
    </w:pPr>
    <w:rPr>
      <w:rFonts w:asciiTheme="majorHAnsi" w:hAnsiTheme="majorHAnsi" w:cstheme="majorHAnsi"/>
      <w:b/>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429B2"/>
    <w:pPr>
      <w:spacing w:beforeLines="1" w:afterLines="1"/>
    </w:pPr>
    <w:rPr>
      <w:rFonts w:ascii="Times" w:eastAsiaTheme="minorEastAsia" w:hAnsi="Times" w:cs="Times New Roman"/>
      <w:sz w:val="20"/>
      <w:szCs w:val="20"/>
      <w:lang w:val="en-GB"/>
    </w:rPr>
  </w:style>
  <w:style w:type="paragraph" w:styleId="Footer">
    <w:name w:val="footer"/>
    <w:basedOn w:val="Normal"/>
    <w:link w:val="FooterChar"/>
    <w:uiPriority w:val="99"/>
    <w:unhideWhenUsed/>
    <w:rsid w:val="001B49D3"/>
    <w:pPr>
      <w:tabs>
        <w:tab w:val="center" w:pos="4320"/>
        <w:tab w:val="right" w:pos="8640"/>
      </w:tabs>
    </w:pPr>
  </w:style>
  <w:style w:type="character" w:customStyle="1" w:styleId="FooterChar">
    <w:name w:val="Footer Char"/>
    <w:basedOn w:val="DefaultParagraphFont"/>
    <w:link w:val="Footer"/>
    <w:uiPriority w:val="99"/>
    <w:rsid w:val="001B49D3"/>
  </w:style>
  <w:style w:type="character" w:styleId="PageNumber">
    <w:name w:val="page number"/>
    <w:basedOn w:val="DefaultParagraphFont"/>
    <w:uiPriority w:val="99"/>
    <w:semiHidden/>
    <w:unhideWhenUsed/>
    <w:rsid w:val="001B49D3"/>
  </w:style>
  <w:style w:type="paragraph" w:styleId="ListParagraph">
    <w:name w:val="List Paragraph"/>
    <w:basedOn w:val="Normal"/>
    <w:uiPriority w:val="34"/>
    <w:qFormat/>
    <w:rsid w:val="004A0BEC"/>
    <w:pPr>
      <w:ind w:left="720"/>
      <w:contextualSpacing/>
    </w:pPr>
  </w:style>
  <w:style w:type="paragraph" w:styleId="Header">
    <w:name w:val="header"/>
    <w:basedOn w:val="Normal"/>
    <w:link w:val="HeaderChar"/>
    <w:uiPriority w:val="99"/>
    <w:unhideWhenUsed/>
    <w:rsid w:val="00B91A63"/>
    <w:pPr>
      <w:tabs>
        <w:tab w:val="center" w:pos="4513"/>
        <w:tab w:val="right" w:pos="9026"/>
      </w:tabs>
    </w:pPr>
  </w:style>
  <w:style w:type="character" w:customStyle="1" w:styleId="HeaderChar">
    <w:name w:val="Header Char"/>
    <w:basedOn w:val="DefaultParagraphFont"/>
    <w:link w:val="Header"/>
    <w:uiPriority w:val="99"/>
    <w:rsid w:val="00B91A63"/>
  </w:style>
  <w:style w:type="character" w:styleId="CommentReference">
    <w:name w:val="annotation reference"/>
    <w:basedOn w:val="DefaultParagraphFont"/>
    <w:uiPriority w:val="99"/>
    <w:semiHidden/>
    <w:unhideWhenUsed/>
    <w:rsid w:val="00D81C0F"/>
    <w:rPr>
      <w:sz w:val="16"/>
      <w:szCs w:val="16"/>
    </w:rPr>
  </w:style>
  <w:style w:type="paragraph" w:styleId="CommentText">
    <w:name w:val="annotation text"/>
    <w:basedOn w:val="Normal"/>
    <w:link w:val="CommentTextChar"/>
    <w:uiPriority w:val="99"/>
    <w:semiHidden/>
    <w:unhideWhenUsed/>
    <w:rsid w:val="00D81C0F"/>
    <w:rPr>
      <w:sz w:val="20"/>
      <w:szCs w:val="20"/>
    </w:rPr>
  </w:style>
  <w:style w:type="character" w:customStyle="1" w:styleId="CommentTextChar">
    <w:name w:val="Comment Text Char"/>
    <w:basedOn w:val="DefaultParagraphFont"/>
    <w:link w:val="CommentText"/>
    <w:uiPriority w:val="99"/>
    <w:semiHidden/>
    <w:rsid w:val="00D81C0F"/>
    <w:rPr>
      <w:sz w:val="20"/>
      <w:szCs w:val="20"/>
    </w:rPr>
  </w:style>
  <w:style w:type="paragraph" w:styleId="CommentSubject">
    <w:name w:val="annotation subject"/>
    <w:basedOn w:val="CommentText"/>
    <w:next w:val="CommentText"/>
    <w:link w:val="CommentSubjectChar"/>
    <w:uiPriority w:val="99"/>
    <w:semiHidden/>
    <w:unhideWhenUsed/>
    <w:rsid w:val="00D81C0F"/>
    <w:rPr>
      <w:b/>
      <w:bCs/>
    </w:rPr>
  </w:style>
  <w:style w:type="character" w:customStyle="1" w:styleId="CommentSubjectChar">
    <w:name w:val="Comment Subject Char"/>
    <w:basedOn w:val="CommentTextChar"/>
    <w:link w:val="CommentSubject"/>
    <w:uiPriority w:val="99"/>
    <w:semiHidden/>
    <w:rsid w:val="00D81C0F"/>
    <w:rPr>
      <w:b/>
      <w:bCs/>
      <w:sz w:val="20"/>
      <w:szCs w:val="20"/>
    </w:rPr>
  </w:style>
  <w:style w:type="paragraph" w:styleId="Revision">
    <w:name w:val="Revision"/>
    <w:hidden/>
    <w:uiPriority w:val="99"/>
    <w:semiHidden/>
    <w:rsid w:val="00D81C0F"/>
  </w:style>
  <w:style w:type="paragraph" w:styleId="BalloonText">
    <w:name w:val="Balloon Text"/>
    <w:basedOn w:val="Normal"/>
    <w:link w:val="BalloonTextChar"/>
    <w:uiPriority w:val="99"/>
    <w:semiHidden/>
    <w:unhideWhenUsed/>
    <w:rsid w:val="00D81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C0F"/>
    <w:rPr>
      <w:rFonts w:ascii="Segoe UI" w:hAnsi="Segoe UI" w:cs="Segoe UI"/>
      <w:sz w:val="18"/>
      <w:szCs w:val="18"/>
    </w:rPr>
  </w:style>
  <w:style w:type="paragraph" w:styleId="FootnoteText">
    <w:name w:val="footnote text"/>
    <w:basedOn w:val="Normal"/>
    <w:link w:val="FootnoteTextChar"/>
    <w:uiPriority w:val="99"/>
    <w:semiHidden/>
    <w:unhideWhenUsed/>
    <w:rsid w:val="00A42F7D"/>
    <w:rPr>
      <w:sz w:val="20"/>
      <w:szCs w:val="20"/>
    </w:rPr>
  </w:style>
  <w:style w:type="character" w:customStyle="1" w:styleId="FootnoteTextChar">
    <w:name w:val="Footnote Text Char"/>
    <w:basedOn w:val="DefaultParagraphFont"/>
    <w:link w:val="FootnoteText"/>
    <w:uiPriority w:val="99"/>
    <w:semiHidden/>
    <w:rsid w:val="00A42F7D"/>
    <w:rPr>
      <w:sz w:val="20"/>
      <w:szCs w:val="20"/>
    </w:rPr>
  </w:style>
  <w:style w:type="character" w:styleId="FootnoteReference">
    <w:name w:val="footnote reference"/>
    <w:basedOn w:val="DefaultParagraphFont"/>
    <w:uiPriority w:val="99"/>
    <w:semiHidden/>
    <w:unhideWhenUsed/>
    <w:rsid w:val="00A42F7D"/>
    <w:rPr>
      <w:vertAlign w:val="superscript"/>
    </w:rPr>
  </w:style>
  <w:style w:type="character" w:styleId="Hyperlink">
    <w:name w:val="Hyperlink"/>
    <w:basedOn w:val="DefaultParagraphFont"/>
    <w:uiPriority w:val="99"/>
    <w:unhideWhenUsed/>
    <w:rsid w:val="00523C15"/>
    <w:rPr>
      <w:color w:val="0000FF" w:themeColor="hyperlink"/>
      <w:u w:val="single"/>
    </w:rPr>
  </w:style>
  <w:style w:type="character" w:customStyle="1" w:styleId="UnresolvedMention1">
    <w:name w:val="Unresolved Mention1"/>
    <w:basedOn w:val="DefaultParagraphFont"/>
    <w:uiPriority w:val="99"/>
    <w:semiHidden/>
    <w:unhideWhenUsed/>
    <w:rsid w:val="00523C15"/>
    <w:rPr>
      <w:color w:val="808080"/>
      <w:shd w:val="clear" w:color="auto" w:fill="E6E6E6"/>
    </w:rPr>
  </w:style>
  <w:style w:type="character" w:customStyle="1" w:styleId="Heading1Char">
    <w:name w:val="Heading 1 Char"/>
    <w:basedOn w:val="DefaultParagraphFont"/>
    <w:link w:val="Heading1"/>
    <w:uiPriority w:val="9"/>
    <w:rsid w:val="00F65230"/>
    <w:rPr>
      <w:rFonts w:asciiTheme="majorHAnsi" w:eastAsiaTheme="minorEastAsia" w:hAnsiTheme="majorHAnsi" w:cstheme="majorHAnsi"/>
      <w:b/>
      <w:color w:val="000000" w:themeColor="text1"/>
      <w:sz w:val="28"/>
      <w:szCs w:val="28"/>
      <w:lang w:val="en-GB"/>
    </w:rPr>
  </w:style>
  <w:style w:type="character" w:customStyle="1" w:styleId="Heading2Char">
    <w:name w:val="Heading 2 Char"/>
    <w:basedOn w:val="DefaultParagraphFont"/>
    <w:link w:val="Heading2"/>
    <w:uiPriority w:val="9"/>
    <w:rsid w:val="00F65230"/>
    <w:rPr>
      <w:rFonts w:asciiTheme="majorHAnsi" w:eastAsiaTheme="minorEastAsia" w:hAnsiTheme="majorHAnsi" w:cstheme="majorHAnsi"/>
      <w:b/>
      <w:color w:val="000000" w:themeColor="text1"/>
      <w:sz w:val="22"/>
      <w:szCs w:val="22"/>
      <w:lang w:val="en-GB"/>
    </w:rPr>
  </w:style>
  <w:style w:type="character" w:customStyle="1" w:styleId="Heading3Char">
    <w:name w:val="Heading 3 Char"/>
    <w:basedOn w:val="DefaultParagraphFont"/>
    <w:link w:val="Heading3"/>
    <w:uiPriority w:val="9"/>
    <w:rsid w:val="00F65230"/>
    <w:rPr>
      <w:rFonts w:asciiTheme="majorHAnsi" w:eastAsiaTheme="minorEastAsia" w:hAnsiTheme="majorHAnsi" w:cstheme="majorHAnsi"/>
      <w:b/>
      <w:color w:val="000000" w:themeColor="text1"/>
      <w:sz w:val="22"/>
      <w:szCs w:val="22"/>
      <w:lang w:val="en-GB"/>
    </w:rPr>
  </w:style>
  <w:style w:type="character" w:customStyle="1" w:styleId="Heading4Char">
    <w:name w:val="Heading 4 Char"/>
    <w:basedOn w:val="DefaultParagraphFont"/>
    <w:link w:val="Heading4"/>
    <w:uiPriority w:val="9"/>
    <w:rsid w:val="00F65230"/>
    <w:rPr>
      <w:rFonts w:asciiTheme="majorHAnsi" w:eastAsiaTheme="minorEastAsia" w:hAnsiTheme="majorHAnsi" w:cstheme="majorHAnsi"/>
      <w:b/>
      <w:color w:val="000000" w:themeColor="text1"/>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0122">
      <w:bodyDiv w:val="1"/>
      <w:marLeft w:val="0"/>
      <w:marRight w:val="0"/>
      <w:marTop w:val="0"/>
      <w:marBottom w:val="0"/>
      <w:divBdr>
        <w:top w:val="none" w:sz="0" w:space="0" w:color="auto"/>
        <w:left w:val="none" w:sz="0" w:space="0" w:color="auto"/>
        <w:bottom w:val="none" w:sz="0" w:space="0" w:color="auto"/>
        <w:right w:val="none" w:sz="0" w:space="0" w:color="auto"/>
      </w:divBdr>
      <w:divsChild>
        <w:div w:id="200558707">
          <w:marLeft w:val="0"/>
          <w:marRight w:val="0"/>
          <w:marTop w:val="0"/>
          <w:marBottom w:val="0"/>
          <w:divBdr>
            <w:top w:val="none" w:sz="0" w:space="0" w:color="auto"/>
            <w:left w:val="none" w:sz="0" w:space="0" w:color="auto"/>
            <w:bottom w:val="none" w:sz="0" w:space="0" w:color="auto"/>
            <w:right w:val="none" w:sz="0" w:space="0" w:color="auto"/>
          </w:divBdr>
          <w:divsChild>
            <w:div w:id="1498380664">
              <w:marLeft w:val="0"/>
              <w:marRight w:val="0"/>
              <w:marTop w:val="0"/>
              <w:marBottom w:val="0"/>
              <w:divBdr>
                <w:top w:val="none" w:sz="0" w:space="0" w:color="auto"/>
                <w:left w:val="none" w:sz="0" w:space="0" w:color="auto"/>
                <w:bottom w:val="none" w:sz="0" w:space="0" w:color="auto"/>
                <w:right w:val="none" w:sz="0" w:space="0" w:color="auto"/>
              </w:divBdr>
              <w:divsChild>
                <w:div w:id="141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7291">
      <w:bodyDiv w:val="1"/>
      <w:marLeft w:val="0"/>
      <w:marRight w:val="0"/>
      <w:marTop w:val="0"/>
      <w:marBottom w:val="0"/>
      <w:divBdr>
        <w:top w:val="none" w:sz="0" w:space="0" w:color="auto"/>
        <w:left w:val="none" w:sz="0" w:space="0" w:color="auto"/>
        <w:bottom w:val="none" w:sz="0" w:space="0" w:color="auto"/>
        <w:right w:val="none" w:sz="0" w:space="0" w:color="auto"/>
      </w:divBdr>
      <w:divsChild>
        <w:div w:id="925650653">
          <w:marLeft w:val="0"/>
          <w:marRight w:val="0"/>
          <w:marTop w:val="0"/>
          <w:marBottom w:val="0"/>
          <w:divBdr>
            <w:top w:val="none" w:sz="0" w:space="0" w:color="auto"/>
            <w:left w:val="none" w:sz="0" w:space="0" w:color="auto"/>
            <w:bottom w:val="none" w:sz="0" w:space="0" w:color="auto"/>
            <w:right w:val="none" w:sz="0" w:space="0" w:color="auto"/>
          </w:divBdr>
          <w:divsChild>
            <w:div w:id="902712146">
              <w:marLeft w:val="0"/>
              <w:marRight w:val="0"/>
              <w:marTop w:val="0"/>
              <w:marBottom w:val="0"/>
              <w:divBdr>
                <w:top w:val="none" w:sz="0" w:space="0" w:color="auto"/>
                <w:left w:val="none" w:sz="0" w:space="0" w:color="auto"/>
                <w:bottom w:val="none" w:sz="0" w:space="0" w:color="auto"/>
                <w:right w:val="none" w:sz="0" w:space="0" w:color="auto"/>
              </w:divBdr>
              <w:divsChild>
                <w:div w:id="18508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5919">
      <w:bodyDiv w:val="1"/>
      <w:marLeft w:val="0"/>
      <w:marRight w:val="0"/>
      <w:marTop w:val="0"/>
      <w:marBottom w:val="0"/>
      <w:divBdr>
        <w:top w:val="none" w:sz="0" w:space="0" w:color="auto"/>
        <w:left w:val="none" w:sz="0" w:space="0" w:color="auto"/>
        <w:bottom w:val="none" w:sz="0" w:space="0" w:color="auto"/>
        <w:right w:val="none" w:sz="0" w:space="0" w:color="auto"/>
      </w:divBdr>
      <w:divsChild>
        <w:div w:id="793988365">
          <w:marLeft w:val="0"/>
          <w:marRight w:val="0"/>
          <w:marTop w:val="0"/>
          <w:marBottom w:val="0"/>
          <w:divBdr>
            <w:top w:val="none" w:sz="0" w:space="0" w:color="auto"/>
            <w:left w:val="none" w:sz="0" w:space="0" w:color="auto"/>
            <w:bottom w:val="none" w:sz="0" w:space="0" w:color="auto"/>
            <w:right w:val="none" w:sz="0" w:space="0" w:color="auto"/>
          </w:divBdr>
          <w:divsChild>
            <w:div w:id="862397774">
              <w:marLeft w:val="0"/>
              <w:marRight w:val="0"/>
              <w:marTop w:val="0"/>
              <w:marBottom w:val="0"/>
              <w:divBdr>
                <w:top w:val="none" w:sz="0" w:space="0" w:color="auto"/>
                <w:left w:val="none" w:sz="0" w:space="0" w:color="auto"/>
                <w:bottom w:val="none" w:sz="0" w:space="0" w:color="auto"/>
                <w:right w:val="none" w:sz="0" w:space="0" w:color="auto"/>
              </w:divBdr>
              <w:divsChild>
                <w:div w:id="16922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1658">
      <w:bodyDiv w:val="1"/>
      <w:marLeft w:val="0"/>
      <w:marRight w:val="0"/>
      <w:marTop w:val="0"/>
      <w:marBottom w:val="0"/>
      <w:divBdr>
        <w:top w:val="none" w:sz="0" w:space="0" w:color="auto"/>
        <w:left w:val="none" w:sz="0" w:space="0" w:color="auto"/>
        <w:bottom w:val="none" w:sz="0" w:space="0" w:color="auto"/>
        <w:right w:val="none" w:sz="0" w:space="0" w:color="auto"/>
      </w:divBdr>
      <w:divsChild>
        <w:div w:id="90786718">
          <w:marLeft w:val="0"/>
          <w:marRight w:val="0"/>
          <w:marTop w:val="0"/>
          <w:marBottom w:val="0"/>
          <w:divBdr>
            <w:top w:val="none" w:sz="0" w:space="0" w:color="auto"/>
            <w:left w:val="none" w:sz="0" w:space="0" w:color="auto"/>
            <w:bottom w:val="none" w:sz="0" w:space="0" w:color="auto"/>
            <w:right w:val="none" w:sz="0" w:space="0" w:color="auto"/>
          </w:divBdr>
          <w:divsChild>
            <w:div w:id="1080443872">
              <w:marLeft w:val="0"/>
              <w:marRight w:val="0"/>
              <w:marTop w:val="0"/>
              <w:marBottom w:val="0"/>
              <w:divBdr>
                <w:top w:val="none" w:sz="0" w:space="0" w:color="auto"/>
                <w:left w:val="none" w:sz="0" w:space="0" w:color="auto"/>
                <w:bottom w:val="none" w:sz="0" w:space="0" w:color="auto"/>
                <w:right w:val="none" w:sz="0" w:space="0" w:color="auto"/>
              </w:divBdr>
              <w:divsChild>
                <w:div w:id="1684209836">
                  <w:marLeft w:val="0"/>
                  <w:marRight w:val="0"/>
                  <w:marTop w:val="0"/>
                  <w:marBottom w:val="0"/>
                  <w:divBdr>
                    <w:top w:val="none" w:sz="0" w:space="0" w:color="auto"/>
                    <w:left w:val="none" w:sz="0" w:space="0" w:color="auto"/>
                    <w:bottom w:val="none" w:sz="0" w:space="0" w:color="auto"/>
                    <w:right w:val="none" w:sz="0" w:space="0" w:color="auto"/>
                  </w:divBdr>
                  <w:divsChild>
                    <w:div w:id="18132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24913">
      <w:bodyDiv w:val="1"/>
      <w:marLeft w:val="0"/>
      <w:marRight w:val="0"/>
      <w:marTop w:val="0"/>
      <w:marBottom w:val="0"/>
      <w:divBdr>
        <w:top w:val="none" w:sz="0" w:space="0" w:color="auto"/>
        <w:left w:val="none" w:sz="0" w:space="0" w:color="auto"/>
        <w:bottom w:val="none" w:sz="0" w:space="0" w:color="auto"/>
        <w:right w:val="none" w:sz="0" w:space="0" w:color="auto"/>
      </w:divBdr>
      <w:divsChild>
        <w:div w:id="221915977">
          <w:marLeft w:val="0"/>
          <w:marRight w:val="0"/>
          <w:marTop w:val="0"/>
          <w:marBottom w:val="0"/>
          <w:divBdr>
            <w:top w:val="none" w:sz="0" w:space="0" w:color="auto"/>
            <w:left w:val="none" w:sz="0" w:space="0" w:color="auto"/>
            <w:bottom w:val="none" w:sz="0" w:space="0" w:color="auto"/>
            <w:right w:val="none" w:sz="0" w:space="0" w:color="auto"/>
          </w:divBdr>
          <w:divsChild>
            <w:div w:id="1519418827">
              <w:marLeft w:val="0"/>
              <w:marRight w:val="0"/>
              <w:marTop w:val="0"/>
              <w:marBottom w:val="0"/>
              <w:divBdr>
                <w:top w:val="none" w:sz="0" w:space="0" w:color="auto"/>
                <w:left w:val="none" w:sz="0" w:space="0" w:color="auto"/>
                <w:bottom w:val="none" w:sz="0" w:space="0" w:color="auto"/>
                <w:right w:val="none" w:sz="0" w:space="0" w:color="auto"/>
              </w:divBdr>
              <w:divsChild>
                <w:div w:id="118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7487">
      <w:bodyDiv w:val="1"/>
      <w:marLeft w:val="0"/>
      <w:marRight w:val="0"/>
      <w:marTop w:val="0"/>
      <w:marBottom w:val="0"/>
      <w:divBdr>
        <w:top w:val="none" w:sz="0" w:space="0" w:color="auto"/>
        <w:left w:val="none" w:sz="0" w:space="0" w:color="auto"/>
        <w:bottom w:val="none" w:sz="0" w:space="0" w:color="auto"/>
        <w:right w:val="none" w:sz="0" w:space="0" w:color="auto"/>
      </w:divBdr>
      <w:divsChild>
        <w:div w:id="1892693673">
          <w:marLeft w:val="0"/>
          <w:marRight w:val="0"/>
          <w:marTop w:val="0"/>
          <w:marBottom w:val="0"/>
          <w:divBdr>
            <w:top w:val="none" w:sz="0" w:space="0" w:color="auto"/>
            <w:left w:val="none" w:sz="0" w:space="0" w:color="auto"/>
            <w:bottom w:val="none" w:sz="0" w:space="0" w:color="auto"/>
            <w:right w:val="none" w:sz="0" w:space="0" w:color="auto"/>
          </w:divBdr>
          <w:divsChild>
            <w:div w:id="328406904">
              <w:marLeft w:val="0"/>
              <w:marRight w:val="0"/>
              <w:marTop w:val="0"/>
              <w:marBottom w:val="0"/>
              <w:divBdr>
                <w:top w:val="none" w:sz="0" w:space="0" w:color="auto"/>
                <w:left w:val="none" w:sz="0" w:space="0" w:color="auto"/>
                <w:bottom w:val="none" w:sz="0" w:space="0" w:color="auto"/>
                <w:right w:val="none" w:sz="0" w:space="0" w:color="auto"/>
              </w:divBdr>
              <w:divsChild>
                <w:div w:id="493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2408">
      <w:bodyDiv w:val="1"/>
      <w:marLeft w:val="0"/>
      <w:marRight w:val="0"/>
      <w:marTop w:val="0"/>
      <w:marBottom w:val="0"/>
      <w:divBdr>
        <w:top w:val="none" w:sz="0" w:space="0" w:color="auto"/>
        <w:left w:val="none" w:sz="0" w:space="0" w:color="auto"/>
        <w:bottom w:val="none" w:sz="0" w:space="0" w:color="auto"/>
        <w:right w:val="none" w:sz="0" w:space="0" w:color="auto"/>
      </w:divBdr>
    </w:div>
    <w:div w:id="1053847077">
      <w:bodyDiv w:val="1"/>
      <w:marLeft w:val="0"/>
      <w:marRight w:val="0"/>
      <w:marTop w:val="0"/>
      <w:marBottom w:val="0"/>
      <w:divBdr>
        <w:top w:val="none" w:sz="0" w:space="0" w:color="auto"/>
        <w:left w:val="none" w:sz="0" w:space="0" w:color="auto"/>
        <w:bottom w:val="none" w:sz="0" w:space="0" w:color="auto"/>
        <w:right w:val="none" w:sz="0" w:space="0" w:color="auto"/>
      </w:divBdr>
      <w:divsChild>
        <w:div w:id="1984117305">
          <w:marLeft w:val="0"/>
          <w:marRight w:val="0"/>
          <w:marTop w:val="0"/>
          <w:marBottom w:val="0"/>
          <w:divBdr>
            <w:top w:val="none" w:sz="0" w:space="0" w:color="auto"/>
            <w:left w:val="none" w:sz="0" w:space="0" w:color="auto"/>
            <w:bottom w:val="none" w:sz="0" w:space="0" w:color="auto"/>
            <w:right w:val="none" w:sz="0" w:space="0" w:color="auto"/>
          </w:divBdr>
          <w:divsChild>
            <w:div w:id="500118344">
              <w:marLeft w:val="0"/>
              <w:marRight w:val="0"/>
              <w:marTop w:val="0"/>
              <w:marBottom w:val="0"/>
              <w:divBdr>
                <w:top w:val="none" w:sz="0" w:space="0" w:color="auto"/>
                <w:left w:val="none" w:sz="0" w:space="0" w:color="auto"/>
                <w:bottom w:val="none" w:sz="0" w:space="0" w:color="auto"/>
                <w:right w:val="none" w:sz="0" w:space="0" w:color="auto"/>
              </w:divBdr>
              <w:divsChild>
                <w:div w:id="245111614">
                  <w:marLeft w:val="0"/>
                  <w:marRight w:val="0"/>
                  <w:marTop w:val="0"/>
                  <w:marBottom w:val="0"/>
                  <w:divBdr>
                    <w:top w:val="none" w:sz="0" w:space="0" w:color="auto"/>
                    <w:left w:val="none" w:sz="0" w:space="0" w:color="auto"/>
                    <w:bottom w:val="none" w:sz="0" w:space="0" w:color="auto"/>
                    <w:right w:val="none" w:sz="0" w:space="0" w:color="auto"/>
                  </w:divBdr>
                  <w:divsChild>
                    <w:div w:id="14606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374391">
      <w:bodyDiv w:val="1"/>
      <w:marLeft w:val="0"/>
      <w:marRight w:val="0"/>
      <w:marTop w:val="0"/>
      <w:marBottom w:val="0"/>
      <w:divBdr>
        <w:top w:val="none" w:sz="0" w:space="0" w:color="auto"/>
        <w:left w:val="none" w:sz="0" w:space="0" w:color="auto"/>
        <w:bottom w:val="none" w:sz="0" w:space="0" w:color="auto"/>
        <w:right w:val="none" w:sz="0" w:space="0" w:color="auto"/>
      </w:divBdr>
      <w:divsChild>
        <w:div w:id="1446995640">
          <w:marLeft w:val="0"/>
          <w:marRight w:val="0"/>
          <w:marTop w:val="0"/>
          <w:marBottom w:val="0"/>
          <w:divBdr>
            <w:top w:val="none" w:sz="0" w:space="0" w:color="auto"/>
            <w:left w:val="none" w:sz="0" w:space="0" w:color="auto"/>
            <w:bottom w:val="none" w:sz="0" w:space="0" w:color="auto"/>
            <w:right w:val="none" w:sz="0" w:space="0" w:color="auto"/>
          </w:divBdr>
          <w:divsChild>
            <w:div w:id="1666544120">
              <w:marLeft w:val="0"/>
              <w:marRight w:val="0"/>
              <w:marTop w:val="0"/>
              <w:marBottom w:val="0"/>
              <w:divBdr>
                <w:top w:val="none" w:sz="0" w:space="0" w:color="auto"/>
                <w:left w:val="none" w:sz="0" w:space="0" w:color="auto"/>
                <w:bottom w:val="none" w:sz="0" w:space="0" w:color="auto"/>
                <w:right w:val="none" w:sz="0" w:space="0" w:color="auto"/>
              </w:divBdr>
              <w:divsChild>
                <w:div w:id="2055306832">
                  <w:marLeft w:val="0"/>
                  <w:marRight w:val="0"/>
                  <w:marTop w:val="0"/>
                  <w:marBottom w:val="0"/>
                  <w:divBdr>
                    <w:top w:val="none" w:sz="0" w:space="0" w:color="auto"/>
                    <w:left w:val="none" w:sz="0" w:space="0" w:color="auto"/>
                    <w:bottom w:val="none" w:sz="0" w:space="0" w:color="auto"/>
                    <w:right w:val="none" w:sz="0" w:space="0" w:color="auto"/>
                  </w:divBdr>
                  <w:divsChild>
                    <w:div w:id="16956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42143">
      <w:bodyDiv w:val="1"/>
      <w:marLeft w:val="0"/>
      <w:marRight w:val="0"/>
      <w:marTop w:val="0"/>
      <w:marBottom w:val="0"/>
      <w:divBdr>
        <w:top w:val="none" w:sz="0" w:space="0" w:color="auto"/>
        <w:left w:val="none" w:sz="0" w:space="0" w:color="auto"/>
        <w:bottom w:val="none" w:sz="0" w:space="0" w:color="auto"/>
        <w:right w:val="none" w:sz="0" w:space="0" w:color="auto"/>
      </w:divBdr>
      <w:divsChild>
        <w:div w:id="1833569096">
          <w:marLeft w:val="0"/>
          <w:marRight w:val="0"/>
          <w:marTop w:val="0"/>
          <w:marBottom w:val="0"/>
          <w:divBdr>
            <w:top w:val="none" w:sz="0" w:space="0" w:color="auto"/>
            <w:left w:val="none" w:sz="0" w:space="0" w:color="auto"/>
            <w:bottom w:val="none" w:sz="0" w:space="0" w:color="auto"/>
            <w:right w:val="none" w:sz="0" w:space="0" w:color="auto"/>
          </w:divBdr>
          <w:divsChild>
            <w:div w:id="1254898718">
              <w:marLeft w:val="0"/>
              <w:marRight w:val="0"/>
              <w:marTop w:val="0"/>
              <w:marBottom w:val="0"/>
              <w:divBdr>
                <w:top w:val="none" w:sz="0" w:space="0" w:color="auto"/>
                <w:left w:val="none" w:sz="0" w:space="0" w:color="auto"/>
                <w:bottom w:val="none" w:sz="0" w:space="0" w:color="auto"/>
                <w:right w:val="none" w:sz="0" w:space="0" w:color="auto"/>
              </w:divBdr>
              <w:divsChild>
                <w:div w:id="989748803">
                  <w:marLeft w:val="0"/>
                  <w:marRight w:val="0"/>
                  <w:marTop w:val="0"/>
                  <w:marBottom w:val="0"/>
                  <w:divBdr>
                    <w:top w:val="none" w:sz="0" w:space="0" w:color="auto"/>
                    <w:left w:val="none" w:sz="0" w:space="0" w:color="auto"/>
                    <w:bottom w:val="none" w:sz="0" w:space="0" w:color="auto"/>
                    <w:right w:val="none" w:sz="0" w:space="0" w:color="auto"/>
                  </w:divBdr>
                  <w:divsChild>
                    <w:div w:id="2077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2354">
      <w:bodyDiv w:val="1"/>
      <w:marLeft w:val="0"/>
      <w:marRight w:val="0"/>
      <w:marTop w:val="0"/>
      <w:marBottom w:val="0"/>
      <w:divBdr>
        <w:top w:val="none" w:sz="0" w:space="0" w:color="auto"/>
        <w:left w:val="none" w:sz="0" w:space="0" w:color="auto"/>
        <w:bottom w:val="none" w:sz="0" w:space="0" w:color="auto"/>
        <w:right w:val="none" w:sz="0" w:space="0" w:color="auto"/>
      </w:divBdr>
      <w:divsChild>
        <w:div w:id="1068916078">
          <w:marLeft w:val="0"/>
          <w:marRight w:val="0"/>
          <w:marTop w:val="0"/>
          <w:marBottom w:val="0"/>
          <w:divBdr>
            <w:top w:val="none" w:sz="0" w:space="0" w:color="auto"/>
            <w:left w:val="none" w:sz="0" w:space="0" w:color="auto"/>
            <w:bottom w:val="none" w:sz="0" w:space="0" w:color="auto"/>
            <w:right w:val="none" w:sz="0" w:space="0" w:color="auto"/>
          </w:divBdr>
          <w:divsChild>
            <w:div w:id="1097334822">
              <w:marLeft w:val="0"/>
              <w:marRight w:val="0"/>
              <w:marTop w:val="0"/>
              <w:marBottom w:val="0"/>
              <w:divBdr>
                <w:top w:val="none" w:sz="0" w:space="0" w:color="auto"/>
                <w:left w:val="none" w:sz="0" w:space="0" w:color="auto"/>
                <w:bottom w:val="none" w:sz="0" w:space="0" w:color="auto"/>
                <w:right w:val="none" w:sz="0" w:space="0" w:color="auto"/>
              </w:divBdr>
              <w:divsChild>
                <w:div w:id="685592920">
                  <w:marLeft w:val="0"/>
                  <w:marRight w:val="0"/>
                  <w:marTop w:val="0"/>
                  <w:marBottom w:val="0"/>
                  <w:divBdr>
                    <w:top w:val="none" w:sz="0" w:space="0" w:color="auto"/>
                    <w:left w:val="none" w:sz="0" w:space="0" w:color="auto"/>
                    <w:bottom w:val="none" w:sz="0" w:space="0" w:color="auto"/>
                    <w:right w:val="none" w:sz="0" w:space="0" w:color="auto"/>
                  </w:divBdr>
                  <w:divsChild>
                    <w:div w:id="13695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80225">
      <w:bodyDiv w:val="1"/>
      <w:marLeft w:val="0"/>
      <w:marRight w:val="0"/>
      <w:marTop w:val="0"/>
      <w:marBottom w:val="0"/>
      <w:divBdr>
        <w:top w:val="none" w:sz="0" w:space="0" w:color="auto"/>
        <w:left w:val="none" w:sz="0" w:space="0" w:color="auto"/>
        <w:bottom w:val="none" w:sz="0" w:space="0" w:color="auto"/>
        <w:right w:val="none" w:sz="0" w:space="0" w:color="auto"/>
      </w:divBdr>
      <w:divsChild>
        <w:div w:id="1163398398">
          <w:marLeft w:val="0"/>
          <w:marRight w:val="0"/>
          <w:marTop w:val="0"/>
          <w:marBottom w:val="0"/>
          <w:divBdr>
            <w:top w:val="none" w:sz="0" w:space="0" w:color="auto"/>
            <w:left w:val="none" w:sz="0" w:space="0" w:color="auto"/>
            <w:bottom w:val="none" w:sz="0" w:space="0" w:color="auto"/>
            <w:right w:val="none" w:sz="0" w:space="0" w:color="auto"/>
          </w:divBdr>
          <w:divsChild>
            <w:div w:id="524945040">
              <w:marLeft w:val="0"/>
              <w:marRight w:val="0"/>
              <w:marTop w:val="0"/>
              <w:marBottom w:val="0"/>
              <w:divBdr>
                <w:top w:val="none" w:sz="0" w:space="0" w:color="auto"/>
                <w:left w:val="none" w:sz="0" w:space="0" w:color="auto"/>
                <w:bottom w:val="none" w:sz="0" w:space="0" w:color="auto"/>
                <w:right w:val="none" w:sz="0" w:space="0" w:color="auto"/>
              </w:divBdr>
              <w:divsChild>
                <w:div w:id="12594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29566">
      <w:bodyDiv w:val="1"/>
      <w:marLeft w:val="0"/>
      <w:marRight w:val="0"/>
      <w:marTop w:val="0"/>
      <w:marBottom w:val="0"/>
      <w:divBdr>
        <w:top w:val="none" w:sz="0" w:space="0" w:color="auto"/>
        <w:left w:val="none" w:sz="0" w:space="0" w:color="auto"/>
        <w:bottom w:val="none" w:sz="0" w:space="0" w:color="auto"/>
        <w:right w:val="none" w:sz="0" w:space="0" w:color="auto"/>
      </w:divBdr>
      <w:divsChild>
        <w:div w:id="1150246505">
          <w:marLeft w:val="0"/>
          <w:marRight w:val="0"/>
          <w:marTop w:val="0"/>
          <w:marBottom w:val="0"/>
          <w:divBdr>
            <w:top w:val="none" w:sz="0" w:space="0" w:color="auto"/>
            <w:left w:val="none" w:sz="0" w:space="0" w:color="auto"/>
            <w:bottom w:val="none" w:sz="0" w:space="0" w:color="auto"/>
            <w:right w:val="none" w:sz="0" w:space="0" w:color="auto"/>
          </w:divBdr>
          <w:divsChild>
            <w:div w:id="501698350">
              <w:marLeft w:val="0"/>
              <w:marRight w:val="0"/>
              <w:marTop w:val="0"/>
              <w:marBottom w:val="0"/>
              <w:divBdr>
                <w:top w:val="none" w:sz="0" w:space="0" w:color="auto"/>
                <w:left w:val="none" w:sz="0" w:space="0" w:color="auto"/>
                <w:bottom w:val="none" w:sz="0" w:space="0" w:color="auto"/>
                <w:right w:val="none" w:sz="0" w:space="0" w:color="auto"/>
              </w:divBdr>
              <w:divsChild>
                <w:div w:id="1569730067">
                  <w:marLeft w:val="0"/>
                  <w:marRight w:val="0"/>
                  <w:marTop w:val="0"/>
                  <w:marBottom w:val="0"/>
                  <w:divBdr>
                    <w:top w:val="none" w:sz="0" w:space="0" w:color="auto"/>
                    <w:left w:val="none" w:sz="0" w:space="0" w:color="auto"/>
                    <w:bottom w:val="none" w:sz="0" w:space="0" w:color="auto"/>
                    <w:right w:val="none" w:sz="0" w:space="0" w:color="auto"/>
                  </w:divBdr>
                  <w:divsChild>
                    <w:div w:id="16150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awcom.gov.uk/project/mental-capacity-and-deprivation-of" TargetMode="External"/><Relationship Id="rId4" Type="http://schemas.openxmlformats.org/officeDocument/2006/relationships/settings" Target="settings.xml"/><Relationship Id="rId9" Type="http://schemas.openxmlformats.org/officeDocument/2006/relationships/hyperlink" Target="https://www.basw.co.uk/resource/?id=5457"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itizensinformationboard.ie/downloads/social_policy/submissions2017/Home_Care_Services_CIB_Submis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BFD09-818D-4D81-B0F2-77816F6D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4110</Words>
  <Characters>23429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2018-03-28T10:02:00Z</dcterms:created>
  <dcterms:modified xsi:type="dcterms:W3CDTF">2018-03-28T10:03:00Z</dcterms:modified>
</cp:coreProperties>
</file>