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D14" w:rsidRDefault="00225586" w:rsidP="001C2D14">
      <w:pPr>
        <w:spacing w:after="0" w:line="240" w:lineRule="auto"/>
        <w:jc w:val="center"/>
        <w:rPr>
          <w:rStyle w:val="A0"/>
          <w:color w:val="1F4E79" w:themeColor="accent1" w:themeShade="80"/>
          <w:sz w:val="28"/>
          <w:szCs w:val="28"/>
        </w:rPr>
      </w:pPr>
      <w:r>
        <w:rPr>
          <w:rFonts w:cs="Times"/>
          <w:b/>
          <w:noProof/>
          <w:color w:val="3F6CAF"/>
          <w:sz w:val="28"/>
          <w:szCs w:val="28"/>
          <w:lang w:eastAsia="en-IE"/>
        </w:rPr>
        <w:drawing>
          <wp:inline distT="0" distB="0" distL="0" distR="0" wp14:anchorId="2D7F1D54" wp14:editId="0094F550">
            <wp:extent cx="3762375" cy="1200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2375" cy="1200150"/>
                    </a:xfrm>
                    <a:prstGeom prst="rect">
                      <a:avLst/>
                    </a:prstGeom>
                    <a:noFill/>
                    <a:ln>
                      <a:noFill/>
                    </a:ln>
                  </pic:spPr>
                </pic:pic>
              </a:graphicData>
            </a:graphic>
          </wp:inline>
        </w:drawing>
      </w:r>
    </w:p>
    <w:p w:rsidR="008F25BF" w:rsidRDefault="008F25BF" w:rsidP="001C2D14">
      <w:pPr>
        <w:spacing w:after="0" w:line="240" w:lineRule="auto"/>
        <w:jc w:val="center"/>
        <w:rPr>
          <w:rStyle w:val="A0"/>
          <w:color w:val="1F4E79" w:themeColor="accent1" w:themeShade="80"/>
          <w:sz w:val="28"/>
          <w:szCs w:val="28"/>
        </w:rPr>
      </w:pPr>
      <w:r w:rsidRPr="00346F1B">
        <w:rPr>
          <w:rStyle w:val="A0"/>
          <w:color w:val="1F4E79" w:themeColor="accent1" w:themeShade="80"/>
          <w:sz w:val="28"/>
          <w:szCs w:val="28"/>
        </w:rPr>
        <w:t>A Strawman Public Consultation Process for an Automatic Enrolment Retirement Savings System for Ireland</w:t>
      </w:r>
    </w:p>
    <w:p w:rsidR="001C2D14" w:rsidRPr="00346F1B" w:rsidRDefault="001C2D14" w:rsidP="001C2D14">
      <w:pPr>
        <w:spacing w:after="0" w:line="240" w:lineRule="auto"/>
        <w:jc w:val="center"/>
        <w:rPr>
          <w:rStyle w:val="A0"/>
          <w:color w:val="1F4E79" w:themeColor="accent1" w:themeShade="80"/>
          <w:sz w:val="28"/>
          <w:szCs w:val="28"/>
        </w:rPr>
      </w:pPr>
    </w:p>
    <w:p w:rsidR="00CA6C79" w:rsidRPr="00346F1B" w:rsidRDefault="00CA6C79" w:rsidP="001C2D14">
      <w:pPr>
        <w:spacing w:after="0" w:line="240" w:lineRule="auto"/>
        <w:jc w:val="center"/>
        <w:rPr>
          <w:rStyle w:val="A0"/>
          <w:color w:val="1F4E79" w:themeColor="accent1" w:themeShade="80"/>
          <w:sz w:val="28"/>
          <w:szCs w:val="28"/>
        </w:rPr>
      </w:pPr>
      <w:r w:rsidRPr="00346F1B">
        <w:rPr>
          <w:rStyle w:val="A0"/>
          <w:color w:val="1F4E79" w:themeColor="accent1" w:themeShade="80"/>
          <w:sz w:val="28"/>
          <w:szCs w:val="28"/>
        </w:rPr>
        <w:t>Citizens Information Board</w:t>
      </w:r>
      <w:r w:rsidR="001C2D14">
        <w:rPr>
          <w:rStyle w:val="A0"/>
          <w:color w:val="1F4E79" w:themeColor="accent1" w:themeShade="80"/>
          <w:sz w:val="28"/>
          <w:szCs w:val="28"/>
        </w:rPr>
        <w:t xml:space="preserve"> (November 2018)</w:t>
      </w:r>
    </w:p>
    <w:p w:rsidR="00CA6C79" w:rsidRPr="00211B39" w:rsidRDefault="00CA6C79" w:rsidP="001C2D14">
      <w:pPr>
        <w:pStyle w:val="ListParagraph"/>
        <w:spacing w:after="0" w:line="240" w:lineRule="auto"/>
        <w:ind w:left="0"/>
        <w:rPr>
          <w:rStyle w:val="A0"/>
          <w:color w:val="1F4E79" w:themeColor="accent1" w:themeShade="80"/>
          <w:sz w:val="24"/>
          <w:szCs w:val="24"/>
        </w:rPr>
      </w:pPr>
    </w:p>
    <w:p w:rsidR="002E3505" w:rsidRPr="00211B39" w:rsidRDefault="008F25BF" w:rsidP="00211B39">
      <w:pPr>
        <w:pStyle w:val="ListParagraph"/>
        <w:spacing w:line="240" w:lineRule="auto"/>
        <w:ind w:left="0"/>
        <w:rPr>
          <w:rFonts w:cs="Times New Roman"/>
          <w:w w:val="95"/>
          <w:sz w:val="24"/>
          <w:szCs w:val="24"/>
        </w:rPr>
      </w:pPr>
      <w:r w:rsidRPr="00211B39">
        <w:rPr>
          <w:rFonts w:cs="Times New Roman"/>
          <w:w w:val="95"/>
          <w:sz w:val="24"/>
          <w:szCs w:val="24"/>
        </w:rPr>
        <w:t xml:space="preserve">The Citizens Information Board welcomes the opportunity to respond to the Department of Employment Affairs and Social Protection consultation on the introduction of an </w:t>
      </w:r>
      <w:r w:rsidRPr="00211B39">
        <w:rPr>
          <w:rStyle w:val="A0"/>
          <w:b w:val="0"/>
          <w:color w:val="auto"/>
          <w:sz w:val="24"/>
          <w:szCs w:val="24"/>
        </w:rPr>
        <w:t xml:space="preserve">Automatic Enrolment (AE) Retirement Savings System for Ireland. </w:t>
      </w:r>
      <w:r w:rsidRPr="00211B39">
        <w:rPr>
          <w:rFonts w:cs="Times New Roman"/>
          <w:b/>
          <w:w w:val="95"/>
          <w:sz w:val="24"/>
          <w:szCs w:val="24"/>
        </w:rPr>
        <w:t xml:space="preserve"> </w:t>
      </w:r>
      <w:r w:rsidR="002E3505" w:rsidRPr="00211B39">
        <w:rPr>
          <w:rFonts w:cs="Times New Roman"/>
          <w:w w:val="95"/>
          <w:sz w:val="24"/>
          <w:szCs w:val="24"/>
        </w:rPr>
        <w:t xml:space="preserve">AE was a policy recommendation in the 2010 </w:t>
      </w:r>
      <w:r w:rsidR="002E3505" w:rsidRPr="00211B39">
        <w:rPr>
          <w:rFonts w:cs="Times New Roman"/>
          <w:i/>
          <w:w w:val="95"/>
          <w:sz w:val="24"/>
          <w:szCs w:val="24"/>
        </w:rPr>
        <w:t>National Pensions Framework</w:t>
      </w:r>
      <w:r w:rsidRPr="00211B39">
        <w:rPr>
          <w:rFonts w:cs="Times New Roman"/>
          <w:w w:val="95"/>
          <w:sz w:val="24"/>
          <w:szCs w:val="24"/>
        </w:rPr>
        <w:t xml:space="preserve"> and i</w:t>
      </w:r>
      <w:r w:rsidR="002E3505" w:rsidRPr="00211B39">
        <w:rPr>
          <w:rFonts w:cs="Times New Roman"/>
          <w:w w:val="95"/>
          <w:sz w:val="24"/>
          <w:szCs w:val="24"/>
        </w:rPr>
        <w:t xml:space="preserve">t is welcome to see </w:t>
      </w:r>
      <w:r w:rsidRPr="00211B39">
        <w:rPr>
          <w:rFonts w:cs="Times New Roman"/>
          <w:w w:val="95"/>
          <w:sz w:val="24"/>
          <w:szCs w:val="24"/>
        </w:rPr>
        <w:t xml:space="preserve">the </w:t>
      </w:r>
      <w:r w:rsidR="002E3505" w:rsidRPr="00211B39">
        <w:rPr>
          <w:rFonts w:cs="Times New Roman"/>
          <w:w w:val="95"/>
          <w:sz w:val="24"/>
          <w:szCs w:val="24"/>
        </w:rPr>
        <w:t xml:space="preserve">momentum now building behind pension reform with the publication of the </w:t>
      </w:r>
      <w:r w:rsidR="002E3505" w:rsidRPr="00211B39">
        <w:rPr>
          <w:rFonts w:cs="Times New Roman"/>
          <w:i/>
          <w:w w:val="95"/>
          <w:sz w:val="24"/>
          <w:szCs w:val="24"/>
        </w:rPr>
        <w:t>Roadmap for Pension Reform 2018-2023</w:t>
      </w:r>
      <w:r w:rsidR="002E3505" w:rsidRPr="00211B39">
        <w:rPr>
          <w:rFonts w:cs="Times New Roman"/>
          <w:w w:val="95"/>
          <w:sz w:val="24"/>
          <w:szCs w:val="24"/>
        </w:rPr>
        <w:t xml:space="preserve">. The aim is to have AE in place in 2022. How reasonable and achievable the 2022 target is depends very much on the level of </w:t>
      </w:r>
      <w:r w:rsidR="00480C8B" w:rsidRPr="00211B39">
        <w:rPr>
          <w:rFonts w:cs="Times New Roman"/>
          <w:w w:val="95"/>
          <w:sz w:val="24"/>
          <w:szCs w:val="24"/>
        </w:rPr>
        <w:t xml:space="preserve">response </w:t>
      </w:r>
      <w:r w:rsidR="002E3505" w:rsidRPr="00211B39">
        <w:rPr>
          <w:rFonts w:cs="Times New Roman"/>
          <w:w w:val="95"/>
          <w:sz w:val="24"/>
          <w:szCs w:val="24"/>
        </w:rPr>
        <w:t>generated from the submi</w:t>
      </w:r>
      <w:r w:rsidRPr="00211B39">
        <w:rPr>
          <w:rFonts w:cs="Times New Roman"/>
          <w:w w:val="95"/>
          <w:sz w:val="24"/>
          <w:szCs w:val="24"/>
        </w:rPr>
        <w:t xml:space="preserve">ssions to the Strawman Document </w:t>
      </w:r>
      <w:r w:rsidR="002E3505" w:rsidRPr="00211B39">
        <w:rPr>
          <w:rFonts w:cs="Times New Roman"/>
          <w:w w:val="95"/>
          <w:sz w:val="24"/>
          <w:szCs w:val="24"/>
        </w:rPr>
        <w:t>and international experience where pension reform of this scale has been implemented. Therefore, we are unable to comment on the feasibility of the timeframe.</w:t>
      </w:r>
      <w:r w:rsidR="00CA6C79" w:rsidRPr="00211B39">
        <w:rPr>
          <w:rFonts w:cs="Times New Roman"/>
          <w:w w:val="95"/>
          <w:sz w:val="24"/>
          <w:szCs w:val="24"/>
        </w:rPr>
        <w:t xml:space="preserve"> </w:t>
      </w:r>
    </w:p>
    <w:p w:rsidR="00A861CD" w:rsidRPr="00211B39" w:rsidRDefault="00A861CD" w:rsidP="00211B39">
      <w:pPr>
        <w:spacing w:line="240" w:lineRule="auto"/>
        <w:rPr>
          <w:rFonts w:cs="Times New Roman"/>
          <w:w w:val="95"/>
          <w:sz w:val="24"/>
          <w:szCs w:val="24"/>
        </w:rPr>
      </w:pPr>
      <w:r w:rsidRPr="00211B39">
        <w:rPr>
          <w:rFonts w:cs="Times New Roman"/>
          <w:w w:val="95"/>
          <w:sz w:val="24"/>
          <w:szCs w:val="24"/>
        </w:rPr>
        <w:t xml:space="preserve">Citizens Information Board funded services assist thousands of people on a daily basis to access a wide range of social, public, and financial services through the provision of information, advocacy, and money advice. On average, </w:t>
      </w:r>
      <w:r w:rsidR="002E3505" w:rsidRPr="00211B39">
        <w:rPr>
          <w:rFonts w:cs="Times New Roman"/>
          <w:w w:val="95"/>
          <w:sz w:val="24"/>
          <w:szCs w:val="24"/>
        </w:rPr>
        <w:t xml:space="preserve">these services </w:t>
      </w:r>
      <w:r w:rsidRPr="00211B39">
        <w:rPr>
          <w:rFonts w:cs="Times New Roman"/>
          <w:w w:val="95"/>
          <w:sz w:val="24"/>
          <w:szCs w:val="24"/>
        </w:rPr>
        <w:t xml:space="preserve">receive over 1,000 queries per week in relation to </w:t>
      </w:r>
      <w:r w:rsidR="002E3505" w:rsidRPr="00211B39">
        <w:rPr>
          <w:rFonts w:cs="Times New Roman"/>
          <w:w w:val="95"/>
          <w:sz w:val="24"/>
          <w:szCs w:val="24"/>
        </w:rPr>
        <w:t>state</w:t>
      </w:r>
      <w:r w:rsidR="008F25BF" w:rsidRPr="00211B39">
        <w:rPr>
          <w:rFonts w:cs="Times New Roman"/>
          <w:w w:val="95"/>
          <w:sz w:val="24"/>
          <w:szCs w:val="24"/>
        </w:rPr>
        <w:t xml:space="preserve"> </w:t>
      </w:r>
      <w:r w:rsidRPr="00211B39">
        <w:rPr>
          <w:rFonts w:cs="Times New Roman"/>
          <w:w w:val="95"/>
          <w:sz w:val="24"/>
          <w:szCs w:val="24"/>
        </w:rPr>
        <w:t>pension</w:t>
      </w:r>
      <w:r w:rsidR="00C92CFE" w:rsidRPr="00211B39">
        <w:rPr>
          <w:rFonts w:cs="Times New Roman"/>
          <w:w w:val="95"/>
          <w:sz w:val="24"/>
          <w:szCs w:val="24"/>
        </w:rPr>
        <w:t xml:space="preserve"> provision</w:t>
      </w:r>
      <w:r w:rsidRPr="00211B39">
        <w:rPr>
          <w:rStyle w:val="FootnoteReference"/>
          <w:rFonts w:cs="Times New Roman"/>
          <w:w w:val="95"/>
          <w:sz w:val="24"/>
          <w:szCs w:val="24"/>
        </w:rPr>
        <w:footnoteReference w:id="1"/>
      </w:r>
      <w:r w:rsidRPr="00211B39">
        <w:rPr>
          <w:rFonts w:cs="Times New Roman"/>
          <w:w w:val="95"/>
          <w:sz w:val="24"/>
          <w:szCs w:val="24"/>
        </w:rPr>
        <w:t xml:space="preserve">. The nature of the queries </w:t>
      </w:r>
      <w:r w:rsidR="009B6455" w:rsidRPr="00211B39">
        <w:rPr>
          <w:rFonts w:cs="Times New Roman"/>
          <w:w w:val="95"/>
          <w:sz w:val="24"/>
          <w:szCs w:val="24"/>
        </w:rPr>
        <w:t>we receive</w:t>
      </w:r>
      <w:r w:rsidR="001D06AE" w:rsidRPr="00211B39">
        <w:rPr>
          <w:rFonts w:cs="Times New Roman"/>
          <w:w w:val="95"/>
          <w:sz w:val="24"/>
          <w:szCs w:val="24"/>
        </w:rPr>
        <w:t>d in 2017</w:t>
      </w:r>
      <w:r w:rsidRPr="00211B39">
        <w:rPr>
          <w:rFonts w:cs="Times New Roman"/>
          <w:w w:val="95"/>
          <w:sz w:val="24"/>
          <w:szCs w:val="24"/>
        </w:rPr>
        <w:t xml:space="preserve"> confirm our observations from earlier years that when it comes to pensions</w:t>
      </w:r>
      <w:r w:rsidR="009B6455" w:rsidRPr="00211B39">
        <w:rPr>
          <w:rFonts w:cs="Times New Roman"/>
          <w:w w:val="95"/>
          <w:sz w:val="24"/>
          <w:szCs w:val="24"/>
        </w:rPr>
        <w:t>,</w:t>
      </w:r>
      <w:r w:rsidRPr="00211B39">
        <w:rPr>
          <w:rFonts w:cs="Times New Roman"/>
          <w:w w:val="95"/>
          <w:sz w:val="24"/>
          <w:szCs w:val="24"/>
        </w:rPr>
        <w:t xml:space="preserve"> there is a lack of knowledge and a good degree of confusion, especially among those approaching retirement. </w:t>
      </w:r>
      <w:r w:rsidR="002E3505" w:rsidRPr="00211B39">
        <w:rPr>
          <w:rFonts w:cs="Times New Roman"/>
          <w:w w:val="95"/>
          <w:sz w:val="24"/>
          <w:szCs w:val="24"/>
        </w:rPr>
        <w:t xml:space="preserve">This </w:t>
      </w:r>
      <w:r w:rsidRPr="00211B39">
        <w:rPr>
          <w:rFonts w:cs="Times New Roman"/>
          <w:w w:val="95"/>
          <w:sz w:val="24"/>
          <w:szCs w:val="24"/>
        </w:rPr>
        <w:t xml:space="preserve">level of engagement on </w:t>
      </w:r>
      <w:r w:rsidR="004C0AE8" w:rsidRPr="00211B39">
        <w:rPr>
          <w:rFonts w:cs="Times New Roman"/>
          <w:w w:val="95"/>
          <w:sz w:val="24"/>
          <w:szCs w:val="24"/>
        </w:rPr>
        <w:t xml:space="preserve">the subject of </w:t>
      </w:r>
      <w:r w:rsidRPr="00211B39">
        <w:rPr>
          <w:rFonts w:cs="Times New Roman"/>
          <w:w w:val="95"/>
          <w:sz w:val="24"/>
          <w:szCs w:val="24"/>
        </w:rPr>
        <w:t>pensions</w:t>
      </w:r>
      <w:r w:rsidR="004C0AE8" w:rsidRPr="00211B39">
        <w:rPr>
          <w:rFonts w:cs="Times New Roman"/>
          <w:w w:val="95"/>
          <w:sz w:val="24"/>
          <w:szCs w:val="24"/>
        </w:rPr>
        <w:t xml:space="preserve"> leaves Citizens Information </w:t>
      </w:r>
      <w:r w:rsidR="00B4289F" w:rsidRPr="00211B39">
        <w:rPr>
          <w:rFonts w:cs="Times New Roman"/>
          <w:w w:val="95"/>
          <w:sz w:val="24"/>
          <w:szCs w:val="24"/>
        </w:rPr>
        <w:t xml:space="preserve">Services </w:t>
      </w:r>
      <w:r w:rsidR="004C0AE8" w:rsidRPr="00211B39">
        <w:rPr>
          <w:rFonts w:cs="Times New Roman"/>
          <w:w w:val="95"/>
          <w:sz w:val="24"/>
          <w:szCs w:val="24"/>
        </w:rPr>
        <w:t>well placed to have a clear understanding of the problems experienced by people trying to understand their pension entitlements. It is this insight, combined with our support for th</w:t>
      </w:r>
      <w:r w:rsidR="009F03AF" w:rsidRPr="00211B39">
        <w:rPr>
          <w:rFonts w:cs="Times New Roman"/>
          <w:w w:val="95"/>
          <w:sz w:val="24"/>
          <w:szCs w:val="24"/>
        </w:rPr>
        <w:t xml:space="preserve">e Money Advice and Budgeting Service (MABS) </w:t>
      </w:r>
      <w:r w:rsidR="004C0AE8" w:rsidRPr="00211B39">
        <w:rPr>
          <w:rFonts w:cs="Times New Roman"/>
          <w:w w:val="95"/>
          <w:sz w:val="24"/>
          <w:szCs w:val="24"/>
        </w:rPr>
        <w:t>that informs our response to the Strawman Public Consultation for an Automatic Enrolment Retirement Savings System for Ireland</w:t>
      </w:r>
      <w:r w:rsidR="00BA5574" w:rsidRPr="00211B39">
        <w:rPr>
          <w:rStyle w:val="FootnoteReference"/>
          <w:rFonts w:cs="Times New Roman"/>
          <w:w w:val="95"/>
          <w:sz w:val="24"/>
          <w:szCs w:val="24"/>
        </w:rPr>
        <w:footnoteReference w:id="2"/>
      </w:r>
      <w:r w:rsidR="003A62D7" w:rsidRPr="00211B39">
        <w:rPr>
          <w:rFonts w:cs="Times New Roman"/>
          <w:w w:val="95"/>
          <w:sz w:val="24"/>
          <w:szCs w:val="24"/>
        </w:rPr>
        <w:t xml:space="preserve"> (hereafter the Strawman </w:t>
      </w:r>
      <w:r w:rsidR="009B6455" w:rsidRPr="00211B39">
        <w:rPr>
          <w:rFonts w:cs="Times New Roman"/>
          <w:w w:val="95"/>
          <w:sz w:val="24"/>
          <w:szCs w:val="24"/>
        </w:rPr>
        <w:t>Document</w:t>
      </w:r>
      <w:r w:rsidR="003A62D7" w:rsidRPr="00211B39">
        <w:rPr>
          <w:rFonts w:cs="Times New Roman"/>
          <w:w w:val="95"/>
          <w:sz w:val="24"/>
          <w:szCs w:val="24"/>
        </w:rPr>
        <w:t>)</w:t>
      </w:r>
      <w:r w:rsidR="004C0AE8" w:rsidRPr="00211B39">
        <w:rPr>
          <w:rFonts w:cs="Times New Roman"/>
          <w:w w:val="95"/>
          <w:sz w:val="24"/>
          <w:szCs w:val="24"/>
        </w:rPr>
        <w:t xml:space="preserve">. </w:t>
      </w:r>
    </w:p>
    <w:p w:rsidR="004C0AE8" w:rsidRPr="00211B39" w:rsidRDefault="004C0AE8" w:rsidP="00211B39">
      <w:pPr>
        <w:spacing w:line="240" w:lineRule="auto"/>
        <w:rPr>
          <w:rFonts w:cs="Times New Roman"/>
          <w:w w:val="95"/>
          <w:sz w:val="24"/>
          <w:szCs w:val="24"/>
        </w:rPr>
      </w:pPr>
      <w:r w:rsidRPr="00211B39">
        <w:rPr>
          <w:rFonts w:cs="Times New Roman"/>
          <w:w w:val="95"/>
          <w:sz w:val="24"/>
          <w:szCs w:val="24"/>
        </w:rPr>
        <w:t>It is clear that people require clarity from their pension system so that they can understand how to access the system</w:t>
      </w:r>
      <w:r w:rsidR="00BA5574" w:rsidRPr="00211B39">
        <w:rPr>
          <w:rFonts w:cs="Times New Roman"/>
          <w:w w:val="95"/>
          <w:sz w:val="24"/>
          <w:szCs w:val="24"/>
        </w:rPr>
        <w:t xml:space="preserve"> and can forecast i</w:t>
      </w:r>
      <w:r w:rsidRPr="00211B39">
        <w:rPr>
          <w:rFonts w:cs="Times New Roman"/>
          <w:w w:val="95"/>
          <w:sz w:val="24"/>
          <w:szCs w:val="24"/>
        </w:rPr>
        <w:t xml:space="preserve">n advance what level of income they can expect in their </w:t>
      </w:r>
      <w:r w:rsidR="00A70D90" w:rsidRPr="00346F1B">
        <w:rPr>
          <w:rFonts w:cs="Times New Roman"/>
          <w:w w:val="95"/>
          <w:sz w:val="24"/>
          <w:szCs w:val="24"/>
        </w:rPr>
        <w:t xml:space="preserve">retirement and </w:t>
      </w:r>
      <w:r w:rsidRPr="00211B39">
        <w:rPr>
          <w:rFonts w:cs="Times New Roman"/>
          <w:w w:val="95"/>
          <w:sz w:val="24"/>
          <w:szCs w:val="24"/>
        </w:rPr>
        <w:t>old age. To this we add that the pension system needs to be fair so that those for whom full time employment</w:t>
      </w:r>
      <w:r w:rsidR="001D06AE" w:rsidRPr="00211B39">
        <w:rPr>
          <w:rFonts w:cs="Times New Roman"/>
          <w:w w:val="95"/>
          <w:sz w:val="24"/>
          <w:szCs w:val="24"/>
        </w:rPr>
        <w:t xml:space="preserve">, spanning </w:t>
      </w:r>
      <w:r w:rsidRPr="00211B39">
        <w:rPr>
          <w:rFonts w:cs="Times New Roman"/>
          <w:w w:val="95"/>
          <w:sz w:val="24"/>
          <w:szCs w:val="24"/>
        </w:rPr>
        <w:t>their adult working life</w:t>
      </w:r>
      <w:r w:rsidR="00142D18" w:rsidRPr="00211B39">
        <w:rPr>
          <w:rFonts w:cs="Times New Roman"/>
          <w:w w:val="95"/>
          <w:sz w:val="24"/>
          <w:szCs w:val="24"/>
        </w:rPr>
        <w:t xml:space="preserve">, </w:t>
      </w:r>
      <w:r w:rsidR="001D06AE" w:rsidRPr="00211B39">
        <w:rPr>
          <w:rFonts w:cs="Times New Roman"/>
          <w:w w:val="95"/>
          <w:sz w:val="24"/>
          <w:szCs w:val="24"/>
        </w:rPr>
        <w:t xml:space="preserve">is </w:t>
      </w:r>
      <w:r w:rsidRPr="00211B39">
        <w:rPr>
          <w:rFonts w:cs="Times New Roman"/>
          <w:w w:val="95"/>
          <w:sz w:val="24"/>
          <w:szCs w:val="24"/>
        </w:rPr>
        <w:t>unrealistic</w:t>
      </w:r>
      <w:r w:rsidR="00BA5574" w:rsidRPr="00211B39">
        <w:rPr>
          <w:rFonts w:cs="Times New Roman"/>
          <w:w w:val="95"/>
          <w:sz w:val="24"/>
          <w:szCs w:val="24"/>
        </w:rPr>
        <w:t xml:space="preserve"> or unobtainable</w:t>
      </w:r>
      <w:r w:rsidRPr="00211B39">
        <w:rPr>
          <w:rFonts w:cs="Times New Roman"/>
          <w:w w:val="95"/>
          <w:sz w:val="24"/>
          <w:szCs w:val="24"/>
        </w:rPr>
        <w:t xml:space="preserve"> (</w:t>
      </w:r>
      <w:r w:rsidR="00BA5574" w:rsidRPr="00211B39">
        <w:rPr>
          <w:rFonts w:cs="Times New Roman"/>
          <w:w w:val="95"/>
          <w:sz w:val="24"/>
          <w:szCs w:val="24"/>
        </w:rPr>
        <w:t>e.g.</w:t>
      </w:r>
      <w:r w:rsidRPr="00211B39">
        <w:rPr>
          <w:rFonts w:cs="Times New Roman"/>
          <w:w w:val="95"/>
          <w:sz w:val="24"/>
          <w:szCs w:val="24"/>
        </w:rPr>
        <w:t xml:space="preserve"> those living with disabilitie</w:t>
      </w:r>
      <w:r w:rsidR="00BA5574" w:rsidRPr="00211B39">
        <w:rPr>
          <w:rFonts w:cs="Times New Roman"/>
          <w:w w:val="95"/>
          <w:sz w:val="24"/>
          <w:szCs w:val="24"/>
        </w:rPr>
        <w:t>s, those in precarious work situations, migrants,</w:t>
      </w:r>
      <w:r w:rsidRPr="00211B39">
        <w:rPr>
          <w:rFonts w:cs="Times New Roman"/>
          <w:w w:val="95"/>
          <w:sz w:val="24"/>
          <w:szCs w:val="24"/>
        </w:rPr>
        <w:t xml:space="preserve"> and those with unpaid caring responsibilities) are not discriminated against.</w:t>
      </w:r>
    </w:p>
    <w:p w:rsidR="002E2B65" w:rsidRPr="00211B39" w:rsidRDefault="00B4289F" w:rsidP="00211B39">
      <w:pPr>
        <w:spacing w:line="240" w:lineRule="auto"/>
        <w:rPr>
          <w:rFonts w:cs="Times New Roman"/>
          <w:w w:val="95"/>
          <w:sz w:val="24"/>
          <w:szCs w:val="24"/>
        </w:rPr>
      </w:pPr>
      <w:r w:rsidRPr="00211B39">
        <w:rPr>
          <w:rFonts w:cs="Times New Roman"/>
          <w:w w:val="95"/>
          <w:sz w:val="24"/>
          <w:szCs w:val="24"/>
        </w:rPr>
        <w:lastRenderedPageBreak/>
        <w:t xml:space="preserve">This response is </w:t>
      </w:r>
      <w:r w:rsidR="00BA5574" w:rsidRPr="00211B39">
        <w:rPr>
          <w:rFonts w:cs="Times New Roman"/>
          <w:w w:val="95"/>
          <w:sz w:val="24"/>
          <w:szCs w:val="24"/>
        </w:rPr>
        <w:t xml:space="preserve">organised to follow the seven sections set out in chapter four of the Strawman Document. </w:t>
      </w:r>
    </w:p>
    <w:p w:rsidR="00BA5574" w:rsidRPr="001C2D14" w:rsidRDefault="00BA5574" w:rsidP="00211B39">
      <w:pPr>
        <w:spacing w:line="240" w:lineRule="auto"/>
        <w:rPr>
          <w:rFonts w:cs="Times New Roman"/>
          <w:b/>
          <w:color w:val="1F4E79" w:themeColor="accent1" w:themeShade="80"/>
          <w:w w:val="95"/>
          <w:sz w:val="24"/>
          <w:szCs w:val="24"/>
        </w:rPr>
      </w:pPr>
      <w:r w:rsidRPr="001C2D14">
        <w:rPr>
          <w:rFonts w:cs="Times New Roman"/>
          <w:b/>
          <w:color w:val="1F4E79" w:themeColor="accent1" w:themeShade="80"/>
          <w:w w:val="95"/>
          <w:sz w:val="24"/>
          <w:szCs w:val="24"/>
        </w:rPr>
        <w:t>Administrative Arrangements and Organisational Approach</w:t>
      </w:r>
    </w:p>
    <w:p w:rsidR="00BA5574" w:rsidRPr="00211B39" w:rsidRDefault="00BA5574" w:rsidP="00211B39">
      <w:pPr>
        <w:pStyle w:val="ListParagraph"/>
        <w:numPr>
          <w:ilvl w:val="0"/>
          <w:numId w:val="1"/>
        </w:numPr>
        <w:spacing w:line="240" w:lineRule="auto"/>
        <w:rPr>
          <w:rFonts w:cs="Times New Roman"/>
          <w:b/>
          <w:w w:val="95"/>
          <w:sz w:val="24"/>
          <w:szCs w:val="24"/>
        </w:rPr>
      </w:pPr>
      <w:r w:rsidRPr="00211B39">
        <w:rPr>
          <w:rFonts w:cs="Times New Roman"/>
          <w:b/>
          <w:w w:val="95"/>
          <w:sz w:val="24"/>
          <w:szCs w:val="24"/>
        </w:rPr>
        <w:t>Central Processing Agency (CPA)</w:t>
      </w:r>
      <w:bookmarkStart w:id="0" w:name="_GoBack"/>
    </w:p>
    <w:p w:rsidR="009B6455" w:rsidRPr="00211B39" w:rsidRDefault="009B6455" w:rsidP="00211B39">
      <w:pPr>
        <w:pStyle w:val="ListParagraph"/>
        <w:spacing w:line="240" w:lineRule="auto"/>
        <w:rPr>
          <w:rFonts w:cs="Times New Roman"/>
          <w:w w:val="95"/>
          <w:sz w:val="24"/>
          <w:szCs w:val="24"/>
        </w:rPr>
      </w:pPr>
    </w:p>
    <w:bookmarkEnd w:id="0"/>
    <w:p w:rsidR="00B43527" w:rsidRPr="00211B39" w:rsidRDefault="00BA5574" w:rsidP="00211B39">
      <w:pPr>
        <w:pStyle w:val="ListParagraph"/>
        <w:spacing w:line="240" w:lineRule="auto"/>
        <w:ind w:left="0"/>
        <w:rPr>
          <w:rFonts w:cs="Times New Roman"/>
          <w:w w:val="95"/>
          <w:sz w:val="24"/>
          <w:szCs w:val="24"/>
        </w:rPr>
      </w:pPr>
      <w:r w:rsidRPr="00211B39">
        <w:rPr>
          <w:rFonts w:cs="Times New Roman"/>
          <w:w w:val="95"/>
          <w:sz w:val="24"/>
          <w:szCs w:val="24"/>
        </w:rPr>
        <w:t xml:space="preserve">The CPA, if correctly resourced, has a </w:t>
      </w:r>
      <w:r w:rsidR="006E1EEC" w:rsidRPr="00211B39">
        <w:rPr>
          <w:rFonts w:cs="Times New Roman"/>
          <w:w w:val="95"/>
          <w:sz w:val="24"/>
          <w:szCs w:val="24"/>
        </w:rPr>
        <w:t>genuine</w:t>
      </w:r>
      <w:r w:rsidRPr="00211B39">
        <w:rPr>
          <w:rFonts w:cs="Times New Roman"/>
          <w:w w:val="95"/>
          <w:sz w:val="24"/>
          <w:szCs w:val="24"/>
        </w:rPr>
        <w:t xml:space="preserve"> capacity to alleviate much of the confusion around pensions that our services observe on a daily basis.</w:t>
      </w:r>
      <w:r w:rsidR="00BA2D91" w:rsidRPr="00211B39">
        <w:rPr>
          <w:rFonts w:cs="Times New Roman"/>
          <w:w w:val="95"/>
          <w:sz w:val="24"/>
          <w:szCs w:val="24"/>
        </w:rPr>
        <w:t xml:space="preserve"> </w:t>
      </w:r>
      <w:r w:rsidR="003A62D7" w:rsidRPr="00211B39">
        <w:rPr>
          <w:rFonts w:cs="Times New Roman"/>
          <w:w w:val="95"/>
          <w:sz w:val="24"/>
          <w:szCs w:val="24"/>
        </w:rPr>
        <w:t>We believe that any innovation that makes information readily available is positive. The CPA’s</w:t>
      </w:r>
      <w:r w:rsidR="00BA2D91" w:rsidRPr="00211B39">
        <w:rPr>
          <w:rFonts w:cs="Times New Roman"/>
          <w:w w:val="95"/>
          <w:sz w:val="24"/>
          <w:szCs w:val="24"/>
        </w:rPr>
        <w:t xml:space="preserve"> strength lie</w:t>
      </w:r>
      <w:r w:rsidR="008B56B1" w:rsidRPr="00211B39">
        <w:rPr>
          <w:rFonts w:cs="Times New Roman"/>
          <w:w w:val="95"/>
          <w:sz w:val="24"/>
          <w:szCs w:val="24"/>
        </w:rPr>
        <w:t>s</w:t>
      </w:r>
      <w:r w:rsidR="00BA2D91" w:rsidRPr="00211B39">
        <w:rPr>
          <w:rFonts w:cs="Times New Roman"/>
          <w:w w:val="95"/>
          <w:sz w:val="24"/>
          <w:szCs w:val="24"/>
        </w:rPr>
        <w:t xml:space="preserve"> in how it </w:t>
      </w:r>
      <w:r w:rsidR="0070587D" w:rsidRPr="00211B39">
        <w:rPr>
          <w:rFonts w:cs="Times New Roman"/>
          <w:w w:val="95"/>
          <w:sz w:val="24"/>
          <w:szCs w:val="24"/>
        </w:rPr>
        <w:t>can</w:t>
      </w:r>
      <w:r w:rsidR="00BA2D91" w:rsidRPr="00211B39">
        <w:rPr>
          <w:rFonts w:cs="Times New Roman"/>
          <w:w w:val="95"/>
          <w:sz w:val="24"/>
          <w:szCs w:val="24"/>
        </w:rPr>
        <w:t xml:space="preserve"> act as a </w:t>
      </w:r>
      <w:r w:rsidR="00CC6E51" w:rsidRPr="00211B39">
        <w:rPr>
          <w:rFonts w:cs="Times New Roman"/>
          <w:w w:val="95"/>
          <w:sz w:val="24"/>
          <w:szCs w:val="24"/>
        </w:rPr>
        <w:t>‘</w:t>
      </w:r>
      <w:r w:rsidR="00BA2D91" w:rsidRPr="00211B39">
        <w:rPr>
          <w:rFonts w:cs="Times New Roman"/>
          <w:w w:val="95"/>
          <w:sz w:val="24"/>
          <w:szCs w:val="24"/>
        </w:rPr>
        <w:t>front desk</w:t>
      </w:r>
      <w:r w:rsidR="00CC6E51" w:rsidRPr="00211B39">
        <w:rPr>
          <w:rFonts w:cs="Times New Roman"/>
          <w:w w:val="95"/>
          <w:sz w:val="24"/>
          <w:szCs w:val="24"/>
        </w:rPr>
        <w:t>’</w:t>
      </w:r>
      <w:r w:rsidR="00BA2D91" w:rsidRPr="00211B39">
        <w:rPr>
          <w:rFonts w:cs="Times New Roman"/>
          <w:w w:val="95"/>
          <w:sz w:val="24"/>
          <w:szCs w:val="24"/>
        </w:rPr>
        <w:t xml:space="preserve"> for queries in relation to automatic enrolment</w:t>
      </w:r>
      <w:r w:rsidR="0070587D" w:rsidRPr="00211B39">
        <w:rPr>
          <w:rFonts w:cs="Times New Roman"/>
          <w:w w:val="95"/>
          <w:sz w:val="24"/>
          <w:szCs w:val="24"/>
        </w:rPr>
        <w:t xml:space="preserve"> </w:t>
      </w:r>
      <w:r w:rsidR="009B6455" w:rsidRPr="00211B39">
        <w:rPr>
          <w:rFonts w:cs="Times New Roman"/>
          <w:w w:val="95"/>
          <w:sz w:val="24"/>
          <w:szCs w:val="24"/>
        </w:rPr>
        <w:t xml:space="preserve">(AE) </w:t>
      </w:r>
      <w:r w:rsidR="0070587D" w:rsidRPr="00211B39">
        <w:rPr>
          <w:rFonts w:cs="Times New Roman"/>
          <w:w w:val="95"/>
          <w:sz w:val="24"/>
          <w:szCs w:val="24"/>
        </w:rPr>
        <w:t>via the CPA Portal</w:t>
      </w:r>
      <w:r w:rsidR="00BA2D91" w:rsidRPr="00211B39">
        <w:rPr>
          <w:rFonts w:cs="Times New Roman"/>
          <w:w w:val="95"/>
          <w:sz w:val="24"/>
          <w:szCs w:val="24"/>
        </w:rPr>
        <w:t>.</w:t>
      </w:r>
      <w:r w:rsidR="009B6455" w:rsidRPr="00211B39">
        <w:rPr>
          <w:rFonts w:cs="Times New Roman"/>
          <w:w w:val="95"/>
          <w:sz w:val="24"/>
          <w:szCs w:val="24"/>
        </w:rPr>
        <w:t xml:space="preserve"> </w:t>
      </w:r>
      <w:r w:rsidR="002A1F12" w:rsidRPr="00211B39">
        <w:rPr>
          <w:rFonts w:cs="Times New Roman"/>
          <w:w w:val="95"/>
          <w:sz w:val="24"/>
          <w:szCs w:val="24"/>
        </w:rPr>
        <w:t xml:space="preserve">To recognise varying levels of IT literacy we recommend that alternatives such as a phone service be considered. </w:t>
      </w:r>
      <w:r w:rsidR="00142D18" w:rsidRPr="00211B39">
        <w:rPr>
          <w:rFonts w:cs="Times New Roman"/>
          <w:w w:val="95"/>
          <w:sz w:val="24"/>
          <w:szCs w:val="24"/>
        </w:rPr>
        <w:t xml:space="preserve">The weakness we see in the CPA proposal is that it adds a further institution to the already fractured nature of pension information sources. </w:t>
      </w:r>
      <w:r w:rsidR="009B6455" w:rsidRPr="00211B39">
        <w:rPr>
          <w:rFonts w:cs="Times New Roman"/>
          <w:w w:val="95"/>
          <w:sz w:val="24"/>
          <w:szCs w:val="24"/>
        </w:rPr>
        <w:t xml:space="preserve">As it stands, the CPA will be added to a list of institutions that CIB services direct pension queries to. These include </w:t>
      </w:r>
      <w:r w:rsidR="00B43527" w:rsidRPr="00211B39">
        <w:rPr>
          <w:rFonts w:cs="Times New Roman"/>
          <w:w w:val="95"/>
          <w:sz w:val="24"/>
          <w:szCs w:val="24"/>
        </w:rPr>
        <w:t>the Department of Employment and Social Protection, the Pensions Authority, trustees and administrators (occupational pensions), providers (PRSAs and RACs), and the Financial Service and Pensions Ombudsman’s Bureau of Ireland.</w:t>
      </w:r>
      <w:r w:rsidR="009B6455" w:rsidRPr="00211B39">
        <w:rPr>
          <w:rFonts w:cs="Times New Roman"/>
          <w:w w:val="95"/>
          <w:sz w:val="24"/>
          <w:szCs w:val="24"/>
        </w:rPr>
        <w:t xml:space="preserve"> Because CPA will not produce annual benefit statements or deal with the decumulation phase, we also add </w:t>
      </w:r>
      <w:r w:rsidR="001D06AE" w:rsidRPr="00211B39">
        <w:rPr>
          <w:rFonts w:cs="Times New Roman"/>
          <w:w w:val="95"/>
          <w:sz w:val="24"/>
          <w:szCs w:val="24"/>
        </w:rPr>
        <w:t xml:space="preserve">AE </w:t>
      </w:r>
      <w:r w:rsidR="009B6455" w:rsidRPr="00211B39">
        <w:rPr>
          <w:rFonts w:cs="Times New Roman"/>
          <w:w w:val="95"/>
          <w:sz w:val="24"/>
          <w:szCs w:val="24"/>
        </w:rPr>
        <w:t>registered providers to that list.</w:t>
      </w:r>
    </w:p>
    <w:p w:rsidR="009B6455" w:rsidRPr="00211B39" w:rsidRDefault="009B6455" w:rsidP="00211B39">
      <w:pPr>
        <w:pStyle w:val="ListParagraph"/>
        <w:spacing w:line="240" w:lineRule="auto"/>
        <w:ind w:left="0"/>
        <w:rPr>
          <w:rFonts w:cs="Times New Roman"/>
          <w:w w:val="95"/>
          <w:sz w:val="24"/>
          <w:szCs w:val="24"/>
        </w:rPr>
      </w:pPr>
    </w:p>
    <w:p w:rsidR="00A70D90" w:rsidRPr="00211B39" w:rsidRDefault="009B6455" w:rsidP="00211B39">
      <w:pPr>
        <w:pStyle w:val="Default"/>
        <w:rPr>
          <w:rFonts w:ascii="Calibri" w:hAnsi="Calibri"/>
        </w:rPr>
      </w:pPr>
      <w:r w:rsidRPr="00211B39">
        <w:rPr>
          <w:rFonts w:ascii="Calibri" w:hAnsi="Calibri" w:cs="Times New Roman"/>
          <w:color w:val="auto"/>
          <w:w w:val="95"/>
        </w:rPr>
        <w:t>Given t</w:t>
      </w:r>
      <w:r w:rsidR="002E2B65" w:rsidRPr="00211B39">
        <w:rPr>
          <w:rFonts w:ascii="Calibri" w:hAnsi="Calibri" w:cs="Times New Roman"/>
          <w:color w:val="auto"/>
          <w:w w:val="95"/>
        </w:rPr>
        <w:t xml:space="preserve">hat the </w:t>
      </w:r>
      <w:r w:rsidR="003A62D7" w:rsidRPr="00211B39">
        <w:rPr>
          <w:rFonts w:ascii="Calibri" w:hAnsi="Calibri" w:cs="Times New Roman"/>
          <w:color w:val="auto"/>
          <w:w w:val="95"/>
        </w:rPr>
        <w:t xml:space="preserve">rationale for the CPA </w:t>
      </w:r>
      <w:r w:rsidR="002E2B65" w:rsidRPr="00211B39">
        <w:rPr>
          <w:rFonts w:ascii="Calibri" w:hAnsi="Calibri" w:cs="Times New Roman"/>
          <w:color w:val="auto"/>
          <w:w w:val="95"/>
        </w:rPr>
        <w:t xml:space="preserve">is </w:t>
      </w:r>
      <w:r w:rsidR="003A62D7" w:rsidRPr="00211B39">
        <w:rPr>
          <w:rFonts w:ascii="Calibri" w:hAnsi="Calibri" w:cs="Times New Roman"/>
          <w:color w:val="auto"/>
          <w:w w:val="95"/>
        </w:rPr>
        <w:t>simplicity and ease of administration</w:t>
      </w:r>
      <w:r w:rsidR="00B4289F" w:rsidRPr="00211B39">
        <w:rPr>
          <w:rFonts w:ascii="Calibri" w:hAnsi="Calibri" w:cs="Times New Roman"/>
          <w:color w:val="auto"/>
          <w:w w:val="95"/>
        </w:rPr>
        <w:t>,</w:t>
      </w:r>
      <w:r w:rsidR="00346F1B">
        <w:rPr>
          <w:rFonts w:ascii="Calibri" w:hAnsi="Calibri" w:cs="Times New Roman"/>
          <w:color w:val="auto"/>
          <w:w w:val="95"/>
        </w:rPr>
        <w:t xml:space="preserve"> </w:t>
      </w:r>
      <w:r w:rsidR="00211B39" w:rsidRPr="00211B39">
        <w:rPr>
          <w:rFonts w:ascii="Calibri" w:hAnsi="Calibri" w:cs="Times New Roman"/>
          <w:color w:val="auto"/>
          <w:w w:val="95"/>
        </w:rPr>
        <w:t xml:space="preserve">the proposal that </w:t>
      </w:r>
      <w:r w:rsidR="0070587D" w:rsidRPr="00211B39">
        <w:rPr>
          <w:rFonts w:ascii="Calibri" w:hAnsi="Calibri" w:cs="Times New Roman"/>
          <w:color w:val="auto"/>
          <w:w w:val="95"/>
        </w:rPr>
        <w:t>provider</w:t>
      </w:r>
      <w:r w:rsidR="00211B39" w:rsidRPr="00211B39">
        <w:rPr>
          <w:rFonts w:ascii="Calibri" w:hAnsi="Calibri" w:cs="Times New Roman"/>
          <w:color w:val="auto"/>
          <w:w w:val="95"/>
        </w:rPr>
        <w:t xml:space="preserve">s will populate the CPA portal </w:t>
      </w:r>
      <w:r w:rsidR="003A62D7" w:rsidRPr="00211B39">
        <w:rPr>
          <w:rFonts w:ascii="Calibri" w:hAnsi="Calibri" w:cs="Times New Roman"/>
          <w:color w:val="auto"/>
          <w:w w:val="95"/>
        </w:rPr>
        <w:t xml:space="preserve">and the existing function of MyGovID.ie in ascertaining social insurance records, we </w:t>
      </w:r>
      <w:r w:rsidRPr="00211B39">
        <w:rPr>
          <w:rFonts w:ascii="Calibri" w:hAnsi="Calibri" w:cs="Times New Roman"/>
          <w:color w:val="auto"/>
          <w:w w:val="95"/>
        </w:rPr>
        <w:t xml:space="preserve">believe that there is an opportunity </w:t>
      </w:r>
      <w:r w:rsidR="00142D18" w:rsidRPr="00211B39">
        <w:rPr>
          <w:rFonts w:ascii="Calibri" w:hAnsi="Calibri" w:cs="Times New Roman"/>
          <w:color w:val="auto"/>
          <w:w w:val="95"/>
        </w:rPr>
        <w:t xml:space="preserve">to consider </w:t>
      </w:r>
      <w:r w:rsidRPr="00211B39">
        <w:rPr>
          <w:rFonts w:ascii="Calibri" w:hAnsi="Calibri" w:cs="Times New Roman"/>
          <w:color w:val="auto"/>
          <w:w w:val="95"/>
        </w:rPr>
        <w:t xml:space="preserve">consolidation.  We </w:t>
      </w:r>
      <w:r w:rsidR="003A62D7" w:rsidRPr="00211B39">
        <w:rPr>
          <w:rFonts w:ascii="Calibri" w:hAnsi="Calibri" w:cs="Times New Roman"/>
          <w:color w:val="auto"/>
          <w:w w:val="95"/>
        </w:rPr>
        <w:t>recommend that i</w:t>
      </w:r>
      <w:r w:rsidR="00CC6E51" w:rsidRPr="00211B39">
        <w:rPr>
          <w:rFonts w:ascii="Calibri" w:hAnsi="Calibri" w:cs="Times New Roman"/>
          <w:color w:val="auto"/>
          <w:w w:val="95"/>
        </w:rPr>
        <w:t xml:space="preserve">n scoping and costing the CPA, consideration </w:t>
      </w:r>
      <w:r w:rsidR="003A62D7" w:rsidRPr="00211B39">
        <w:rPr>
          <w:rFonts w:ascii="Calibri" w:hAnsi="Calibri" w:cs="Times New Roman"/>
          <w:color w:val="auto"/>
          <w:w w:val="95"/>
        </w:rPr>
        <w:t xml:space="preserve">be given to </w:t>
      </w:r>
      <w:r w:rsidRPr="00211B39">
        <w:rPr>
          <w:rFonts w:ascii="Calibri" w:hAnsi="Calibri" w:cs="Times New Roman"/>
          <w:color w:val="auto"/>
          <w:w w:val="95"/>
        </w:rPr>
        <w:t xml:space="preserve">consolidating pension information sources by designing it as a </w:t>
      </w:r>
      <w:r w:rsidR="00CC6E51" w:rsidRPr="00211B39">
        <w:rPr>
          <w:rFonts w:ascii="Calibri" w:hAnsi="Calibri" w:cs="Times New Roman"/>
          <w:color w:val="auto"/>
          <w:w w:val="95"/>
        </w:rPr>
        <w:t xml:space="preserve">one-stop shop for </w:t>
      </w:r>
      <w:r w:rsidRPr="00211B39">
        <w:rPr>
          <w:rFonts w:ascii="Calibri" w:hAnsi="Calibri" w:cs="Times New Roman"/>
          <w:color w:val="auto"/>
          <w:w w:val="95"/>
        </w:rPr>
        <w:t xml:space="preserve">most if not </w:t>
      </w:r>
      <w:r w:rsidR="00CC6E51" w:rsidRPr="00211B39">
        <w:rPr>
          <w:rFonts w:ascii="Calibri" w:hAnsi="Calibri" w:cs="Times New Roman"/>
          <w:color w:val="auto"/>
          <w:w w:val="95"/>
        </w:rPr>
        <w:t xml:space="preserve">all </w:t>
      </w:r>
      <w:r w:rsidR="003A62D7" w:rsidRPr="00211B39">
        <w:rPr>
          <w:rFonts w:ascii="Calibri" w:hAnsi="Calibri" w:cs="Times New Roman"/>
          <w:color w:val="auto"/>
          <w:w w:val="95"/>
        </w:rPr>
        <w:t xml:space="preserve">state and private </w:t>
      </w:r>
      <w:r w:rsidR="00CC6E51" w:rsidRPr="00211B39">
        <w:rPr>
          <w:rFonts w:ascii="Calibri" w:hAnsi="Calibri" w:cs="Times New Roman"/>
          <w:color w:val="auto"/>
          <w:w w:val="95"/>
        </w:rPr>
        <w:t>pension queries.</w:t>
      </w:r>
      <w:r w:rsidR="00142D18" w:rsidRPr="00211B39">
        <w:rPr>
          <w:rFonts w:ascii="Calibri" w:hAnsi="Calibri" w:cs="Times New Roman"/>
          <w:color w:val="auto"/>
          <w:w w:val="95"/>
        </w:rPr>
        <w:t xml:space="preserve"> </w:t>
      </w:r>
      <w:r w:rsidR="00211B39" w:rsidRPr="00612320">
        <w:rPr>
          <w:rFonts w:asciiTheme="minorHAnsi" w:hAnsiTheme="minorHAnsi"/>
          <w:sz w:val="22"/>
          <w:szCs w:val="22"/>
        </w:rPr>
        <w:t>Information on the CPA front-end portal should be provided in a clear and concise manner</w:t>
      </w:r>
      <w:r w:rsidR="00211B39">
        <w:rPr>
          <w:rFonts w:ascii="Calibri" w:hAnsi="Calibri"/>
          <w:color w:val="auto"/>
        </w:rPr>
        <w:t xml:space="preserve">. </w:t>
      </w:r>
      <w:r w:rsidR="00A70D90" w:rsidRPr="00211B39">
        <w:rPr>
          <w:rFonts w:ascii="Calibri" w:hAnsi="Calibri"/>
          <w:color w:val="auto"/>
        </w:rPr>
        <w:t xml:space="preserve">Information presented through a ‘life stages’ format may assist </w:t>
      </w:r>
      <w:r w:rsidR="00346F1B">
        <w:rPr>
          <w:rFonts w:ascii="Calibri" w:hAnsi="Calibri"/>
          <w:color w:val="auto"/>
        </w:rPr>
        <w:t>m</w:t>
      </w:r>
      <w:r w:rsidR="00A70D90" w:rsidRPr="00211B39">
        <w:rPr>
          <w:rFonts w:ascii="Calibri" w:hAnsi="Calibri"/>
          <w:color w:val="auto"/>
        </w:rPr>
        <w:t xml:space="preserve">embers to make decisions on the fund option they wish to select, as age, individual and family circumstances/stage of life may have a bearing on the level of contribution made and their capacity for risk. Tools, such as slider scales or other visual graphics may assist to demonstrate the amount of income to be deducted </w:t>
      </w:r>
      <w:r w:rsidR="00A70D90" w:rsidRPr="00211B39">
        <w:rPr>
          <w:rFonts w:ascii="Calibri" w:hAnsi="Calibri"/>
        </w:rPr>
        <w:t>from an employee and also to be contributed by the employer and State.</w:t>
      </w:r>
    </w:p>
    <w:p w:rsidR="002E2B65" w:rsidRPr="00211B39" w:rsidRDefault="002E2B65" w:rsidP="00211B39">
      <w:pPr>
        <w:pStyle w:val="ListParagraph"/>
        <w:spacing w:line="240" w:lineRule="auto"/>
        <w:ind w:left="0"/>
        <w:rPr>
          <w:rFonts w:cs="Times New Roman"/>
          <w:color w:val="C00000"/>
          <w:w w:val="95"/>
          <w:sz w:val="24"/>
          <w:szCs w:val="24"/>
        </w:rPr>
      </w:pPr>
    </w:p>
    <w:p w:rsidR="003A62D7" w:rsidRPr="00211B39" w:rsidRDefault="003A62D7" w:rsidP="00211B39">
      <w:pPr>
        <w:pStyle w:val="ListParagraph"/>
        <w:spacing w:line="240" w:lineRule="auto"/>
        <w:ind w:left="0"/>
        <w:rPr>
          <w:rFonts w:cs="Times New Roman"/>
          <w:w w:val="95"/>
          <w:sz w:val="24"/>
          <w:szCs w:val="24"/>
        </w:rPr>
      </w:pPr>
      <w:r w:rsidRPr="00211B39">
        <w:rPr>
          <w:rFonts w:cs="Times New Roman"/>
          <w:w w:val="95"/>
          <w:sz w:val="24"/>
          <w:szCs w:val="24"/>
        </w:rPr>
        <w:t xml:space="preserve">The Strawman </w:t>
      </w:r>
      <w:r w:rsidR="009B6455" w:rsidRPr="00211B39">
        <w:rPr>
          <w:rFonts w:cs="Times New Roman"/>
          <w:w w:val="95"/>
          <w:sz w:val="24"/>
          <w:szCs w:val="24"/>
        </w:rPr>
        <w:t>Document</w:t>
      </w:r>
      <w:r w:rsidRPr="00211B39">
        <w:rPr>
          <w:rFonts w:cs="Times New Roman"/>
          <w:w w:val="95"/>
          <w:sz w:val="24"/>
          <w:szCs w:val="24"/>
        </w:rPr>
        <w:t xml:space="preserve"> does not include an estimate of establishment and resourcing costs</w:t>
      </w:r>
      <w:r w:rsidR="008028FF">
        <w:rPr>
          <w:rFonts w:cs="Times New Roman"/>
          <w:w w:val="95"/>
          <w:sz w:val="24"/>
          <w:szCs w:val="24"/>
        </w:rPr>
        <w:t xml:space="preserve"> for a portal</w:t>
      </w:r>
      <w:r w:rsidR="009B6455" w:rsidRPr="00211B39">
        <w:rPr>
          <w:rFonts w:cs="Times New Roman"/>
          <w:w w:val="95"/>
          <w:sz w:val="24"/>
          <w:szCs w:val="24"/>
        </w:rPr>
        <w:t xml:space="preserve">. </w:t>
      </w:r>
      <w:r w:rsidRPr="00211B39">
        <w:rPr>
          <w:rFonts w:cs="Times New Roman"/>
          <w:w w:val="95"/>
          <w:sz w:val="24"/>
          <w:szCs w:val="24"/>
        </w:rPr>
        <w:t xml:space="preserve">Therefore, we are unable to comment on whether the </w:t>
      </w:r>
      <w:r w:rsidR="008B56B1" w:rsidRPr="00211B39">
        <w:rPr>
          <w:rFonts w:cs="Times New Roman"/>
          <w:w w:val="95"/>
          <w:sz w:val="24"/>
          <w:szCs w:val="24"/>
        </w:rPr>
        <w:t xml:space="preserve">CPA will represent value for money for the State, as opposed to say, </w:t>
      </w:r>
      <w:r w:rsidR="009B6455" w:rsidRPr="00211B39">
        <w:rPr>
          <w:rFonts w:cs="Times New Roman"/>
          <w:w w:val="95"/>
          <w:sz w:val="24"/>
          <w:szCs w:val="24"/>
        </w:rPr>
        <w:t xml:space="preserve">expenditure on the </w:t>
      </w:r>
      <w:r w:rsidR="008B56B1" w:rsidRPr="00211B39">
        <w:rPr>
          <w:rFonts w:cs="Times New Roman"/>
          <w:w w:val="95"/>
          <w:sz w:val="24"/>
          <w:szCs w:val="24"/>
        </w:rPr>
        <w:t xml:space="preserve">expansion of the Scope Section of the DEASP or the revenue collection system for PRSI. Keeping with the </w:t>
      </w:r>
      <w:r w:rsidR="00FF2A82" w:rsidRPr="00211B39">
        <w:rPr>
          <w:rFonts w:cs="Times New Roman"/>
          <w:w w:val="95"/>
          <w:sz w:val="24"/>
          <w:szCs w:val="24"/>
        </w:rPr>
        <w:t>emphasis in</w:t>
      </w:r>
      <w:r w:rsidR="008B56B1" w:rsidRPr="00211B39">
        <w:rPr>
          <w:rFonts w:cs="Times New Roman"/>
          <w:w w:val="95"/>
          <w:sz w:val="24"/>
          <w:szCs w:val="24"/>
        </w:rPr>
        <w:t xml:space="preserve"> </w:t>
      </w:r>
      <w:r w:rsidR="00FF2A82" w:rsidRPr="00211B39">
        <w:rPr>
          <w:rFonts w:cs="Times New Roman"/>
          <w:w w:val="95"/>
          <w:sz w:val="24"/>
          <w:szCs w:val="24"/>
        </w:rPr>
        <w:t xml:space="preserve">the </w:t>
      </w:r>
      <w:r w:rsidR="008B56B1" w:rsidRPr="00211B39">
        <w:rPr>
          <w:rFonts w:cs="Times New Roman"/>
          <w:w w:val="95"/>
          <w:sz w:val="24"/>
          <w:szCs w:val="24"/>
        </w:rPr>
        <w:t xml:space="preserve">CPA proposals on economies of scale, the consolidation of </w:t>
      </w:r>
      <w:r w:rsidR="00FF2A82" w:rsidRPr="00211B39">
        <w:rPr>
          <w:rFonts w:cs="Times New Roman"/>
          <w:w w:val="95"/>
          <w:sz w:val="24"/>
          <w:szCs w:val="24"/>
        </w:rPr>
        <w:t xml:space="preserve">record keeping between the </w:t>
      </w:r>
      <w:r w:rsidR="002E3505" w:rsidRPr="00211B39">
        <w:rPr>
          <w:rFonts w:cs="Times New Roman"/>
          <w:w w:val="95"/>
          <w:sz w:val="24"/>
          <w:szCs w:val="24"/>
        </w:rPr>
        <w:t>S</w:t>
      </w:r>
      <w:r w:rsidR="00FF2A82" w:rsidRPr="00211B39">
        <w:rPr>
          <w:rFonts w:cs="Times New Roman"/>
          <w:w w:val="95"/>
          <w:sz w:val="24"/>
          <w:szCs w:val="24"/>
        </w:rPr>
        <w:t xml:space="preserve">tate and the AE systems may offer savings potential. If the current preservation requirements </w:t>
      </w:r>
      <w:r w:rsidR="00142D18" w:rsidRPr="00211B39">
        <w:rPr>
          <w:rFonts w:cs="Times New Roman"/>
          <w:w w:val="95"/>
          <w:sz w:val="24"/>
          <w:szCs w:val="24"/>
        </w:rPr>
        <w:t xml:space="preserve">for occupational pensions </w:t>
      </w:r>
      <w:r w:rsidR="00FF2A82" w:rsidRPr="00211B39">
        <w:rPr>
          <w:rFonts w:cs="Times New Roman"/>
          <w:w w:val="95"/>
          <w:sz w:val="24"/>
          <w:szCs w:val="24"/>
        </w:rPr>
        <w:t>apply to AE, the retention of the state contribution paid in respect of early leavers from the system may also represent an offset against operating costs.</w:t>
      </w:r>
    </w:p>
    <w:p w:rsidR="00142D18" w:rsidRPr="00211B39" w:rsidRDefault="00142D18" w:rsidP="00211B39">
      <w:pPr>
        <w:pStyle w:val="ListParagraph"/>
        <w:spacing w:line="240" w:lineRule="auto"/>
        <w:ind w:left="0"/>
        <w:rPr>
          <w:rFonts w:cs="Times New Roman"/>
          <w:w w:val="95"/>
          <w:sz w:val="24"/>
          <w:szCs w:val="24"/>
        </w:rPr>
      </w:pPr>
    </w:p>
    <w:p w:rsidR="00FF2A82" w:rsidRPr="00211B39" w:rsidRDefault="00FF2A82" w:rsidP="00211B39">
      <w:pPr>
        <w:pStyle w:val="ListParagraph"/>
        <w:spacing w:line="240" w:lineRule="auto"/>
        <w:rPr>
          <w:rFonts w:cs="Times New Roman"/>
          <w:b/>
          <w:w w:val="95"/>
          <w:sz w:val="24"/>
          <w:szCs w:val="24"/>
        </w:rPr>
      </w:pPr>
    </w:p>
    <w:p w:rsidR="00FF2A82" w:rsidRPr="00211B39" w:rsidRDefault="00FF2A82" w:rsidP="00211B39">
      <w:pPr>
        <w:pStyle w:val="ListParagraph"/>
        <w:numPr>
          <w:ilvl w:val="0"/>
          <w:numId w:val="1"/>
        </w:numPr>
        <w:spacing w:line="240" w:lineRule="auto"/>
        <w:rPr>
          <w:rFonts w:cs="Times New Roman"/>
          <w:b/>
          <w:w w:val="95"/>
          <w:sz w:val="24"/>
          <w:szCs w:val="24"/>
        </w:rPr>
      </w:pPr>
      <w:r w:rsidRPr="00211B39">
        <w:rPr>
          <w:rFonts w:cs="Times New Roman"/>
          <w:b/>
          <w:w w:val="95"/>
          <w:sz w:val="24"/>
          <w:szCs w:val="24"/>
        </w:rPr>
        <w:t>Providers</w:t>
      </w:r>
    </w:p>
    <w:p w:rsidR="00A20242" w:rsidRPr="00211B39" w:rsidRDefault="00A20242" w:rsidP="00211B39">
      <w:pPr>
        <w:spacing w:line="240" w:lineRule="auto"/>
        <w:rPr>
          <w:rFonts w:cs="Times New Roman"/>
          <w:w w:val="95"/>
          <w:sz w:val="24"/>
          <w:szCs w:val="24"/>
        </w:rPr>
      </w:pPr>
      <w:r w:rsidRPr="00211B39">
        <w:rPr>
          <w:rFonts w:cs="Times New Roman"/>
          <w:w w:val="95"/>
          <w:sz w:val="24"/>
          <w:szCs w:val="24"/>
        </w:rPr>
        <w:t xml:space="preserve">We recognise that removing the employer from making a decision on the provider and investment funds acknowledges that much of the target audience for AE work in smaller enterprises that may not have a HR function. The removal of as much administration and </w:t>
      </w:r>
      <w:r w:rsidRPr="00211B39">
        <w:rPr>
          <w:rFonts w:cs="Times New Roman"/>
          <w:w w:val="95"/>
          <w:sz w:val="24"/>
          <w:szCs w:val="24"/>
        </w:rPr>
        <w:lastRenderedPageBreak/>
        <w:t xml:space="preserve">associated costs as possible from the employers should reduce opposition to the imposition of AE employer contributions. The allocation of contributions to a provider on a carousel basis where no active provider choice is made is fair. Having said this, not having employer guidance </w:t>
      </w:r>
      <w:r w:rsidR="00CE2F75" w:rsidRPr="00211B39">
        <w:rPr>
          <w:rFonts w:cs="Times New Roman"/>
          <w:w w:val="95"/>
          <w:sz w:val="24"/>
          <w:szCs w:val="24"/>
        </w:rPr>
        <w:t>o</w:t>
      </w:r>
      <w:r w:rsidRPr="00211B39">
        <w:rPr>
          <w:rFonts w:cs="Times New Roman"/>
          <w:w w:val="95"/>
          <w:sz w:val="24"/>
          <w:szCs w:val="24"/>
        </w:rPr>
        <w:t xml:space="preserve">n AE provider and funds </w:t>
      </w:r>
      <w:r w:rsidR="00CE2F75" w:rsidRPr="00211B39">
        <w:rPr>
          <w:rFonts w:cs="Times New Roman"/>
          <w:w w:val="95"/>
          <w:sz w:val="24"/>
          <w:szCs w:val="24"/>
        </w:rPr>
        <w:t>creates</w:t>
      </w:r>
      <w:r w:rsidRPr="00211B39">
        <w:rPr>
          <w:rFonts w:cs="Times New Roman"/>
          <w:w w:val="95"/>
          <w:sz w:val="24"/>
          <w:szCs w:val="24"/>
        </w:rPr>
        <w:t xml:space="preserve"> a gap in information. This supports </w:t>
      </w:r>
      <w:r w:rsidR="002E2B65" w:rsidRPr="00211B39">
        <w:rPr>
          <w:rFonts w:cs="Times New Roman"/>
          <w:w w:val="95"/>
          <w:sz w:val="24"/>
          <w:szCs w:val="24"/>
        </w:rPr>
        <w:t xml:space="preserve">the </w:t>
      </w:r>
      <w:r w:rsidRPr="00211B39">
        <w:rPr>
          <w:rFonts w:cs="Times New Roman"/>
          <w:w w:val="95"/>
          <w:sz w:val="24"/>
          <w:szCs w:val="24"/>
        </w:rPr>
        <w:t xml:space="preserve">recommendation made in the preceding </w:t>
      </w:r>
      <w:r w:rsidR="009F03AF" w:rsidRPr="00211B39">
        <w:rPr>
          <w:rFonts w:cs="Times New Roman"/>
          <w:w w:val="95"/>
          <w:sz w:val="24"/>
          <w:szCs w:val="24"/>
        </w:rPr>
        <w:t>section</w:t>
      </w:r>
      <w:r w:rsidRPr="00211B39">
        <w:rPr>
          <w:rFonts w:cs="Times New Roman"/>
          <w:w w:val="95"/>
          <w:sz w:val="24"/>
          <w:szCs w:val="24"/>
        </w:rPr>
        <w:t xml:space="preserve"> </w:t>
      </w:r>
      <w:r w:rsidR="002E2B65" w:rsidRPr="00211B39">
        <w:rPr>
          <w:rFonts w:cs="Times New Roman"/>
          <w:w w:val="95"/>
          <w:sz w:val="24"/>
          <w:szCs w:val="24"/>
        </w:rPr>
        <w:t xml:space="preserve">of </w:t>
      </w:r>
      <w:r w:rsidRPr="00211B39">
        <w:rPr>
          <w:rFonts w:cs="Times New Roman"/>
          <w:w w:val="95"/>
          <w:sz w:val="24"/>
          <w:szCs w:val="24"/>
        </w:rPr>
        <w:t xml:space="preserve">consolidating the services for pension queries as far as possible into a single institution. </w:t>
      </w:r>
    </w:p>
    <w:p w:rsidR="008828D9" w:rsidRPr="00211B39" w:rsidRDefault="005B53DB" w:rsidP="00211B39">
      <w:pPr>
        <w:spacing w:line="240" w:lineRule="auto"/>
        <w:rPr>
          <w:rFonts w:cs="Times New Roman"/>
          <w:w w:val="95"/>
          <w:sz w:val="24"/>
          <w:szCs w:val="24"/>
        </w:rPr>
      </w:pPr>
      <w:r w:rsidRPr="00211B39">
        <w:rPr>
          <w:rFonts w:cs="Times New Roman"/>
          <w:w w:val="95"/>
          <w:sz w:val="24"/>
          <w:szCs w:val="24"/>
        </w:rPr>
        <w:t>The primary role of the provider in AE will be to manage the money. Consequently, t</w:t>
      </w:r>
      <w:r w:rsidR="0015486E" w:rsidRPr="00211B39">
        <w:rPr>
          <w:rFonts w:cs="Times New Roman"/>
          <w:w w:val="95"/>
          <w:sz w:val="24"/>
          <w:szCs w:val="24"/>
        </w:rPr>
        <w:t>rust in providers is an important facet of making AE successful. Neither the State (the liquidation of the National Pensions Reserve Fund’s assets</w:t>
      </w:r>
      <w:r w:rsidR="00534B36" w:rsidRPr="00211B39">
        <w:rPr>
          <w:rFonts w:cs="Times New Roman"/>
          <w:w w:val="95"/>
          <w:sz w:val="24"/>
          <w:szCs w:val="24"/>
        </w:rPr>
        <w:t xml:space="preserve">, </w:t>
      </w:r>
      <w:r w:rsidR="0015486E" w:rsidRPr="00211B39">
        <w:rPr>
          <w:rFonts w:cs="Times New Roman"/>
          <w:w w:val="95"/>
          <w:sz w:val="24"/>
          <w:szCs w:val="24"/>
        </w:rPr>
        <w:t>the pension fund levy), nor the pensions industry (fall in asset values during the financial crisis, closure of pension schemes with insufficient assets</w:t>
      </w:r>
      <w:r w:rsidR="00D53B1D" w:rsidRPr="00211B39">
        <w:rPr>
          <w:rFonts w:cs="Times New Roman"/>
          <w:w w:val="95"/>
          <w:sz w:val="24"/>
          <w:szCs w:val="24"/>
        </w:rPr>
        <w:t xml:space="preserve"> such as Waterford Glass) can lay claim to </w:t>
      </w:r>
      <w:r w:rsidR="009B6455" w:rsidRPr="00211B39">
        <w:rPr>
          <w:rFonts w:cs="Times New Roman"/>
          <w:w w:val="95"/>
          <w:sz w:val="24"/>
          <w:szCs w:val="24"/>
        </w:rPr>
        <w:t>full public</w:t>
      </w:r>
      <w:r w:rsidR="00D53B1D" w:rsidRPr="00211B39">
        <w:rPr>
          <w:rFonts w:cs="Times New Roman"/>
          <w:w w:val="95"/>
          <w:sz w:val="24"/>
          <w:szCs w:val="24"/>
        </w:rPr>
        <w:t xml:space="preserve"> confidence in matters relating to pensions.</w:t>
      </w:r>
      <w:r w:rsidRPr="00211B39">
        <w:rPr>
          <w:rFonts w:cs="Times New Roman"/>
          <w:w w:val="95"/>
          <w:sz w:val="24"/>
          <w:szCs w:val="24"/>
        </w:rPr>
        <w:t xml:space="preserve"> </w:t>
      </w:r>
      <w:r w:rsidR="00102769" w:rsidRPr="00211B39">
        <w:rPr>
          <w:rFonts w:cs="Times New Roman"/>
          <w:w w:val="95"/>
          <w:sz w:val="24"/>
          <w:szCs w:val="24"/>
        </w:rPr>
        <w:t xml:space="preserve">Taking into account that no one institution enjoys full support, </w:t>
      </w:r>
      <w:r w:rsidRPr="00211B39">
        <w:rPr>
          <w:rFonts w:cs="Times New Roman"/>
          <w:w w:val="95"/>
          <w:sz w:val="24"/>
          <w:szCs w:val="24"/>
        </w:rPr>
        <w:t xml:space="preserve">both </w:t>
      </w:r>
      <w:r w:rsidR="009B6455" w:rsidRPr="00211B39">
        <w:rPr>
          <w:rFonts w:cs="Times New Roman"/>
          <w:w w:val="95"/>
          <w:sz w:val="24"/>
          <w:szCs w:val="24"/>
        </w:rPr>
        <w:t xml:space="preserve">the </w:t>
      </w:r>
      <w:r w:rsidR="002E3505" w:rsidRPr="00211B39">
        <w:rPr>
          <w:rFonts w:cs="Times New Roman"/>
          <w:w w:val="95"/>
          <w:sz w:val="24"/>
          <w:szCs w:val="24"/>
        </w:rPr>
        <w:t>S</w:t>
      </w:r>
      <w:r w:rsidR="009B6455" w:rsidRPr="00211B39">
        <w:rPr>
          <w:rFonts w:cs="Times New Roman"/>
          <w:w w:val="95"/>
          <w:sz w:val="24"/>
          <w:szCs w:val="24"/>
        </w:rPr>
        <w:t xml:space="preserve">tate and the pensions industry </w:t>
      </w:r>
      <w:r w:rsidRPr="00211B39">
        <w:rPr>
          <w:rFonts w:cs="Times New Roman"/>
          <w:w w:val="95"/>
          <w:sz w:val="24"/>
          <w:szCs w:val="24"/>
        </w:rPr>
        <w:t>should be considered in the decision on AE providers.</w:t>
      </w:r>
    </w:p>
    <w:p w:rsidR="005E5D2D" w:rsidRPr="00211B39" w:rsidRDefault="00226599" w:rsidP="00211B39">
      <w:pPr>
        <w:spacing w:line="240" w:lineRule="auto"/>
        <w:rPr>
          <w:rFonts w:cs="Times New Roman"/>
          <w:w w:val="95"/>
          <w:sz w:val="24"/>
          <w:szCs w:val="24"/>
        </w:rPr>
      </w:pPr>
      <w:r w:rsidRPr="00211B39">
        <w:rPr>
          <w:rFonts w:cs="Times New Roman"/>
          <w:w w:val="95"/>
          <w:sz w:val="24"/>
          <w:szCs w:val="24"/>
        </w:rPr>
        <w:t xml:space="preserve">We understand the economies of scale ambition </w:t>
      </w:r>
      <w:r w:rsidR="008A2A99" w:rsidRPr="00211B39">
        <w:rPr>
          <w:rFonts w:cs="Times New Roman"/>
          <w:w w:val="95"/>
          <w:sz w:val="24"/>
          <w:szCs w:val="24"/>
        </w:rPr>
        <w:t xml:space="preserve">of </w:t>
      </w:r>
      <w:r w:rsidRPr="00211B39">
        <w:rPr>
          <w:rFonts w:cs="Times New Roman"/>
          <w:w w:val="95"/>
          <w:sz w:val="24"/>
          <w:szCs w:val="24"/>
        </w:rPr>
        <w:t xml:space="preserve">having a number of providers competing for the AE market. </w:t>
      </w:r>
      <w:r w:rsidR="001014EE" w:rsidRPr="00211B39">
        <w:rPr>
          <w:rFonts w:cs="Times New Roman"/>
          <w:w w:val="95"/>
          <w:sz w:val="24"/>
          <w:szCs w:val="24"/>
        </w:rPr>
        <w:t>On one hand, g</w:t>
      </w:r>
      <w:r w:rsidRPr="00211B39">
        <w:rPr>
          <w:rFonts w:cs="Times New Roman"/>
          <w:w w:val="95"/>
          <w:sz w:val="24"/>
          <w:szCs w:val="24"/>
        </w:rPr>
        <w:t>iven the size of the target population in Ireland which we understand to be in the region of 400,00</w:t>
      </w:r>
      <w:r w:rsidR="001014EE" w:rsidRPr="00211B39">
        <w:rPr>
          <w:rFonts w:cs="Times New Roman"/>
          <w:w w:val="95"/>
          <w:sz w:val="24"/>
          <w:szCs w:val="24"/>
        </w:rPr>
        <w:t>0</w:t>
      </w:r>
      <w:r w:rsidR="003D0C17" w:rsidRPr="00211B39">
        <w:rPr>
          <w:rStyle w:val="FootnoteReference"/>
          <w:rFonts w:cs="Times New Roman"/>
          <w:w w:val="95"/>
          <w:sz w:val="24"/>
          <w:szCs w:val="24"/>
        </w:rPr>
        <w:footnoteReference w:id="3"/>
      </w:r>
      <w:r w:rsidRPr="00211B39">
        <w:rPr>
          <w:rFonts w:cs="Times New Roman"/>
          <w:w w:val="95"/>
          <w:sz w:val="24"/>
          <w:szCs w:val="24"/>
        </w:rPr>
        <w:t xml:space="preserve"> from the consultation meetings held by the DEASP, limiting the number of providers seems reasonable.</w:t>
      </w:r>
      <w:r w:rsidR="003D0C17" w:rsidRPr="00211B39">
        <w:rPr>
          <w:rFonts w:cs="Times New Roman"/>
          <w:w w:val="95"/>
          <w:sz w:val="24"/>
          <w:szCs w:val="24"/>
        </w:rPr>
        <w:t xml:space="preserve"> </w:t>
      </w:r>
      <w:r w:rsidR="0015486E" w:rsidRPr="00211B39">
        <w:rPr>
          <w:rFonts w:cs="Times New Roman"/>
          <w:w w:val="95"/>
          <w:sz w:val="24"/>
          <w:szCs w:val="24"/>
        </w:rPr>
        <w:t xml:space="preserve">On the other hand, </w:t>
      </w:r>
      <w:r w:rsidR="00D53B1D" w:rsidRPr="00211B39">
        <w:rPr>
          <w:rFonts w:cs="Times New Roman"/>
          <w:w w:val="95"/>
          <w:sz w:val="24"/>
          <w:szCs w:val="24"/>
        </w:rPr>
        <w:t>behavioural analysis tells us that choice overload can deter individuals from making decisions</w:t>
      </w:r>
      <w:r w:rsidR="00D53B1D" w:rsidRPr="00211B39">
        <w:rPr>
          <w:rStyle w:val="FootnoteReference"/>
          <w:rFonts w:cs="Times New Roman"/>
          <w:w w:val="95"/>
          <w:sz w:val="24"/>
          <w:szCs w:val="24"/>
        </w:rPr>
        <w:footnoteReference w:id="4"/>
      </w:r>
      <w:r w:rsidR="00D53B1D" w:rsidRPr="00211B39">
        <w:rPr>
          <w:rFonts w:cs="Times New Roman"/>
          <w:w w:val="95"/>
          <w:sz w:val="24"/>
          <w:szCs w:val="24"/>
        </w:rPr>
        <w:t>. W</w:t>
      </w:r>
      <w:r w:rsidR="005E5D2D" w:rsidRPr="00211B39">
        <w:rPr>
          <w:rFonts w:cs="Times New Roman"/>
          <w:w w:val="95"/>
          <w:sz w:val="24"/>
          <w:szCs w:val="24"/>
        </w:rPr>
        <w:t>ith a number of competing providers, and no role for the employer in selecting a provider, the choice rests with the individual. Therefore</w:t>
      </w:r>
      <w:r w:rsidR="0015486E" w:rsidRPr="00211B39">
        <w:rPr>
          <w:rFonts w:cs="Times New Roman"/>
          <w:w w:val="95"/>
          <w:sz w:val="24"/>
          <w:szCs w:val="24"/>
        </w:rPr>
        <w:t>,</w:t>
      </w:r>
      <w:r w:rsidR="005E5D2D" w:rsidRPr="00211B39">
        <w:rPr>
          <w:rFonts w:cs="Times New Roman"/>
          <w:w w:val="95"/>
          <w:sz w:val="24"/>
          <w:szCs w:val="24"/>
        </w:rPr>
        <w:t xml:space="preserve"> it is reasonable to assume passive engagement in relation to provider.</w:t>
      </w:r>
      <w:r w:rsidR="0015486E" w:rsidRPr="00211B39">
        <w:rPr>
          <w:rFonts w:cs="Times New Roman"/>
          <w:w w:val="95"/>
          <w:sz w:val="24"/>
          <w:szCs w:val="24"/>
        </w:rPr>
        <w:t xml:space="preserve"> This suggests a single provider would meet </w:t>
      </w:r>
      <w:r w:rsidR="00D53B1D" w:rsidRPr="00211B39">
        <w:rPr>
          <w:rFonts w:cs="Times New Roman"/>
          <w:w w:val="95"/>
          <w:sz w:val="24"/>
          <w:szCs w:val="24"/>
        </w:rPr>
        <w:t xml:space="preserve">the objectives of scale </w:t>
      </w:r>
      <w:r w:rsidR="0015486E" w:rsidRPr="00211B39">
        <w:rPr>
          <w:rFonts w:cs="Times New Roman"/>
          <w:w w:val="95"/>
          <w:sz w:val="24"/>
          <w:szCs w:val="24"/>
        </w:rPr>
        <w:t xml:space="preserve">and simplicity. One provider has the advantage of simplifying the system, reducing costs for the CPA as they will only have a single provider to engage with, while also guaranteeing a uniform approach to member </w:t>
      </w:r>
      <w:r w:rsidR="00D53B1D" w:rsidRPr="00211B39">
        <w:rPr>
          <w:rFonts w:cs="Times New Roman"/>
          <w:w w:val="95"/>
          <w:sz w:val="24"/>
          <w:szCs w:val="24"/>
        </w:rPr>
        <w:t>communication</w:t>
      </w:r>
      <w:r w:rsidR="009B6455" w:rsidRPr="00211B39">
        <w:rPr>
          <w:rFonts w:cs="Times New Roman"/>
          <w:w w:val="95"/>
          <w:sz w:val="24"/>
          <w:szCs w:val="24"/>
        </w:rPr>
        <w:t xml:space="preserve">. </w:t>
      </w:r>
      <w:r w:rsidR="0015486E" w:rsidRPr="00211B39">
        <w:rPr>
          <w:rFonts w:cs="Times New Roman"/>
          <w:w w:val="95"/>
          <w:sz w:val="24"/>
          <w:szCs w:val="24"/>
        </w:rPr>
        <w:t>Creating a monopoly can be avoided with robust regulation.</w:t>
      </w:r>
    </w:p>
    <w:p w:rsidR="0015486E" w:rsidRPr="00211B39" w:rsidRDefault="00D53B1D" w:rsidP="00211B39">
      <w:pPr>
        <w:spacing w:line="240" w:lineRule="auto"/>
        <w:rPr>
          <w:rFonts w:cs="Times New Roman"/>
          <w:w w:val="95"/>
          <w:sz w:val="24"/>
          <w:szCs w:val="24"/>
        </w:rPr>
      </w:pPr>
      <w:r w:rsidRPr="00211B39">
        <w:rPr>
          <w:rFonts w:cs="Times New Roman"/>
          <w:w w:val="95"/>
          <w:sz w:val="24"/>
          <w:szCs w:val="24"/>
        </w:rPr>
        <w:t>At the consultation fora held by the DEASP</w:t>
      </w:r>
      <w:r w:rsidRPr="00211B39">
        <w:rPr>
          <w:rStyle w:val="FootnoteReference"/>
          <w:rFonts w:cs="Times New Roman"/>
          <w:w w:val="95"/>
          <w:sz w:val="24"/>
          <w:szCs w:val="24"/>
        </w:rPr>
        <w:footnoteReference w:id="5"/>
      </w:r>
      <w:r w:rsidRPr="00211B39">
        <w:rPr>
          <w:rFonts w:cs="Times New Roman"/>
          <w:w w:val="95"/>
          <w:sz w:val="24"/>
          <w:szCs w:val="24"/>
        </w:rPr>
        <w:t xml:space="preserve">, potential providers argued that AE would not be profitable for them </w:t>
      </w:r>
      <w:r w:rsidR="008E4BC6" w:rsidRPr="00211B39">
        <w:rPr>
          <w:rFonts w:cs="Times New Roman"/>
          <w:w w:val="95"/>
          <w:sz w:val="24"/>
          <w:szCs w:val="24"/>
        </w:rPr>
        <w:t>in the short term</w:t>
      </w:r>
      <w:r w:rsidRPr="00211B39">
        <w:rPr>
          <w:rFonts w:cs="Times New Roman"/>
          <w:w w:val="95"/>
          <w:sz w:val="24"/>
          <w:szCs w:val="24"/>
        </w:rPr>
        <w:t xml:space="preserve">. A too frequent re-tendering process would deter </w:t>
      </w:r>
      <w:r w:rsidR="0027586C" w:rsidRPr="00211B39">
        <w:rPr>
          <w:rFonts w:cs="Times New Roman"/>
          <w:w w:val="95"/>
          <w:sz w:val="24"/>
          <w:szCs w:val="24"/>
        </w:rPr>
        <w:t>providers</w:t>
      </w:r>
      <w:r w:rsidRPr="00211B39">
        <w:rPr>
          <w:rFonts w:cs="Times New Roman"/>
          <w:w w:val="95"/>
          <w:sz w:val="24"/>
          <w:szCs w:val="24"/>
        </w:rPr>
        <w:t xml:space="preserve"> from competing for the AE business</w:t>
      </w:r>
      <w:r w:rsidR="008E4BC6" w:rsidRPr="00211B39">
        <w:rPr>
          <w:rFonts w:cs="Times New Roman"/>
          <w:w w:val="95"/>
          <w:sz w:val="24"/>
          <w:szCs w:val="24"/>
        </w:rPr>
        <w:t xml:space="preserve"> in case they lost the opportunity to recover their costs</w:t>
      </w:r>
      <w:r w:rsidRPr="00211B39">
        <w:rPr>
          <w:rFonts w:cs="Times New Roman"/>
          <w:w w:val="95"/>
          <w:sz w:val="24"/>
          <w:szCs w:val="24"/>
        </w:rPr>
        <w:t>.</w:t>
      </w:r>
      <w:r w:rsidR="0027586C" w:rsidRPr="00211B39">
        <w:rPr>
          <w:rFonts w:cs="Times New Roman"/>
          <w:w w:val="95"/>
          <w:sz w:val="24"/>
          <w:szCs w:val="24"/>
        </w:rPr>
        <w:t xml:space="preserve"> The re-tendering process also raises the question of the costs involved in the transfer of assets from a ‘losing’ provider to a ‘winning’ provider. These could be substantial, and involve the sale of assets (illiquid or otherwise) at an inopportune time. Re-tendering also ignores any active decision making on the behalf of an individual for a particular provider.</w:t>
      </w:r>
    </w:p>
    <w:p w:rsidR="0027586C" w:rsidRPr="00211B39" w:rsidRDefault="0027586C" w:rsidP="00211B39">
      <w:pPr>
        <w:spacing w:line="240" w:lineRule="auto"/>
        <w:rPr>
          <w:rFonts w:cs="Times New Roman"/>
          <w:w w:val="95"/>
          <w:sz w:val="24"/>
          <w:szCs w:val="24"/>
        </w:rPr>
      </w:pPr>
      <w:r w:rsidRPr="00211B39">
        <w:rPr>
          <w:rFonts w:cs="Times New Roman"/>
          <w:w w:val="95"/>
          <w:sz w:val="24"/>
          <w:szCs w:val="24"/>
        </w:rPr>
        <w:t xml:space="preserve">Taking these observations into account, we would like to see the DEASP </w:t>
      </w:r>
      <w:r w:rsidR="008E4BC6" w:rsidRPr="00211B39">
        <w:rPr>
          <w:rFonts w:cs="Times New Roman"/>
          <w:w w:val="95"/>
          <w:sz w:val="24"/>
          <w:szCs w:val="24"/>
        </w:rPr>
        <w:t xml:space="preserve">more fully </w:t>
      </w:r>
      <w:r w:rsidRPr="00211B39">
        <w:rPr>
          <w:rFonts w:cs="Times New Roman"/>
          <w:w w:val="95"/>
          <w:sz w:val="24"/>
          <w:szCs w:val="24"/>
        </w:rPr>
        <w:t>engage with the idea of a single provider, to include deliberations on the advantages and disadvantages of making that single provider a state agency.</w:t>
      </w:r>
    </w:p>
    <w:p w:rsidR="00A20242" w:rsidRPr="00211B39" w:rsidRDefault="00A20242" w:rsidP="00211B39">
      <w:pPr>
        <w:spacing w:line="240" w:lineRule="auto"/>
        <w:rPr>
          <w:rFonts w:cs="Times New Roman"/>
          <w:b/>
          <w:w w:val="95"/>
          <w:sz w:val="24"/>
          <w:szCs w:val="24"/>
        </w:rPr>
      </w:pPr>
    </w:p>
    <w:p w:rsidR="00A366BE" w:rsidRPr="00211B39" w:rsidRDefault="00A366BE" w:rsidP="00211B39">
      <w:pPr>
        <w:pStyle w:val="ListParagraph"/>
        <w:numPr>
          <w:ilvl w:val="0"/>
          <w:numId w:val="1"/>
        </w:numPr>
        <w:spacing w:line="240" w:lineRule="auto"/>
        <w:rPr>
          <w:rFonts w:cs="Times New Roman"/>
          <w:b/>
          <w:w w:val="95"/>
          <w:sz w:val="24"/>
          <w:szCs w:val="24"/>
        </w:rPr>
      </w:pPr>
      <w:r w:rsidRPr="00211B39">
        <w:rPr>
          <w:rFonts w:cs="Times New Roman"/>
          <w:b/>
          <w:w w:val="95"/>
          <w:sz w:val="24"/>
          <w:szCs w:val="24"/>
        </w:rPr>
        <w:t>Governance Structure</w:t>
      </w:r>
    </w:p>
    <w:p w:rsidR="008E4BC6" w:rsidRPr="00211B39" w:rsidRDefault="008A2A99" w:rsidP="00211B39">
      <w:pPr>
        <w:spacing w:line="240" w:lineRule="auto"/>
        <w:rPr>
          <w:rFonts w:cs="Times New Roman"/>
          <w:w w:val="95"/>
          <w:sz w:val="24"/>
          <w:szCs w:val="24"/>
        </w:rPr>
      </w:pPr>
      <w:r w:rsidRPr="00211B39">
        <w:rPr>
          <w:rFonts w:cs="Times New Roman"/>
          <w:w w:val="95"/>
          <w:sz w:val="24"/>
          <w:szCs w:val="24"/>
        </w:rPr>
        <w:t xml:space="preserve">The </w:t>
      </w:r>
      <w:r w:rsidR="005B53DB" w:rsidRPr="00211B39">
        <w:rPr>
          <w:rFonts w:cs="Times New Roman"/>
          <w:w w:val="95"/>
          <w:sz w:val="24"/>
          <w:szCs w:val="24"/>
        </w:rPr>
        <w:t xml:space="preserve">Citizens Information </w:t>
      </w:r>
      <w:r w:rsidRPr="00211B39">
        <w:rPr>
          <w:rFonts w:cs="Times New Roman"/>
          <w:w w:val="95"/>
          <w:sz w:val="24"/>
          <w:szCs w:val="24"/>
        </w:rPr>
        <w:t xml:space="preserve">Board </w:t>
      </w:r>
      <w:r w:rsidR="005B53DB" w:rsidRPr="00211B39">
        <w:rPr>
          <w:rFonts w:cs="Times New Roman"/>
          <w:w w:val="95"/>
          <w:sz w:val="24"/>
          <w:szCs w:val="24"/>
        </w:rPr>
        <w:t>can see merit in both types of governance structure for AE in the protection they offer to individuals. Insurance contracts comply with the body of c</w:t>
      </w:r>
      <w:r w:rsidR="00EB3419" w:rsidRPr="00211B39">
        <w:rPr>
          <w:rFonts w:cs="Times New Roman"/>
          <w:w w:val="95"/>
          <w:sz w:val="24"/>
          <w:szCs w:val="24"/>
        </w:rPr>
        <w:t xml:space="preserve">onsumer </w:t>
      </w:r>
      <w:r w:rsidR="00EB3419" w:rsidRPr="00211B39">
        <w:rPr>
          <w:rFonts w:cs="Times New Roman"/>
          <w:w w:val="95"/>
          <w:sz w:val="24"/>
          <w:szCs w:val="24"/>
        </w:rPr>
        <w:lastRenderedPageBreak/>
        <w:t>protection legislation. Personal Retirement Savings Account (PRSA) providers are regulated by the Pensions Authority, who approve PRSA products and monitor compliance. Trustees must comply with the 1990 Pensions Act (as amended) so that where</w:t>
      </w:r>
      <w:r w:rsidR="005B53DB" w:rsidRPr="00211B39">
        <w:rPr>
          <w:rFonts w:cs="Times New Roman"/>
          <w:w w:val="95"/>
          <w:sz w:val="24"/>
          <w:szCs w:val="24"/>
        </w:rPr>
        <w:t xml:space="preserve"> they outsource </w:t>
      </w:r>
      <w:r w:rsidR="00EB3419" w:rsidRPr="00211B39">
        <w:rPr>
          <w:rFonts w:cs="Times New Roman"/>
          <w:w w:val="95"/>
          <w:sz w:val="24"/>
          <w:szCs w:val="24"/>
        </w:rPr>
        <w:t>activities</w:t>
      </w:r>
      <w:r w:rsidR="005B53DB" w:rsidRPr="00211B39">
        <w:rPr>
          <w:rFonts w:cs="Times New Roman"/>
          <w:w w:val="95"/>
          <w:sz w:val="24"/>
          <w:szCs w:val="24"/>
        </w:rPr>
        <w:t xml:space="preserve"> such as investment and administration, they remain responsible</w:t>
      </w:r>
      <w:r w:rsidR="00EB3419" w:rsidRPr="00211B39">
        <w:rPr>
          <w:rFonts w:cs="Times New Roman"/>
          <w:w w:val="95"/>
          <w:sz w:val="24"/>
          <w:szCs w:val="24"/>
        </w:rPr>
        <w:t xml:space="preserve"> and are obliged to monitor. </w:t>
      </w:r>
    </w:p>
    <w:p w:rsidR="0027586C" w:rsidRPr="00211B39" w:rsidRDefault="008E4BC6" w:rsidP="00211B39">
      <w:pPr>
        <w:spacing w:line="240" w:lineRule="auto"/>
        <w:rPr>
          <w:rFonts w:cs="Times New Roman"/>
          <w:w w:val="95"/>
          <w:sz w:val="24"/>
          <w:szCs w:val="24"/>
        </w:rPr>
      </w:pPr>
      <w:r w:rsidRPr="00211B39">
        <w:rPr>
          <w:rFonts w:cs="Times New Roman"/>
          <w:w w:val="95"/>
          <w:sz w:val="24"/>
          <w:szCs w:val="24"/>
        </w:rPr>
        <w:t>If a trustee governance structure is selected, we note that t</w:t>
      </w:r>
      <w:r w:rsidR="00EB3419" w:rsidRPr="00211B39">
        <w:rPr>
          <w:rFonts w:cs="Times New Roman"/>
          <w:w w:val="95"/>
          <w:sz w:val="24"/>
          <w:szCs w:val="24"/>
        </w:rPr>
        <w:t>he expertise involved to monitor outsourced activities suggests that individuals have to hold a high degree of pension expertise to undertake the role of trustee with competence. This expertise is primarily located within the pensions industry, and raises the question of how independent employees of a pension provider or a subsidiary company might be in the role of trustee</w:t>
      </w:r>
      <w:r w:rsidRPr="00211B39">
        <w:rPr>
          <w:rFonts w:cs="Times New Roman"/>
          <w:w w:val="95"/>
          <w:sz w:val="24"/>
          <w:szCs w:val="24"/>
        </w:rPr>
        <w:t xml:space="preserve"> if their employer or parent company is tendering as a registered provider</w:t>
      </w:r>
      <w:r w:rsidR="00EB3419" w:rsidRPr="00211B39">
        <w:rPr>
          <w:rFonts w:cs="Times New Roman"/>
          <w:w w:val="95"/>
          <w:sz w:val="24"/>
          <w:szCs w:val="24"/>
        </w:rPr>
        <w:t xml:space="preserve">. </w:t>
      </w:r>
    </w:p>
    <w:p w:rsidR="00922511" w:rsidRPr="00211B39" w:rsidRDefault="00922511" w:rsidP="00211B39">
      <w:pPr>
        <w:spacing w:line="240" w:lineRule="auto"/>
        <w:rPr>
          <w:rFonts w:cs="Times New Roman"/>
          <w:w w:val="95"/>
          <w:sz w:val="24"/>
          <w:szCs w:val="24"/>
        </w:rPr>
      </w:pPr>
      <w:r w:rsidRPr="00211B39">
        <w:rPr>
          <w:rFonts w:cs="Times New Roman"/>
          <w:w w:val="95"/>
          <w:sz w:val="24"/>
          <w:szCs w:val="24"/>
        </w:rPr>
        <w:t>We note that the Pensions Authority has recently conducted a consultation process on the question of trustees and master trusts</w:t>
      </w:r>
      <w:r w:rsidR="008E4BC6" w:rsidRPr="00211B39">
        <w:rPr>
          <w:rStyle w:val="FootnoteReference"/>
          <w:rFonts w:cs="Times New Roman"/>
          <w:w w:val="95"/>
          <w:sz w:val="24"/>
          <w:szCs w:val="24"/>
        </w:rPr>
        <w:footnoteReference w:id="6"/>
      </w:r>
      <w:r w:rsidRPr="00211B39">
        <w:rPr>
          <w:rFonts w:cs="Times New Roman"/>
          <w:w w:val="95"/>
          <w:sz w:val="24"/>
          <w:szCs w:val="24"/>
        </w:rPr>
        <w:t xml:space="preserve"> and we </w:t>
      </w:r>
      <w:r w:rsidR="008A2A99" w:rsidRPr="00211B39">
        <w:rPr>
          <w:rFonts w:cs="Times New Roman"/>
          <w:w w:val="95"/>
          <w:sz w:val="24"/>
          <w:szCs w:val="24"/>
        </w:rPr>
        <w:t xml:space="preserve">presumably </w:t>
      </w:r>
      <w:r w:rsidRPr="00211B39">
        <w:rPr>
          <w:rFonts w:cs="Times New Roman"/>
          <w:w w:val="95"/>
          <w:sz w:val="24"/>
          <w:szCs w:val="24"/>
        </w:rPr>
        <w:t xml:space="preserve">the Authority’s deliberations and expertise in this area </w:t>
      </w:r>
      <w:r w:rsidR="008A2A99" w:rsidRPr="00211B39">
        <w:rPr>
          <w:rFonts w:cs="Times New Roman"/>
          <w:w w:val="95"/>
          <w:sz w:val="24"/>
          <w:szCs w:val="24"/>
        </w:rPr>
        <w:t xml:space="preserve">will </w:t>
      </w:r>
      <w:r w:rsidRPr="00211B39">
        <w:rPr>
          <w:rFonts w:cs="Times New Roman"/>
          <w:w w:val="95"/>
          <w:sz w:val="24"/>
          <w:szCs w:val="24"/>
        </w:rPr>
        <w:t xml:space="preserve">be taken into account on the question of governance. </w:t>
      </w:r>
    </w:p>
    <w:p w:rsidR="00A366BE" w:rsidRPr="00211B39" w:rsidRDefault="00A366BE" w:rsidP="00211B39">
      <w:pPr>
        <w:pStyle w:val="ListParagraph"/>
        <w:numPr>
          <w:ilvl w:val="0"/>
          <w:numId w:val="1"/>
        </w:numPr>
        <w:spacing w:line="240" w:lineRule="auto"/>
        <w:rPr>
          <w:rFonts w:cs="Times New Roman"/>
          <w:b/>
          <w:w w:val="95"/>
          <w:sz w:val="24"/>
          <w:szCs w:val="24"/>
        </w:rPr>
      </w:pPr>
      <w:r w:rsidRPr="00211B39">
        <w:rPr>
          <w:rFonts w:cs="Times New Roman"/>
          <w:b/>
          <w:w w:val="95"/>
          <w:sz w:val="24"/>
          <w:szCs w:val="24"/>
        </w:rPr>
        <w:t>Investment Options</w:t>
      </w:r>
    </w:p>
    <w:p w:rsidR="00922511" w:rsidRPr="00211B39" w:rsidRDefault="009F03AF" w:rsidP="00211B39">
      <w:pPr>
        <w:spacing w:line="240" w:lineRule="auto"/>
        <w:rPr>
          <w:rFonts w:cs="Times New Roman"/>
          <w:w w:val="95"/>
          <w:sz w:val="24"/>
          <w:szCs w:val="24"/>
        </w:rPr>
      </w:pPr>
      <w:r w:rsidRPr="00211B39">
        <w:rPr>
          <w:rFonts w:cs="Times New Roman"/>
          <w:w w:val="95"/>
          <w:sz w:val="24"/>
          <w:szCs w:val="24"/>
        </w:rPr>
        <w:t>A</w:t>
      </w:r>
      <w:r w:rsidR="002D09D1" w:rsidRPr="00211B39">
        <w:rPr>
          <w:rFonts w:cs="Times New Roman"/>
          <w:w w:val="95"/>
          <w:sz w:val="24"/>
          <w:szCs w:val="24"/>
        </w:rPr>
        <w:t xml:space="preserve"> major concern is with the design of the default fund</w:t>
      </w:r>
      <w:r w:rsidR="008E4BC6" w:rsidRPr="00211B39">
        <w:rPr>
          <w:rFonts w:cs="Times New Roman"/>
          <w:w w:val="95"/>
          <w:sz w:val="24"/>
          <w:szCs w:val="24"/>
        </w:rPr>
        <w:t xml:space="preserve">. At the DEASP consultation </w:t>
      </w:r>
      <w:r w:rsidR="001D06AE" w:rsidRPr="00211B39">
        <w:rPr>
          <w:rFonts w:cs="Times New Roman"/>
          <w:w w:val="95"/>
          <w:sz w:val="24"/>
          <w:szCs w:val="24"/>
        </w:rPr>
        <w:t xml:space="preserve">fora, </w:t>
      </w:r>
      <w:r w:rsidR="008E4BC6" w:rsidRPr="00211B39">
        <w:rPr>
          <w:rFonts w:cs="Times New Roman"/>
          <w:w w:val="95"/>
          <w:sz w:val="24"/>
          <w:szCs w:val="24"/>
        </w:rPr>
        <w:t>a statistic was offered that international experience with AE</w:t>
      </w:r>
      <w:r w:rsidR="001D06AE" w:rsidRPr="00211B39">
        <w:rPr>
          <w:rFonts w:cs="Times New Roman"/>
          <w:w w:val="95"/>
          <w:sz w:val="24"/>
          <w:szCs w:val="24"/>
        </w:rPr>
        <w:t xml:space="preserve"> sees</w:t>
      </w:r>
      <w:r w:rsidR="008E4BC6" w:rsidRPr="00211B39">
        <w:rPr>
          <w:rFonts w:cs="Times New Roman"/>
          <w:w w:val="95"/>
          <w:sz w:val="24"/>
          <w:szCs w:val="24"/>
        </w:rPr>
        <w:t xml:space="preserve"> </w:t>
      </w:r>
      <w:r w:rsidR="002D09D1" w:rsidRPr="00211B39">
        <w:rPr>
          <w:rFonts w:cs="Times New Roman"/>
          <w:w w:val="95"/>
          <w:sz w:val="24"/>
          <w:szCs w:val="24"/>
        </w:rPr>
        <w:t xml:space="preserve">90% of savers in the default </w:t>
      </w:r>
      <w:r w:rsidR="008E4BC6" w:rsidRPr="00211B39">
        <w:rPr>
          <w:rFonts w:cs="Times New Roman"/>
          <w:w w:val="95"/>
          <w:sz w:val="24"/>
          <w:szCs w:val="24"/>
        </w:rPr>
        <w:t>fund</w:t>
      </w:r>
      <w:r w:rsidR="002D09D1" w:rsidRPr="00211B39">
        <w:rPr>
          <w:rFonts w:cs="Times New Roman"/>
          <w:w w:val="95"/>
          <w:sz w:val="24"/>
          <w:szCs w:val="24"/>
        </w:rPr>
        <w:t>.</w:t>
      </w:r>
      <w:r w:rsidR="001047C6" w:rsidRPr="00211B39">
        <w:rPr>
          <w:rFonts w:cs="Times New Roman"/>
          <w:w w:val="95"/>
          <w:sz w:val="24"/>
          <w:szCs w:val="24"/>
        </w:rPr>
        <w:t xml:space="preserve"> We do not have the expertise to offer </w:t>
      </w:r>
      <w:r w:rsidR="001D06AE" w:rsidRPr="00211B39">
        <w:rPr>
          <w:rFonts w:cs="Times New Roman"/>
          <w:w w:val="95"/>
          <w:sz w:val="24"/>
          <w:szCs w:val="24"/>
        </w:rPr>
        <w:t xml:space="preserve">investment </w:t>
      </w:r>
      <w:r w:rsidR="001047C6" w:rsidRPr="00211B39">
        <w:rPr>
          <w:rFonts w:cs="Times New Roman"/>
          <w:w w:val="95"/>
          <w:sz w:val="24"/>
          <w:szCs w:val="24"/>
        </w:rPr>
        <w:t>fund design observation</w:t>
      </w:r>
      <w:r w:rsidR="001D06AE" w:rsidRPr="00211B39">
        <w:rPr>
          <w:rFonts w:cs="Times New Roman"/>
          <w:w w:val="95"/>
          <w:sz w:val="24"/>
          <w:szCs w:val="24"/>
        </w:rPr>
        <w:t>s</w:t>
      </w:r>
      <w:r w:rsidR="001047C6" w:rsidRPr="00211B39">
        <w:rPr>
          <w:rFonts w:cs="Times New Roman"/>
          <w:w w:val="95"/>
          <w:sz w:val="24"/>
          <w:szCs w:val="24"/>
        </w:rPr>
        <w:t>. However, we do have the experience of dealing with individuals who are unable to understand the information offered to them. Therefore, our recommendation on this point is that clarity of communication</w:t>
      </w:r>
      <w:r w:rsidR="002A1F12" w:rsidRPr="00211B39">
        <w:rPr>
          <w:rFonts w:cs="Times New Roman"/>
          <w:w w:val="95"/>
          <w:sz w:val="24"/>
          <w:szCs w:val="24"/>
        </w:rPr>
        <w:t>, and how questions can be accommodated,</w:t>
      </w:r>
      <w:r w:rsidR="001047C6" w:rsidRPr="00211B39">
        <w:rPr>
          <w:rFonts w:cs="Times New Roman"/>
          <w:w w:val="95"/>
          <w:sz w:val="24"/>
          <w:szCs w:val="24"/>
        </w:rPr>
        <w:t xml:space="preserve"> is prioritised.</w:t>
      </w:r>
    </w:p>
    <w:p w:rsidR="00FF2A82" w:rsidRPr="00211B39" w:rsidRDefault="00A366BE" w:rsidP="00211B39">
      <w:pPr>
        <w:pStyle w:val="ListParagraph"/>
        <w:numPr>
          <w:ilvl w:val="0"/>
          <w:numId w:val="1"/>
        </w:numPr>
        <w:spacing w:line="240" w:lineRule="auto"/>
        <w:rPr>
          <w:rFonts w:cs="Times New Roman"/>
          <w:b/>
          <w:w w:val="95"/>
          <w:sz w:val="24"/>
          <w:szCs w:val="24"/>
        </w:rPr>
      </w:pPr>
      <w:r w:rsidRPr="00211B39">
        <w:rPr>
          <w:rFonts w:cs="Times New Roman"/>
          <w:b/>
          <w:w w:val="95"/>
          <w:sz w:val="24"/>
          <w:szCs w:val="24"/>
        </w:rPr>
        <w:t>Fees</w:t>
      </w:r>
    </w:p>
    <w:p w:rsidR="006D10E0" w:rsidRPr="00211B39" w:rsidRDefault="006D10E0" w:rsidP="00211B39">
      <w:pPr>
        <w:spacing w:line="240" w:lineRule="auto"/>
        <w:rPr>
          <w:rFonts w:cs="Times New Roman"/>
          <w:w w:val="95"/>
          <w:sz w:val="24"/>
          <w:szCs w:val="24"/>
        </w:rPr>
      </w:pPr>
      <w:r w:rsidRPr="00211B39">
        <w:rPr>
          <w:rFonts w:cs="Times New Roman"/>
          <w:w w:val="95"/>
          <w:sz w:val="24"/>
          <w:szCs w:val="24"/>
        </w:rPr>
        <w:t>We appreciate that AE cannot be free of administration and management charges, and that providers will seek to pass on administrative and risk costs to AE savers. The DEASP have previously considered pension provider fees in detail</w:t>
      </w:r>
      <w:r w:rsidR="00084921" w:rsidRPr="00211B39">
        <w:rPr>
          <w:rStyle w:val="FootnoteReference"/>
          <w:rFonts w:cs="Times New Roman"/>
          <w:w w:val="95"/>
          <w:sz w:val="24"/>
          <w:szCs w:val="24"/>
        </w:rPr>
        <w:footnoteReference w:id="7"/>
      </w:r>
      <w:r w:rsidR="00084921" w:rsidRPr="00211B39">
        <w:rPr>
          <w:rFonts w:cs="Times New Roman"/>
          <w:w w:val="95"/>
          <w:sz w:val="24"/>
          <w:szCs w:val="24"/>
        </w:rPr>
        <w:t xml:space="preserve"> so have a framework in place to anticipate how costs may deviate from those envisaged</w:t>
      </w:r>
      <w:r w:rsidRPr="00211B39">
        <w:rPr>
          <w:rFonts w:cs="Times New Roman"/>
          <w:w w:val="95"/>
          <w:sz w:val="24"/>
          <w:szCs w:val="24"/>
        </w:rPr>
        <w:t xml:space="preserve">. </w:t>
      </w:r>
      <w:r w:rsidR="00084921" w:rsidRPr="00211B39">
        <w:rPr>
          <w:rFonts w:cs="Times New Roman"/>
          <w:w w:val="95"/>
          <w:sz w:val="24"/>
          <w:szCs w:val="24"/>
        </w:rPr>
        <w:t xml:space="preserve">A study of PRSAs may provide insightful to understand how an original idea for a simple low-cost standard PRSA evolved to include non-standard PRSAs with their higher charging structures. </w:t>
      </w:r>
    </w:p>
    <w:p w:rsidR="00A366BE" w:rsidRPr="00211B39" w:rsidRDefault="001D06AE" w:rsidP="00211B39">
      <w:pPr>
        <w:spacing w:line="240" w:lineRule="auto"/>
        <w:rPr>
          <w:rFonts w:cs="Times New Roman"/>
          <w:w w:val="95"/>
          <w:sz w:val="24"/>
          <w:szCs w:val="24"/>
        </w:rPr>
      </w:pPr>
      <w:r w:rsidRPr="00211B39">
        <w:rPr>
          <w:rFonts w:cs="Times New Roman"/>
          <w:w w:val="95"/>
          <w:sz w:val="24"/>
          <w:szCs w:val="24"/>
        </w:rPr>
        <w:t>W</w:t>
      </w:r>
      <w:r w:rsidR="00084921" w:rsidRPr="00211B39">
        <w:rPr>
          <w:rFonts w:cs="Times New Roman"/>
          <w:w w:val="95"/>
          <w:sz w:val="24"/>
          <w:szCs w:val="24"/>
        </w:rPr>
        <w:t xml:space="preserve">e question whether a limit can realistically be put on fees because of the unknown magnitude of non-disclosed costs such as allocation rates, bid-offer differentials, custodian fees and trading costs. We recommend the quantification of </w:t>
      </w:r>
      <w:r w:rsidR="00084921" w:rsidRPr="00211B39">
        <w:rPr>
          <w:rFonts w:cs="Times New Roman"/>
          <w:w w:val="95"/>
          <w:sz w:val="24"/>
          <w:szCs w:val="24"/>
          <w:u w:val="single"/>
        </w:rPr>
        <w:t>all</w:t>
      </w:r>
      <w:r w:rsidR="00084921" w:rsidRPr="00211B39">
        <w:rPr>
          <w:rFonts w:cs="Times New Roman"/>
          <w:w w:val="95"/>
          <w:sz w:val="24"/>
          <w:szCs w:val="24"/>
        </w:rPr>
        <w:t xml:space="preserve"> fees be part of the tendering process, and the question asked as to how these will be communicated to savers in a way that is easy to understand</w:t>
      </w:r>
      <w:r w:rsidRPr="00211B39">
        <w:rPr>
          <w:rFonts w:cs="Times New Roman"/>
          <w:w w:val="95"/>
          <w:sz w:val="24"/>
          <w:szCs w:val="24"/>
        </w:rPr>
        <w:t xml:space="preserve"> and which </w:t>
      </w:r>
      <w:r w:rsidR="00534B36" w:rsidRPr="00211B39">
        <w:rPr>
          <w:rFonts w:cs="Times New Roman"/>
          <w:w w:val="95"/>
          <w:sz w:val="24"/>
          <w:szCs w:val="24"/>
        </w:rPr>
        <w:t>direct comparison</w:t>
      </w:r>
      <w:r w:rsidRPr="00211B39">
        <w:rPr>
          <w:rFonts w:cs="Times New Roman"/>
          <w:w w:val="95"/>
          <w:sz w:val="24"/>
          <w:szCs w:val="24"/>
        </w:rPr>
        <w:t xml:space="preserve">s. </w:t>
      </w:r>
      <w:r w:rsidR="008E4BC6" w:rsidRPr="00211B39">
        <w:rPr>
          <w:rFonts w:cs="Times New Roman"/>
          <w:w w:val="95"/>
          <w:sz w:val="24"/>
          <w:szCs w:val="24"/>
        </w:rPr>
        <w:t>Again, we flag clarity of communication as a priority.</w:t>
      </w:r>
    </w:p>
    <w:p w:rsidR="008A2A99" w:rsidRPr="001C2D14" w:rsidRDefault="008A2A99" w:rsidP="00211B39">
      <w:pPr>
        <w:spacing w:line="240" w:lineRule="auto"/>
        <w:rPr>
          <w:rFonts w:cs="Times New Roman"/>
          <w:color w:val="1F4E79" w:themeColor="accent1" w:themeShade="80"/>
          <w:w w:val="95"/>
          <w:sz w:val="24"/>
          <w:szCs w:val="24"/>
        </w:rPr>
      </w:pPr>
    </w:p>
    <w:p w:rsidR="00BA5574" w:rsidRPr="001C2D14" w:rsidRDefault="00BA2D91" w:rsidP="00211B39">
      <w:pPr>
        <w:spacing w:line="240" w:lineRule="auto"/>
        <w:rPr>
          <w:rFonts w:cs="Times New Roman"/>
          <w:b/>
          <w:color w:val="1F4E79" w:themeColor="accent1" w:themeShade="80"/>
          <w:w w:val="95"/>
          <w:sz w:val="24"/>
          <w:szCs w:val="24"/>
        </w:rPr>
      </w:pPr>
      <w:r w:rsidRPr="001C2D14">
        <w:rPr>
          <w:rFonts w:cs="Times New Roman"/>
          <w:b/>
          <w:color w:val="1F4E79" w:themeColor="accent1" w:themeShade="80"/>
          <w:w w:val="95"/>
          <w:sz w:val="24"/>
          <w:szCs w:val="24"/>
        </w:rPr>
        <w:t xml:space="preserve"> </w:t>
      </w:r>
      <w:r w:rsidR="00BA5574" w:rsidRPr="001C2D14">
        <w:rPr>
          <w:rFonts w:cs="Times New Roman"/>
          <w:b/>
          <w:color w:val="1F4E79" w:themeColor="accent1" w:themeShade="80"/>
          <w:w w:val="95"/>
          <w:sz w:val="24"/>
          <w:szCs w:val="24"/>
        </w:rPr>
        <w:t>Target Membership</w:t>
      </w:r>
    </w:p>
    <w:p w:rsidR="00227D65" w:rsidRPr="00211B39" w:rsidRDefault="00227D65" w:rsidP="00211B39">
      <w:pPr>
        <w:spacing w:line="240" w:lineRule="auto"/>
        <w:rPr>
          <w:rFonts w:cs="Times New Roman"/>
          <w:w w:val="95"/>
          <w:sz w:val="24"/>
          <w:szCs w:val="24"/>
        </w:rPr>
      </w:pPr>
      <w:r w:rsidRPr="00211B39">
        <w:rPr>
          <w:rFonts w:cs="Times New Roman"/>
          <w:w w:val="95"/>
          <w:sz w:val="24"/>
          <w:szCs w:val="24"/>
        </w:rPr>
        <w:t xml:space="preserve">The innovation of ‘pot follows member’ is a straightforward and welcome concept. It is easy to understand and saving progress will be visible to the individual. The potential exists for a sense of personal ownership to develop which can be harnessed to foster active engagement and interest in pension savings as the system evolves. A single pension pot eliminates </w:t>
      </w:r>
      <w:r w:rsidR="008E4BC6" w:rsidRPr="00211B39">
        <w:rPr>
          <w:rFonts w:cs="Times New Roman"/>
          <w:w w:val="95"/>
          <w:sz w:val="24"/>
          <w:szCs w:val="24"/>
        </w:rPr>
        <w:t xml:space="preserve">much of the </w:t>
      </w:r>
      <w:r w:rsidRPr="00211B39">
        <w:rPr>
          <w:rFonts w:cs="Times New Roman"/>
          <w:w w:val="95"/>
          <w:sz w:val="24"/>
          <w:szCs w:val="24"/>
        </w:rPr>
        <w:t xml:space="preserve">potential </w:t>
      </w:r>
      <w:r w:rsidR="008E4BC6" w:rsidRPr="00211B39">
        <w:rPr>
          <w:rFonts w:cs="Times New Roman"/>
          <w:w w:val="95"/>
          <w:sz w:val="24"/>
          <w:szCs w:val="24"/>
        </w:rPr>
        <w:t xml:space="preserve">for </w:t>
      </w:r>
      <w:r w:rsidRPr="00211B39">
        <w:rPr>
          <w:rFonts w:cs="Times New Roman"/>
          <w:w w:val="95"/>
          <w:sz w:val="24"/>
          <w:szCs w:val="24"/>
        </w:rPr>
        <w:t>confusion at retirement</w:t>
      </w:r>
      <w:r w:rsidR="008E4BC6" w:rsidRPr="00211B39">
        <w:rPr>
          <w:rFonts w:cs="Times New Roman"/>
          <w:w w:val="95"/>
          <w:sz w:val="24"/>
          <w:szCs w:val="24"/>
        </w:rPr>
        <w:t>,</w:t>
      </w:r>
      <w:r w:rsidRPr="00211B39">
        <w:rPr>
          <w:rFonts w:cs="Times New Roman"/>
          <w:w w:val="95"/>
          <w:sz w:val="24"/>
          <w:szCs w:val="24"/>
        </w:rPr>
        <w:t xml:space="preserve"> where there has been multiple employers over a career. We note that defined contribution pension accrual is easier to understand than the notional defined contribution accrual that is a feature of some European pension systems, for example Sweden.</w:t>
      </w:r>
    </w:p>
    <w:p w:rsidR="00A366BE" w:rsidRPr="00211B39" w:rsidRDefault="00A366BE" w:rsidP="00211B39">
      <w:pPr>
        <w:pStyle w:val="ListParagraph"/>
        <w:numPr>
          <w:ilvl w:val="0"/>
          <w:numId w:val="3"/>
        </w:numPr>
        <w:spacing w:line="240" w:lineRule="auto"/>
        <w:rPr>
          <w:rFonts w:cs="Times New Roman"/>
          <w:b/>
          <w:w w:val="95"/>
          <w:sz w:val="24"/>
          <w:szCs w:val="24"/>
        </w:rPr>
      </w:pPr>
      <w:r w:rsidRPr="00211B39">
        <w:rPr>
          <w:rFonts w:cs="Times New Roman"/>
          <w:b/>
          <w:w w:val="95"/>
          <w:sz w:val="24"/>
          <w:szCs w:val="24"/>
        </w:rPr>
        <w:t>Earnings trigger</w:t>
      </w:r>
    </w:p>
    <w:p w:rsidR="00487B84" w:rsidRPr="00211B39" w:rsidRDefault="00534B36" w:rsidP="00211B39">
      <w:pPr>
        <w:spacing w:line="240" w:lineRule="auto"/>
        <w:rPr>
          <w:rFonts w:cs="Times New Roman"/>
          <w:w w:val="95"/>
          <w:sz w:val="24"/>
          <w:szCs w:val="24"/>
        </w:rPr>
      </w:pPr>
      <w:r w:rsidRPr="00211B39">
        <w:rPr>
          <w:rFonts w:cs="Times New Roman"/>
          <w:w w:val="95"/>
          <w:sz w:val="24"/>
          <w:szCs w:val="24"/>
        </w:rPr>
        <w:t>Where the earnings trigger is se</w:t>
      </w:r>
      <w:r w:rsidR="00AB270B" w:rsidRPr="00211B39">
        <w:rPr>
          <w:rFonts w:cs="Times New Roman"/>
          <w:w w:val="95"/>
          <w:sz w:val="24"/>
          <w:szCs w:val="24"/>
        </w:rPr>
        <w:t xml:space="preserve">t dictates who is </w:t>
      </w:r>
      <w:r w:rsidRPr="00211B39">
        <w:rPr>
          <w:rFonts w:cs="Times New Roman"/>
          <w:w w:val="95"/>
          <w:sz w:val="24"/>
          <w:szCs w:val="24"/>
        </w:rPr>
        <w:t xml:space="preserve">enrolled and </w:t>
      </w:r>
      <w:r w:rsidR="00AB270B" w:rsidRPr="00211B39">
        <w:rPr>
          <w:rFonts w:cs="Times New Roman"/>
          <w:w w:val="95"/>
          <w:sz w:val="24"/>
          <w:szCs w:val="24"/>
        </w:rPr>
        <w:t>benefits from</w:t>
      </w:r>
      <w:r w:rsidRPr="00211B39">
        <w:rPr>
          <w:rFonts w:cs="Times New Roman"/>
          <w:w w:val="95"/>
          <w:sz w:val="24"/>
          <w:szCs w:val="24"/>
        </w:rPr>
        <w:t xml:space="preserve"> both a state and an employer contribution to their pension pot. We appreciate that setting the trigger at €20,000</w:t>
      </w:r>
      <w:r w:rsidR="002D09D1" w:rsidRPr="00211B39">
        <w:rPr>
          <w:rFonts w:cs="Times New Roman"/>
          <w:w w:val="95"/>
          <w:sz w:val="24"/>
          <w:szCs w:val="24"/>
        </w:rPr>
        <w:t xml:space="preserve"> takes into account that lower income individuals will receive the bulk of their gross replacement rate from the state pension</w:t>
      </w:r>
      <w:r w:rsidR="00CE2F75" w:rsidRPr="00211B39">
        <w:rPr>
          <w:rFonts w:cs="Times New Roman"/>
          <w:w w:val="95"/>
          <w:sz w:val="24"/>
          <w:szCs w:val="24"/>
        </w:rPr>
        <w:t xml:space="preserve">, </w:t>
      </w:r>
      <w:r w:rsidR="00CE2F75" w:rsidRPr="00211B39">
        <w:rPr>
          <w:rFonts w:cs="Times New Roman"/>
          <w:i/>
          <w:w w:val="95"/>
          <w:sz w:val="24"/>
          <w:szCs w:val="24"/>
        </w:rPr>
        <w:t>but only if they qualify for the full amount</w:t>
      </w:r>
      <w:r w:rsidR="002D09D1" w:rsidRPr="00211B39">
        <w:rPr>
          <w:rFonts w:cs="Times New Roman"/>
          <w:w w:val="95"/>
          <w:sz w:val="24"/>
          <w:szCs w:val="24"/>
        </w:rPr>
        <w:t xml:space="preserve">. </w:t>
      </w:r>
      <w:r w:rsidR="0093118C" w:rsidRPr="00211B39">
        <w:rPr>
          <w:rFonts w:cs="Times New Roman"/>
          <w:w w:val="95"/>
          <w:sz w:val="24"/>
          <w:szCs w:val="24"/>
        </w:rPr>
        <w:t>T</w:t>
      </w:r>
      <w:r w:rsidR="002D09D1" w:rsidRPr="00211B39">
        <w:rPr>
          <w:rFonts w:cs="Times New Roman"/>
          <w:w w:val="95"/>
          <w:sz w:val="24"/>
          <w:szCs w:val="24"/>
        </w:rPr>
        <w:t>he figure for the state pension used in table 1</w:t>
      </w:r>
      <w:r w:rsidR="009F03AF" w:rsidRPr="00211B39">
        <w:rPr>
          <w:rFonts w:cs="Times New Roman"/>
          <w:w w:val="95"/>
          <w:sz w:val="24"/>
          <w:szCs w:val="24"/>
        </w:rPr>
        <w:t xml:space="preserve"> </w:t>
      </w:r>
      <w:r w:rsidR="002D09D1" w:rsidRPr="00211B39">
        <w:rPr>
          <w:rFonts w:cs="Times New Roman"/>
          <w:w w:val="95"/>
          <w:sz w:val="24"/>
          <w:szCs w:val="24"/>
        </w:rPr>
        <w:t>of the Strawman Document (p.28) is the maximum rate, payable to those with sufficient PRSI contributions to qualify</w:t>
      </w:r>
      <w:r w:rsidR="0093118C" w:rsidRPr="00211B39">
        <w:rPr>
          <w:rFonts w:cs="Times New Roman"/>
          <w:w w:val="95"/>
          <w:sz w:val="24"/>
          <w:szCs w:val="24"/>
        </w:rPr>
        <w:t xml:space="preserve"> for same</w:t>
      </w:r>
      <w:r w:rsidR="002D09D1" w:rsidRPr="00211B39">
        <w:rPr>
          <w:rFonts w:cs="Times New Roman"/>
          <w:w w:val="95"/>
          <w:sz w:val="24"/>
          <w:szCs w:val="24"/>
        </w:rPr>
        <w:t xml:space="preserve">. </w:t>
      </w:r>
      <w:r w:rsidR="0093118C" w:rsidRPr="00211B39">
        <w:rPr>
          <w:rFonts w:cs="Times New Roman"/>
          <w:w w:val="95"/>
          <w:sz w:val="24"/>
          <w:szCs w:val="24"/>
        </w:rPr>
        <w:t xml:space="preserve">The DEASP statistics tell us that there are almost 400,000 recipients of the State Pension (Contributory) and </w:t>
      </w:r>
      <w:r w:rsidR="00487B84" w:rsidRPr="00211B39">
        <w:rPr>
          <w:rFonts w:cs="Times New Roman"/>
          <w:w w:val="95"/>
          <w:sz w:val="24"/>
          <w:szCs w:val="24"/>
        </w:rPr>
        <w:t>95,000 for the State pension (Non-contributory)</w:t>
      </w:r>
      <w:r w:rsidR="00487B84" w:rsidRPr="00211B39">
        <w:rPr>
          <w:rStyle w:val="FootnoteReference"/>
          <w:rFonts w:cs="Times New Roman"/>
          <w:w w:val="95"/>
          <w:sz w:val="24"/>
          <w:szCs w:val="24"/>
        </w:rPr>
        <w:footnoteReference w:id="8"/>
      </w:r>
      <w:r w:rsidR="00487B84" w:rsidRPr="00211B39">
        <w:rPr>
          <w:rFonts w:cs="Times New Roman"/>
          <w:w w:val="95"/>
          <w:sz w:val="24"/>
          <w:szCs w:val="24"/>
        </w:rPr>
        <w:t xml:space="preserve">. </w:t>
      </w:r>
      <w:r w:rsidR="0093118C" w:rsidRPr="00211B39">
        <w:rPr>
          <w:rFonts w:cs="Times New Roman"/>
          <w:w w:val="95"/>
          <w:sz w:val="24"/>
          <w:szCs w:val="24"/>
        </w:rPr>
        <w:t xml:space="preserve"> </w:t>
      </w:r>
      <w:r w:rsidR="002D09D1" w:rsidRPr="00211B39">
        <w:rPr>
          <w:rFonts w:cs="Times New Roman"/>
          <w:w w:val="95"/>
          <w:sz w:val="24"/>
          <w:szCs w:val="24"/>
        </w:rPr>
        <w:t xml:space="preserve">Further analysis </w:t>
      </w:r>
      <w:r w:rsidR="00487B84" w:rsidRPr="00211B39">
        <w:rPr>
          <w:rFonts w:cs="Times New Roman"/>
          <w:w w:val="95"/>
          <w:sz w:val="24"/>
          <w:szCs w:val="24"/>
        </w:rPr>
        <w:t xml:space="preserve">of the recipients </w:t>
      </w:r>
      <w:r w:rsidR="002D09D1" w:rsidRPr="00211B39">
        <w:rPr>
          <w:rFonts w:cs="Times New Roman"/>
          <w:w w:val="95"/>
          <w:sz w:val="24"/>
          <w:szCs w:val="24"/>
        </w:rPr>
        <w:t>to confirm the distribution of pensioners into the various b</w:t>
      </w:r>
      <w:r w:rsidR="0093118C" w:rsidRPr="00211B39">
        <w:rPr>
          <w:rFonts w:cs="Times New Roman"/>
          <w:w w:val="95"/>
          <w:sz w:val="24"/>
          <w:szCs w:val="24"/>
        </w:rPr>
        <w:t xml:space="preserve">ands of state pension payment would help to substantiate the replacement rate </w:t>
      </w:r>
      <w:r w:rsidR="00487B84" w:rsidRPr="00211B39">
        <w:rPr>
          <w:rFonts w:cs="Times New Roman"/>
          <w:w w:val="95"/>
          <w:sz w:val="24"/>
          <w:szCs w:val="24"/>
        </w:rPr>
        <w:t>calculations which support the €20,000 earnings trigger.</w:t>
      </w:r>
    </w:p>
    <w:p w:rsidR="009428C6" w:rsidRPr="00211B39" w:rsidRDefault="00487B84" w:rsidP="00211B39">
      <w:pPr>
        <w:spacing w:line="240" w:lineRule="auto"/>
        <w:rPr>
          <w:rFonts w:cs="Times New Roman"/>
          <w:w w:val="95"/>
          <w:sz w:val="24"/>
          <w:szCs w:val="24"/>
        </w:rPr>
      </w:pPr>
      <w:r w:rsidRPr="00211B39">
        <w:rPr>
          <w:rFonts w:cs="Times New Roman"/>
          <w:w w:val="95"/>
          <w:sz w:val="24"/>
          <w:szCs w:val="24"/>
        </w:rPr>
        <w:t xml:space="preserve">The earnings trigger as proposed is problematic for two cohorts in particular. The first are those in concurrent employments, none of which pay a wage that triggers AE, but when amalgamated do satisfy the earnings requirement. </w:t>
      </w:r>
      <w:r w:rsidR="009428C6" w:rsidRPr="00211B39">
        <w:rPr>
          <w:rFonts w:cs="Times New Roman"/>
          <w:w w:val="95"/>
          <w:sz w:val="24"/>
          <w:szCs w:val="24"/>
        </w:rPr>
        <w:t>We recommend that concurrent employments be amalgamated for AE purposes.</w:t>
      </w:r>
    </w:p>
    <w:p w:rsidR="00534B36" w:rsidRDefault="00487B84" w:rsidP="000717B1">
      <w:pPr>
        <w:spacing w:line="240" w:lineRule="auto"/>
        <w:rPr>
          <w:sz w:val="24"/>
          <w:szCs w:val="24"/>
        </w:rPr>
      </w:pPr>
      <w:r w:rsidRPr="00211B39">
        <w:rPr>
          <w:rFonts w:cs="Times New Roman"/>
          <w:w w:val="95"/>
          <w:sz w:val="24"/>
          <w:szCs w:val="24"/>
        </w:rPr>
        <w:t xml:space="preserve">The second are those in low paid, precarious, and/or part-time work. These employees are </w:t>
      </w:r>
      <w:r w:rsidR="00C64539" w:rsidRPr="00211B39">
        <w:rPr>
          <w:rFonts w:cs="Times New Roman"/>
          <w:w w:val="95"/>
          <w:sz w:val="24"/>
          <w:szCs w:val="24"/>
        </w:rPr>
        <w:t>among those least likely to have private pension coverage</w:t>
      </w:r>
      <w:r w:rsidR="00C64539" w:rsidRPr="00211B39">
        <w:rPr>
          <w:rStyle w:val="FootnoteReference"/>
          <w:rFonts w:cs="Times New Roman"/>
          <w:w w:val="95"/>
          <w:sz w:val="24"/>
          <w:szCs w:val="24"/>
        </w:rPr>
        <w:footnoteReference w:id="9"/>
      </w:r>
      <w:r w:rsidR="002D5877">
        <w:rPr>
          <w:rFonts w:cs="Times New Roman"/>
          <w:w w:val="95"/>
          <w:sz w:val="24"/>
          <w:szCs w:val="24"/>
        </w:rPr>
        <w:t xml:space="preserve">. The current </w:t>
      </w:r>
      <w:r w:rsidR="00C64539" w:rsidRPr="00211B39">
        <w:rPr>
          <w:rFonts w:cs="Times New Roman"/>
          <w:w w:val="95"/>
          <w:sz w:val="24"/>
          <w:szCs w:val="24"/>
        </w:rPr>
        <w:t xml:space="preserve">minimum wage equates to an annual salary </w:t>
      </w:r>
      <w:r w:rsidR="002D5877">
        <w:rPr>
          <w:rFonts w:cs="Times New Roman"/>
          <w:w w:val="95"/>
          <w:sz w:val="24"/>
          <w:szCs w:val="24"/>
        </w:rPr>
        <w:t xml:space="preserve">just </w:t>
      </w:r>
      <w:r w:rsidR="00C64539" w:rsidRPr="00211B39">
        <w:rPr>
          <w:rFonts w:cs="Times New Roman"/>
          <w:w w:val="95"/>
          <w:sz w:val="24"/>
          <w:szCs w:val="24"/>
        </w:rPr>
        <w:t>below the earnings trigger</w:t>
      </w:r>
      <w:r w:rsidR="002D5877">
        <w:rPr>
          <w:rStyle w:val="FootnoteReference"/>
          <w:rFonts w:cs="Times New Roman"/>
          <w:w w:val="95"/>
          <w:sz w:val="24"/>
          <w:szCs w:val="24"/>
        </w:rPr>
        <w:footnoteReference w:id="10"/>
      </w:r>
      <w:r w:rsidR="00C64539" w:rsidRPr="00211B39">
        <w:rPr>
          <w:rFonts w:cs="Times New Roman"/>
          <w:w w:val="95"/>
          <w:sz w:val="24"/>
          <w:szCs w:val="24"/>
        </w:rPr>
        <w:t>, as does a 50 per cent part-time worker on the CSO 2018 seasonally adjusted weekly earnings</w:t>
      </w:r>
      <w:r w:rsidR="00C64539" w:rsidRPr="00211B39">
        <w:rPr>
          <w:rStyle w:val="FootnoteReference"/>
          <w:rFonts w:cs="Times New Roman"/>
          <w:w w:val="95"/>
          <w:sz w:val="24"/>
          <w:szCs w:val="24"/>
        </w:rPr>
        <w:footnoteReference w:id="11"/>
      </w:r>
      <w:r w:rsidR="00C64539" w:rsidRPr="00211B39">
        <w:rPr>
          <w:rFonts w:cs="Times New Roman"/>
          <w:w w:val="95"/>
          <w:sz w:val="24"/>
          <w:szCs w:val="24"/>
        </w:rPr>
        <w:t xml:space="preserve">. The fractured nature of the </w:t>
      </w:r>
      <w:r w:rsidR="00B06C04" w:rsidRPr="00211B39">
        <w:rPr>
          <w:rFonts w:cs="Times New Roman"/>
          <w:w w:val="95"/>
          <w:sz w:val="24"/>
          <w:szCs w:val="24"/>
        </w:rPr>
        <w:t>precariously employed and part-time employees’</w:t>
      </w:r>
      <w:r w:rsidR="00C64539" w:rsidRPr="00211B39">
        <w:rPr>
          <w:rFonts w:cs="Times New Roman"/>
          <w:w w:val="95"/>
          <w:sz w:val="24"/>
          <w:szCs w:val="24"/>
        </w:rPr>
        <w:t xml:space="preserve"> labour market engagement means they may not have a full PRSI/credits record, nor be afforded the opportunity to build up private pensions. In other words, they may find themselves excluded from accruing pension rights in either part of the pension system.</w:t>
      </w:r>
      <w:r w:rsidR="00B06C04" w:rsidRPr="00211B39">
        <w:rPr>
          <w:rFonts w:cs="Times New Roman"/>
          <w:w w:val="95"/>
          <w:sz w:val="24"/>
          <w:szCs w:val="24"/>
        </w:rPr>
        <w:t xml:space="preserve"> </w:t>
      </w:r>
      <w:r w:rsidR="000717B1">
        <w:rPr>
          <w:rFonts w:cs="Times New Roman"/>
          <w:w w:val="95"/>
          <w:sz w:val="24"/>
          <w:szCs w:val="24"/>
        </w:rPr>
        <w:t>It is arguable that t</w:t>
      </w:r>
      <w:r w:rsidR="009428C6" w:rsidRPr="00211B39">
        <w:rPr>
          <w:rFonts w:cs="Times New Roman"/>
          <w:w w:val="95"/>
          <w:sz w:val="24"/>
          <w:szCs w:val="24"/>
        </w:rPr>
        <w:t xml:space="preserve">hese individuals </w:t>
      </w:r>
      <w:r w:rsidR="009428C6" w:rsidRPr="00211B39">
        <w:rPr>
          <w:sz w:val="24"/>
          <w:szCs w:val="24"/>
        </w:rPr>
        <w:t>should be the core target for AE, not the focus of those excluded from it.</w:t>
      </w:r>
    </w:p>
    <w:p w:rsidR="000717B1" w:rsidRPr="000717B1" w:rsidRDefault="000717B1" w:rsidP="000717B1">
      <w:pPr>
        <w:spacing w:line="240" w:lineRule="auto"/>
        <w:rPr>
          <w:rFonts w:cs="Times New Roman"/>
          <w:w w:val="95"/>
          <w:sz w:val="24"/>
          <w:szCs w:val="24"/>
        </w:rPr>
      </w:pPr>
      <w:r w:rsidRPr="00557E4D">
        <w:rPr>
          <w:sz w:val="24"/>
          <w:szCs w:val="24"/>
        </w:rPr>
        <w:t xml:space="preserve">Conversely, MABS have raised concerns that €20,000 as the appropriate level at which to trigger automatic enrolment is too </w:t>
      </w:r>
      <w:r w:rsidRPr="00557E4D">
        <w:rPr>
          <w:i/>
          <w:sz w:val="24"/>
          <w:szCs w:val="24"/>
        </w:rPr>
        <w:t>low</w:t>
      </w:r>
      <w:r w:rsidRPr="00557E4D">
        <w:rPr>
          <w:sz w:val="24"/>
          <w:szCs w:val="24"/>
        </w:rPr>
        <w:t xml:space="preserve"> for affordability reasons.   A significant cohort of MABS clients are in low income paid employment and many struggle with an inadequate income in the face of rising rents, high mortgages, and day-to day living costs.   There is little opportunity to save when cash resources are low and where there is, the focus is primarily on saving for an unexpected emergency or planned life/family event.  Equally</w:t>
      </w:r>
      <w:r w:rsidR="00512BDA">
        <w:rPr>
          <w:sz w:val="24"/>
          <w:szCs w:val="24"/>
        </w:rPr>
        <w:t>,</w:t>
      </w:r>
      <w:r w:rsidRPr="00557E4D">
        <w:rPr>
          <w:sz w:val="24"/>
          <w:szCs w:val="24"/>
        </w:rPr>
        <w:t xml:space="preserve"> low income workers should be </w:t>
      </w:r>
      <w:r w:rsidR="00512BDA">
        <w:rPr>
          <w:sz w:val="24"/>
          <w:szCs w:val="24"/>
        </w:rPr>
        <w:t xml:space="preserve">given </w:t>
      </w:r>
      <w:r w:rsidRPr="00557E4D">
        <w:rPr>
          <w:sz w:val="24"/>
          <w:szCs w:val="24"/>
        </w:rPr>
        <w:t xml:space="preserve">an opportunity to save for retirement and benefit from the incentives offered in this scheme and so </w:t>
      </w:r>
      <w:r w:rsidR="00557E4D">
        <w:rPr>
          <w:sz w:val="24"/>
          <w:szCs w:val="24"/>
        </w:rPr>
        <w:t xml:space="preserve">it is suggested </w:t>
      </w:r>
      <w:r w:rsidRPr="00557E4D">
        <w:rPr>
          <w:sz w:val="24"/>
          <w:szCs w:val="24"/>
        </w:rPr>
        <w:t xml:space="preserve">that </w:t>
      </w:r>
      <w:r w:rsidR="00557E4D">
        <w:rPr>
          <w:sz w:val="24"/>
          <w:szCs w:val="24"/>
        </w:rPr>
        <w:t>consider</w:t>
      </w:r>
      <w:r w:rsidR="00512BDA">
        <w:rPr>
          <w:sz w:val="24"/>
          <w:szCs w:val="24"/>
        </w:rPr>
        <w:t xml:space="preserve">ation be given to </w:t>
      </w:r>
      <w:r w:rsidRPr="00557E4D">
        <w:rPr>
          <w:sz w:val="24"/>
          <w:szCs w:val="24"/>
        </w:rPr>
        <w:t>an income</w:t>
      </w:r>
      <w:r>
        <w:t xml:space="preserve"> </w:t>
      </w:r>
      <w:r w:rsidRPr="00557E4D">
        <w:rPr>
          <w:sz w:val="24"/>
          <w:szCs w:val="24"/>
        </w:rPr>
        <w:t xml:space="preserve">‘disregard’ on a portion of participant’s income </w:t>
      </w:r>
      <w:r w:rsidR="00512BDA">
        <w:rPr>
          <w:sz w:val="24"/>
          <w:szCs w:val="24"/>
        </w:rPr>
        <w:t xml:space="preserve">- similar to the UK </w:t>
      </w:r>
      <w:r w:rsidR="002C19FD">
        <w:rPr>
          <w:sz w:val="24"/>
          <w:szCs w:val="24"/>
        </w:rPr>
        <w:t>provisions applied</w:t>
      </w:r>
      <w:r w:rsidR="00512BDA">
        <w:rPr>
          <w:sz w:val="24"/>
          <w:szCs w:val="24"/>
        </w:rPr>
        <w:t xml:space="preserve"> on earnings between 0 -£6032 </w:t>
      </w:r>
      <w:r w:rsidR="00512BDA" w:rsidRPr="00984235">
        <w:rPr>
          <w:i/>
          <w:sz w:val="24"/>
          <w:szCs w:val="24"/>
        </w:rPr>
        <w:t>or</w:t>
      </w:r>
      <w:r w:rsidR="00512BDA">
        <w:rPr>
          <w:sz w:val="24"/>
          <w:szCs w:val="24"/>
        </w:rPr>
        <w:t xml:space="preserve"> on a sliding scale on incremental income </w:t>
      </w:r>
      <w:r w:rsidR="002C19FD">
        <w:rPr>
          <w:sz w:val="24"/>
          <w:szCs w:val="24"/>
        </w:rPr>
        <w:t>- in</w:t>
      </w:r>
      <w:r w:rsidRPr="00557E4D">
        <w:rPr>
          <w:sz w:val="24"/>
          <w:szCs w:val="24"/>
        </w:rPr>
        <w:t xml:space="preserve"> the </w:t>
      </w:r>
      <w:r w:rsidR="00557E4D">
        <w:rPr>
          <w:sz w:val="24"/>
          <w:szCs w:val="24"/>
        </w:rPr>
        <w:t>assessment of earnings</w:t>
      </w:r>
      <w:r w:rsidR="003122DB">
        <w:rPr>
          <w:sz w:val="24"/>
          <w:szCs w:val="24"/>
        </w:rPr>
        <w:t xml:space="preserve"> and contribution levels </w:t>
      </w:r>
      <w:r w:rsidR="00512BDA">
        <w:rPr>
          <w:sz w:val="24"/>
          <w:szCs w:val="24"/>
        </w:rPr>
        <w:t>,</w:t>
      </w:r>
      <w:r w:rsidR="00557E4D">
        <w:rPr>
          <w:sz w:val="24"/>
          <w:szCs w:val="24"/>
        </w:rPr>
        <w:t xml:space="preserve"> to provide some flexibility in meeting day to day living costs and unexpected events. A similar disregard </w:t>
      </w:r>
      <w:r w:rsidR="00512BDA">
        <w:rPr>
          <w:sz w:val="24"/>
          <w:szCs w:val="24"/>
        </w:rPr>
        <w:t xml:space="preserve">would </w:t>
      </w:r>
      <w:r w:rsidR="00557E4D">
        <w:rPr>
          <w:sz w:val="24"/>
          <w:szCs w:val="24"/>
        </w:rPr>
        <w:t>apply to those below the income threshold who will be able to opt-in to the scheme.</w:t>
      </w:r>
      <w:r w:rsidRPr="00557E4D">
        <w:rPr>
          <w:sz w:val="24"/>
          <w:szCs w:val="24"/>
        </w:rPr>
        <w:t xml:space="preserve"> </w:t>
      </w:r>
    </w:p>
    <w:p w:rsidR="00B06C04" w:rsidRDefault="00557E4D" w:rsidP="00211B39">
      <w:pPr>
        <w:spacing w:line="240" w:lineRule="auto"/>
        <w:rPr>
          <w:sz w:val="24"/>
          <w:szCs w:val="24"/>
        </w:rPr>
      </w:pPr>
      <w:r>
        <w:rPr>
          <w:rFonts w:cs="Times New Roman"/>
          <w:w w:val="95"/>
          <w:sz w:val="24"/>
          <w:szCs w:val="24"/>
        </w:rPr>
        <w:t>Further a</w:t>
      </w:r>
      <w:r w:rsidR="00B06C04" w:rsidRPr="00211B39">
        <w:rPr>
          <w:rFonts w:cs="Times New Roman"/>
          <w:w w:val="95"/>
          <w:sz w:val="24"/>
          <w:szCs w:val="24"/>
        </w:rPr>
        <w:t xml:space="preserve">nalysis of </w:t>
      </w:r>
      <w:r w:rsidR="000717B1">
        <w:rPr>
          <w:rFonts w:cs="Times New Roman"/>
          <w:w w:val="95"/>
          <w:sz w:val="24"/>
          <w:szCs w:val="24"/>
        </w:rPr>
        <w:t>the impact of the threshold trigger</w:t>
      </w:r>
      <w:r>
        <w:rPr>
          <w:rFonts w:cs="Times New Roman"/>
          <w:w w:val="95"/>
          <w:sz w:val="24"/>
          <w:szCs w:val="24"/>
        </w:rPr>
        <w:t xml:space="preserve"> on those included </w:t>
      </w:r>
      <w:r w:rsidR="000717B1">
        <w:rPr>
          <w:rFonts w:cs="Times New Roman"/>
          <w:w w:val="95"/>
          <w:sz w:val="24"/>
          <w:szCs w:val="24"/>
        </w:rPr>
        <w:t xml:space="preserve">and </w:t>
      </w:r>
      <w:r w:rsidR="00B06C04" w:rsidRPr="00211B39">
        <w:rPr>
          <w:rFonts w:cs="Times New Roman"/>
          <w:w w:val="95"/>
          <w:sz w:val="24"/>
          <w:szCs w:val="24"/>
        </w:rPr>
        <w:t>those excluded</w:t>
      </w:r>
      <w:r w:rsidR="00512BDA">
        <w:rPr>
          <w:rFonts w:cs="Times New Roman"/>
          <w:w w:val="95"/>
          <w:sz w:val="24"/>
          <w:szCs w:val="24"/>
        </w:rPr>
        <w:t xml:space="preserve"> </w:t>
      </w:r>
      <w:r w:rsidR="00AB270B" w:rsidRPr="00211B39">
        <w:rPr>
          <w:rFonts w:cs="Times New Roman"/>
          <w:w w:val="95"/>
          <w:sz w:val="24"/>
          <w:szCs w:val="24"/>
        </w:rPr>
        <w:t>is required to capture the points made</w:t>
      </w:r>
      <w:r>
        <w:rPr>
          <w:rFonts w:cs="Times New Roman"/>
          <w:w w:val="95"/>
          <w:sz w:val="24"/>
          <w:szCs w:val="24"/>
        </w:rPr>
        <w:t xml:space="preserve"> above.</w:t>
      </w:r>
      <w:r w:rsidR="00AB270B" w:rsidRPr="00211B39">
        <w:rPr>
          <w:rFonts w:cs="Times New Roman"/>
          <w:w w:val="95"/>
          <w:sz w:val="24"/>
          <w:szCs w:val="24"/>
        </w:rPr>
        <w:t xml:space="preserve"> In addition, we would welcome analysis to confirm that women, </w:t>
      </w:r>
      <w:r w:rsidR="00C92CFE" w:rsidRPr="00211B39">
        <w:rPr>
          <w:rFonts w:cs="Times New Roman"/>
          <w:w w:val="95"/>
          <w:sz w:val="24"/>
          <w:szCs w:val="24"/>
        </w:rPr>
        <w:t>people with disabilities</w:t>
      </w:r>
      <w:r w:rsidR="00AB270B" w:rsidRPr="00211B39">
        <w:rPr>
          <w:rFonts w:cs="Times New Roman"/>
          <w:w w:val="95"/>
          <w:sz w:val="24"/>
          <w:szCs w:val="24"/>
        </w:rPr>
        <w:t xml:space="preserve">, migrants, and other minorities are not over-represented in numbers excluded </w:t>
      </w:r>
      <w:r w:rsidR="00C92CFE" w:rsidRPr="00211B39">
        <w:rPr>
          <w:rFonts w:cs="Times New Roman"/>
          <w:w w:val="95"/>
          <w:sz w:val="24"/>
          <w:szCs w:val="24"/>
        </w:rPr>
        <w:t>by the €20,000 earning</w:t>
      </w:r>
      <w:r w:rsidR="00AB270B" w:rsidRPr="00211B39">
        <w:rPr>
          <w:rFonts w:cs="Times New Roman"/>
          <w:w w:val="95"/>
          <w:sz w:val="24"/>
          <w:szCs w:val="24"/>
        </w:rPr>
        <w:t>s trigger.</w:t>
      </w:r>
      <w:r w:rsidR="009428C6" w:rsidRPr="00211B39">
        <w:rPr>
          <w:rFonts w:cs="Times New Roman"/>
          <w:w w:val="95"/>
          <w:sz w:val="24"/>
          <w:szCs w:val="24"/>
        </w:rPr>
        <w:t xml:space="preserve"> </w:t>
      </w:r>
      <w:r w:rsidR="00350C7C" w:rsidRPr="00211B39">
        <w:rPr>
          <w:rFonts w:cs="Times New Roman"/>
          <w:w w:val="95"/>
          <w:sz w:val="24"/>
          <w:szCs w:val="24"/>
        </w:rPr>
        <w:t xml:space="preserve">A key benefit of AE is its ability to close gaps in pensions where they currently exist, for example the well documented gender gap in pensions. </w:t>
      </w:r>
      <w:r w:rsidR="009428C6" w:rsidRPr="00211B39">
        <w:rPr>
          <w:rFonts w:cs="Times New Roman"/>
          <w:w w:val="95"/>
          <w:sz w:val="24"/>
          <w:szCs w:val="24"/>
        </w:rPr>
        <w:t>In this regard, we draw your attention to analysis completed by the Trade Union Congress (TUC) in the UK in relation to the earnings trigger there.</w:t>
      </w:r>
      <w:r w:rsidR="009428C6" w:rsidRPr="00211B39">
        <w:rPr>
          <w:sz w:val="24"/>
          <w:szCs w:val="24"/>
        </w:rPr>
        <w:t xml:space="preserve"> When the UK earnings trigger was increased from £8,105 to £9,205 over half a million low-paid workers, predominantly part time employees, were excluded. 80 percent were women</w:t>
      </w:r>
      <w:r w:rsidR="009428C6" w:rsidRPr="00211B39">
        <w:rPr>
          <w:rStyle w:val="FootnoteReference"/>
          <w:sz w:val="24"/>
          <w:szCs w:val="24"/>
        </w:rPr>
        <w:footnoteReference w:id="12"/>
      </w:r>
      <w:r w:rsidR="009428C6" w:rsidRPr="00211B39">
        <w:rPr>
          <w:sz w:val="24"/>
          <w:szCs w:val="24"/>
        </w:rPr>
        <w:t xml:space="preserve">. Commentators warn of an emerging automatic enrolment underclass </w:t>
      </w:r>
      <w:r w:rsidR="00350C7C" w:rsidRPr="00211B39">
        <w:rPr>
          <w:sz w:val="24"/>
          <w:szCs w:val="24"/>
        </w:rPr>
        <w:t xml:space="preserve">in the UK </w:t>
      </w:r>
      <w:r w:rsidR="009428C6" w:rsidRPr="00211B39">
        <w:rPr>
          <w:sz w:val="24"/>
          <w:szCs w:val="24"/>
        </w:rPr>
        <w:t xml:space="preserve">because of the predominance of women in low paid and part-time employment, making them more sensitive to changes in the earnings trigger than men. The gendered nature of </w:t>
      </w:r>
      <w:r w:rsidR="00350C7C" w:rsidRPr="00211B39">
        <w:rPr>
          <w:sz w:val="24"/>
          <w:szCs w:val="24"/>
        </w:rPr>
        <w:t xml:space="preserve">outcomes when the </w:t>
      </w:r>
      <w:r w:rsidR="009428C6" w:rsidRPr="00211B39">
        <w:rPr>
          <w:sz w:val="24"/>
          <w:szCs w:val="24"/>
        </w:rPr>
        <w:t xml:space="preserve">earnings trigger </w:t>
      </w:r>
      <w:r w:rsidR="00350C7C" w:rsidRPr="00211B39">
        <w:rPr>
          <w:sz w:val="24"/>
          <w:szCs w:val="24"/>
        </w:rPr>
        <w:t xml:space="preserve">changes </w:t>
      </w:r>
      <w:r w:rsidR="009428C6" w:rsidRPr="00211B39">
        <w:rPr>
          <w:sz w:val="24"/>
          <w:szCs w:val="24"/>
        </w:rPr>
        <w:t>was acknowledged by the Department of Work and Pensions in the UK as a driver of its decision to freeze the earnings trigger at £10,000 since 2015. They argue that freezing the trigger results in a decrease in real terms and on their analysis in 2017/2018 an additional 70,000 individuals will qualify for automatic enrolment, 75 per cent of whom will be women</w:t>
      </w:r>
      <w:r w:rsidR="00350C7C" w:rsidRPr="00211B39">
        <w:rPr>
          <w:rStyle w:val="FootnoteReference"/>
          <w:sz w:val="24"/>
          <w:szCs w:val="24"/>
        </w:rPr>
        <w:footnoteReference w:id="13"/>
      </w:r>
      <w:r w:rsidR="00350C7C" w:rsidRPr="00211B39">
        <w:rPr>
          <w:sz w:val="24"/>
          <w:szCs w:val="24"/>
        </w:rPr>
        <w:t>.</w:t>
      </w:r>
    </w:p>
    <w:p w:rsidR="00196EC7" w:rsidRDefault="00196EC7" w:rsidP="00211B39">
      <w:pPr>
        <w:spacing w:line="240" w:lineRule="auto"/>
        <w:rPr>
          <w:rFonts w:cs="Times New Roman"/>
          <w:w w:val="95"/>
          <w:sz w:val="24"/>
          <w:szCs w:val="24"/>
        </w:rPr>
      </w:pPr>
    </w:p>
    <w:p w:rsidR="00A366BE" w:rsidRPr="00211B39" w:rsidRDefault="00A366BE" w:rsidP="00211B39">
      <w:pPr>
        <w:pStyle w:val="ListParagraph"/>
        <w:numPr>
          <w:ilvl w:val="0"/>
          <w:numId w:val="3"/>
        </w:numPr>
        <w:spacing w:line="240" w:lineRule="auto"/>
        <w:rPr>
          <w:rFonts w:cs="Times New Roman"/>
          <w:b/>
          <w:w w:val="95"/>
          <w:sz w:val="24"/>
          <w:szCs w:val="24"/>
        </w:rPr>
      </w:pPr>
      <w:r w:rsidRPr="00211B39">
        <w:rPr>
          <w:rFonts w:cs="Times New Roman"/>
          <w:b/>
          <w:w w:val="95"/>
          <w:sz w:val="24"/>
          <w:szCs w:val="24"/>
        </w:rPr>
        <w:t>Age thresholds</w:t>
      </w:r>
    </w:p>
    <w:p w:rsidR="00AB270B" w:rsidRPr="00211B39" w:rsidRDefault="00350C7C" w:rsidP="00211B39">
      <w:pPr>
        <w:spacing w:line="240" w:lineRule="auto"/>
        <w:rPr>
          <w:rFonts w:cs="Times New Roman"/>
          <w:w w:val="95"/>
          <w:sz w:val="24"/>
          <w:szCs w:val="24"/>
        </w:rPr>
      </w:pPr>
      <w:r w:rsidRPr="00211B39">
        <w:rPr>
          <w:rFonts w:cs="Times New Roman"/>
          <w:w w:val="95"/>
          <w:sz w:val="24"/>
          <w:szCs w:val="24"/>
        </w:rPr>
        <w:t>The lower</w:t>
      </w:r>
      <w:r w:rsidR="00AB270B" w:rsidRPr="00211B39">
        <w:rPr>
          <w:rFonts w:cs="Times New Roman"/>
          <w:w w:val="95"/>
          <w:sz w:val="24"/>
          <w:szCs w:val="24"/>
        </w:rPr>
        <w:t xml:space="preserve"> </w:t>
      </w:r>
      <w:r w:rsidRPr="00211B39">
        <w:rPr>
          <w:rFonts w:cs="Times New Roman"/>
          <w:w w:val="95"/>
          <w:sz w:val="24"/>
          <w:szCs w:val="24"/>
        </w:rPr>
        <w:t xml:space="preserve">age threshold of 23 excludes a group for whom pension coverage is </w:t>
      </w:r>
      <w:r w:rsidR="008E4BC6" w:rsidRPr="00211B39">
        <w:rPr>
          <w:rFonts w:cs="Times New Roman"/>
          <w:w w:val="95"/>
          <w:sz w:val="24"/>
          <w:szCs w:val="24"/>
        </w:rPr>
        <w:t xml:space="preserve">currently </w:t>
      </w:r>
      <w:r w:rsidRPr="00211B39">
        <w:rPr>
          <w:rFonts w:cs="Times New Roman"/>
          <w:w w:val="95"/>
          <w:sz w:val="24"/>
          <w:szCs w:val="24"/>
        </w:rPr>
        <w:t>low</w:t>
      </w:r>
      <w:r w:rsidR="0096302D" w:rsidRPr="00211B39">
        <w:rPr>
          <w:rStyle w:val="FootnoteReference"/>
          <w:rFonts w:cs="Times New Roman"/>
          <w:w w:val="95"/>
          <w:sz w:val="24"/>
          <w:szCs w:val="24"/>
        </w:rPr>
        <w:footnoteReference w:id="14"/>
      </w:r>
      <w:r w:rsidRPr="00211B39">
        <w:rPr>
          <w:rFonts w:cs="Times New Roman"/>
          <w:w w:val="95"/>
          <w:sz w:val="24"/>
          <w:szCs w:val="24"/>
        </w:rPr>
        <w:t xml:space="preserve">. It delivers a message to those entering work as school leavers that pension savings is not </w:t>
      </w:r>
      <w:r w:rsidR="008E4BC6" w:rsidRPr="00211B39">
        <w:rPr>
          <w:rFonts w:cs="Times New Roman"/>
          <w:w w:val="95"/>
          <w:sz w:val="24"/>
          <w:szCs w:val="24"/>
        </w:rPr>
        <w:t>a priority</w:t>
      </w:r>
      <w:r w:rsidRPr="00211B39">
        <w:rPr>
          <w:rFonts w:cs="Times New Roman"/>
          <w:w w:val="95"/>
          <w:sz w:val="24"/>
          <w:szCs w:val="24"/>
        </w:rPr>
        <w:t xml:space="preserve">, while </w:t>
      </w:r>
      <w:r w:rsidR="008E4BC6" w:rsidRPr="00211B39">
        <w:rPr>
          <w:rFonts w:cs="Times New Roman"/>
          <w:w w:val="95"/>
          <w:sz w:val="24"/>
          <w:szCs w:val="24"/>
        </w:rPr>
        <w:t>simultaneously</w:t>
      </w:r>
      <w:r w:rsidRPr="00211B39">
        <w:rPr>
          <w:rFonts w:cs="Times New Roman"/>
          <w:w w:val="95"/>
          <w:sz w:val="24"/>
          <w:szCs w:val="24"/>
        </w:rPr>
        <w:t xml:space="preserve"> leaving them </w:t>
      </w:r>
      <w:r w:rsidR="008E4BC6" w:rsidRPr="00211B39">
        <w:rPr>
          <w:rFonts w:cs="Times New Roman"/>
          <w:w w:val="95"/>
          <w:sz w:val="24"/>
          <w:szCs w:val="24"/>
        </w:rPr>
        <w:t xml:space="preserve">with </w:t>
      </w:r>
      <w:r w:rsidRPr="00211B39">
        <w:rPr>
          <w:rFonts w:cs="Times New Roman"/>
          <w:w w:val="95"/>
          <w:sz w:val="24"/>
          <w:szCs w:val="24"/>
        </w:rPr>
        <w:t>a 6% drop in salary once they reach their 23</w:t>
      </w:r>
      <w:r w:rsidRPr="00211B39">
        <w:rPr>
          <w:rFonts w:cs="Times New Roman"/>
          <w:w w:val="95"/>
          <w:sz w:val="24"/>
          <w:szCs w:val="24"/>
          <w:vertAlign w:val="superscript"/>
        </w:rPr>
        <w:t>rd</w:t>
      </w:r>
      <w:r w:rsidRPr="00211B39">
        <w:rPr>
          <w:rFonts w:cs="Times New Roman"/>
          <w:w w:val="95"/>
          <w:sz w:val="24"/>
          <w:szCs w:val="24"/>
        </w:rPr>
        <w:t xml:space="preserve"> birthday.</w:t>
      </w:r>
      <w:r w:rsidR="0096302D" w:rsidRPr="00211B39">
        <w:rPr>
          <w:rFonts w:cs="Times New Roman"/>
          <w:w w:val="95"/>
          <w:sz w:val="24"/>
          <w:szCs w:val="24"/>
        </w:rPr>
        <w:t xml:space="preserve"> We appreciate the rationale being that those in employment aged under 23 will change employment more frequently than other age groups. However, it seems to us that this is exactly what the ‘pot follows member’ innovation is designed to capture. </w:t>
      </w:r>
    </w:p>
    <w:p w:rsidR="0096302D" w:rsidRPr="00211B39" w:rsidRDefault="0096302D" w:rsidP="00211B39">
      <w:pPr>
        <w:spacing w:line="240" w:lineRule="auto"/>
        <w:rPr>
          <w:rFonts w:cs="Times New Roman"/>
          <w:w w:val="95"/>
          <w:sz w:val="24"/>
          <w:szCs w:val="24"/>
        </w:rPr>
      </w:pPr>
      <w:r w:rsidRPr="00211B39">
        <w:rPr>
          <w:rFonts w:cs="Times New Roman"/>
          <w:w w:val="95"/>
          <w:sz w:val="24"/>
          <w:szCs w:val="24"/>
        </w:rPr>
        <w:t>One government policy undertaken in recognition of the impact of longevity on the public financing of pensions has been to extend working lives. Limiting AE membership to those aged 60 is a direct contradiction of this policy and removes the opportunity for a further 8 years of pension savings for older workers.</w:t>
      </w:r>
      <w:r w:rsidR="009F03AF" w:rsidRPr="00211B39">
        <w:rPr>
          <w:rFonts w:cs="Times New Roman"/>
          <w:w w:val="95"/>
          <w:sz w:val="24"/>
          <w:szCs w:val="24"/>
        </w:rPr>
        <w:t xml:space="preserve"> We believe that the upper age threshold should be aligned to the state pension age.</w:t>
      </w:r>
    </w:p>
    <w:p w:rsidR="00A366BE" w:rsidRPr="00211B39" w:rsidRDefault="00A366BE" w:rsidP="00211B39">
      <w:pPr>
        <w:pStyle w:val="ListParagraph"/>
        <w:numPr>
          <w:ilvl w:val="0"/>
          <w:numId w:val="3"/>
        </w:numPr>
        <w:spacing w:line="240" w:lineRule="auto"/>
        <w:rPr>
          <w:rFonts w:cs="Times New Roman"/>
          <w:b/>
          <w:w w:val="95"/>
          <w:sz w:val="24"/>
          <w:szCs w:val="24"/>
        </w:rPr>
      </w:pPr>
      <w:r w:rsidRPr="00211B39">
        <w:rPr>
          <w:rFonts w:cs="Times New Roman"/>
          <w:b/>
          <w:w w:val="95"/>
          <w:sz w:val="24"/>
          <w:szCs w:val="24"/>
        </w:rPr>
        <w:t>Opting in</w:t>
      </w:r>
      <w:r w:rsidR="006B4718" w:rsidRPr="00211B39">
        <w:rPr>
          <w:rFonts w:cs="Times New Roman"/>
          <w:b/>
          <w:w w:val="95"/>
          <w:sz w:val="24"/>
          <w:szCs w:val="24"/>
        </w:rPr>
        <w:t xml:space="preserve"> and opting out</w:t>
      </w:r>
    </w:p>
    <w:p w:rsidR="0096302D" w:rsidRPr="00211B39" w:rsidRDefault="0096302D" w:rsidP="00211B39">
      <w:pPr>
        <w:spacing w:line="240" w:lineRule="auto"/>
        <w:rPr>
          <w:rFonts w:cs="Times New Roman"/>
          <w:w w:val="95"/>
          <w:sz w:val="24"/>
          <w:szCs w:val="24"/>
        </w:rPr>
      </w:pPr>
      <w:r w:rsidRPr="00211B39">
        <w:rPr>
          <w:rFonts w:cs="Times New Roman"/>
          <w:w w:val="95"/>
          <w:sz w:val="24"/>
          <w:szCs w:val="24"/>
        </w:rPr>
        <w:t>We strongly recommend that regardless of the eventual design of the membership criteria that once an employee outside the eligibility conditions opts into AE, this should trigger the payment of employer and state contributions to their pension pot.</w:t>
      </w:r>
    </w:p>
    <w:p w:rsidR="00AB270B" w:rsidRPr="00211B39" w:rsidRDefault="00227D65" w:rsidP="00211B39">
      <w:pPr>
        <w:spacing w:line="240" w:lineRule="auto"/>
        <w:rPr>
          <w:rFonts w:cs="Times New Roman"/>
          <w:w w:val="95"/>
          <w:sz w:val="24"/>
          <w:szCs w:val="24"/>
        </w:rPr>
      </w:pPr>
      <w:r w:rsidRPr="00211B39">
        <w:rPr>
          <w:rFonts w:cs="Times New Roman"/>
          <w:w w:val="95"/>
          <w:sz w:val="24"/>
          <w:szCs w:val="24"/>
        </w:rPr>
        <w:t xml:space="preserve">The detail of the interaction of AE with existing occupational pensions is naturally absent from the </w:t>
      </w:r>
      <w:r w:rsidR="008E4BC6" w:rsidRPr="00211B39">
        <w:rPr>
          <w:rFonts w:cs="Times New Roman"/>
          <w:w w:val="95"/>
          <w:sz w:val="24"/>
          <w:szCs w:val="24"/>
        </w:rPr>
        <w:t>S</w:t>
      </w:r>
      <w:r w:rsidRPr="00211B39">
        <w:rPr>
          <w:rFonts w:cs="Times New Roman"/>
          <w:w w:val="95"/>
          <w:sz w:val="24"/>
          <w:szCs w:val="24"/>
        </w:rPr>
        <w:t xml:space="preserve">trawman </w:t>
      </w:r>
      <w:r w:rsidR="008E4BC6" w:rsidRPr="00211B39">
        <w:rPr>
          <w:rFonts w:cs="Times New Roman"/>
          <w:w w:val="95"/>
          <w:sz w:val="24"/>
          <w:szCs w:val="24"/>
        </w:rPr>
        <w:t>D</w:t>
      </w:r>
      <w:r w:rsidRPr="00211B39">
        <w:rPr>
          <w:rFonts w:cs="Times New Roman"/>
          <w:w w:val="95"/>
          <w:sz w:val="24"/>
          <w:szCs w:val="24"/>
        </w:rPr>
        <w:t>ocument, given its nature</w:t>
      </w:r>
      <w:r w:rsidR="008E4BC6" w:rsidRPr="00211B39">
        <w:rPr>
          <w:rFonts w:cs="Times New Roman"/>
          <w:w w:val="95"/>
          <w:sz w:val="24"/>
          <w:szCs w:val="24"/>
        </w:rPr>
        <w:t xml:space="preserve"> as a consultation framework</w:t>
      </w:r>
      <w:r w:rsidRPr="00211B39">
        <w:rPr>
          <w:rFonts w:cs="Times New Roman"/>
          <w:w w:val="95"/>
          <w:sz w:val="24"/>
          <w:szCs w:val="24"/>
        </w:rPr>
        <w:t xml:space="preserve">. We take this opportunity to flag that anecdotally we understand that </w:t>
      </w:r>
      <w:r w:rsidR="008E4BC6" w:rsidRPr="00211B39">
        <w:rPr>
          <w:rFonts w:cs="Times New Roman"/>
          <w:w w:val="95"/>
          <w:sz w:val="24"/>
          <w:szCs w:val="24"/>
        </w:rPr>
        <w:t>some</w:t>
      </w:r>
      <w:r w:rsidRPr="00211B39">
        <w:rPr>
          <w:rFonts w:cs="Times New Roman"/>
          <w:w w:val="95"/>
          <w:sz w:val="24"/>
          <w:szCs w:val="24"/>
        </w:rPr>
        <w:t xml:space="preserve"> low-paid workers voluntarily opt out of their employer’s occupational pension plan. </w:t>
      </w:r>
      <w:r w:rsidR="008E4BC6" w:rsidRPr="00211B39">
        <w:rPr>
          <w:rFonts w:cs="Times New Roman"/>
          <w:w w:val="95"/>
          <w:sz w:val="24"/>
          <w:szCs w:val="24"/>
        </w:rPr>
        <w:t xml:space="preserve">As currently envisaged, </w:t>
      </w:r>
      <w:r w:rsidR="002A1F12" w:rsidRPr="00211B39">
        <w:rPr>
          <w:rFonts w:cs="Times New Roman"/>
          <w:w w:val="95"/>
          <w:sz w:val="24"/>
          <w:szCs w:val="24"/>
        </w:rPr>
        <w:t>those that</w:t>
      </w:r>
      <w:r w:rsidR="008E4BC6" w:rsidRPr="00211B39">
        <w:rPr>
          <w:rFonts w:cs="Times New Roman"/>
          <w:w w:val="95"/>
          <w:sz w:val="24"/>
          <w:szCs w:val="24"/>
        </w:rPr>
        <w:t xml:space="preserve"> have opted-out of their employer’s scheme </w:t>
      </w:r>
      <w:r w:rsidR="00D76195" w:rsidRPr="00211B39">
        <w:rPr>
          <w:rFonts w:cs="Times New Roman"/>
          <w:w w:val="95"/>
          <w:sz w:val="24"/>
          <w:szCs w:val="24"/>
        </w:rPr>
        <w:t xml:space="preserve">and are unpensioned </w:t>
      </w:r>
      <w:r w:rsidR="002A1F12" w:rsidRPr="00211B39">
        <w:rPr>
          <w:rFonts w:cs="Times New Roman"/>
          <w:w w:val="95"/>
          <w:sz w:val="24"/>
          <w:szCs w:val="24"/>
        </w:rPr>
        <w:t>are not captured in the reform proposals</w:t>
      </w:r>
      <w:r w:rsidR="00D76195" w:rsidRPr="00211B39">
        <w:rPr>
          <w:rFonts w:cs="Times New Roman"/>
          <w:w w:val="95"/>
          <w:sz w:val="24"/>
          <w:szCs w:val="24"/>
        </w:rPr>
        <w:t xml:space="preserve">. This is </w:t>
      </w:r>
      <w:r w:rsidR="008E4BC6" w:rsidRPr="00211B39">
        <w:rPr>
          <w:rFonts w:cs="Times New Roman"/>
          <w:w w:val="95"/>
          <w:sz w:val="24"/>
          <w:szCs w:val="24"/>
        </w:rPr>
        <w:t xml:space="preserve">because the fact that their employer has a scheme (meeting certain criteria) excludes </w:t>
      </w:r>
      <w:r w:rsidR="00D76195" w:rsidRPr="00211B39">
        <w:rPr>
          <w:rFonts w:cs="Times New Roman"/>
          <w:w w:val="95"/>
          <w:sz w:val="24"/>
          <w:szCs w:val="24"/>
        </w:rPr>
        <w:t>them from</w:t>
      </w:r>
      <w:r w:rsidRPr="00211B39">
        <w:rPr>
          <w:rFonts w:cs="Times New Roman"/>
          <w:w w:val="95"/>
          <w:sz w:val="24"/>
          <w:szCs w:val="24"/>
        </w:rPr>
        <w:t xml:space="preserve"> joining AE. Analysis is required to ascertain the size and make-up of this cohort who </w:t>
      </w:r>
      <w:r w:rsidR="008E4BC6" w:rsidRPr="00211B39">
        <w:rPr>
          <w:rFonts w:cs="Times New Roman"/>
          <w:w w:val="95"/>
          <w:sz w:val="24"/>
          <w:szCs w:val="24"/>
        </w:rPr>
        <w:t>will</w:t>
      </w:r>
      <w:r w:rsidR="00D76195" w:rsidRPr="00211B39">
        <w:rPr>
          <w:rFonts w:cs="Times New Roman"/>
          <w:w w:val="95"/>
          <w:sz w:val="24"/>
          <w:szCs w:val="24"/>
        </w:rPr>
        <w:t xml:space="preserve"> remain u</w:t>
      </w:r>
      <w:r w:rsidRPr="00211B39">
        <w:rPr>
          <w:rFonts w:cs="Times New Roman"/>
          <w:w w:val="95"/>
          <w:sz w:val="24"/>
          <w:szCs w:val="24"/>
        </w:rPr>
        <w:t>npensioned</w:t>
      </w:r>
      <w:r w:rsidR="00D76195" w:rsidRPr="00211B39">
        <w:rPr>
          <w:rFonts w:cs="Times New Roman"/>
          <w:w w:val="95"/>
          <w:sz w:val="24"/>
          <w:szCs w:val="24"/>
        </w:rPr>
        <w:t xml:space="preserve"> as things stand</w:t>
      </w:r>
      <w:r w:rsidR="008E4BC6" w:rsidRPr="00211B39">
        <w:rPr>
          <w:rFonts w:cs="Times New Roman"/>
          <w:w w:val="95"/>
          <w:sz w:val="24"/>
          <w:szCs w:val="24"/>
        </w:rPr>
        <w:t>. If significant in numbers</w:t>
      </w:r>
      <w:r w:rsidR="007D0A9F" w:rsidRPr="00211B39">
        <w:rPr>
          <w:rFonts w:cs="Times New Roman"/>
          <w:w w:val="95"/>
          <w:sz w:val="24"/>
          <w:szCs w:val="24"/>
        </w:rPr>
        <w:t xml:space="preserve">, they both </w:t>
      </w:r>
      <w:r w:rsidRPr="00211B39">
        <w:rPr>
          <w:rFonts w:cs="Times New Roman"/>
          <w:w w:val="95"/>
          <w:sz w:val="24"/>
          <w:szCs w:val="24"/>
        </w:rPr>
        <w:t xml:space="preserve">undermine </w:t>
      </w:r>
      <w:r w:rsidR="007D0A9F" w:rsidRPr="00211B39">
        <w:rPr>
          <w:rFonts w:cs="Times New Roman"/>
          <w:w w:val="95"/>
          <w:sz w:val="24"/>
          <w:szCs w:val="24"/>
        </w:rPr>
        <w:t>the efforts of</w:t>
      </w:r>
      <w:r w:rsidRPr="00211B39">
        <w:rPr>
          <w:rFonts w:cs="Times New Roman"/>
          <w:w w:val="95"/>
          <w:sz w:val="24"/>
          <w:szCs w:val="24"/>
        </w:rPr>
        <w:t xml:space="preserve"> AE </w:t>
      </w:r>
      <w:r w:rsidR="007D0A9F" w:rsidRPr="00211B39">
        <w:rPr>
          <w:rFonts w:cs="Times New Roman"/>
          <w:w w:val="95"/>
          <w:sz w:val="24"/>
          <w:szCs w:val="24"/>
        </w:rPr>
        <w:t>and also place mandatory membership of employer schemes on the agenda.</w:t>
      </w:r>
    </w:p>
    <w:p w:rsidR="0060158A" w:rsidRPr="00211B39" w:rsidRDefault="007D0A9F" w:rsidP="00211B39">
      <w:pPr>
        <w:spacing w:line="240" w:lineRule="auto"/>
        <w:rPr>
          <w:rFonts w:cs="Times New Roman"/>
          <w:w w:val="95"/>
          <w:sz w:val="24"/>
          <w:szCs w:val="24"/>
        </w:rPr>
      </w:pPr>
      <w:r w:rsidRPr="00211B39">
        <w:rPr>
          <w:rFonts w:cs="Times New Roman"/>
          <w:w w:val="95"/>
          <w:sz w:val="24"/>
          <w:szCs w:val="24"/>
        </w:rPr>
        <w:t>Another cohor</w:t>
      </w:r>
      <w:r w:rsidR="00D76195" w:rsidRPr="00211B39">
        <w:rPr>
          <w:rFonts w:cs="Times New Roman"/>
          <w:w w:val="95"/>
          <w:sz w:val="24"/>
          <w:szCs w:val="24"/>
        </w:rPr>
        <w:t xml:space="preserve">t in the </w:t>
      </w:r>
      <w:r w:rsidRPr="00211B39">
        <w:rPr>
          <w:rFonts w:cs="Times New Roman"/>
          <w:w w:val="95"/>
          <w:sz w:val="24"/>
          <w:szCs w:val="24"/>
        </w:rPr>
        <w:t xml:space="preserve">unpensioned category are those not in paid employment. </w:t>
      </w:r>
      <w:r w:rsidR="0060158A" w:rsidRPr="00211B39">
        <w:rPr>
          <w:rFonts w:cs="Times New Roman"/>
          <w:w w:val="95"/>
          <w:sz w:val="24"/>
          <w:szCs w:val="24"/>
        </w:rPr>
        <w:t>AE is designed as an earnings related addition to the pension system. Therefore, it is difficult to see how to incorporate everyone in private pensions regardless of employment status, despite how desirable it would be to include individuals engaged in crucial yet unpaid work.</w:t>
      </w:r>
    </w:p>
    <w:p w:rsidR="006B4718" w:rsidRPr="00211B39" w:rsidRDefault="006B4718" w:rsidP="00211B39">
      <w:pPr>
        <w:pStyle w:val="ListParagraph"/>
        <w:numPr>
          <w:ilvl w:val="0"/>
          <w:numId w:val="3"/>
        </w:numPr>
        <w:spacing w:line="240" w:lineRule="auto"/>
        <w:rPr>
          <w:rFonts w:cs="Times New Roman"/>
          <w:b/>
          <w:w w:val="95"/>
          <w:sz w:val="24"/>
          <w:szCs w:val="24"/>
        </w:rPr>
      </w:pPr>
      <w:r w:rsidRPr="00211B39">
        <w:rPr>
          <w:rFonts w:cs="Times New Roman"/>
          <w:b/>
          <w:w w:val="95"/>
          <w:sz w:val="24"/>
          <w:szCs w:val="24"/>
        </w:rPr>
        <w:t>Opting Out</w:t>
      </w:r>
    </w:p>
    <w:p w:rsidR="006B4718" w:rsidRPr="00211B39" w:rsidRDefault="006B4718" w:rsidP="00211B39">
      <w:pPr>
        <w:spacing w:line="240" w:lineRule="auto"/>
        <w:rPr>
          <w:rFonts w:cs="Times New Roman"/>
          <w:w w:val="95"/>
          <w:sz w:val="24"/>
          <w:szCs w:val="24"/>
        </w:rPr>
      </w:pPr>
      <w:r w:rsidRPr="00211B39">
        <w:rPr>
          <w:rFonts w:cs="Times New Roman"/>
          <w:w w:val="95"/>
          <w:sz w:val="24"/>
          <w:szCs w:val="24"/>
        </w:rPr>
        <w:t xml:space="preserve">On the question of opting out, we understand and support the rationale for a mandatory six months membership before an opting out window opens between months 6 and 8. We also support the re-enrolment </w:t>
      </w:r>
      <w:r w:rsidR="0017038F" w:rsidRPr="00211B39">
        <w:rPr>
          <w:rFonts w:cs="Times New Roman"/>
          <w:w w:val="95"/>
          <w:sz w:val="24"/>
          <w:szCs w:val="24"/>
        </w:rPr>
        <w:t xml:space="preserve">idea. </w:t>
      </w:r>
      <w:r w:rsidRPr="00211B39">
        <w:rPr>
          <w:rFonts w:cs="Times New Roman"/>
          <w:w w:val="95"/>
          <w:sz w:val="24"/>
          <w:szCs w:val="24"/>
        </w:rPr>
        <w:t xml:space="preserve">We do however foresee </w:t>
      </w:r>
      <w:r w:rsidR="0017038F" w:rsidRPr="00211B39">
        <w:rPr>
          <w:rFonts w:cs="Times New Roman"/>
          <w:w w:val="95"/>
          <w:sz w:val="24"/>
          <w:szCs w:val="24"/>
        </w:rPr>
        <w:t>the six months mandatory condition</w:t>
      </w:r>
      <w:r w:rsidRPr="00211B39">
        <w:rPr>
          <w:rFonts w:cs="Times New Roman"/>
          <w:w w:val="95"/>
          <w:sz w:val="24"/>
          <w:szCs w:val="24"/>
        </w:rPr>
        <w:t xml:space="preserve"> being open to </w:t>
      </w:r>
      <w:r w:rsidR="007D0A9F" w:rsidRPr="00211B39">
        <w:rPr>
          <w:rFonts w:cs="Times New Roman"/>
          <w:w w:val="95"/>
          <w:sz w:val="24"/>
          <w:szCs w:val="24"/>
        </w:rPr>
        <w:t>mis-interpretation</w:t>
      </w:r>
      <w:r w:rsidRPr="00211B39">
        <w:rPr>
          <w:rFonts w:cs="Times New Roman"/>
          <w:w w:val="95"/>
          <w:sz w:val="24"/>
          <w:szCs w:val="24"/>
        </w:rPr>
        <w:t xml:space="preserve"> as employees being ‘forced into’ a system </w:t>
      </w:r>
      <w:r w:rsidR="0017038F" w:rsidRPr="00211B39">
        <w:rPr>
          <w:rFonts w:cs="Times New Roman"/>
          <w:w w:val="95"/>
          <w:sz w:val="24"/>
          <w:szCs w:val="24"/>
        </w:rPr>
        <w:t xml:space="preserve">against their wishes, a discourse that has the potential to undermine AE’s </w:t>
      </w:r>
      <w:r w:rsidR="007D0A9F" w:rsidRPr="00211B39">
        <w:rPr>
          <w:rFonts w:cs="Times New Roman"/>
          <w:w w:val="95"/>
          <w:sz w:val="24"/>
          <w:szCs w:val="24"/>
        </w:rPr>
        <w:t>popularity</w:t>
      </w:r>
      <w:r w:rsidR="0017038F" w:rsidRPr="00211B39">
        <w:rPr>
          <w:rFonts w:cs="Times New Roman"/>
          <w:w w:val="95"/>
          <w:sz w:val="24"/>
          <w:szCs w:val="24"/>
        </w:rPr>
        <w:t xml:space="preserve">. Allowing individuals to opt out </w:t>
      </w:r>
      <w:r w:rsidR="007D0A9F" w:rsidRPr="00211B39">
        <w:rPr>
          <w:rFonts w:cs="Times New Roman"/>
          <w:w w:val="95"/>
          <w:sz w:val="24"/>
          <w:szCs w:val="24"/>
        </w:rPr>
        <w:t xml:space="preserve">at times </w:t>
      </w:r>
      <w:r w:rsidR="0017038F" w:rsidRPr="00211B39">
        <w:rPr>
          <w:rFonts w:cs="Times New Roman"/>
          <w:w w:val="95"/>
          <w:sz w:val="24"/>
          <w:szCs w:val="24"/>
        </w:rPr>
        <w:t xml:space="preserve">other than at the 6-8 month window introduces a lifecourse </w:t>
      </w:r>
      <w:r w:rsidR="007D0A9F" w:rsidRPr="00211B39">
        <w:rPr>
          <w:rFonts w:cs="Times New Roman"/>
          <w:w w:val="95"/>
          <w:sz w:val="24"/>
          <w:szCs w:val="24"/>
        </w:rPr>
        <w:t>perspective</w:t>
      </w:r>
      <w:r w:rsidR="0017038F" w:rsidRPr="00211B39">
        <w:rPr>
          <w:rFonts w:cs="Times New Roman"/>
          <w:w w:val="95"/>
          <w:sz w:val="24"/>
          <w:szCs w:val="24"/>
        </w:rPr>
        <w:t xml:space="preserve"> to the design, a point we return to below.</w:t>
      </w:r>
    </w:p>
    <w:p w:rsidR="009F03AF" w:rsidRPr="00211B39" w:rsidRDefault="009F03AF" w:rsidP="00211B39">
      <w:pPr>
        <w:spacing w:line="240" w:lineRule="auto"/>
        <w:rPr>
          <w:rFonts w:cs="Times New Roman"/>
          <w:w w:val="95"/>
          <w:sz w:val="24"/>
          <w:szCs w:val="24"/>
        </w:rPr>
      </w:pPr>
      <w:r w:rsidRPr="00211B39">
        <w:rPr>
          <w:rFonts w:cs="Times New Roman"/>
          <w:w w:val="95"/>
          <w:sz w:val="24"/>
          <w:szCs w:val="24"/>
        </w:rPr>
        <w:t xml:space="preserve">Based on the experience of MABS dealing with individuals managing personal debt issues, we believe that the AE system should be designed to provide an opt-out for individuals who are in formal insolvency arrangements for the period covered by that arrangement. </w:t>
      </w:r>
    </w:p>
    <w:p w:rsidR="002A1F12" w:rsidRPr="00211B39" w:rsidRDefault="002A1F12" w:rsidP="00211B39">
      <w:pPr>
        <w:spacing w:line="240" w:lineRule="auto"/>
        <w:rPr>
          <w:rFonts w:cs="Times New Roman"/>
          <w:b/>
          <w:w w:val="95"/>
          <w:sz w:val="24"/>
          <w:szCs w:val="24"/>
        </w:rPr>
      </w:pPr>
    </w:p>
    <w:p w:rsidR="00A366BE" w:rsidRPr="00211B39" w:rsidRDefault="00A366BE" w:rsidP="00211B39">
      <w:pPr>
        <w:pStyle w:val="ListParagraph"/>
        <w:numPr>
          <w:ilvl w:val="0"/>
          <w:numId w:val="3"/>
        </w:numPr>
        <w:spacing w:line="240" w:lineRule="auto"/>
        <w:rPr>
          <w:rFonts w:cs="Times New Roman"/>
          <w:b/>
          <w:w w:val="95"/>
          <w:sz w:val="24"/>
          <w:szCs w:val="24"/>
        </w:rPr>
      </w:pPr>
      <w:r w:rsidRPr="00211B39">
        <w:rPr>
          <w:rFonts w:cs="Times New Roman"/>
          <w:b/>
          <w:w w:val="95"/>
          <w:sz w:val="24"/>
          <w:szCs w:val="24"/>
        </w:rPr>
        <w:t>Transfers</w:t>
      </w:r>
    </w:p>
    <w:p w:rsidR="00D82BBB" w:rsidRPr="00211B39" w:rsidRDefault="0060158A" w:rsidP="00211B39">
      <w:pPr>
        <w:spacing w:line="240" w:lineRule="auto"/>
        <w:rPr>
          <w:rFonts w:cs="Times New Roman"/>
          <w:w w:val="95"/>
          <w:sz w:val="24"/>
          <w:szCs w:val="24"/>
        </w:rPr>
      </w:pPr>
      <w:r w:rsidRPr="00211B39">
        <w:rPr>
          <w:rFonts w:cs="Times New Roman"/>
          <w:w w:val="95"/>
          <w:sz w:val="24"/>
          <w:szCs w:val="24"/>
        </w:rPr>
        <w:t xml:space="preserve">The roll out of AE will see </w:t>
      </w:r>
      <w:r w:rsidR="007354B5" w:rsidRPr="00211B39">
        <w:rPr>
          <w:rFonts w:cs="Times New Roman"/>
          <w:w w:val="95"/>
          <w:sz w:val="24"/>
          <w:szCs w:val="24"/>
        </w:rPr>
        <w:t xml:space="preserve">three different components of the </w:t>
      </w:r>
      <w:r w:rsidRPr="00211B39">
        <w:rPr>
          <w:rFonts w:cs="Times New Roman"/>
          <w:w w:val="95"/>
          <w:sz w:val="24"/>
          <w:szCs w:val="24"/>
        </w:rPr>
        <w:t xml:space="preserve">pension system operating side by side. </w:t>
      </w:r>
      <w:r w:rsidR="007354B5" w:rsidRPr="00211B39">
        <w:rPr>
          <w:rFonts w:cs="Times New Roman"/>
          <w:w w:val="95"/>
          <w:sz w:val="24"/>
          <w:szCs w:val="24"/>
        </w:rPr>
        <w:t>The first is the state pension, coupled with two distinct occupational pensions regimes</w:t>
      </w:r>
      <w:r w:rsidR="00D82BBB" w:rsidRPr="00211B39">
        <w:rPr>
          <w:rFonts w:cs="Times New Roman"/>
          <w:w w:val="95"/>
          <w:sz w:val="24"/>
          <w:szCs w:val="24"/>
        </w:rPr>
        <w:t xml:space="preserve"> (the existing system of employer sponsored schemes and PRSAs; and AE)</w:t>
      </w:r>
      <w:r w:rsidR="007354B5" w:rsidRPr="00211B39">
        <w:rPr>
          <w:rFonts w:cs="Times New Roman"/>
          <w:w w:val="95"/>
          <w:sz w:val="24"/>
          <w:szCs w:val="24"/>
        </w:rPr>
        <w:t xml:space="preserve">. </w:t>
      </w:r>
      <w:r w:rsidRPr="00211B39">
        <w:rPr>
          <w:rFonts w:cs="Times New Roman"/>
          <w:w w:val="95"/>
          <w:sz w:val="24"/>
          <w:szCs w:val="24"/>
        </w:rPr>
        <w:t xml:space="preserve">The ‘pot follows member’ innovation does not extend to individuals who move from </w:t>
      </w:r>
      <w:r w:rsidR="007354B5" w:rsidRPr="00211B39">
        <w:rPr>
          <w:rFonts w:cs="Times New Roman"/>
          <w:w w:val="95"/>
          <w:sz w:val="24"/>
          <w:szCs w:val="24"/>
        </w:rPr>
        <w:t>employers with occupational pension schemes</w:t>
      </w:r>
      <w:r w:rsidR="002A1F12" w:rsidRPr="00211B39">
        <w:rPr>
          <w:rFonts w:cs="Times New Roman"/>
          <w:w w:val="95"/>
          <w:sz w:val="24"/>
          <w:szCs w:val="24"/>
        </w:rPr>
        <w:t xml:space="preserve"> or who have a PRSA,</w:t>
      </w:r>
      <w:r w:rsidR="007354B5" w:rsidRPr="00211B39">
        <w:rPr>
          <w:rFonts w:cs="Times New Roman"/>
          <w:w w:val="95"/>
          <w:sz w:val="24"/>
          <w:szCs w:val="24"/>
        </w:rPr>
        <w:t xml:space="preserve"> to </w:t>
      </w:r>
      <w:r w:rsidR="002A1F12" w:rsidRPr="00211B39">
        <w:rPr>
          <w:rFonts w:cs="Times New Roman"/>
          <w:w w:val="95"/>
          <w:sz w:val="24"/>
          <w:szCs w:val="24"/>
        </w:rPr>
        <w:t>an employer</w:t>
      </w:r>
      <w:r w:rsidR="007354B5" w:rsidRPr="00211B39">
        <w:rPr>
          <w:rFonts w:cs="Times New Roman"/>
          <w:w w:val="95"/>
          <w:sz w:val="24"/>
          <w:szCs w:val="24"/>
        </w:rPr>
        <w:t xml:space="preserve"> who operate AE. Tracing pension rights and understanding how pensions work are key components of the confusion we encounter. Therefore, in the detail we recommend that simplicity be paramount in your deliberations so that employees understand if and how they can transfer from one private pension regime to the other.</w:t>
      </w:r>
    </w:p>
    <w:p w:rsidR="00227D65" w:rsidRPr="00211B39" w:rsidRDefault="00227D65" w:rsidP="00211B39">
      <w:pPr>
        <w:pStyle w:val="ListParagraph"/>
        <w:numPr>
          <w:ilvl w:val="0"/>
          <w:numId w:val="3"/>
        </w:numPr>
        <w:spacing w:line="240" w:lineRule="auto"/>
        <w:rPr>
          <w:rFonts w:cs="Times New Roman"/>
          <w:w w:val="95"/>
          <w:sz w:val="24"/>
          <w:szCs w:val="24"/>
        </w:rPr>
      </w:pPr>
      <w:r w:rsidRPr="00211B39">
        <w:rPr>
          <w:rFonts w:cs="Times New Roman"/>
          <w:w w:val="95"/>
          <w:sz w:val="24"/>
          <w:szCs w:val="24"/>
        </w:rPr>
        <w:t>The Self Employed</w:t>
      </w:r>
    </w:p>
    <w:p w:rsidR="00BA5574" w:rsidRPr="00211B39" w:rsidRDefault="007354B5" w:rsidP="00211B39">
      <w:pPr>
        <w:spacing w:line="240" w:lineRule="auto"/>
        <w:rPr>
          <w:rFonts w:cs="Times New Roman"/>
          <w:w w:val="95"/>
          <w:sz w:val="24"/>
          <w:szCs w:val="24"/>
        </w:rPr>
      </w:pPr>
      <w:r w:rsidRPr="00211B39">
        <w:rPr>
          <w:rFonts w:cs="Times New Roman"/>
          <w:w w:val="95"/>
          <w:sz w:val="24"/>
          <w:szCs w:val="24"/>
        </w:rPr>
        <w:t>The self-employed are a large and diverse cohort for whom private pension coverage is low</w:t>
      </w:r>
      <w:r w:rsidRPr="00211B39">
        <w:rPr>
          <w:rStyle w:val="FootnoteReference"/>
          <w:rFonts w:cs="Times New Roman"/>
          <w:w w:val="95"/>
          <w:sz w:val="24"/>
          <w:szCs w:val="24"/>
        </w:rPr>
        <w:footnoteReference w:id="15"/>
      </w:r>
      <w:r w:rsidRPr="00211B39">
        <w:rPr>
          <w:rFonts w:cs="Times New Roman"/>
          <w:w w:val="95"/>
          <w:sz w:val="24"/>
          <w:szCs w:val="24"/>
        </w:rPr>
        <w:t>. We do not see any simple and straightforward way of incorporating the self-employed into AE. Nor are we aware of any international evidence where this has worked in practice. We suggest as a first step that research with the self-employed be undertaken to ascertain whether there is a demand for inclusion in AE.</w:t>
      </w:r>
    </w:p>
    <w:p w:rsidR="001C2D14" w:rsidRDefault="001C2D14" w:rsidP="00211B39">
      <w:pPr>
        <w:spacing w:line="240" w:lineRule="auto"/>
        <w:rPr>
          <w:rFonts w:cs="Times New Roman"/>
          <w:b/>
          <w:w w:val="95"/>
          <w:sz w:val="24"/>
          <w:szCs w:val="24"/>
        </w:rPr>
      </w:pPr>
    </w:p>
    <w:p w:rsidR="001C2D14" w:rsidRDefault="001C2D14" w:rsidP="00211B39">
      <w:pPr>
        <w:spacing w:line="240" w:lineRule="auto"/>
        <w:rPr>
          <w:rFonts w:cs="Times New Roman"/>
          <w:b/>
          <w:w w:val="95"/>
          <w:sz w:val="24"/>
          <w:szCs w:val="24"/>
        </w:rPr>
      </w:pPr>
    </w:p>
    <w:p w:rsidR="00BA5574" w:rsidRPr="001C2D14" w:rsidRDefault="00BA5574" w:rsidP="00211B39">
      <w:pPr>
        <w:spacing w:line="240" w:lineRule="auto"/>
        <w:rPr>
          <w:rFonts w:cs="Times New Roman"/>
          <w:b/>
          <w:color w:val="1F4E79" w:themeColor="accent1" w:themeShade="80"/>
          <w:w w:val="95"/>
          <w:sz w:val="24"/>
          <w:szCs w:val="24"/>
        </w:rPr>
      </w:pPr>
      <w:r w:rsidRPr="001C2D14">
        <w:rPr>
          <w:rFonts w:cs="Times New Roman"/>
          <w:b/>
          <w:color w:val="1F4E79" w:themeColor="accent1" w:themeShade="80"/>
          <w:w w:val="95"/>
          <w:sz w:val="24"/>
          <w:szCs w:val="24"/>
        </w:rPr>
        <w:t>Employer and Employee Contribution Rates</w:t>
      </w:r>
    </w:p>
    <w:p w:rsidR="00A366BE" w:rsidRPr="00211B39" w:rsidRDefault="00A366BE" w:rsidP="00211B39">
      <w:pPr>
        <w:pStyle w:val="ListParagraph"/>
        <w:numPr>
          <w:ilvl w:val="0"/>
          <w:numId w:val="4"/>
        </w:numPr>
        <w:spacing w:line="240" w:lineRule="auto"/>
        <w:rPr>
          <w:rFonts w:cs="Times New Roman"/>
          <w:b/>
          <w:w w:val="95"/>
          <w:sz w:val="24"/>
          <w:szCs w:val="24"/>
        </w:rPr>
      </w:pPr>
      <w:r w:rsidRPr="00211B39">
        <w:rPr>
          <w:rFonts w:cs="Times New Roman"/>
          <w:b/>
          <w:w w:val="95"/>
          <w:sz w:val="24"/>
          <w:szCs w:val="24"/>
        </w:rPr>
        <w:t>Contribution levels</w:t>
      </w:r>
    </w:p>
    <w:p w:rsidR="003355FF" w:rsidRPr="003355FF" w:rsidRDefault="002D5877" w:rsidP="003355FF">
      <w:pPr>
        <w:spacing w:line="240" w:lineRule="auto"/>
        <w:rPr>
          <w:rFonts w:ascii="Calibri" w:hAnsi="Calibri"/>
          <w:sz w:val="24"/>
          <w:szCs w:val="24"/>
        </w:rPr>
      </w:pPr>
      <w:r>
        <w:rPr>
          <w:rFonts w:cs="Times New Roman"/>
          <w:w w:val="95"/>
          <w:sz w:val="24"/>
          <w:szCs w:val="24"/>
        </w:rPr>
        <w:t>The contribution levels in the S</w:t>
      </w:r>
      <w:r w:rsidR="006B4718" w:rsidRPr="00211B39">
        <w:rPr>
          <w:rFonts w:cs="Times New Roman"/>
          <w:w w:val="95"/>
          <w:sz w:val="24"/>
          <w:szCs w:val="24"/>
        </w:rPr>
        <w:t>trawman document are i</w:t>
      </w:r>
      <w:r w:rsidR="0017038F" w:rsidRPr="00211B39">
        <w:rPr>
          <w:rFonts w:cs="Times New Roman"/>
          <w:w w:val="95"/>
          <w:sz w:val="24"/>
          <w:szCs w:val="24"/>
        </w:rPr>
        <w:t>n line with the objective for AE of facilitating individuals to maintain a standard of living in old</w:t>
      </w:r>
      <w:r w:rsidR="003355FF">
        <w:rPr>
          <w:rFonts w:cs="Times New Roman"/>
          <w:w w:val="95"/>
          <w:sz w:val="24"/>
          <w:szCs w:val="24"/>
        </w:rPr>
        <w:t>er</w:t>
      </w:r>
      <w:r w:rsidR="0017038F" w:rsidRPr="00211B39">
        <w:rPr>
          <w:rFonts w:cs="Times New Roman"/>
          <w:w w:val="95"/>
          <w:sz w:val="24"/>
          <w:szCs w:val="24"/>
        </w:rPr>
        <w:t xml:space="preserve"> age.</w:t>
      </w:r>
      <w:r w:rsidR="0071062F">
        <w:rPr>
          <w:rFonts w:cs="Times New Roman"/>
          <w:w w:val="95"/>
          <w:sz w:val="24"/>
          <w:szCs w:val="24"/>
        </w:rPr>
        <w:t xml:space="preserve"> However MABS have raised concerns about the sustainability and capacity of members on persistently low incomes to increase contributions from 1% to 6% over a period of 6 years. In that regard some consideration might be given to a lower incremental scale of contributions or a longer timeframe to reach higher level of contributions to address affordability issues. </w:t>
      </w:r>
      <w:r w:rsidR="003355FF" w:rsidRPr="003355FF">
        <w:rPr>
          <w:rFonts w:asciiTheme="majorHAnsi" w:hAnsiTheme="majorHAnsi"/>
          <w:sz w:val="24"/>
          <w:szCs w:val="24"/>
        </w:rPr>
        <w:t>In the UK automatic enrolment system, earnings below a certain level are disregarded in the calculation of employer and employee contributions.</w:t>
      </w:r>
      <w:r w:rsidR="003355FF">
        <w:rPr>
          <w:rFonts w:asciiTheme="majorHAnsi" w:hAnsiTheme="majorHAnsi"/>
          <w:sz w:val="24"/>
          <w:szCs w:val="24"/>
        </w:rPr>
        <w:t xml:space="preserve"> </w:t>
      </w:r>
      <w:r w:rsidR="003355FF" w:rsidRPr="003355FF">
        <w:rPr>
          <w:rFonts w:ascii="Calibri" w:hAnsi="Calibri"/>
          <w:sz w:val="24"/>
          <w:szCs w:val="24"/>
        </w:rPr>
        <w:t>To recognise the particular difficulties AE will pose for the lowest income earners who wish to save, we recommend that the option of a phased contribution based on income be examined</w:t>
      </w:r>
      <w:r w:rsidR="003355FF">
        <w:rPr>
          <w:rStyle w:val="FootnoteReference"/>
          <w:rFonts w:ascii="Calibri" w:hAnsi="Calibri"/>
          <w:sz w:val="24"/>
          <w:szCs w:val="24"/>
        </w:rPr>
        <w:footnoteReference w:id="16"/>
      </w:r>
      <w:r w:rsidR="003355FF" w:rsidRPr="003355FF">
        <w:rPr>
          <w:rFonts w:ascii="Calibri" w:hAnsi="Calibri"/>
          <w:sz w:val="24"/>
          <w:szCs w:val="24"/>
        </w:rPr>
        <w:t xml:space="preserve">. </w:t>
      </w:r>
    </w:p>
    <w:p w:rsidR="0071062F" w:rsidRPr="00211B39" w:rsidRDefault="0071062F" w:rsidP="00211B39">
      <w:pPr>
        <w:spacing w:line="240" w:lineRule="auto"/>
        <w:rPr>
          <w:rFonts w:cs="Times New Roman"/>
          <w:w w:val="95"/>
          <w:sz w:val="24"/>
          <w:szCs w:val="24"/>
        </w:rPr>
      </w:pPr>
    </w:p>
    <w:p w:rsidR="00A366BE" w:rsidRPr="0071062F" w:rsidRDefault="00A366BE" w:rsidP="0071062F">
      <w:pPr>
        <w:pStyle w:val="ListParagraph"/>
        <w:numPr>
          <w:ilvl w:val="0"/>
          <w:numId w:val="4"/>
        </w:numPr>
        <w:spacing w:line="240" w:lineRule="auto"/>
        <w:rPr>
          <w:rFonts w:cs="Times New Roman"/>
          <w:b/>
          <w:w w:val="95"/>
          <w:sz w:val="24"/>
          <w:szCs w:val="24"/>
        </w:rPr>
      </w:pPr>
      <w:r w:rsidRPr="0071062F">
        <w:rPr>
          <w:rFonts w:cs="Times New Roman"/>
          <w:b/>
          <w:w w:val="95"/>
          <w:sz w:val="24"/>
          <w:szCs w:val="24"/>
        </w:rPr>
        <w:t>Qualifying earnings</w:t>
      </w:r>
    </w:p>
    <w:p w:rsidR="00A366BE" w:rsidRDefault="0017038F" w:rsidP="00211B39">
      <w:pPr>
        <w:spacing w:line="240" w:lineRule="auto"/>
        <w:rPr>
          <w:rFonts w:cs="Times New Roman"/>
          <w:w w:val="95"/>
          <w:sz w:val="24"/>
          <w:szCs w:val="24"/>
        </w:rPr>
      </w:pPr>
      <w:r w:rsidRPr="00211B39">
        <w:rPr>
          <w:rFonts w:cs="Times New Roman"/>
          <w:w w:val="95"/>
          <w:sz w:val="24"/>
          <w:szCs w:val="24"/>
        </w:rPr>
        <w:t xml:space="preserve">We agree with the €75,000 threshold for employer and state contributions, and that employees earning in excess of this amount can continue to make </w:t>
      </w:r>
      <w:r w:rsidR="00F54A08" w:rsidRPr="00211B39">
        <w:rPr>
          <w:rFonts w:cs="Times New Roman"/>
          <w:w w:val="95"/>
          <w:sz w:val="24"/>
          <w:szCs w:val="24"/>
        </w:rPr>
        <w:t>additional voluntary contributions to the pension pot, subject to the overall revenue limits on contributions.</w:t>
      </w:r>
    </w:p>
    <w:p w:rsidR="001D4D8C" w:rsidRPr="00211B39" w:rsidRDefault="001D4D8C" w:rsidP="00211B39">
      <w:pPr>
        <w:spacing w:line="240" w:lineRule="auto"/>
        <w:rPr>
          <w:rFonts w:cs="Times New Roman"/>
          <w:w w:val="95"/>
          <w:sz w:val="24"/>
          <w:szCs w:val="24"/>
        </w:rPr>
      </w:pPr>
    </w:p>
    <w:p w:rsidR="00BA5574" w:rsidRPr="00211B39" w:rsidRDefault="00BA5574" w:rsidP="00211B39">
      <w:pPr>
        <w:spacing w:line="240" w:lineRule="auto"/>
        <w:rPr>
          <w:rFonts w:cs="Times New Roman"/>
          <w:b/>
          <w:w w:val="95"/>
          <w:sz w:val="24"/>
          <w:szCs w:val="24"/>
        </w:rPr>
      </w:pPr>
      <w:r w:rsidRPr="00211B39">
        <w:rPr>
          <w:rFonts w:cs="Times New Roman"/>
          <w:b/>
          <w:w w:val="95"/>
          <w:sz w:val="24"/>
          <w:szCs w:val="24"/>
        </w:rPr>
        <w:t>Financial Incentives Provided by the State</w:t>
      </w:r>
    </w:p>
    <w:p w:rsidR="00A366BE" w:rsidRPr="00211B39" w:rsidRDefault="00A366BE" w:rsidP="00211B39">
      <w:pPr>
        <w:pStyle w:val="ListParagraph"/>
        <w:numPr>
          <w:ilvl w:val="0"/>
          <w:numId w:val="7"/>
        </w:numPr>
        <w:spacing w:line="240" w:lineRule="auto"/>
        <w:rPr>
          <w:rFonts w:cs="Times New Roman"/>
          <w:b/>
          <w:w w:val="95"/>
          <w:sz w:val="24"/>
          <w:szCs w:val="24"/>
        </w:rPr>
      </w:pPr>
      <w:r w:rsidRPr="00211B39">
        <w:rPr>
          <w:rFonts w:cs="Times New Roman"/>
          <w:b/>
          <w:w w:val="95"/>
          <w:sz w:val="24"/>
          <w:szCs w:val="24"/>
        </w:rPr>
        <w:t xml:space="preserve">Matching contributions </w:t>
      </w:r>
    </w:p>
    <w:p w:rsidR="00F54A08" w:rsidRPr="00211B39" w:rsidRDefault="00F54A08" w:rsidP="00211B39">
      <w:pPr>
        <w:spacing w:line="240" w:lineRule="auto"/>
        <w:rPr>
          <w:rFonts w:cs="Times New Roman"/>
          <w:w w:val="95"/>
          <w:sz w:val="24"/>
          <w:szCs w:val="24"/>
        </w:rPr>
      </w:pPr>
      <w:r w:rsidRPr="00211B39">
        <w:rPr>
          <w:rFonts w:cs="Times New Roman"/>
          <w:w w:val="95"/>
          <w:sz w:val="24"/>
          <w:szCs w:val="24"/>
        </w:rPr>
        <w:t>The SSIA scheme was successful because people understood the state incentive of a matching contribution. The same cannot be said with any certainty about the existing system of tax relief</w:t>
      </w:r>
      <w:r w:rsidR="007D0A9F" w:rsidRPr="00211B39">
        <w:rPr>
          <w:rFonts w:cs="Times New Roman"/>
          <w:w w:val="95"/>
          <w:sz w:val="24"/>
          <w:szCs w:val="24"/>
        </w:rPr>
        <w:t xml:space="preserve"> for pensions</w:t>
      </w:r>
      <w:r w:rsidRPr="00211B39">
        <w:rPr>
          <w:rFonts w:cs="Times New Roman"/>
          <w:w w:val="95"/>
          <w:sz w:val="24"/>
          <w:szCs w:val="24"/>
        </w:rPr>
        <w:t>. Therefore, we support the proposed matching contribution of €1 for every €3</w:t>
      </w:r>
      <w:r w:rsidR="002A1F12" w:rsidRPr="00211B39">
        <w:rPr>
          <w:rFonts w:cs="Times New Roman"/>
          <w:w w:val="95"/>
          <w:sz w:val="24"/>
          <w:szCs w:val="24"/>
        </w:rPr>
        <w:t>,</w:t>
      </w:r>
      <w:r w:rsidRPr="00211B39">
        <w:rPr>
          <w:rFonts w:cs="Times New Roman"/>
          <w:w w:val="95"/>
          <w:sz w:val="24"/>
          <w:szCs w:val="24"/>
        </w:rPr>
        <w:t xml:space="preserve"> and note that it is in line with recommendations from the Commission on Taxation</w:t>
      </w:r>
      <w:r w:rsidRPr="00211B39">
        <w:rPr>
          <w:rStyle w:val="FootnoteReference"/>
          <w:rFonts w:cs="Times New Roman"/>
          <w:w w:val="95"/>
          <w:sz w:val="24"/>
          <w:szCs w:val="24"/>
        </w:rPr>
        <w:footnoteReference w:id="17"/>
      </w:r>
      <w:r w:rsidRPr="00211B39">
        <w:rPr>
          <w:rFonts w:cs="Times New Roman"/>
          <w:w w:val="95"/>
          <w:sz w:val="24"/>
          <w:szCs w:val="24"/>
        </w:rPr>
        <w:t xml:space="preserve">. </w:t>
      </w:r>
    </w:p>
    <w:p w:rsidR="001400D8" w:rsidRPr="00211B39" w:rsidRDefault="00F54A08" w:rsidP="00211B39">
      <w:pPr>
        <w:spacing w:line="240" w:lineRule="auto"/>
        <w:rPr>
          <w:rFonts w:cs="Times New Roman"/>
          <w:w w:val="95"/>
          <w:sz w:val="24"/>
          <w:szCs w:val="24"/>
        </w:rPr>
      </w:pPr>
      <w:r w:rsidRPr="00211B39">
        <w:rPr>
          <w:rFonts w:cs="Times New Roman"/>
          <w:w w:val="95"/>
          <w:sz w:val="24"/>
          <w:szCs w:val="24"/>
        </w:rPr>
        <w:t>With a focus on clarity and simplicity, we further recommend that the existing tax relief structure be reviewed to match the AE proposals. Our reasons for this recommendation are threefold. Firstly, in terms of the two private pension components of the Irish pension system co-existing, one incentive system will allow transferability.</w:t>
      </w:r>
      <w:r w:rsidR="003F385E" w:rsidRPr="00211B39">
        <w:rPr>
          <w:rFonts w:cs="Times New Roman"/>
          <w:w w:val="95"/>
          <w:sz w:val="24"/>
          <w:szCs w:val="24"/>
        </w:rPr>
        <w:t xml:space="preserve"> Secondly, the existing distribution of tax relief does not conform with principles of equity</w:t>
      </w:r>
      <w:r w:rsidR="003F385E" w:rsidRPr="00211B39">
        <w:rPr>
          <w:rStyle w:val="FootnoteReference"/>
          <w:rFonts w:cs="Times New Roman"/>
          <w:w w:val="95"/>
          <w:sz w:val="24"/>
          <w:szCs w:val="24"/>
        </w:rPr>
        <w:footnoteReference w:id="18"/>
      </w:r>
      <w:r w:rsidR="003F385E" w:rsidRPr="00211B39">
        <w:rPr>
          <w:rFonts w:cs="Times New Roman"/>
          <w:w w:val="95"/>
          <w:sz w:val="24"/>
          <w:szCs w:val="24"/>
        </w:rPr>
        <w:t>. Lastly, having two systems of tax incentives, one of which is not understood or appreciated is adding unnecessary complexity and choice. The choice element arises as those on the marginal rate of tax will do better under the existing tax incentive regime indicating an occupational scheme or PRSA is the better vehicle for their pension savings. Those on the standard rate of tax, or those outside the income tax system will benefit more from being in AE.</w:t>
      </w:r>
    </w:p>
    <w:p w:rsidR="001400D8" w:rsidRPr="00211B39" w:rsidRDefault="00D82BBB" w:rsidP="00211B39">
      <w:pPr>
        <w:spacing w:line="240" w:lineRule="auto"/>
        <w:rPr>
          <w:rFonts w:cs="Times New Roman"/>
          <w:w w:val="95"/>
          <w:sz w:val="24"/>
          <w:szCs w:val="24"/>
        </w:rPr>
      </w:pPr>
      <w:r w:rsidRPr="00211B39">
        <w:rPr>
          <w:rFonts w:cs="Times New Roman"/>
          <w:w w:val="95"/>
          <w:sz w:val="24"/>
          <w:szCs w:val="24"/>
        </w:rPr>
        <w:t xml:space="preserve">We raise a concern here about current contributors to PRSAs. They were introduced following the </w:t>
      </w:r>
      <w:r w:rsidRPr="00211B39">
        <w:rPr>
          <w:rFonts w:cs="Times New Roman"/>
          <w:i/>
          <w:w w:val="95"/>
          <w:sz w:val="24"/>
          <w:szCs w:val="24"/>
        </w:rPr>
        <w:t>National Pension Policy Initiative</w:t>
      </w:r>
      <w:r w:rsidRPr="00211B39">
        <w:rPr>
          <w:rStyle w:val="FootnoteReference"/>
          <w:rFonts w:cs="Times New Roman"/>
          <w:i/>
          <w:w w:val="95"/>
          <w:sz w:val="24"/>
          <w:szCs w:val="24"/>
        </w:rPr>
        <w:footnoteReference w:id="19"/>
      </w:r>
      <w:r w:rsidRPr="00211B39">
        <w:rPr>
          <w:rFonts w:cs="Times New Roman"/>
          <w:w w:val="95"/>
          <w:sz w:val="24"/>
          <w:szCs w:val="24"/>
        </w:rPr>
        <w:t xml:space="preserve"> to improve coverage of private pensions. The employer is not required to contribute to an employee’s PRSA, but will be required to contribute under AE. Therefore, an employee who availed of the PRSA option but does not have an employer contribution will be treated differently to a colleague who enters AE. To ensure equality is a central feature of the pension system</w:t>
      </w:r>
      <w:r w:rsidR="001400D8" w:rsidRPr="00211B39">
        <w:rPr>
          <w:rFonts w:cs="Times New Roman"/>
          <w:w w:val="95"/>
          <w:sz w:val="24"/>
          <w:szCs w:val="24"/>
        </w:rPr>
        <w:t>, this outcome must be avoided by allowing transfers from PRSAs into AE. We see this as a superior option tha</w:t>
      </w:r>
      <w:r w:rsidR="002C38B0" w:rsidRPr="00211B39">
        <w:rPr>
          <w:rFonts w:cs="Times New Roman"/>
          <w:w w:val="95"/>
          <w:sz w:val="24"/>
          <w:szCs w:val="24"/>
        </w:rPr>
        <w:t>n</w:t>
      </w:r>
      <w:r w:rsidR="001400D8" w:rsidRPr="00211B39">
        <w:rPr>
          <w:rFonts w:cs="Times New Roman"/>
          <w:w w:val="95"/>
          <w:sz w:val="24"/>
          <w:szCs w:val="24"/>
        </w:rPr>
        <w:t xml:space="preserve"> an individual’s PRSAs being suspended, where in its dormant state it is vulnerable to being eroded by administration fees.</w:t>
      </w:r>
    </w:p>
    <w:p w:rsidR="001400D8" w:rsidRPr="00211B39" w:rsidRDefault="001400D8" w:rsidP="00211B39">
      <w:pPr>
        <w:spacing w:line="240" w:lineRule="auto"/>
        <w:rPr>
          <w:rFonts w:cs="Times New Roman"/>
          <w:w w:val="95"/>
          <w:sz w:val="24"/>
          <w:szCs w:val="24"/>
        </w:rPr>
      </w:pPr>
      <w:r w:rsidRPr="00211B39">
        <w:rPr>
          <w:rFonts w:cs="Times New Roman"/>
          <w:w w:val="95"/>
          <w:sz w:val="24"/>
          <w:szCs w:val="24"/>
        </w:rPr>
        <w:t>The choice facing lower paid workers on which incentive system benefits them most, and the decision for PRSA (non-employer contribution) to continue or switch to AE, again highlights the necessity for a well-resourced and pension literate information service for pension queries.</w:t>
      </w:r>
    </w:p>
    <w:p w:rsidR="001400D8" w:rsidRPr="001C2D14" w:rsidRDefault="001400D8" w:rsidP="00211B39">
      <w:pPr>
        <w:spacing w:line="240" w:lineRule="auto"/>
        <w:rPr>
          <w:rFonts w:cs="Times New Roman"/>
          <w:color w:val="1F4E79" w:themeColor="accent1" w:themeShade="80"/>
          <w:w w:val="95"/>
          <w:sz w:val="24"/>
          <w:szCs w:val="24"/>
        </w:rPr>
      </w:pPr>
    </w:p>
    <w:p w:rsidR="00BA5574" w:rsidRPr="001C2D14" w:rsidRDefault="00BA5574" w:rsidP="00211B39">
      <w:pPr>
        <w:spacing w:line="240" w:lineRule="auto"/>
        <w:rPr>
          <w:rFonts w:cs="Times New Roman"/>
          <w:b/>
          <w:color w:val="1F4E79" w:themeColor="accent1" w:themeShade="80"/>
          <w:w w:val="95"/>
          <w:sz w:val="24"/>
          <w:szCs w:val="24"/>
        </w:rPr>
      </w:pPr>
      <w:r w:rsidRPr="001C2D14">
        <w:rPr>
          <w:rFonts w:cs="Times New Roman"/>
          <w:b/>
          <w:color w:val="1F4E79" w:themeColor="accent1" w:themeShade="80"/>
          <w:w w:val="95"/>
          <w:sz w:val="24"/>
          <w:szCs w:val="24"/>
        </w:rPr>
        <w:t>Investment Options</w:t>
      </w:r>
    </w:p>
    <w:p w:rsidR="00BA5574" w:rsidRPr="00211B39" w:rsidRDefault="00A366BE" w:rsidP="00211B39">
      <w:pPr>
        <w:pStyle w:val="ListParagraph"/>
        <w:numPr>
          <w:ilvl w:val="0"/>
          <w:numId w:val="8"/>
        </w:numPr>
        <w:spacing w:line="240" w:lineRule="auto"/>
        <w:rPr>
          <w:rFonts w:cs="Times New Roman"/>
          <w:b/>
          <w:w w:val="95"/>
          <w:sz w:val="24"/>
          <w:szCs w:val="24"/>
        </w:rPr>
      </w:pPr>
      <w:r w:rsidRPr="00211B39">
        <w:rPr>
          <w:rFonts w:cs="Times New Roman"/>
          <w:b/>
          <w:w w:val="95"/>
          <w:sz w:val="24"/>
          <w:szCs w:val="24"/>
        </w:rPr>
        <w:t>Fund choices</w:t>
      </w:r>
      <w:r w:rsidR="006E1EEC" w:rsidRPr="00211B39">
        <w:rPr>
          <w:rFonts w:cs="Times New Roman"/>
          <w:b/>
          <w:w w:val="95"/>
          <w:sz w:val="24"/>
          <w:szCs w:val="24"/>
        </w:rPr>
        <w:t xml:space="preserve"> and switching</w:t>
      </w:r>
    </w:p>
    <w:p w:rsidR="00CA688B" w:rsidRPr="00211B39" w:rsidRDefault="00CA688B" w:rsidP="00211B39">
      <w:pPr>
        <w:spacing w:line="240" w:lineRule="auto"/>
        <w:rPr>
          <w:rFonts w:cs="Times New Roman"/>
          <w:w w:val="95"/>
          <w:sz w:val="24"/>
          <w:szCs w:val="24"/>
        </w:rPr>
      </w:pPr>
      <w:r w:rsidRPr="00211B39">
        <w:rPr>
          <w:rFonts w:cs="Times New Roman"/>
          <w:w w:val="95"/>
          <w:sz w:val="24"/>
          <w:szCs w:val="24"/>
        </w:rPr>
        <w:t>Our focus in regard to fund choices and switching is</w:t>
      </w:r>
      <w:r w:rsidR="00D76195" w:rsidRPr="00211B39">
        <w:rPr>
          <w:rFonts w:cs="Times New Roman"/>
          <w:w w:val="95"/>
          <w:sz w:val="24"/>
          <w:szCs w:val="24"/>
        </w:rPr>
        <w:t xml:space="preserve"> on</w:t>
      </w:r>
      <w:r w:rsidRPr="00211B39">
        <w:rPr>
          <w:rFonts w:cs="Times New Roman"/>
          <w:w w:val="95"/>
          <w:sz w:val="24"/>
          <w:szCs w:val="24"/>
        </w:rPr>
        <w:t xml:space="preserve"> information. On one hand we agree with similar offerings of fund choices across providers </w:t>
      </w:r>
      <w:r w:rsidR="00305E37" w:rsidRPr="00211B39">
        <w:rPr>
          <w:rFonts w:cs="Times New Roman"/>
          <w:w w:val="95"/>
          <w:sz w:val="24"/>
          <w:szCs w:val="24"/>
        </w:rPr>
        <w:t xml:space="preserve">with standard risk/reward </w:t>
      </w:r>
      <w:r w:rsidRPr="00211B39">
        <w:rPr>
          <w:rFonts w:cs="Times New Roman"/>
          <w:w w:val="95"/>
          <w:sz w:val="24"/>
          <w:szCs w:val="24"/>
        </w:rPr>
        <w:t xml:space="preserve">categorisations </w:t>
      </w:r>
      <w:r w:rsidR="00D76195" w:rsidRPr="00211B39">
        <w:rPr>
          <w:rFonts w:cs="Times New Roman"/>
          <w:w w:val="95"/>
          <w:sz w:val="24"/>
          <w:szCs w:val="24"/>
        </w:rPr>
        <w:t xml:space="preserve">because they will be </w:t>
      </w:r>
      <w:r w:rsidRPr="00211B39">
        <w:rPr>
          <w:rFonts w:cs="Times New Roman"/>
          <w:w w:val="95"/>
          <w:sz w:val="24"/>
          <w:szCs w:val="24"/>
        </w:rPr>
        <w:t xml:space="preserve">relatively simple to understand and will simplify cross-provider comparisons. </w:t>
      </w:r>
      <w:r w:rsidR="00126922" w:rsidRPr="00211B39">
        <w:rPr>
          <w:rFonts w:cs="Times New Roman"/>
          <w:w w:val="95"/>
          <w:sz w:val="24"/>
          <w:szCs w:val="24"/>
        </w:rPr>
        <w:t xml:space="preserve">On the other hand, </w:t>
      </w:r>
      <w:r w:rsidR="002C19FD" w:rsidRPr="00211B39">
        <w:rPr>
          <w:rFonts w:cs="Times New Roman"/>
          <w:w w:val="95"/>
          <w:sz w:val="24"/>
          <w:szCs w:val="24"/>
        </w:rPr>
        <w:t>simil</w:t>
      </w:r>
      <w:r w:rsidR="002C19FD">
        <w:rPr>
          <w:rFonts w:cs="Times New Roman"/>
          <w:w w:val="95"/>
          <w:sz w:val="24"/>
          <w:szCs w:val="24"/>
        </w:rPr>
        <w:t>ar</w:t>
      </w:r>
      <w:r w:rsidR="002C19FD" w:rsidRPr="00211B39">
        <w:rPr>
          <w:rFonts w:cs="Times New Roman"/>
          <w:w w:val="95"/>
          <w:sz w:val="24"/>
          <w:szCs w:val="24"/>
        </w:rPr>
        <w:t xml:space="preserve"> offerings are</w:t>
      </w:r>
      <w:r w:rsidRPr="00211B39">
        <w:rPr>
          <w:rFonts w:cs="Times New Roman"/>
          <w:w w:val="95"/>
          <w:sz w:val="24"/>
          <w:szCs w:val="24"/>
        </w:rPr>
        <w:t xml:space="preserve"> more an illusion of choice rather than real choice. As noted above, our major concern is with the design of the default fund and our recommendation remains that clarity of communication is prioritised.</w:t>
      </w:r>
    </w:p>
    <w:p w:rsidR="006E1EEC" w:rsidRPr="00211B39" w:rsidRDefault="00CA688B" w:rsidP="00211B39">
      <w:pPr>
        <w:pStyle w:val="ListParagraph"/>
        <w:numPr>
          <w:ilvl w:val="0"/>
          <w:numId w:val="8"/>
        </w:numPr>
        <w:spacing w:line="240" w:lineRule="auto"/>
        <w:rPr>
          <w:rFonts w:cs="Times New Roman"/>
          <w:b/>
          <w:w w:val="95"/>
          <w:sz w:val="24"/>
          <w:szCs w:val="24"/>
        </w:rPr>
      </w:pPr>
      <w:r w:rsidRPr="00211B39">
        <w:rPr>
          <w:rFonts w:cs="Times New Roman"/>
          <w:b/>
          <w:w w:val="95"/>
          <w:sz w:val="24"/>
          <w:szCs w:val="24"/>
        </w:rPr>
        <w:t>Target Benefits</w:t>
      </w:r>
    </w:p>
    <w:p w:rsidR="00CA688B" w:rsidRPr="00211B39" w:rsidRDefault="00D76195" w:rsidP="00211B39">
      <w:pPr>
        <w:spacing w:line="240" w:lineRule="auto"/>
        <w:rPr>
          <w:rFonts w:cs="Times New Roman"/>
          <w:w w:val="95"/>
          <w:sz w:val="24"/>
          <w:szCs w:val="24"/>
        </w:rPr>
      </w:pPr>
      <w:r w:rsidRPr="00211B39">
        <w:rPr>
          <w:rFonts w:cs="Times New Roman"/>
          <w:w w:val="95"/>
          <w:sz w:val="24"/>
          <w:szCs w:val="24"/>
        </w:rPr>
        <w:t>One</w:t>
      </w:r>
      <w:r w:rsidR="00CA688B" w:rsidRPr="00211B39">
        <w:rPr>
          <w:rFonts w:cs="Times New Roman"/>
          <w:w w:val="95"/>
          <w:sz w:val="24"/>
          <w:szCs w:val="24"/>
        </w:rPr>
        <w:t xml:space="preserve"> driver of the confusion we encounter about pensions is the lack of any pension forecasting facility. This applies equally to the state pension as to private pensions. </w:t>
      </w:r>
      <w:r w:rsidR="00305E37" w:rsidRPr="00211B39">
        <w:rPr>
          <w:rFonts w:cs="Times New Roman"/>
          <w:w w:val="95"/>
          <w:sz w:val="24"/>
          <w:szCs w:val="24"/>
        </w:rPr>
        <w:t>We understand target benefits and life</w:t>
      </w:r>
      <w:r w:rsidR="00C372D6" w:rsidRPr="00211B39">
        <w:rPr>
          <w:rFonts w:cs="Times New Roman"/>
          <w:w w:val="95"/>
          <w:sz w:val="24"/>
          <w:szCs w:val="24"/>
        </w:rPr>
        <w:t>-</w:t>
      </w:r>
      <w:r w:rsidR="00305E37" w:rsidRPr="00211B39">
        <w:rPr>
          <w:rFonts w:cs="Times New Roman"/>
          <w:w w:val="95"/>
          <w:sz w:val="24"/>
          <w:szCs w:val="24"/>
        </w:rPr>
        <w:t>styling as</w:t>
      </w:r>
      <w:r w:rsidR="00C372D6" w:rsidRPr="00211B39">
        <w:rPr>
          <w:rFonts w:cs="Times New Roman"/>
          <w:w w:val="95"/>
          <w:sz w:val="24"/>
          <w:szCs w:val="24"/>
        </w:rPr>
        <w:t xml:space="preserve"> two different concepts. Target </w:t>
      </w:r>
      <w:r w:rsidR="00346F1B">
        <w:rPr>
          <w:rFonts w:cs="Times New Roman"/>
          <w:w w:val="95"/>
          <w:sz w:val="24"/>
          <w:szCs w:val="24"/>
        </w:rPr>
        <w:t xml:space="preserve">benefits </w:t>
      </w:r>
      <w:r w:rsidR="00305E37" w:rsidRPr="00211B39">
        <w:rPr>
          <w:rFonts w:cs="Times New Roman"/>
          <w:w w:val="95"/>
          <w:sz w:val="24"/>
          <w:szCs w:val="24"/>
        </w:rPr>
        <w:t xml:space="preserve">involves framing contributions and investment choices in such a way that a targeted defined benefit emerges. </w:t>
      </w:r>
      <w:r w:rsidR="00CA688B" w:rsidRPr="00211B39">
        <w:rPr>
          <w:rFonts w:cs="Times New Roman"/>
          <w:w w:val="95"/>
          <w:sz w:val="24"/>
          <w:szCs w:val="24"/>
        </w:rPr>
        <w:t xml:space="preserve">Incorporating a target benefit option as a standard </w:t>
      </w:r>
      <w:r w:rsidR="00305E37" w:rsidRPr="00211B39">
        <w:rPr>
          <w:rFonts w:cs="Times New Roman"/>
          <w:w w:val="95"/>
          <w:sz w:val="24"/>
          <w:szCs w:val="24"/>
        </w:rPr>
        <w:t>fund choice has its merits, especially when coupled with a CPA interface forecasting function. However, on balance we believe that bringing target</w:t>
      </w:r>
      <w:r w:rsidR="00CA688B" w:rsidRPr="00211B39">
        <w:rPr>
          <w:rFonts w:cs="Times New Roman"/>
          <w:w w:val="95"/>
          <w:sz w:val="24"/>
          <w:szCs w:val="24"/>
        </w:rPr>
        <w:t xml:space="preserve"> </w:t>
      </w:r>
      <w:r w:rsidR="00305E37" w:rsidRPr="00211B39">
        <w:rPr>
          <w:rFonts w:cs="Times New Roman"/>
          <w:w w:val="95"/>
          <w:sz w:val="24"/>
          <w:szCs w:val="24"/>
        </w:rPr>
        <w:t>benefits into the equation is unnecessarily complex, with the added possibility of misplaced expectations about what AE can achieve. We discuss life</w:t>
      </w:r>
      <w:r w:rsidR="00126922" w:rsidRPr="00211B39">
        <w:rPr>
          <w:rFonts w:cs="Times New Roman"/>
          <w:w w:val="95"/>
          <w:sz w:val="24"/>
          <w:szCs w:val="24"/>
        </w:rPr>
        <w:t>-</w:t>
      </w:r>
      <w:r w:rsidR="00305E37" w:rsidRPr="00211B39">
        <w:rPr>
          <w:rFonts w:cs="Times New Roman"/>
          <w:w w:val="95"/>
          <w:sz w:val="24"/>
          <w:szCs w:val="24"/>
        </w:rPr>
        <w:t>styling below in our comments on the pay-out phase.</w:t>
      </w:r>
    </w:p>
    <w:p w:rsidR="006E1EEC" w:rsidRPr="00211B39" w:rsidRDefault="006E1EEC" w:rsidP="00211B39">
      <w:pPr>
        <w:pStyle w:val="ListParagraph"/>
        <w:numPr>
          <w:ilvl w:val="0"/>
          <w:numId w:val="8"/>
        </w:numPr>
        <w:spacing w:line="240" w:lineRule="auto"/>
        <w:rPr>
          <w:rFonts w:cs="Times New Roman"/>
          <w:b/>
          <w:w w:val="95"/>
          <w:sz w:val="24"/>
          <w:szCs w:val="24"/>
        </w:rPr>
      </w:pPr>
      <w:r w:rsidRPr="00211B39">
        <w:rPr>
          <w:rFonts w:cs="Times New Roman"/>
          <w:b/>
          <w:w w:val="95"/>
          <w:sz w:val="24"/>
          <w:szCs w:val="24"/>
        </w:rPr>
        <w:t>Management and investment charges</w:t>
      </w:r>
    </w:p>
    <w:p w:rsidR="006E1EEC" w:rsidRPr="00211B39" w:rsidRDefault="00305E37" w:rsidP="00211B39">
      <w:pPr>
        <w:spacing w:line="240" w:lineRule="auto"/>
        <w:rPr>
          <w:rFonts w:cs="Times New Roman"/>
          <w:w w:val="95"/>
          <w:sz w:val="24"/>
          <w:szCs w:val="24"/>
        </w:rPr>
      </w:pPr>
      <w:r w:rsidRPr="00211B39">
        <w:rPr>
          <w:rFonts w:cs="Times New Roman"/>
          <w:w w:val="95"/>
          <w:sz w:val="24"/>
          <w:szCs w:val="24"/>
        </w:rPr>
        <w:t>Please see our comments on fees under the heading of Administrative Arrangements and Organisational Approach.</w:t>
      </w:r>
    </w:p>
    <w:p w:rsidR="00C372D6" w:rsidRPr="00211B39" w:rsidRDefault="00C372D6" w:rsidP="00211B39">
      <w:pPr>
        <w:spacing w:line="240" w:lineRule="auto"/>
        <w:rPr>
          <w:rFonts w:cs="Times New Roman"/>
          <w:b/>
          <w:w w:val="95"/>
          <w:sz w:val="24"/>
          <w:szCs w:val="24"/>
        </w:rPr>
      </w:pPr>
    </w:p>
    <w:p w:rsidR="00BA5574" w:rsidRPr="00211B39" w:rsidRDefault="00BA5574" w:rsidP="00211B39">
      <w:pPr>
        <w:spacing w:line="240" w:lineRule="auto"/>
        <w:rPr>
          <w:rFonts w:cs="Times New Roman"/>
          <w:b/>
          <w:w w:val="95"/>
          <w:sz w:val="24"/>
          <w:szCs w:val="24"/>
        </w:rPr>
      </w:pPr>
      <w:r w:rsidRPr="00211B39">
        <w:rPr>
          <w:rFonts w:cs="Times New Roman"/>
          <w:b/>
          <w:w w:val="95"/>
          <w:sz w:val="24"/>
          <w:szCs w:val="24"/>
        </w:rPr>
        <w:t>Policy for Opt-out and Re-enrolment</w:t>
      </w:r>
    </w:p>
    <w:p w:rsidR="006E1EEC" w:rsidRPr="00211B39" w:rsidRDefault="006E1EEC" w:rsidP="00211B39">
      <w:pPr>
        <w:pStyle w:val="ListParagraph"/>
        <w:numPr>
          <w:ilvl w:val="0"/>
          <w:numId w:val="9"/>
        </w:numPr>
        <w:spacing w:line="240" w:lineRule="auto"/>
        <w:rPr>
          <w:rFonts w:cs="Times New Roman"/>
          <w:b/>
          <w:w w:val="95"/>
          <w:sz w:val="24"/>
          <w:szCs w:val="24"/>
        </w:rPr>
      </w:pPr>
      <w:r w:rsidRPr="00211B39">
        <w:rPr>
          <w:rFonts w:cs="Times New Roman"/>
          <w:b/>
          <w:w w:val="95"/>
          <w:sz w:val="24"/>
          <w:szCs w:val="24"/>
        </w:rPr>
        <w:t>Compulsory minimum of 6 months</w:t>
      </w:r>
    </w:p>
    <w:p w:rsidR="00305E37" w:rsidRPr="00211B39" w:rsidRDefault="00305E37" w:rsidP="00211B39">
      <w:pPr>
        <w:spacing w:line="240" w:lineRule="auto"/>
        <w:rPr>
          <w:rFonts w:cs="Times New Roman"/>
          <w:w w:val="95"/>
          <w:sz w:val="24"/>
          <w:szCs w:val="24"/>
        </w:rPr>
      </w:pPr>
      <w:r w:rsidRPr="00211B39">
        <w:rPr>
          <w:rFonts w:cs="Times New Roman"/>
          <w:w w:val="95"/>
          <w:sz w:val="24"/>
          <w:szCs w:val="24"/>
        </w:rPr>
        <w:t>Please see our comments on compulsory membership under the heading of Target Membership</w:t>
      </w:r>
      <w:r w:rsidR="00E43EC4" w:rsidRPr="00211B39">
        <w:rPr>
          <w:rFonts w:cs="Times New Roman"/>
          <w:w w:val="95"/>
          <w:sz w:val="24"/>
          <w:szCs w:val="24"/>
        </w:rPr>
        <w:t>.</w:t>
      </w:r>
    </w:p>
    <w:p w:rsidR="006E1EEC" w:rsidRPr="00211B39" w:rsidRDefault="006E1EEC" w:rsidP="00211B39">
      <w:pPr>
        <w:pStyle w:val="ListParagraph"/>
        <w:numPr>
          <w:ilvl w:val="0"/>
          <w:numId w:val="9"/>
        </w:numPr>
        <w:spacing w:line="240" w:lineRule="auto"/>
        <w:rPr>
          <w:rFonts w:cs="Times New Roman"/>
          <w:b/>
          <w:w w:val="95"/>
          <w:sz w:val="24"/>
          <w:szCs w:val="24"/>
        </w:rPr>
      </w:pPr>
      <w:r w:rsidRPr="00211B39">
        <w:rPr>
          <w:rFonts w:cs="Times New Roman"/>
          <w:b/>
          <w:w w:val="95"/>
          <w:sz w:val="24"/>
          <w:szCs w:val="24"/>
        </w:rPr>
        <w:t xml:space="preserve">Opt </w:t>
      </w:r>
      <w:r w:rsidR="00E43EC4" w:rsidRPr="00211B39">
        <w:rPr>
          <w:rFonts w:cs="Times New Roman"/>
          <w:b/>
          <w:w w:val="95"/>
          <w:sz w:val="24"/>
          <w:szCs w:val="24"/>
        </w:rPr>
        <w:t>O</w:t>
      </w:r>
      <w:r w:rsidRPr="00211B39">
        <w:rPr>
          <w:rFonts w:cs="Times New Roman"/>
          <w:b/>
          <w:w w:val="95"/>
          <w:sz w:val="24"/>
          <w:szCs w:val="24"/>
        </w:rPr>
        <w:t xml:space="preserve">ut </w:t>
      </w:r>
      <w:r w:rsidR="00E43EC4" w:rsidRPr="00211B39">
        <w:rPr>
          <w:rFonts w:cs="Times New Roman"/>
          <w:b/>
          <w:w w:val="95"/>
          <w:sz w:val="24"/>
          <w:szCs w:val="24"/>
        </w:rPr>
        <w:t>W</w:t>
      </w:r>
      <w:r w:rsidRPr="00211B39">
        <w:rPr>
          <w:rFonts w:cs="Times New Roman"/>
          <w:b/>
          <w:w w:val="95"/>
          <w:sz w:val="24"/>
          <w:szCs w:val="24"/>
        </w:rPr>
        <w:t>indows</w:t>
      </w:r>
      <w:r w:rsidR="00E43EC4" w:rsidRPr="00211B39">
        <w:rPr>
          <w:rFonts w:cs="Times New Roman"/>
          <w:b/>
          <w:w w:val="95"/>
          <w:sz w:val="24"/>
          <w:szCs w:val="24"/>
        </w:rPr>
        <w:t xml:space="preserve"> and Savings Suspensions</w:t>
      </w:r>
    </w:p>
    <w:p w:rsidR="00E43EC4" w:rsidRPr="00211B39" w:rsidRDefault="00E43EC4" w:rsidP="00211B39">
      <w:pPr>
        <w:spacing w:line="240" w:lineRule="auto"/>
        <w:rPr>
          <w:rFonts w:cs="Times New Roman"/>
          <w:w w:val="95"/>
          <w:sz w:val="24"/>
          <w:szCs w:val="24"/>
        </w:rPr>
      </w:pPr>
      <w:r w:rsidRPr="00211B39">
        <w:rPr>
          <w:rFonts w:cs="Times New Roman"/>
          <w:w w:val="95"/>
          <w:sz w:val="24"/>
          <w:szCs w:val="24"/>
        </w:rPr>
        <w:t>We recommend that a life</w:t>
      </w:r>
      <w:r w:rsidR="00C372D6" w:rsidRPr="00211B39">
        <w:rPr>
          <w:rFonts w:cs="Times New Roman"/>
          <w:w w:val="95"/>
          <w:sz w:val="24"/>
          <w:szCs w:val="24"/>
        </w:rPr>
        <w:t>-</w:t>
      </w:r>
      <w:r w:rsidRPr="00211B39">
        <w:rPr>
          <w:rFonts w:cs="Times New Roman"/>
          <w:w w:val="95"/>
          <w:sz w:val="24"/>
          <w:szCs w:val="24"/>
        </w:rPr>
        <w:t xml:space="preserve">course approach be taken when considering whether to build periods of non-saving into the design of AE. It is first and foremost a pension system, not a government incentivised saving scheme. Therefore, we believe that withdrawals from the system should be limited. Taking </w:t>
      </w:r>
      <w:r w:rsidR="00D76195" w:rsidRPr="00211B39">
        <w:rPr>
          <w:rFonts w:cs="Times New Roman"/>
          <w:w w:val="95"/>
          <w:sz w:val="24"/>
          <w:szCs w:val="24"/>
        </w:rPr>
        <w:t>a</w:t>
      </w:r>
      <w:r w:rsidRPr="00211B39">
        <w:rPr>
          <w:rFonts w:cs="Times New Roman"/>
          <w:w w:val="95"/>
          <w:sz w:val="24"/>
          <w:szCs w:val="24"/>
        </w:rPr>
        <w:t xml:space="preserve"> life</w:t>
      </w:r>
      <w:r w:rsidR="00C372D6" w:rsidRPr="00211B39">
        <w:rPr>
          <w:rFonts w:cs="Times New Roman"/>
          <w:w w:val="95"/>
          <w:sz w:val="24"/>
          <w:szCs w:val="24"/>
        </w:rPr>
        <w:t>-</w:t>
      </w:r>
      <w:r w:rsidRPr="00211B39">
        <w:rPr>
          <w:rFonts w:cs="Times New Roman"/>
          <w:w w:val="95"/>
          <w:sz w:val="24"/>
          <w:szCs w:val="24"/>
        </w:rPr>
        <w:t>course approach</w:t>
      </w:r>
      <w:r w:rsidR="00C372D6" w:rsidRPr="00211B39">
        <w:rPr>
          <w:rFonts w:cs="Times New Roman"/>
          <w:w w:val="95"/>
          <w:sz w:val="24"/>
          <w:szCs w:val="24"/>
        </w:rPr>
        <w:t>,</w:t>
      </w:r>
      <w:r w:rsidRPr="00211B39">
        <w:rPr>
          <w:rFonts w:cs="Times New Roman"/>
          <w:w w:val="95"/>
          <w:sz w:val="24"/>
          <w:szCs w:val="24"/>
        </w:rPr>
        <w:t xml:space="preserve"> we believe that discretion </w:t>
      </w:r>
      <w:r w:rsidR="00C372D6" w:rsidRPr="00211B39">
        <w:rPr>
          <w:rFonts w:cs="Times New Roman"/>
          <w:w w:val="95"/>
          <w:sz w:val="24"/>
          <w:szCs w:val="24"/>
        </w:rPr>
        <w:t xml:space="preserve">should </w:t>
      </w:r>
      <w:r w:rsidRPr="00211B39">
        <w:rPr>
          <w:rFonts w:cs="Times New Roman"/>
          <w:w w:val="95"/>
          <w:sz w:val="24"/>
          <w:szCs w:val="24"/>
        </w:rPr>
        <w:t>be exercised by the CPA to consider periods of savings suspensions to coincide wi</w:t>
      </w:r>
      <w:r w:rsidR="00C372D6" w:rsidRPr="00211B39">
        <w:rPr>
          <w:rFonts w:cs="Times New Roman"/>
          <w:w w:val="95"/>
          <w:sz w:val="24"/>
          <w:szCs w:val="24"/>
        </w:rPr>
        <w:t xml:space="preserve">th incidences of, for example, </w:t>
      </w:r>
      <w:r w:rsidRPr="00211B39">
        <w:rPr>
          <w:rFonts w:cs="Times New Roman"/>
          <w:w w:val="95"/>
          <w:sz w:val="24"/>
          <w:szCs w:val="24"/>
        </w:rPr>
        <w:t xml:space="preserve">maternity, bereavement, illness, and unpaid caring. Savings suspensions could be for a pre-determined period, after which contribution deductions would recommence. This would avoid the </w:t>
      </w:r>
      <w:r w:rsidR="00EE4558" w:rsidRPr="00211B39">
        <w:rPr>
          <w:rFonts w:cs="Times New Roman"/>
          <w:w w:val="95"/>
          <w:sz w:val="24"/>
          <w:szCs w:val="24"/>
        </w:rPr>
        <w:t>creation</w:t>
      </w:r>
      <w:r w:rsidRPr="00211B39">
        <w:rPr>
          <w:rFonts w:cs="Times New Roman"/>
          <w:w w:val="95"/>
          <w:sz w:val="24"/>
          <w:szCs w:val="24"/>
        </w:rPr>
        <w:t xml:space="preserve"> of small dormant pots within the system</w:t>
      </w:r>
      <w:r w:rsidR="00D76195" w:rsidRPr="00211B39">
        <w:rPr>
          <w:rFonts w:cs="Times New Roman"/>
          <w:w w:val="95"/>
          <w:sz w:val="24"/>
          <w:szCs w:val="24"/>
        </w:rPr>
        <w:t>,</w:t>
      </w:r>
      <w:r w:rsidRPr="00211B39">
        <w:rPr>
          <w:rFonts w:cs="Times New Roman"/>
          <w:w w:val="95"/>
          <w:sz w:val="24"/>
          <w:szCs w:val="24"/>
        </w:rPr>
        <w:t xml:space="preserve"> which would eventually be depleted by annual administration charges.</w:t>
      </w:r>
    </w:p>
    <w:p w:rsidR="006E1EEC" w:rsidRPr="00211B39" w:rsidRDefault="006E1EEC" w:rsidP="00211B39">
      <w:pPr>
        <w:pStyle w:val="ListParagraph"/>
        <w:numPr>
          <w:ilvl w:val="0"/>
          <w:numId w:val="9"/>
        </w:numPr>
        <w:spacing w:line="240" w:lineRule="auto"/>
        <w:rPr>
          <w:rFonts w:cs="Times New Roman"/>
          <w:b/>
          <w:w w:val="95"/>
          <w:sz w:val="24"/>
          <w:szCs w:val="24"/>
        </w:rPr>
      </w:pPr>
      <w:r w:rsidRPr="00211B39">
        <w:rPr>
          <w:rFonts w:cs="Times New Roman"/>
          <w:b/>
          <w:w w:val="95"/>
          <w:sz w:val="24"/>
          <w:szCs w:val="24"/>
        </w:rPr>
        <w:t>Retention of state and employer contribution</w:t>
      </w:r>
    </w:p>
    <w:p w:rsidR="00BA5574" w:rsidRPr="00211B39" w:rsidRDefault="00E43EC4" w:rsidP="00211B39">
      <w:pPr>
        <w:spacing w:line="240" w:lineRule="auto"/>
        <w:rPr>
          <w:rFonts w:cs="Times New Roman"/>
          <w:w w:val="95"/>
          <w:sz w:val="24"/>
          <w:szCs w:val="24"/>
        </w:rPr>
      </w:pPr>
      <w:r w:rsidRPr="00211B39">
        <w:rPr>
          <w:rFonts w:cs="Times New Roman"/>
          <w:w w:val="95"/>
          <w:sz w:val="24"/>
          <w:szCs w:val="24"/>
        </w:rPr>
        <w:t xml:space="preserve">Under the occupational pension scheme system, employees for whom the preservation requirements do not </w:t>
      </w:r>
      <w:r w:rsidR="002C19FD" w:rsidRPr="00211B39">
        <w:rPr>
          <w:rFonts w:cs="Times New Roman"/>
          <w:w w:val="95"/>
          <w:sz w:val="24"/>
          <w:szCs w:val="24"/>
        </w:rPr>
        <w:t>apply</w:t>
      </w:r>
      <w:r w:rsidRPr="00211B39">
        <w:rPr>
          <w:rFonts w:cs="Times New Roman"/>
          <w:w w:val="95"/>
          <w:sz w:val="24"/>
          <w:szCs w:val="24"/>
        </w:rPr>
        <w:t xml:space="preserve"> can take a refund of </w:t>
      </w:r>
      <w:r w:rsidR="00EE4558" w:rsidRPr="00211B39">
        <w:rPr>
          <w:rFonts w:cs="Times New Roman"/>
          <w:w w:val="95"/>
          <w:sz w:val="24"/>
          <w:szCs w:val="24"/>
        </w:rPr>
        <w:t xml:space="preserve">the value of their </w:t>
      </w:r>
      <w:r w:rsidRPr="00211B39">
        <w:rPr>
          <w:rFonts w:cs="Times New Roman"/>
          <w:w w:val="95"/>
          <w:sz w:val="24"/>
          <w:szCs w:val="24"/>
        </w:rPr>
        <w:t xml:space="preserve">contributions, less a once off tax. We see a similar </w:t>
      </w:r>
      <w:r w:rsidR="00EE4558" w:rsidRPr="00211B39">
        <w:rPr>
          <w:rFonts w:cs="Times New Roman"/>
          <w:w w:val="95"/>
          <w:sz w:val="24"/>
          <w:szCs w:val="24"/>
        </w:rPr>
        <w:t>rule applying to AE to avoid the proliferation of small dormant pots</w:t>
      </w:r>
      <w:r w:rsidR="00D76195" w:rsidRPr="00211B39">
        <w:rPr>
          <w:rFonts w:cs="Times New Roman"/>
          <w:w w:val="95"/>
          <w:sz w:val="24"/>
          <w:szCs w:val="24"/>
        </w:rPr>
        <w:t xml:space="preserve"> and to reinforce similarities between the two regimes</w:t>
      </w:r>
      <w:r w:rsidR="00EE4558" w:rsidRPr="00211B39">
        <w:rPr>
          <w:rFonts w:cs="Times New Roman"/>
          <w:w w:val="95"/>
          <w:sz w:val="24"/>
          <w:szCs w:val="24"/>
        </w:rPr>
        <w:t xml:space="preserve">. Another area where consideration of refunding employee contributions should be considered is where emigrants with short tenures in AE indicate that they are permanently returning to their home country. </w:t>
      </w:r>
    </w:p>
    <w:p w:rsidR="00EE4558" w:rsidRPr="00211B39" w:rsidRDefault="00EE4558" w:rsidP="00211B39">
      <w:pPr>
        <w:spacing w:line="240" w:lineRule="auto"/>
        <w:rPr>
          <w:rFonts w:cs="Times New Roman"/>
          <w:w w:val="95"/>
          <w:sz w:val="24"/>
          <w:szCs w:val="24"/>
        </w:rPr>
      </w:pPr>
      <w:r w:rsidRPr="00211B39">
        <w:rPr>
          <w:rFonts w:cs="Times New Roman"/>
          <w:w w:val="95"/>
          <w:sz w:val="24"/>
          <w:szCs w:val="24"/>
        </w:rPr>
        <w:t>In both these instances, and where individuals opt-out, we do not see the retention of the government’s matching contributions as being problematic</w:t>
      </w:r>
      <w:r w:rsidR="001047DC" w:rsidRPr="00211B39">
        <w:rPr>
          <w:rFonts w:cs="Times New Roman"/>
          <w:w w:val="95"/>
          <w:sz w:val="24"/>
          <w:szCs w:val="24"/>
        </w:rPr>
        <w:t xml:space="preserve">. </w:t>
      </w:r>
      <w:r w:rsidRPr="00211B39">
        <w:rPr>
          <w:rFonts w:cs="Times New Roman"/>
          <w:w w:val="95"/>
          <w:sz w:val="24"/>
          <w:szCs w:val="24"/>
        </w:rPr>
        <w:t xml:space="preserve">The matter of retention </w:t>
      </w:r>
      <w:r w:rsidR="001047DC" w:rsidRPr="00211B39">
        <w:rPr>
          <w:rFonts w:cs="Times New Roman"/>
          <w:w w:val="95"/>
          <w:sz w:val="24"/>
          <w:szCs w:val="24"/>
        </w:rPr>
        <w:t xml:space="preserve">or refund to the employee </w:t>
      </w:r>
      <w:r w:rsidRPr="00211B39">
        <w:rPr>
          <w:rFonts w:cs="Times New Roman"/>
          <w:w w:val="95"/>
          <w:sz w:val="24"/>
          <w:szCs w:val="24"/>
        </w:rPr>
        <w:t>of employer contributions is less straightforward, and is best referred to employer representative organisations for comment.</w:t>
      </w:r>
    </w:p>
    <w:p w:rsidR="00D76195" w:rsidRPr="001C2D14" w:rsidRDefault="00D76195" w:rsidP="00211B39">
      <w:pPr>
        <w:spacing w:line="240" w:lineRule="auto"/>
        <w:rPr>
          <w:rFonts w:cs="Times New Roman"/>
          <w:b/>
          <w:color w:val="1F4E79" w:themeColor="accent1" w:themeShade="80"/>
          <w:w w:val="95"/>
          <w:sz w:val="24"/>
          <w:szCs w:val="24"/>
        </w:rPr>
      </w:pPr>
    </w:p>
    <w:p w:rsidR="00BA5574" w:rsidRPr="001C2D14" w:rsidRDefault="00BA5574" w:rsidP="00211B39">
      <w:pPr>
        <w:spacing w:line="240" w:lineRule="auto"/>
        <w:rPr>
          <w:rFonts w:cs="Times New Roman"/>
          <w:b/>
          <w:color w:val="1F4E79" w:themeColor="accent1" w:themeShade="80"/>
          <w:w w:val="95"/>
          <w:sz w:val="24"/>
          <w:szCs w:val="24"/>
        </w:rPr>
      </w:pPr>
      <w:r w:rsidRPr="001C2D14">
        <w:rPr>
          <w:rFonts w:cs="Times New Roman"/>
          <w:b/>
          <w:color w:val="1F4E79" w:themeColor="accent1" w:themeShade="80"/>
          <w:w w:val="95"/>
          <w:sz w:val="24"/>
          <w:szCs w:val="24"/>
        </w:rPr>
        <w:t>Arrangements for Benefits and the Pay-out Phase</w:t>
      </w:r>
    </w:p>
    <w:p w:rsidR="006E1EEC" w:rsidRPr="00211B39" w:rsidRDefault="006E1EEC" w:rsidP="00211B39">
      <w:pPr>
        <w:pStyle w:val="ListParagraph"/>
        <w:numPr>
          <w:ilvl w:val="0"/>
          <w:numId w:val="10"/>
        </w:numPr>
        <w:spacing w:line="240" w:lineRule="auto"/>
        <w:rPr>
          <w:rFonts w:cs="Times New Roman"/>
          <w:b/>
          <w:w w:val="95"/>
          <w:sz w:val="24"/>
          <w:szCs w:val="24"/>
        </w:rPr>
      </w:pPr>
      <w:r w:rsidRPr="00211B39">
        <w:rPr>
          <w:rFonts w:cs="Times New Roman"/>
          <w:b/>
          <w:w w:val="95"/>
          <w:sz w:val="24"/>
          <w:szCs w:val="24"/>
        </w:rPr>
        <w:t>Age (include ill health early drawdown)</w:t>
      </w:r>
    </w:p>
    <w:p w:rsidR="00EE4558" w:rsidRPr="00211B39" w:rsidRDefault="001047DC" w:rsidP="00211B39">
      <w:pPr>
        <w:spacing w:line="240" w:lineRule="auto"/>
        <w:rPr>
          <w:rFonts w:cs="Times New Roman"/>
          <w:b/>
          <w:w w:val="95"/>
          <w:sz w:val="24"/>
          <w:szCs w:val="24"/>
        </w:rPr>
      </w:pPr>
      <w:r w:rsidRPr="00211B39">
        <w:rPr>
          <w:rFonts w:cs="Times New Roman"/>
          <w:w w:val="95"/>
          <w:sz w:val="24"/>
          <w:szCs w:val="24"/>
        </w:rPr>
        <w:t>We agree with the proposal of the state retirement age being the exit age from AE. We also agree with early retirement from AE being permitted on grounds of serious ill health and enforced retirement</w:t>
      </w:r>
      <w:r w:rsidR="004D3AA4" w:rsidRPr="00211B39">
        <w:rPr>
          <w:rFonts w:cs="Times New Roman"/>
          <w:w w:val="95"/>
          <w:sz w:val="24"/>
          <w:szCs w:val="24"/>
        </w:rPr>
        <w:t xml:space="preserve"> before state pension age. </w:t>
      </w:r>
      <w:r w:rsidR="00D76195" w:rsidRPr="00211B39">
        <w:rPr>
          <w:rFonts w:cs="Times New Roman"/>
          <w:w w:val="95"/>
          <w:sz w:val="24"/>
          <w:szCs w:val="24"/>
        </w:rPr>
        <w:t>L</w:t>
      </w:r>
      <w:r w:rsidR="004D3AA4" w:rsidRPr="00211B39">
        <w:rPr>
          <w:rFonts w:cs="Times New Roman"/>
          <w:w w:val="95"/>
          <w:sz w:val="24"/>
          <w:szCs w:val="24"/>
        </w:rPr>
        <w:t xml:space="preserve">etting AE members retain a pot post state retirement age </w:t>
      </w:r>
      <w:r w:rsidR="002A1F12" w:rsidRPr="00211B39">
        <w:rPr>
          <w:rFonts w:cs="Times New Roman"/>
          <w:w w:val="95"/>
          <w:sz w:val="24"/>
          <w:szCs w:val="24"/>
        </w:rPr>
        <w:t>leads</w:t>
      </w:r>
      <w:r w:rsidR="004D3AA4" w:rsidRPr="00211B39">
        <w:rPr>
          <w:rFonts w:cs="Times New Roman"/>
          <w:w w:val="95"/>
          <w:sz w:val="24"/>
          <w:szCs w:val="24"/>
        </w:rPr>
        <w:t xml:space="preserve"> to unnecessary administrative requirements</w:t>
      </w:r>
      <w:r w:rsidR="004D3AA4" w:rsidRPr="00211B39">
        <w:rPr>
          <w:rFonts w:cs="Times New Roman"/>
          <w:b/>
          <w:w w:val="95"/>
          <w:sz w:val="24"/>
          <w:szCs w:val="24"/>
        </w:rPr>
        <w:t>.</w:t>
      </w:r>
    </w:p>
    <w:p w:rsidR="006E1EEC" w:rsidRPr="00211B39" w:rsidRDefault="004D3AA4" w:rsidP="00211B39">
      <w:pPr>
        <w:pStyle w:val="ListParagraph"/>
        <w:numPr>
          <w:ilvl w:val="0"/>
          <w:numId w:val="10"/>
        </w:numPr>
        <w:spacing w:line="240" w:lineRule="auto"/>
        <w:rPr>
          <w:rFonts w:cs="Times New Roman"/>
          <w:b/>
          <w:w w:val="95"/>
          <w:sz w:val="24"/>
          <w:szCs w:val="24"/>
        </w:rPr>
      </w:pPr>
      <w:r w:rsidRPr="00211B39">
        <w:rPr>
          <w:rFonts w:cs="Times New Roman"/>
          <w:b/>
          <w:w w:val="95"/>
          <w:sz w:val="24"/>
          <w:szCs w:val="24"/>
        </w:rPr>
        <w:t>Benefits</w:t>
      </w:r>
    </w:p>
    <w:p w:rsidR="004D3AA4" w:rsidRPr="00211B39" w:rsidRDefault="004D3AA4" w:rsidP="00211B39">
      <w:pPr>
        <w:spacing w:line="240" w:lineRule="auto"/>
        <w:rPr>
          <w:rFonts w:cs="Times New Roman"/>
          <w:w w:val="95"/>
          <w:sz w:val="24"/>
          <w:szCs w:val="24"/>
        </w:rPr>
      </w:pPr>
      <w:r w:rsidRPr="00211B39">
        <w:rPr>
          <w:rFonts w:cs="Times New Roman"/>
          <w:w w:val="95"/>
          <w:sz w:val="24"/>
          <w:szCs w:val="24"/>
        </w:rPr>
        <w:t>Our experience is that the soon-to-retire population present to us in large numbers every year. Therefore</w:t>
      </w:r>
      <w:r w:rsidR="00D76195" w:rsidRPr="00211B39">
        <w:rPr>
          <w:rFonts w:cs="Times New Roman"/>
          <w:w w:val="95"/>
          <w:sz w:val="24"/>
          <w:szCs w:val="24"/>
        </w:rPr>
        <w:t>,</w:t>
      </w:r>
      <w:r w:rsidRPr="00211B39">
        <w:rPr>
          <w:rFonts w:cs="Times New Roman"/>
          <w:w w:val="95"/>
          <w:sz w:val="24"/>
          <w:szCs w:val="24"/>
        </w:rPr>
        <w:t xml:space="preserve"> we are especially concerned that the decumulation phase gets equal attention to the accumulation phase in the design of AE.</w:t>
      </w:r>
      <w:r w:rsidR="00B84DBD" w:rsidRPr="00211B39">
        <w:rPr>
          <w:rFonts w:cs="Times New Roman"/>
          <w:w w:val="95"/>
          <w:sz w:val="24"/>
          <w:szCs w:val="24"/>
        </w:rPr>
        <w:t xml:space="preserve"> We reiterate here our recommendation that in scoping and costing the CPA, consideration be given to making it a</w:t>
      </w:r>
      <w:r w:rsidR="002A1F12" w:rsidRPr="00211B39">
        <w:rPr>
          <w:rFonts w:cs="Times New Roman"/>
          <w:w w:val="95"/>
          <w:sz w:val="24"/>
          <w:szCs w:val="24"/>
        </w:rPr>
        <w:t xml:space="preserve"> well-resourced</w:t>
      </w:r>
      <w:r w:rsidR="00B84DBD" w:rsidRPr="00211B39">
        <w:rPr>
          <w:rFonts w:cs="Times New Roman"/>
          <w:w w:val="95"/>
          <w:sz w:val="24"/>
          <w:szCs w:val="24"/>
        </w:rPr>
        <w:t xml:space="preserve"> </w:t>
      </w:r>
      <w:r w:rsidR="002A1F12" w:rsidRPr="00211B39">
        <w:rPr>
          <w:rFonts w:cs="Times New Roman"/>
          <w:w w:val="95"/>
          <w:sz w:val="24"/>
          <w:szCs w:val="24"/>
        </w:rPr>
        <w:t>‘</w:t>
      </w:r>
      <w:r w:rsidR="00B84DBD" w:rsidRPr="00211B39">
        <w:rPr>
          <w:rFonts w:cs="Times New Roman"/>
          <w:w w:val="95"/>
          <w:sz w:val="24"/>
          <w:szCs w:val="24"/>
        </w:rPr>
        <w:t>one-stop shop</w:t>
      </w:r>
      <w:r w:rsidR="002A1F12" w:rsidRPr="00211B39">
        <w:rPr>
          <w:rFonts w:cs="Times New Roman"/>
          <w:w w:val="95"/>
          <w:sz w:val="24"/>
          <w:szCs w:val="24"/>
        </w:rPr>
        <w:t>’</w:t>
      </w:r>
      <w:r w:rsidR="00B84DBD" w:rsidRPr="00211B39">
        <w:rPr>
          <w:rFonts w:cs="Times New Roman"/>
          <w:w w:val="95"/>
          <w:sz w:val="24"/>
          <w:szCs w:val="24"/>
        </w:rPr>
        <w:t xml:space="preserve"> for </w:t>
      </w:r>
      <w:r w:rsidR="007D0A9F" w:rsidRPr="00211B39">
        <w:rPr>
          <w:rFonts w:cs="Times New Roman"/>
          <w:w w:val="95"/>
          <w:sz w:val="24"/>
          <w:szCs w:val="24"/>
        </w:rPr>
        <w:t xml:space="preserve">most if not </w:t>
      </w:r>
      <w:r w:rsidR="00B84DBD" w:rsidRPr="00211B39">
        <w:rPr>
          <w:rFonts w:cs="Times New Roman"/>
          <w:w w:val="95"/>
          <w:sz w:val="24"/>
          <w:szCs w:val="24"/>
        </w:rPr>
        <w:t>all state and private pension queries.</w:t>
      </w:r>
    </w:p>
    <w:p w:rsidR="004D3AA4" w:rsidRPr="00211B39" w:rsidRDefault="00B84DBD" w:rsidP="00211B39">
      <w:pPr>
        <w:spacing w:line="240" w:lineRule="auto"/>
        <w:rPr>
          <w:rFonts w:cs="Times New Roman"/>
          <w:w w:val="95"/>
          <w:sz w:val="24"/>
          <w:szCs w:val="24"/>
        </w:rPr>
      </w:pPr>
      <w:r w:rsidRPr="00211B39">
        <w:rPr>
          <w:rFonts w:cs="Times New Roman"/>
          <w:w w:val="95"/>
          <w:sz w:val="24"/>
          <w:szCs w:val="24"/>
        </w:rPr>
        <w:t>At present, individuals retiring with a private pension enjoy some combination of a tax-free lump sum (TFLS), an annuity, and an approved retirement fund (ARF). While the TFLS is somewhat of an anomaly in a</w:t>
      </w:r>
      <w:r w:rsidR="00D76195" w:rsidRPr="00211B39">
        <w:rPr>
          <w:rFonts w:cs="Times New Roman"/>
          <w:w w:val="95"/>
          <w:sz w:val="24"/>
          <w:szCs w:val="24"/>
        </w:rPr>
        <w:t>n</w:t>
      </w:r>
      <w:r w:rsidRPr="00211B39">
        <w:rPr>
          <w:rFonts w:cs="Times New Roman"/>
          <w:w w:val="95"/>
          <w:sz w:val="24"/>
          <w:szCs w:val="24"/>
        </w:rPr>
        <w:t xml:space="preserve"> EET system, contributions into AE will be from net income. To enhance the attraction of AE, </w:t>
      </w:r>
      <w:r w:rsidR="00D76195" w:rsidRPr="00211B39">
        <w:rPr>
          <w:rFonts w:cs="Times New Roman"/>
          <w:w w:val="95"/>
          <w:sz w:val="24"/>
          <w:szCs w:val="24"/>
        </w:rPr>
        <w:t xml:space="preserve">and emphasise similarities with the existing regime, </w:t>
      </w:r>
      <w:r w:rsidRPr="00211B39">
        <w:rPr>
          <w:rFonts w:cs="Times New Roman"/>
          <w:w w:val="95"/>
          <w:sz w:val="24"/>
          <w:szCs w:val="24"/>
        </w:rPr>
        <w:t>we recommend the retention of a TFLS within the current revenue limits.</w:t>
      </w:r>
    </w:p>
    <w:p w:rsidR="009E206F" w:rsidRPr="00211B39" w:rsidRDefault="00B84DBD" w:rsidP="00211B39">
      <w:pPr>
        <w:spacing w:line="240" w:lineRule="auto"/>
        <w:rPr>
          <w:rFonts w:cs="Times New Roman"/>
          <w:w w:val="95"/>
          <w:sz w:val="24"/>
          <w:szCs w:val="24"/>
        </w:rPr>
      </w:pPr>
      <w:r w:rsidRPr="00211B39">
        <w:rPr>
          <w:rFonts w:cs="Times New Roman"/>
          <w:w w:val="95"/>
          <w:sz w:val="24"/>
          <w:szCs w:val="24"/>
        </w:rPr>
        <w:t xml:space="preserve">The logic behind </w:t>
      </w:r>
      <w:r w:rsidR="002A1F12" w:rsidRPr="00211B39">
        <w:rPr>
          <w:rFonts w:cs="Times New Roman"/>
          <w:w w:val="95"/>
          <w:sz w:val="24"/>
          <w:szCs w:val="24"/>
        </w:rPr>
        <w:t>annuity rates</w:t>
      </w:r>
      <w:r w:rsidRPr="00211B39">
        <w:rPr>
          <w:rFonts w:cs="Times New Roman"/>
          <w:w w:val="95"/>
          <w:sz w:val="24"/>
          <w:szCs w:val="24"/>
        </w:rPr>
        <w:t xml:space="preserve"> can be hard to grasp, and can represent poor value for money. Yet for many the certainty of monthly payments </w:t>
      </w:r>
      <w:r w:rsidR="002A1F12" w:rsidRPr="00211B39">
        <w:rPr>
          <w:rFonts w:cs="Times New Roman"/>
          <w:w w:val="95"/>
          <w:sz w:val="24"/>
          <w:szCs w:val="24"/>
        </w:rPr>
        <w:t xml:space="preserve">(especially </w:t>
      </w:r>
      <w:r w:rsidRPr="00211B39">
        <w:rPr>
          <w:rFonts w:cs="Times New Roman"/>
          <w:w w:val="95"/>
          <w:sz w:val="24"/>
          <w:szCs w:val="24"/>
        </w:rPr>
        <w:t>with built in escalation and an attaching spouse’s death in retirement pension</w:t>
      </w:r>
      <w:r w:rsidR="002A1F12" w:rsidRPr="00211B39">
        <w:rPr>
          <w:rFonts w:cs="Times New Roman"/>
          <w:w w:val="95"/>
          <w:sz w:val="24"/>
          <w:szCs w:val="24"/>
        </w:rPr>
        <w:t>)</w:t>
      </w:r>
      <w:r w:rsidRPr="00211B39">
        <w:rPr>
          <w:rFonts w:cs="Times New Roman"/>
          <w:w w:val="95"/>
          <w:sz w:val="24"/>
          <w:szCs w:val="24"/>
        </w:rPr>
        <w:t xml:space="preserve"> is attractive. For this reason, we recommend that an annuity option be retained. The registered provider </w:t>
      </w:r>
      <w:r w:rsidR="009E206F" w:rsidRPr="00211B39">
        <w:rPr>
          <w:rFonts w:cs="Times New Roman"/>
          <w:w w:val="95"/>
          <w:sz w:val="24"/>
          <w:szCs w:val="24"/>
        </w:rPr>
        <w:t xml:space="preserve">at the point of retirement </w:t>
      </w:r>
      <w:r w:rsidRPr="00211B39">
        <w:rPr>
          <w:rFonts w:cs="Times New Roman"/>
          <w:w w:val="95"/>
          <w:sz w:val="24"/>
          <w:szCs w:val="24"/>
        </w:rPr>
        <w:t xml:space="preserve">is best placed to provide this option and </w:t>
      </w:r>
      <w:r w:rsidR="009E206F" w:rsidRPr="00211B39">
        <w:rPr>
          <w:rFonts w:cs="Times New Roman"/>
          <w:w w:val="95"/>
          <w:sz w:val="24"/>
          <w:szCs w:val="24"/>
        </w:rPr>
        <w:t>this requirement and the associated costs</w:t>
      </w:r>
      <w:r w:rsidRPr="00211B39">
        <w:rPr>
          <w:rFonts w:cs="Times New Roman"/>
          <w:w w:val="95"/>
          <w:sz w:val="24"/>
          <w:szCs w:val="24"/>
        </w:rPr>
        <w:t xml:space="preserve"> can be stipulated in the tendering process.</w:t>
      </w:r>
      <w:r w:rsidR="009E206F" w:rsidRPr="00211B39">
        <w:rPr>
          <w:rFonts w:cs="Times New Roman"/>
          <w:w w:val="95"/>
          <w:sz w:val="24"/>
          <w:szCs w:val="24"/>
        </w:rPr>
        <w:t xml:space="preserve"> Of course, many </w:t>
      </w:r>
      <w:r w:rsidR="00D16F39" w:rsidRPr="00211B39">
        <w:rPr>
          <w:rFonts w:cs="Times New Roman"/>
          <w:w w:val="95"/>
          <w:sz w:val="24"/>
          <w:szCs w:val="24"/>
        </w:rPr>
        <w:t xml:space="preserve">individuals </w:t>
      </w:r>
      <w:r w:rsidR="009E206F" w:rsidRPr="00211B39">
        <w:rPr>
          <w:rFonts w:cs="Times New Roman"/>
          <w:w w:val="95"/>
          <w:sz w:val="24"/>
          <w:szCs w:val="24"/>
        </w:rPr>
        <w:t>will be unable or unwilling to make decisions about escalation and survivor pensions. This suggests that a standard approach be taken where a simple retirement statement lists four options</w:t>
      </w:r>
      <w:r w:rsidR="009E206F" w:rsidRPr="00211B39">
        <w:rPr>
          <w:rStyle w:val="FootnoteReference"/>
          <w:rFonts w:cs="Times New Roman"/>
          <w:w w:val="95"/>
          <w:sz w:val="24"/>
          <w:szCs w:val="24"/>
        </w:rPr>
        <w:footnoteReference w:id="20"/>
      </w:r>
      <w:r w:rsidR="009E206F" w:rsidRPr="00211B39">
        <w:rPr>
          <w:rFonts w:cs="Times New Roman"/>
          <w:w w:val="95"/>
          <w:sz w:val="24"/>
          <w:szCs w:val="24"/>
        </w:rPr>
        <w:t>, and the annual pension each will produce. In the event of a single life option being taken, a minimum guarantee period should be incorporated which can be paid as a lump sum, as is usual in occupational pensions.</w:t>
      </w:r>
      <w:r w:rsidR="002A1F12" w:rsidRPr="00211B39">
        <w:rPr>
          <w:rFonts w:cs="Times New Roman"/>
          <w:w w:val="95"/>
          <w:sz w:val="24"/>
          <w:szCs w:val="24"/>
        </w:rPr>
        <w:t xml:space="preserve"> How best to ensure a competitive annuity market that serves those exiting AE well must be part of the design deliberations.</w:t>
      </w:r>
    </w:p>
    <w:p w:rsidR="009E206F" w:rsidRPr="00211B39" w:rsidRDefault="009E206F" w:rsidP="00211B39">
      <w:pPr>
        <w:spacing w:line="240" w:lineRule="auto"/>
        <w:rPr>
          <w:rFonts w:cs="Times New Roman"/>
          <w:w w:val="95"/>
          <w:sz w:val="24"/>
          <w:szCs w:val="24"/>
        </w:rPr>
      </w:pPr>
      <w:r w:rsidRPr="00211B39">
        <w:rPr>
          <w:rFonts w:cs="Times New Roman"/>
          <w:w w:val="95"/>
          <w:sz w:val="24"/>
          <w:szCs w:val="24"/>
        </w:rPr>
        <w:t xml:space="preserve">The ARF option is the opposite of the annuity. The logic of periodic draw-downs is appealing, but the longevity risk is unattractive. </w:t>
      </w:r>
      <w:r w:rsidR="002A1F12" w:rsidRPr="00211B39">
        <w:rPr>
          <w:rFonts w:cs="Times New Roman"/>
          <w:w w:val="95"/>
          <w:sz w:val="24"/>
          <w:szCs w:val="24"/>
        </w:rPr>
        <w:t>T</w:t>
      </w:r>
      <w:r w:rsidRPr="00211B39">
        <w:rPr>
          <w:rFonts w:cs="Times New Roman"/>
          <w:w w:val="95"/>
          <w:sz w:val="24"/>
          <w:szCs w:val="24"/>
        </w:rPr>
        <w:t>he current ARF regime which requires some level of annuitisation (incorporating the state pension) and taxed draw-downs is a relatively easy conc</w:t>
      </w:r>
      <w:r w:rsidR="00D16F39" w:rsidRPr="00211B39">
        <w:rPr>
          <w:rFonts w:cs="Times New Roman"/>
          <w:w w:val="95"/>
          <w:sz w:val="24"/>
          <w:szCs w:val="24"/>
        </w:rPr>
        <w:t xml:space="preserve">ept to understand, and explain. We have two concerns which make us reluctant to recommend the extension of the ARF option into AE, despite our desire to see harmonisation between the two private pension regimes. </w:t>
      </w:r>
      <w:r w:rsidR="00910405" w:rsidRPr="00211B39">
        <w:rPr>
          <w:rFonts w:cs="Times New Roman"/>
          <w:w w:val="95"/>
          <w:sz w:val="24"/>
          <w:szCs w:val="24"/>
        </w:rPr>
        <w:t>Firstly, t</w:t>
      </w:r>
      <w:r w:rsidR="00D16F39" w:rsidRPr="00211B39">
        <w:rPr>
          <w:rFonts w:cs="Times New Roman"/>
          <w:w w:val="95"/>
          <w:sz w:val="24"/>
          <w:szCs w:val="24"/>
        </w:rPr>
        <w:t xml:space="preserve">he lack of regulation around ARFs, and the Pensions Authority’s concerns on this point </w:t>
      </w:r>
      <w:r w:rsidR="00910405" w:rsidRPr="00211B39">
        <w:rPr>
          <w:rFonts w:cs="Times New Roman"/>
          <w:w w:val="95"/>
          <w:sz w:val="24"/>
          <w:szCs w:val="24"/>
        </w:rPr>
        <w:t xml:space="preserve">as well as the Pensions Council’s research </w:t>
      </w:r>
      <w:r w:rsidR="00D16F39" w:rsidRPr="00211B39">
        <w:rPr>
          <w:rFonts w:cs="Times New Roman"/>
          <w:w w:val="95"/>
          <w:sz w:val="24"/>
          <w:szCs w:val="24"/>
        </w:rPr>
        <w:t>on the level of fees</w:t>
      </w:r>
      <w:r w:rsidR="00910405" w:rsidRPr="00211B39">
        <w:rPr>
          <w:rFonts w:cs="Times New Roman"/>
          <w:w w:val="95"/>
          <w:sz w:val="24"/>
          <w:szCs w:val="24"/>
        </w:rPr>
        <w:t>, indicate that ARFs are not in the best interests of consumers</w:t>
      </w:r>
      <w:r w:rsidR="00910405" w:rsidRPr="00211B39">
        <w:rPr>
          <w:rStyle w:val="FootnoteReference"/>
          <w:rFonts w:cs="Times New Roman"/>
          <w:w w:val="95"/>
          <w:sz w:val="24"/>
          <w:szCs w:val="24"/>
        </w:rPr>
        <w:footnoteReference w:id="21"/>
      </w:r>
      <w:r w:rsidR="00910405" w:rsidRPr="00211B39">
        <w:rPr>
          <w:rFonts w:cs="Times New Roman"/>
          <w:w w:val="95"/>
          <w:sz w:val="24"/>
          <w:szCs w:val="24"/>
        </w:rPr>
        <w:t>. Secondly, the distinction between AMRF’s and ARFs is hard to grasp and increases in the state pension can require AMRFs to convert to ARFs exposing the holder to an unexpected tax liability on a notional draw-down. We believe that the TFLS option gives the AE member the ‘nest egg’ that an ARF constitutes, forms part of the estate on death, and most importantly removes the layers of complexity that ARFs introduce to pensions.</w:t>
      </w:r>
    </w:p>
    <w:p w:rsidR="00D16F39" w:rsidRPr="00211B39" w:rsidRDefault="00910405" w:rsidP="00211B39">
      <w:pPr>
        <w:spacing w:line="240" w:lineRule="auto"/>
        <w:rPr>
          <w:rFonts w:cs="Times New Roman"/>
          <w:w w:val="95"/>
          <w:sz w:val="24"/>
          <w:szCs w:val="24"/>
        </w:rPr>
      </w:pPr>
      <w:r w:rsidRPr="00211B39">
        <w:rPr>
          <w:rFonts w:cs="Times New Roman"/>
          <w:w w:val="95"/>
          <w:sz w:val="24"/>
          <w:szCs w:val="24"/>
        </w:rPr>
        <w:t>Regardless of the eventual AE draw-down design, t</w:t>
      </w:r>
      <w:r w:rsidR="00D16F39" w:rsidRPr="00211B39">
        <w:rPr>
          <w:rFonts w:cs="Times New Roman"/>
          <w:w w:val="95"/>
          <w:sz w:val="24"/>
          <w:szCs w:val="24"/>
        </w:rPr>
        <w:t xml:space="preserve">o make an informed choice, an individual will need to have information to hand on both their state and private pension entitlements, and a dedicated </w:t>
      </w:r>
      <w:r w:rsidR="002C19FD">
        <w:rPr>
          <w:rFonts w:cs="Times New Roman"/>
          <w:w w:val="95"/>
          <w:sz w:val="24"/>
          <w:szCs w:val="24"/>
        </w:rPr>
        <w:t>well-</w:t>
      </w:r>
      <w:r w:rsidR="002C19FD" w:rsidRPr="00211B39">
        <w:rPr>
          <w:rFonts w:cs="Times New Roman"/>
          <w:w w:val="95"/>
          <w:sz w:val="24"/>
          <w:szCs w:val="24"/>
        </w:rPr>
        <w:t>resourced</w:t>
      </w:r>
      <w:r w:rsidRPr="00211B39">
        <w:rPr>
          <w:rFonts w:cs="Times New Roman"/>
          <w:w w:val="95"/>
          <w:sz w:val="24"/>
          <w:szCs w:val="24"/>
        </w:rPr>
        <w:t xml:space="preserve"> and informed </w:t>
      </w:r>
      <w:r w:rsidR="00D16F39" w:rsidRPr="00211B39">
        <w:rPr>
          <w:rFonts w:cs="Times New Roman"/>
          <w:w w:val="95"/>
          <w:sz w:val="24"/>
          <w:szCs w:val="24"/>
        </w:rPr>
        <w:t>service to help them interpret the information they are given.</w:t>
      </w:r>
    </w:p>
    <w:p w:rsidR="006E1EEC" w:rsidRPr="00112DE0" w:rsidRDefault="004D3AA4" w:rsidP="00211B39">
      <w:pPr>
        <w:pStyle w:val="ListParagraph"/>
        <w:numPr>
          <w:ilvl w:val="0"/>
          <w:numId w:val="10"/>
        </w:numPr>
        <w:spacing w:line="240" w:lineRule="auto"/>
        <w:rPr>
          <w:rFonts w:cs="Times New Roman"/>
          <w:b/>
          <w:w w:val="95"/>
          <w:sz w:val="24"/>
          <w:szCs w:val="24"/>
        </w:rPr>
      </w:pPr>
      <w:r w:rsidRPr="00112DE0">
        <w:rPr>
          <w:rFonts w:cs="Times New Roman"/>
          <w:b/>
          <w:w w:val="95"/>
          <w:sz w:val="24"/>
          <w:szCs w:val="24"/>
        </w:rPr>
        <w:t xml:space="preserve">Spouses </w:t>
      </w:r>
    </w:p>
    <w:p w:rsidR="00BA2D91" w:rsidRDefault="009E206F" w:rsidP="00211B39">
      <w:pPr>
        <w:spacing w:line="240" w:lineRule="auto"/>
        <w:rPr>
          <w:rFonts w:cs="Times New Roman"/>
          <w:w w:val="95"/>
          <w:sz w:val="24"/>
          <w:szCs w:val="24"/>
        </w:rPr>
      </w:pPr>
      <w:r w:rsidRPr="00211B39">
        <w:rPr>
          <w:rFonts w:cs="Times New Roman"/>
          <w:w w:val="95"/>
          <w:sz w:val="24"/>
          <w:szCs w:val="24"/>
        </w:rPr>
        <w:t>Although n</w:t>
      </w:r>
      <w:r w:rsidR="004B4FE3" w:rsidRPr="00211B39">
        <w:rPr>
          <w:rFonts w:cs="Times New Roman"/>
          <w:w w:val="95"/>
          <w:sz w:val="24"/>
          <w:szCs w:val="24"/>
        </w:rPr>
        <w:t>ot specifically covered in the Strawman</w:t>
      </w:r>
      <w:r w:rsidRPr="00211B39">
        <w:rPr>
          <w:rFonts w:cs="Times New Roman"/>
          <w:w w:val="95"/>
          <w:sz w:val="24"/>
          <w:szCs w:val="24"/>
        </w:rPr>
        <w:t xml:space="preserve"> </w:t>
      </w:r>
      <w:r w:rsidR="004B4FE3" w:rsidRPr="00211B39">
        <w:rPr>
          <w:rFonts w:cs="Times New Roman"/>
          <w:w w:val="95"/>
          <w:sz w:val="24"/>
          <w:szCs w:val="24"/>
        </w:rPr>
        <w:t>D</w:t>
      </w:r>
      <w:r w:rsidRPr="00211B39">
        <w:rPr>
          <w:rFonts w:cs="Times New Roman"/>
          <w:w w:val="95"/>
          <w:sz w:val="24"/>
          <w:szCs w:val="24"/>
        </w:rPr>
        <w:t xml:space="preserve">ocument, we wish to </w:t>
      </w:r>
      <w:r w:rsidR="00112DE0">
        <w:rPr>
          <w:rFonts w:cs="Times New Roman"/>
          <w:w w:val="95"/>
          <w:sz w:val="24"/>
          <w:szCs w:val="24"/>
        </w:rPr>
        <w:t xml:space="preserve">draw </w:t>
      </w:r>
      <w:r w:rsidRPr="00211B39">
        <w:rPr>
          <w:rFonts w:cs="Times New Roman"/>
          <w:w w:val="95"/>
          <w:sz w:val="24"/>
          <w:szCs w:val="24"/>
        </w:rPr>
        <w:t xml:space="preserve">attention to the spouses of </w:t>
      </w:r>
      <w:r w:rsidR="00EC2E27" w:rsidRPr="00211B39">
        <w:rPr>
          <w:rFonts w:cs="Times New Roman"/>
          <w:w w:val="95"/>
          <w:sz w:val="24"/>
          <w:szCs w:val="24"/>
        </w:rPr>
        <w:t xml:space="preserve">AE members. </w:t>
      </w:r>
      <w:r w:rsidR="004D3AA4" w:rsidRPr="00211B39">
        <w:rPr>
          <w:rFonts w:cs="Times New Roman"/>
          <w:w w:val="95"/>
          <w:sz w:val="24"/>
          <w:szCs w:val="24"/>
        </w:rPr>
        <w:t xml:space="preserve">The male breadwinner model is still a relevant family model in Ireland, meaning that </w:t>
      </w:r>
      <w:r w:rsidR="005A2A96">
        <w:rPr>
          <w:rFonts w:cs="Times New Roman"/>
          <w:w w:val="95"/>
          <w:sz w:val="24"/>
          <w:szCs w:val="24"/>
        </w:rPr>
        <w:t xml:space="preserve">many </w:t>
      </w:r>
      <w:r w:rsidR="00EC2E27" w:rsidRPr="00211B39">
        <w:rPr>
          <w:rFonts w:cs="Times New Roman"/>
          <w:w w:val="95"/>
          <w:sz w:val="24"/>
          <w:szCs w:val="24"/>
        </w:rPr>
        <w:t>older women rely to various degrees on their husband’s pension</w:t>
      </w:r>
      <w:r w:rsidR="004D3AA4" w:rsidRPr="00211B39">
        <w:rPr>
          <w:rFonts w:cs="Times New Roman"/>
          <w:w w:val="95"/>
          <w:sz w:val="24"/>
          <w:szCs w:val="24"/>
        </w:rPr>
        <w:t xml:space="preserve">. Defined benefit occupational pensions often provide for beneficiaries by way of a spouses’ death in retirement pension, and this can also be an option in defined contribution occupational schemes. </w:t>
      </w:r>
      <w:r w:rsidR="00EC2E27" w:rsidRPr="00211B39">
        <w:rPr>
          <w:rFonts w:cs="Times New Roman"/>
          <w:w w:val="95"/>
          <w:sz w:val="24"/>
          <w:szCs w:val="24"/>
        </w:rPr>
        <w:t xml:space="preserve">For this reason we have referred to joint life options in annuities in the preceding paragraph to flag that the draw-down phase needs to account for surviving spouses. </w:t>
      </w:r>
      <w:r w:rsidR="004D3AA4" w:rsidRPr="00211B39">
        <w:rPr>
          <w:rFonts w:cs="Times New Roman"/>
          <w:w w:val="95"/>
          <w:sz w:val="24"/>
          <w:szCs w:val="24"/>
        </w:rPr>
        <w:t xml:space="preserve">Pension adjustment orders </w:t>
      </w:r>
      <w:r w:rsidR="00EC2E27" w:rsidRPr="00211B39">
        <w:rPr>
          <w:rFonts w:cs="Times New Roman"/>
          <w:w w:val="95"/>
          <w:sz w:val="24"/>
          <w:szCs w:val="24"/>
        </w:rPr>
        <w:t xml:space="preserve">(PAO) </w:t>
      </w:r>
      <w:r w:rsidR="004D3AA4" w:rsidRPr="00211B39">
        <w:rPr>
          <w:rFonts w:cs="Times New Roman"/>
          <w:w w:val="95"/>
          <w:sz w:val="24"/>
          <w:szCs w:val="24"/>
        </w:rPr>
        <w:t xml:space="preserve">are another protection for </w:t>
      </w:r>
      <w:r w:rsidR="00EC2E27" w:rsidRPr="00211B39">
        <w:rPr>
          <w:rFonts w:cs="Times New Roman"/>
          <w:w w:val="95"/>
          <w:sz w:val="24"/>
          <w:szCs w:val="24"/>
        </w:rPr>
        <w:t>spouses in cases of divorce or judicial separation. We strongly recommend that PAO orders equally apply to benefits accruing in AE.</w:t>
      </w:r>
    </w:p>
    <w:p w:rsidR="005A2A96" w:rsidRDefault="005A2A96" w:rsidP="005A2A96">
      <w:pPr>
        <w:pStyle w:val="ListParagraph"/>
        <w:rPr>
          <w:b/>
          <w:sz w:val="24"/>
          <w:szCs w:val="24"/>
        </w:rPr>
      </w:pPr>
    </w:p>
    <w:p w:rsidR="005A2A96" w:rsidRDefault="005A2A96" w:rsidP="005A2A96">
      <w:pPr>
        <w:pStyle w:val="ListParagraph"/>
        <w:rPr>
          <w:b/>
          <w:sz w:val="24"/>
          <w:szCs w:val="24"/>
        </w:rPr>
      </w:pPr>
    </w:p>
    <w:p w:rsidR="00112DE0" w:rsidRPr="005A2A96" w:rsidRDefault="00112DE0" w:rsidP="005A2A96">
      <w:pPr>
        <w:pStyle w:val="ListParagraph"/>
        <w:numPr>
          <w:ilvl w:val="0"/>
          <w:numId w:val="10"/>
        </w:numPr>
        <w:rPr>
          <w:b/>
          <w:sz w:val="24"/>
          <w:szCs w:val="24"/>
        </w:rPr>
      </w:pPr>
      <w:r w:rsidRPr="005A2A96">
        <w:rPr>
          <w:b/>
          <w:sz w:val="24"/>
          <w:szCs w:val="24"/>
        </w:rPr>
        <w:t>Interaction between AE in Ireland, and means tested benefits</w:t>
      </w:r>
    </w:p>
    <w:p w:rsidR="00984235" w:rsidRPr="00E47DE4" w:rsidRDefault="00984235" w:rsidP="00984235">
      <w:pPr>
        <w:spacing w:line="240" w:lineRule="auto"/>
        <w:rPr>
          <w:sz w:val="24"/>
          <w:szCs w:val="24"/>
        </w:rPr>
      </w:pPr>
      <w:r w:rsidRPr="00984235">
        <w:rPr>
          <w:sz w:val="24"/>
          <w:szCs w:val="24"/>
        </w:rPr>
        <w:t>We highlight the absence in the Strawman Document of attention to the interaction between AE and means-tested benefits. Our focus in making this observation is on the challenges for individuals and families on low income. There are two facets to the interaction between AE and means-testing: the contributions to AE and the benefits emanating from AE at retirement. There is understandably a concern among people about any policy change which impacts entitlements to means-tested benefits. The emphasis around AE needs to be weighted towards adequacy rather than coverage, and with a clear communication plan to assuage fears that AE will disqualify people from future state means-tested benefits.</w:t>
      </w:r>
      <w:r>
        <w:rPr>
          <w:sz w:val="24"/>
          <w:szCs w:val="24"/>
        </w:rPr>
        <w:t xml:space="preserve"> Once levels of </w:t>
      </w:r>
      <w:r w:rsidR="005A2A96">
        <w:rPr>
          <w:sz w:val="24"/>
          <w:szCs w:val="24"/>
        </w:rPr>
        <w:t xml:space="preserve">projected </w:t>
      </w:r>
      <w:r>
        <w:rPr>
          <w:sz w:val="24"/>
          <w:szCs w:val="24"/>
        </w:rPr>
        <w:t>benefits emerging from AE for different cohorts becomes clear, the impact on eligibility for means-tested benefits should be analysed and addressed if patterns of adverse experience are</w:t>
      </w:r>
      <w:r w:rsidR="005A2A96">
        <w:rPr>
          <w:sz w:val="24"/>
          <w:szCs w:val="24"/>
        </w:rPr>
        <w:t xml:space="preserve"> likely</w:t>
      </w:r>
      <w:r>
        <w:rPr>
          <w:sz w:val="24"/>
          <w:szCs w:val="24"/>
        </w:rPr>
        <w:t xml:space="preserve">. This commitment could be included as a term of reference in a required periodic review of AE. </w:t>
      </w:r>
    </w:p>
    <w:p w:rsidR="00984235" w:rsidRPr="00984235" w:rsidRDefault="00984235" w:rsidP="00984235">
      <w:pPr>
        <w:spacing w:line="240" w:lineRule="auto"/>
        <w:rPr>
          <w:sz w:val="24"/>
          <w:szCs w:val="24"/>
        </w:rPr>
      </w:pPr>
    </w:p>
    <w:p w:rsidR="00984235" w:rsidRPr="00984235" w:rsidRDefault="00984235" w:rsidP="00984235">
      <w:pPr>
        <w:spacing w:line="240" w:lineRule="auto"/>
        <w:rPr>
          <w:sz w:val="24"/>
          <w:szCs w:val="24"/>
        </w:rPr>
      </w:pPr>
    </w:p>
    <w:p w:rsidR="00984235" w:rsidRPr="00984235" w:rsidRDefault="00984235" w:rsidP="00984235">
      <w:pPr>
        <w:spacing w:line="240" w:lineRule="auto"/>
        <w:rPr>
          <w:sz w:val="24"/>
          <w:szCs w:val="24"/>
        </w:rPr>
      </w:pPr>
    </w:p>
    <w:p w:rsidR="00112DE0" w:rsidRPr="00112DE0" w:rsidRDefault="00112DE0" w:rsidP="00112DE0">
      <w:pPr>
        <w:pStyle w:val="ListParagraph"/>
        <w:spacing w:line="240" w:lineRule="auto"/>
        <w:rPr>
          <w:rFonts w:cs="Times New Roman"/>
          <w:w w:val="95"/>
          <w:sz w:val="24"/>
          <w:szCs w:val="24"/>
        </w:rPr>
      </w:pPr>
    </w:p>
    <w:sectPr w:rsidR="00112DE0" w:rsidRPr="00112DE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BB6" w:rsidRDefault="00E46BB6" w:rsidP="00A861CD">
      <w:pPr>
        <w:spacing w:after="0" w:line="240" w:lineRule="auto"/>
      </w:pPr>
      <w:r>
        <w:separator/>
      </w:r>
    </w:p>
  </w:endnote>
  <w:endnote w:type="continuationSeparator" w:id="0">
    <w:p w:rsidR="00E46BB6" w:rsidRDefault="00E46BB6" w:rsidP="00A8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ato">
    <w:altName w:val="Lato"/>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354037"/>
      <w:docPartObj>
        <w:docPartGallery w:val="Page Numbers (Bottom of Page)"/>
        <w:docPartUnique/>
      </w:docPartObj>
    </w:sdtPr>
    <w:sdtEndPr>
      <w:rPr>
        <w:noProof/>
      </w:rPr>
    </w:sdtEndPr>
    <w:sdtContent>
      <w:p w:rsidR="008B56B1" w:rsidRDefault="008B56B1">
        <w:pPr>
          <w:pStyle w:val="Footer"/>
          <w:jc w:val="center"/>
        </w:pPr>
        <w:r>
          <w:fldChar w:fldCharType="begin"/>
        </w:r>
        <w:r>
          <w:instrText xml:space="preserve"> PAGE   \* MERGEFORMAT </w:instrText>
        </w:r>
        <w:r>
          <w:fldChar w:fldCharType="separate"/>
        </w:r>
        <w:r w:rsidR="00FB5118">
          <w:rPr>
            <w:noProof/>
          </w:rPr>
          <w:t>1</w:t>
        </w:r>
        <w:r>
          <w:rPr>
            <w:noProof/>
          </w:rPr>
          <w:fldChar w:fldCharType="end"/>
        </w:r>
      </w:p>
    </w:sdtContent>
  </w:sdt>
  <w:p w:rsidR="008B56B1" w:rsidRDefault="008B5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BB6" w:rsidRDefault="00E46BB6" w:rsidP="00A861CD">
      <w:pPr>
        <w:spacing w:after="0" w:line="240" w:lineRule="auto"/>
      </w:pPr>
      <w:r>
        <w:separator/>
      </w:r>
    </w:p>
  </w:footnote>
  <w:footnote w:type="continuationSeparator" w:id="0">
    <w:p w:rsidR="00E46BB6" w:rsidRDefault="00E46BB6" w:rsidP="00A861CD">
      <w:pPr>
        <w:spacing w:after="0" w:line="240" w:lineRule="auto"/>
      </w:pPr>
      <w:r>
        <w:continuationSeparator/>
      </w:r>
    </w:p>
  </w:footnote>
  <w:footnote w:id="1">
    <w:p w:rsidR="00A861CD" w:rsidRPr="00B05196" w:rsidRDefault="00A861CD" w:rsidP="001C2D14">
      <w:pPr>
        <w:spacing w:line="240" w:lineRule="auto"/>
        <w:rPr>
          <w:sz w:val="20"/>
          <w:szCs w:val="20"/>
        </w:rPr>
      </w:pPr>
      <w:r>
        <w:rPr>
          <w:rStyle w:val="FootnoteReference"/>
        </w:rPr>
        <w:footnoteRef/>
      </w:r>
      <w:r>
        <w:t xml:space="preserve"> </w:t>
      </w:r>
      <w:r w:rsidRPr="001C2D14">
        <w:rPr>
          <w:sz w:val="20"/>
          <w:szCs w:val="20"/>
        </w:rPr>
        <w:t>In 2017 services addressed some 54,000 queries, specifically relating to the state contributory and non-contributory pensions, EU pension contributions and UK pensions.</w:t>
      </w:r>
      <w:r w:rsidR="009671FD" w:rsidRPr="001C2D14">
        <w:rPr>
          <w:sz w:val="20"/>
          <w:szCs w:val="20"/>
        </w:rPr>
        <w:t xml:space="preserve"> In the past year </w:t>
      </w:r>
      <w:r w:rsidR="00B05196">
        <w:rPr>
          <w:sz w:val="20"/>
          <w:szCs w:val="20"/>
        </w:rPr>
        <w:t xml:space="preserve"> </w:t>
      </w:r>
      <w:r w:rsidR="009671FD" w:rsidRPr="001C2D14">
        <w:rPr>
          <w:sz w:val="20"/>
          <w:szCs w:val="20"/>
        </w:rPr>
        <w:t>664,197 page views of total citizensinformation.ie website traffic  </w:t>
      </w:r>
      <w:r w:rsidR="001C2D14" w:rsidRPr="001C2D14">
        <w:rPr>
          <w:sz w:val="20"/>
          <w:szCs w:val="20"/>
        </w:rPr>
        <w:t>related  to state pension entitlements for older and r</w:t>
      </w:r>
      <w:r w:rsidR="009671FD" w:rsidRPr="001C2D14">
        <w:rPr>
          <w:sz w:val="20"/>
          <w:szCs w:val="20"/>
        </w:rPr>
        <w:t xml:space="preserve">etired people </w:t>
      </w:r>
      <w:r w:rsidR="003728D9" w:rsidRPr="001C2D14">
        <w:rPr>
          <w:sz w:val="20"/>
          <w:szCs w:val="20"/>
        </w:rPr>
        <w:t xml:space="preserve">with a further 145,825 page views </w:t>
      </w:r>
      <w:r w:rsidR="001C2D14" w:rsidRPr="001C2D14">
        <w:rPr>
          <w:sz w:val="20"/>
          <w:szCs w:val="20"/>
        </w:rPr>
        <w:t xml:space="preserve">directed to </w:t>
      </w:r>
      <w:r w:rsidR="001C2D14">
        <w:rPr>
          <w:sz w:val="20"/>
          <w:szCs w:val="20"/>
        </w:rPr>
        <w:t xml:space="preserve">the occupational and private </w:t>
      </w:r>
      <w:r w:rsidR="001C2D14" w:rsidRPr="001C2D14">
        <w:rPr>
          <w:sz w:val="20"/>
          <w:szCs w:val="20"/>
        </w:rPr>
        <w:t>p</w:t>
      </w:r>
      <w:r w:rsidR="003728D9" w:rsidRPr="001C2D14">
        <w:rPr>
          <w:sz w:val="20"/>
          <w:szCs w:val="20"/>
        </w:rPr>
        <w:t>ensions section of the website.</w:t>
      </w:r>
      <w:hyperlink r:id="rId1" w:history="1">
        <w:r w:rsidR="00B05196" w:rsidRPr="00B05196">
          <w:rPr>
            <w:rStyle w:val="Hyperlink"/>
            <w:sz w:val="20"/>
            <w:szCs w:val="20"/>
          </w:rPr>
          <w:t>http://www.citizensinformation.ie/en/social_welfare/social_welfare_payments/older_and_retired_people/</w:t>
        </w:r>
      </w:hyperlink>
      <w:r w:rsidR="00B05196">
        <w:rPr>
          <w:color w:val="1F497D"/>
          <w:sz w:val="20"/>
          <w:szCs w:val="20"/>
        </w:rPr>
        <w:t xml:space="preserve"> </w:t>
      </w:r>
      <w:hyperlink r:id="rId2" w:history="1">
        <w:r w:rsidR="00B05196" w:rsidRPr="00AC32B0">
          <w:rPr>
            <w:rStyle w:val="Hyperlink"/>
            <w:sz w:val="20"/>
            <w:szCs w:val="20"/>
          </w:rPr>
          <w:t>http://www.citizensinformation.ie/en/money_and_tax/personal_finance/pensions/</w:t>
        </w:r>
      </w:hyperlink>
    </w:p>
  </w:footnote>
  <w:footnote w:id="2">
    <w:p w:rsidR="00BA5574" w:rsidRDefault="00BA5574">
      <w:pPr>
        <w:pStyle w:val="FootnoteText"/>
      </w:pPr>
      <w:r>
        <w:rPr>
          <w:rStyle w:val="FootnoteReference"/>
        </w:rPr>
        <w:footnoteRef/>
      </w:r>
      <w:r>
        <w:t xml:space="preserve"> Department of Employment Affairs and Social Protection, 2018.</w:t>
      </w:r>
    </w:p>
  </w:footnote>
  <w:footnote w:id="3">
    <w:p w:rsidR="003D0C17" w:rsidRDefault="003D0C17">
      <w:pPr>
        <w:pStyle w:val="FootnoteText"/>
      </w:pPr>
      <w:r>
        <w:rPr>
          <w:rStyle w:val="FootnoteReference"/>
        </w:rPr>
        <w:footnoteRef/>
      </w:r>
      <w:r>
        <w:t xml:space="preserve"> It is not clear if this includes those with private pension savings, but who are saving at a rate below that required for adequate income in retirement.</w:t>
      </w:r>
    </w:p>
  </w:footnote>
  <w:footnote w:id="4">
    <w:p w:rsidR="00D53B1D" w:rsidRPr="005E5D2D" w:rsidRDefault="00D53B1D" w:rsidP="00D53B1D">
      <w:pPr>
        <w:pStyle w:val="FootnoteText"/>
      </w:pPr>
      <w:r>
        <w:rPr>
          <w:rStyle w:val="FootnoteReference"/>
        </w:rPr>
        <w:footnoteRef/>
      </w:r>
      <w:r>
        <w:t xml:space="preserve"> Department for Work &amp; Pensions (UK) 2017 </w:t>
      </w:r>
      <w:r>
        <w:rPr>
          <w:i/>
        </w:rPr>
        <w:t>Automatic Enrolment Review 2017: Maintaining the Momentum</w:t>
      </w:r>
      <w:r>
        <w:t>. P.75</w:t>
      </w:r>
    </w:p>
  </w:footnote>
  <w:footnote w:id="5">
    <w:p w:rsidR="00D53B1D" w:rsidRDefault="00D53B1D">
      <w:pPr>
        <w:pStyle w:val="FootnoteText"/>
      </w:pPr>
      <w:r>
        <w:rPr>
          <w:rStyle w:val="FootnoteReference"/>
        </w:rPr>
        <w:footnoteRef/>
      </w:r>
      <w:r>
        <w:t xml:space="preserve"> AE consultation fora 1</w:t>
      </w:r>
      <w:r w:rsidRPr="00D53B1D">
        <w:rPr>
          <w:vertAlign w:val="superscript"/>
        </w:rPr>
        <w:t>st</w:t>
      </w:r>
      <w:r>
        <w:t xml:space="preserve"> October 2018, Dublin.</w:t>
      </w:r>
    </w:p>
  </w:footnote>
  <w:footnote w:id="6">
    <w:p w:rsidR="008E4BC6" w:rsidRDefault="008E4BC6">
      <w:pPr>
        <w:pStyle w:val="FootnoteText"/>
      </w:pPr>
      <w:r>
        <w:rPr>
          <w:rStyle w:val="FootnoteReference"/>
        </w:rPr>
        <w:footnoteRef/>
      </w:r>
      <w:r>
        <w:t xml:space="preserve"> Pensions Authority 2018 Regulation of Defined Contribution Master Trusts.</w:t>
      </w:r>
    </w:p>
  </w:footnote>
  <w:footnote w:id="7">
    <w:p w:rsidR="00084921" w:rsidRDefault="00084921" w:rsidP="00084921">
      <w:pPr>
        <w:pStyle w:val="FootnoteText"/>
      </w:pPr>
      <w:r>
        <w:rPr>
          <w:rStyle w:val="FootnoteReference"/>
        </w:rPr>
        <w:footnoteRef/>
      </w:r>
      <w:r>
        <w:t xml:space="preserve"> We refer to the </w:t>
      </w:r>
      <w:r w:rsidRPr="006D10E0">
        <w:rPr>
          <w:i/>
        </w:rPr>
        <w:t>Securing Retirement Income</w:t>
      </w:r>
      <w:r>
        <w:t xml:space="preserve"> report in 1998</w:t>
      </w:r>
      <w:r w:rsidR="002D09D1">
        <w:t>,</w:t>
      </w:r>
      <w:r>
        <w:t xml:space="preserve"> which discussed fees in relation to the introduction of PRSAs, and the 2012 Report on Pension Charges in Ireland</w:t>
      </w:r>
      <w:r w:rsidR="009428C6">
        <w:t>,</w:t>
      </w:r>
      <w:r>
        <w:t xml:space="preserve"> which sought to understand the impact of charges.</w:t>
      </w:r>
    </w:p>
  </w:footnote>
  <w:footnote w:id="8">
    <w:p w:rsidR="00487B84" w:rsidRDefault="00487B84">
      <w:pPr>
        <w:pStyle w:val="FootnoteText"/>
      </w:pPr>
      <w:r>
        <w:rPr>
          <w:rStyle w:val="FootnoteReference"/>
        </w:rPr>
        <w:footnoteRef/>
      </w:r>
      <w:r>
        <w:t xml:space="preserve"> DEASP Statistical Information Report 2017</w:t>
      </w:r>
    </w:p>
  </w:footnote>
  <w:footnote w:id="9">
    <w:p w:rsidR="00C64539" w:rsidRDefault="00C64539">
      <w:pPr>
        <w:pStyle w:val="FootnoteText"/>
      </w:pPr>
      <w:r>
        <w:rPr>
          <w:rStyle w:val="FootnoteReference"/>
        </w:rPr>
        <w:footnoteRef/>
      </w:r>
      <w:r>
        <w:t xml:space="preserve"> CSO QNHS Pension Provision 2015</w:t>
      </w:r>
    </w:p>
  </w:footnote>
  <w:footnote w:id="10">
    <w:p w:rsidR="002D5877" w:rsidRDefault="002D5877">
      <w:pPr>
        <w:pStyle w:val="FootnoteText"/>
      </w:pPr>
      <w:r>
        <w:rPr>
          <w:rStyle w:val="FootnoteReference"/>
        </w:rPr>
        <w:footnoteRef/>
      </w:r>
      <w:r>
        <w:t xml:space="preserve"> Increases to just above the threshold from Jan ‘19</w:t>
      </w:r>
    </w:p>
  </w:footnote>
  <w:footnote w:id="11">
    <w:p w:rsidR="00C64539" w:rsidRDefault="00C64539">
      <w:pPr>
        <w:pStyle w:val="FootnoteText"/>
      </w:pPr>
      <w:r>
        <w:rPr>
          <w:rStyle w:val="FootnoteReference"/>
        </w:rPr>
        <w:footnoteRef/>
      </w:r>
      <w:r>
        <w:t xml:space="preserve"> CSO Earnings and Labour Costs Q1 2018 (final), Q2 2018 (preliminary findings)</w:t>
      </w:r>
    </w:p>
  </w:footnote>
  <w:footnote w:id="12">
    <w:p w:rsidR="009428C6" w:rsidRDefault="009428C6">
      <w:pPr>
        <w:pStyle w:val="FootnoteText"/>
      </w:pPr>
      <w:r>
        <w:rPr>
          <w:rStyle w:val="FootnoteReference"/>
        </w:rPr>
        <w:footnoteRef/>
      </w:r>
      <w:r>
        <w:t xml:space="preserve"> </w:t>
      </w:r>
      <w:bookmarkStart w:id="1" w:name="_ENREF_43"/>
      <w:r w:rsidRPr="009428C6">
        <w:rPr>
          <w:lang w:val="en-US"/>
        </w:rPr>
        <w:t xml:space="preserve">Trade Union Congress 2012, </w:t>
      </w:r>
      <w:r w:rsidRPr="009428C6">
        <w:rPr>
          <w:i/>
          <w:lang w:val="en-US"/>
        </w:rPr>
        <w:t>Over Half a Million Workers Could Miss out on Auto Enrol Next Year</w:t>
      </w:r>
      <w:r w:rsidRPr="009428C6">
        <w:rPr>
          <w:lang w:val="en-US"/>
        </w:rPr>
        <w:t>. Available at http://www.tuc.org.uk/economy/tuc-21515-f0.cfm</w:t>
      </w:r>
      <w:bookmarkEnd w:id="1"/>
      <w:r>
        <w:t>.</w:t>
      </w:r>
    </w:p>
  </w:footnote>
  <w:footnote w:id="13">
    <w:p w:rsidR="00350C7C" w:rsidRPr="00350C7C" w:rsidRDefault="00350C7C" w:rsidP="00350C7C">
      <w:pPr>
        <w:pStyle w:val="FootnoteText"/>
      </w:pPr>
      <w:r>
        <w:rPr>
          <w:rStyle w:val="FootnoteReference"/>
        </w:rPr>
        <w:footnoteRef/>
      </w:r>
      <w:r>
        <w:t xml:space="preserve"> </w:t>
      </w:r>
      <w:r w:rsidRPr="00350C7C">
        <w:t xml:space="preserve">Department of Work and Pensions 2017. </w:t>
      </w:r>
      <w:r w:rsidRPr="00350C7C">
        <w:rPr>
          <w:i/>
        </w:rPr>
        <w:t>Review of the Earnings Trigger and Qualifying Earnings Bands for 2018/2018: Supporting Analysis.</w:t>
      </w:r>
      <w:r w:rsidRPr="00350C7C">
        <w:t xml:space="preserve"> </w:t>
      </w:r>
    </w:p>
    <w:p w:rsidR="00350C7C" w:rsidRDefault="00350C7C">
      <w:pPr>
        <w:pStyle w:val="FootnoteText"/>
      </w:pPr>
    </w:p>
  </w:footnote>
  <w:footnote w:id="14">
    <w:p w:rsidR="0096302D" w:rsidRDefault="0096302D">
      <w:pPr>
        <w:pStyle w:val="FootnoteText"/>
      </w:pPr>
      <w:r>
        <w:rPr>
          <w:rStyle w:val="FootnoteReference"/>
        </w:rPr>
        <w:footnoteRef/>
      </w:r>
      <w:r>
        <w:t xml:space="preserve"> CSO QNHS Pension Provision 2015</w:t>
      </w:r>
    </w:p>
  </w:footnote>
  <w:footnote w:id="15">
    <w:p w:rsidR="007354B5" w:rsidRDefault="007354B5">
      <w:pPr>
        <w:pStyle w:val="FootnoteText"/>
      </w:pPr>
      <w:r>
        <w:rPr>
          <w:rStyle w:val="FootnoteReference"/>
        </w:rPr>
        <w:footnoteRef/>
      </w:r>
      <w:r>
        <w:t xml:space="preserve"> CSO QNHS Pension Provision 2015</w:t>
      </w:r>
    </w:p>
  </w:footnote>
  <w:footnote w:id="16">
    <w:p w:rsidR="003355FF" w:rsidRPr="003355FF" w:rsidRDefault="003355FF" w:rsidP="003355FF">
      <w:pPr>
        <w:spacing w:line="240" w:lineRule="auto"/>
        <w:rPr>
          <w:rFonts w:ascii="Calibri" w:hAnsi="Calibri"/>
          <w:sz w:val="24"/>
          <w:szCs w:val="24"/>
        </w:rPr>
      </w:pPr>
      <w:r>
        <w:rPr>
          <w:rStyle w:val="FootnoteReference"/>
        </w:rPr>
        <w:footnoteRef/>
      </w:r>
      <w:r>
        <w:t xml:space="preserve"> </w:t>
      </w:r>
      <w:r w:rsidRPr="003355FF">
        <w:rPr>
          <w:rFonts w:ascii="Calibri" w:hAnsi="Calibri"/>
          <w:sz w:val="20"/>
          <w:szCs w:val="20"/>
        </w:rPr>
        <w:t>The full employee contribution of 6 per cent could apply at the minimum wage, with those earning, say €1,000 below the minimum wage paying 5 per cent, down to a 1 per cent contribution for those earning €5,000 less than the minimum wage.</w:t>
      </w:r>
      <w:r w:rsidRPr="003355FF">
        <w:rPr>
          <w:rFonts w:ascii="Calibri" w:hAnsi="Calibri"/>
          <w:sz w:val="24"/>
          <w:szCs w:val="24"/>
        </w:rPr>
        <w:t xml:space="preserve"> </w:t>
      </w:r>
    </w:p>
  </w:footnote>
  <w:footnote w:id="17">
    <w:p w:rsidR="00F54A08" w:rsidRPr="00F54A08" w:rsidRDefault="00F54A08" w:rsidP="00F54A08">
      <w:pPr>
        <w:pStyle w:val="FootnoteText"/>
      </w:pPr>
      <w:r>
        <w:rPr>
          <w:rStyle w:val="FootnoteReference"/>
        </w:rPr>
        <w:footnoteRef/>
      </w:r>
      <w:r>
        <w:t xml:space="preserve"> </w:t>
      </w:r>
      <w:r w:rsidRPr="00F54A08">
        <w:t xml:space="preserve">Department of Finance 2009 </w:t>
      </w:r>
      <w:r w:rsidRPr="00F54A08">
        <w:rPr>
          <w:i/>
          <w:iCs/>
        </w:rPr>
        <w:t xml:space="preserve">Commission on Taxation Report. </w:t>
      </w:r>
    </w:p>
    <w:p w:rsidR="00F54A08" w:rsidRDefault="00F54A08" w:rsidP="00F54A08">
      <w:pPr>
        <w:pStyle w:val="FootnoteText"/>
      </w:pPr>
    </w:p>
  </w:footnote>
  <w:footnote w:id="18">
    <w:p w:rsidR="003F385E" w:rsidRDefault="003F385E">
      <w:pPr>
        <w:pStyle w:val="FootnoteText"/>
      </w:pPr>
      <w:r>
        <w:rPr>
          <w:rStyle w:val="FootnoteReference"/>
        </w:rPr>
        <w:footnoteRef/>
      </w:r>
      <w:r>
        <w:t xml:space="preserve"> M. Collins and G. Hughes 2017. </w:t>
      </w:r>
      <w:r w:rsidRPr="003F385E">
        <w:rPr>
          <w:i/>
          <w:iCs/>
        </w:rPr>
        <w:t>Supporting Pension Contributions Through the Tax System: Outcomes, Costs and Examining Reform</w:t>
      </w:r>
      <w:r w:rsidRPr="003F385E">
        <w:t>. The Economic and Social Review ( vol</w:t>
      </w:r>
      <w:r>
        <w:t>.</w:t>
      </w:r>
      <w:r w:rsidRPr="003F385E">
        <w:t xml:space="preserve"> 48, no 4).</w:t>
      </w:r>
    </w:p>
  </w:footnote>
  <w:footnote w:id="19">
    <w:p w:rsidR="00D82BBB" w:rsidRPr="00D82BBB" w:rsidRDefault="00D82BBB" w:rsidP="00D82BBB">
      <w:pPr>
        <w:pStyle w:val="FootnoteText"/>
      </w:pPr>
      <w:r>
        <w:rPr>
          <w:rStyle w:val="FootnoteReference"/>
        </w:rPr>
        <w:footnoteRef/>
      </w:r>
      <w:r>
        <w:t xml:space="preserve"> </w:t>
      </w:r>
      <w:r w:rsidRPr="00D82BBB">
        <w:t xml:space="preserve">Pensions Board. 1998. </w:t>
      </w:r>
      <w:r w:rsidRPr="00D82BBB">
        <w:rPr>
          <w:i/>
        </w:rPr>
        <w:t>Securing Retirement Income. National Pensions Policy Initiative</w:t>
      </w:r>
      <w:r w:rsidRPr="00D82BBB">
        <w:t>. Dublin: Pensions Board.</w:t>
      </w:r>
    </w:p>
    <w:p w:rsidR="00D82BBB" w:rsidRDefault="00D82BBB">
      <w:pPr>
        <w:pStyle w:val="FootnoteText"/>
      </w:pPr>
    </w:p>
  </w:footnote>
  <w:footnote w:id="20">
    <w:p w:rsidR="009E206F" w:rsidRDefault="009E206F">
      <w:pPr>
        <w:pStyle w:val="FootnoteText"/>
      </w:pPr>
      <w:r>
        <w:rPr>
          <w:rStyle w:val="FootnoteReference"/>
        </w:rPr>
        <w:footnoteRef/>
      </w:r>
      <w:r>
        <w:t xml:space="preserve"> Single life pension, no escalation; single life pension escalation; joint life pension, no escalation; joint life pension escalation.</w:t>
      </w:r>
    </w:p>
  </w:footnote>
  <w:footnote w:id="21">
    <w:p w:rsidR="00910405" w:rsidRDefault="00910405">
      <w:pPr>
        <w:pStyle w:val="FootnoteText"/>
      </w:pPr>
      <w:r>
        <w:rPr>
          <w:rStyle w:val="FootnoteReference"/>
        </w:rPr>
        <w:footnoteRef/>
      </w:r>
      <w:r>
        <w:t xml:space="preserve"> As set out in the Department of Finance’s (2018) IDPRTG pension reform consultation paper.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2849"/>
    <w:multiLevelType w:val="hybridMultilevel"/>
    <w:tmpl w:val="BB542C3A"/>
    <w:lvl w:ilvl="0" w:tplc="CB447B3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39F6998"/>
    <w:multiLevelType w:val="hybridMultilevel"/>
    <w:tmpl w:val="67E08B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6573EF0"/>
    <w:multiLevelType w:val="hybridMultilevel"/>
    <w:tmpl w:val="F8461D82"/>
    <w:lvl w:ilvl="0" w:tplc="DE48F0A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8944FC4"/>
    <w:multiLevelType w:val="hybridMultilevel"/>
    <w:tmpl w:val="6360BF4A"/>
    <w:lvl w:ilvl="0" w:tplc="B588BFB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2D10CE6"/>
    <w:multiLevelType w:val="hybridMultilevel"/>
    <w:tmpl w:val="FEFCBD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9993371"/>
    <w:multiLevelType w:val="hybridMultilevel"/>
    <w:tmpl w:val="B9905B4E"/>
    <w:lvl w:ilvl="0" w:tplc="C83417C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7BB70AB"/>
    <w:multiLevelType w:val="hybridMultilevel"/>
    <w:tmpl w:val="E18898BA"/>
    <w:lvl w:ilvl="0" w:tplc="14A44D1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B962E76"/>
    <w:multiLevelType w:val="hybridMultilevel"/>
    <w:tmpl w:val="09FA2856"/>
    <w:lvl w:ilvl="0" w:tplc="D7AA2F6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FCC275A"/>
    <w:multiLevelType w:val="hybridMultilevel"/>
    <w:tmpl w:val="32EAC640"/>
    <w:lvl w:ilvl="0" w:tplc="653ACF2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53373FD"/>
    <w:multiLevelType w:val="hybridMultilevel"/>
    <w:tmpl w:val="294459D8"/>
    <w:lvl w:ilvl="0" w:tplc="72B886F0">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7912026B"/>
    <w:multiLevelType w:val="hybridMultilevel"/>
    <w:tmpl w:val="5B2C3024"/>
    <w:lvl w:ilvl="0" w:tplc="07F0FD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A1837E7"/>
    <w:multiLevelType w:val="hybridMultilevel"/>
    <w:tmpl w:val="A65699F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0"/>
  </w:num>
  <w:num w:numId="2">
    <w:abstractNumId w:val="4"/>
  </w:num>
  <w:num w:numId="3">
    <w:abstractNumId w:val="6"/>
  </w:num>
  <w:num w:numId="4">
    <w:abstractNumId w:val="5"/>
  </w:num>
  <w:num w:numId="5">
    <w:abstractNumId w:val="8"/>
  </w:num>
  <w:num w:numId="6">
    <w:abstractNumId w:val="9"/>
  </w:num>
  <w:num w:numId="7">
    <w:abstractNumId w:val="2"/>
  </w:num>
  <w:num w:numId="8">
    <w:abstractNumId w:val="0"/>
  </w:num>
  <w:num w:numId="9">
    <w:abstractNumId w:val="7"/>
  </w:num>
  <w:num w:numId="10">
    <w:abstractNumId w:val="3"/>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587"/>
    <w:rsid w:val="000717B1"/>
    <w:rsid w:val="00084921"/>
    <w:rsid w:val="001014EE"/>
    <w:rsid w:val="00102769"/>
    <w:rsid w:val="001047C6"/>
    <w:rsid w:val="001047DC"/>
    <w:rsid w:val="00112DE0"/>
    <w:rsid w:val="00126922"/>
    <w:rsid w:val="001400D8"/>
    <w:rsid w:val="00142D18"/>
    <w:rsid w:val="0015486E"/>
    <w:rsid w:val="0017038F"/>
    <w:rsid w:val="00196EC7"/>
    <w:rsid w:val="001C2D14"/>
    <w:rsid w:val="001D06AE"/>
    <w:rsid w:val="001D4D8C"/>
    <w:rsid w:val="00211B39"/>
    <w:rsid w:val="00225586"/>
    <w:rsid w:val="00226599"/>
    <w:rsid w:val="00227D65"/>
    <w:rsid w:val="0027586C"/>
    <w:rsid w:val="002A1F12"/>
    <w:rsid w:val="002C19FD"/>
    <w:rsid w:val="002C38B0"/>
    <w:rsid w:val="002D09D1"/>
    <w:rsid w:val="002D5877"/>
    <w:rsid w:val="002E2B65"/>
    <w:rsid w:val="002E3505"/>
    <w:rsid w:val="00305E37"/>
    <w:rsid w:val="003122DB"/>
    <w:rsid w:val="003355FF"/>
    <w:rsid w:val="00346F1B"/>
    <w:rsid w:val="003503AF"/>
    <w:rsid w:val="00350C7C"/>
    <w:rsid w:val="003728D9"/>
    <w:rsid w:val="003A62D7"/>
    <w:rsid w:val="003D0C17"/>
    <w:rsid w:val="003F385E"/>
    <w:rsid w:val="00456162"/>
    <w:rsid w:val="00462E78"/>
    <w:rsid w:val="00480C8B"/>
    <w:rsid w:val="00487B84"/>
    <w:rsid w:val="004B4FE3"/>
    <w:rsid w:val="004C0AE8"/>
    <w:rsid w:val="004D3AA4"/>
    <w:rsid w:val="00512BDA"/>
    <w:rsid w:val="00534B36"/>
    <w:rsid w:val="00557E4D"/>
    <w:rsid w:val="00572519"/>
    <w:rsid w:val="005A2A96"/>
    <w:rsid w:val="005B53DB"/>
    <w:rsid w:val="005D75AE"/>
    <w:rsid w:val="005E5D2D"/>
    <w:rsid w:val="0060158A"/>
    <w:rsid w:val="00627647"/>
    <w:rsid w:val="00672D92"/>
    <w:rsid w:val="006834D3"/>
    <w:rsid w:val="006B4718"/>
    <w:rsid w:val="006D10E0"/>
    <w:rsid w:val="006E1EEC"/>
    <w:rsid w:val="0070587D"/>
    <w:rsid w:val="0071062F"/>
    <w:rsid w:val="007354B5"/>
    <w:rsid w:val="0076119F"/>
    <w:rsid w:val="007B06CC"/>
    <w:rsid w:val="007D0A9F"/>
    <w:rsid w:val="008028FF"/>
    <w:rsid w:val="00806E0B"/>
    <w:rsid w:val="00817342"/>
    <w:rsid w:val="00827A39"/>
    <w:rsid w:val="008369E1"/>
    <w:rsid w:val="008828D9"/>
    <w:rsid w:val="008A2A99"/>
    <w:rsid w:val="008B56B1"/>
    <w:rsid w:val="008E4BC6"/>
    <w:rsid w:val="008F25BF"/>
    <w:rsid w:val="00910405"/>
    <w:rsid w:val="00922511"/>
    <w:rsid w:val="00930A86"/>
    <w:rsid w:val="0093118C"/>
    <w:rsid w:val="009428C6"/>
    <w:rsid w:val="0096302D"/>
    <w:rsid w:val="009671FD"/>
    <w:rsid w:val="00984235"/>
    <w:rsid w:val="009B6455"/>
    <w:rsid w:val="009E206F"/>
    <w:rsid w:val="009F03AF"/>
    <w:rsid w:val="009F1555"/>
    <w:rsid w:val="00A20242"/>
    <w:rsid w:val="00A366BE"/>
    <w:rsid w:val="00A70D90"/>
    <w:rsid w:val="00A861CD"/>
    <w:rsid w:val="00AA7E21"/>
    <w:rsid w:val="00AB270B"/>
    <w:rsid w:val="00B05196"/>
    <w:rsid w:val="00B06C04"/>
    <w:rsid w:val="00B4289F"/>
    <w:rsid w:val="00B43527"/>
    <w:rsid w:val="00B84DBD"/>
    <w:rsid w:val="00BA2D91"/>
    <w:rsid w:val="00BA5574"/>
    <w:rsid w:val="00C372D6"/>
    <w:rsid w:val="00C64539"/>
    <w:rsid w:val="00C92CFE"/>
    <w:rsid w:val="00CA688B"/>
    <w:rsid w:val="00CA6C79"/>
    <w:rsid w:val="00CC2D2A"/>
    <w:rsid w:val="00CC6E51"/>
    <w:rsid w:val="00CE2F75"/>
    <w:rsid w:val="00D16F39"/>
    <w:rsid w:val="00D53B1D"/>
    <w:rsid w:val="00D76195"/>
    <w:rsid w:val="00D82BBB"/>
    <w:rsid w:val="00E13B8C"/>
    <w:rsid w:val="00E43EC4"/>
    <w:rsid w:val="00E46BB6"/>
    <w:rsid w:val="00EA4AC9"/>
    <w:rsid w:val="00EB3419"/>
    <w:rsid w:val="00EC2E27"/>
    <w:rsid w:val="00EE2587"/>
    <w:rsid w:val="00EE4558"/>
    <w:rsid w:val="00F54A08"/>
    <w:rsid w:val="00F91B38"/>
    <w:rsid w:val="00FB5118"/>
    <w:rsid w:val="00FF2A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60651-0BF9-481B-9E2B-C968F0AE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61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61CD"/>
    <w:rPr>
      <w:sz w:val="20"/>
      <w:szCs w:val="20"/>
    </w:rPr>
  </w:style>
  <w:style w:type="character" w:styleId="FootnoteReference">
    <w:name w:val="footnote reference"/>
    <w:basedOn w:val="DefaultParagraphFont"/>
    <w:uiPriority w:val="99"/>
    <w:semiHidden/>
    <w:unhideWhenUsed/>
    <w:rsid w:val="00A861CD"/>
    <w:rPr>
      <w:vertAlign w:val="superscript"/>
    </w:rPr>
  </w:style>
  <w:style w:type="paragraph" w:styleId="ListParagraph">
    <w:name w:val="List Paragraph"/>
    <w:basedOn w:val="Normal"/>
    <w:uiPriority w:val="34"/>
    <w:qFormat/>
    <w:rsid w:val="00BA5574"/>
    <w:pPr>
      <w:ind w:left="720"/>
      <w:contextualSpacing/>
    </w:pPr>
  </w:style>
  <w:style w:type="paragraph" w:styleId="Header">
    <w:name w:val="header"/>
    <w:basedOn w:val="Normal"/>
    <w:link w:val="HeaderChar"/>
    <w:uiPriority w:val="99"/>
    <w:unhideWhenUsed/>
    <w:rsid w:val="008B5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6B1"/>
  </w:style>
  <w:style w:type="paragraph" w:styleId="Footer">
    <w:name w:val="footer"/>
    <w:basedOn w:val="Normal"/>
    <w:link w:val="FooterChar"/>
    <w:uiPriority w:val="99"/>
    <w:unhideWhenUsed/>
    <w:rsid w:val="008B5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6B1"/>
  </w:style>
  <w:style w:type="paragraph" w:styleId="BalloonText">
    <w:name w:val="Balloon Text"/>
    <w:basedOn w:val="Normal"/>
    <w:link w:val="BalloonTextChar"/>
    <w:uiPriority w:val="99"/>
    <w:semiHidden/>
    <w:unhideWhenUsed/>
    <w:rsid w:val="009B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455"/>
    <w:rPr>
      <w:rFonts w:ascii="Segoe UI" w:hAnsi="Segoe UI" w:cs="Segoe UI"/>
      <w:sz w:val="18"/>
      <w:szCs w:val="18"/>
    </w:rPr>
  </w:style>
  <w:style w:type="character" w:styleId="CommentReference">
    <w:name w:val="annotation reference"/>
    <w:basedOn w:val="DefaultParagraphFont"/>
    <w:uiPriority w:val="99"/>
    <w:semiHidden/>
    <w:unhideWhenUsed/>
    <w:rsid w:val="00B4289F"/>
    <w:rPr>
      <w:sz w:val="16"/>
      <w:szCs w:val="16"/>
    </w:rPr>
  </w:style>
  <w:style w:type="paragraph" w:styleId="CommentText">
    <w:name w:val="annotation text"/>
    <w:basedOn w:val="Normal"/>
    <w:link w:val="CommentTextChar"/>
    <w:uiPriority w:val="99"/>
    <w:semiHidden/>
    <w:unhideWhenUsed/>
    <w:rsid w:val="00B4289F"/>
    <w:pPr>
      <w:spacing w:line="240" w:lineRule="auto"/>
    </w:pPr>
    <w:rPr>
      <w:sz w:val="20"/>
      <w:szCs w:val="20"/>
    </w:rPr>
  </w:style>
  <w:style w:type="character" w:customStyle="1" w:styleId="CommentTextChar">
    <w:name w:val="Comment Text Char"/>
    <w:basedOn w:val="DefaultParagraphFont"/>
    <w:link w:val="CommentText"/>
    <w:uiPriority w:val="99"/>
    <w:semiHidden/>
    <w:rsid w:val="00B4289F"/>
    <w:rPr>
      <w:sz w:val="20"/>
      <w:szCs w:val="20"/>
    </w:rPr>
  </w:style>
  <w:style w:type="paragraph" w:styleId="CommentSubject">
    <w:name w:val="annotation subject"/>
    <w:basedOn w:val="CommentText"/>
    <w:next w:val="CommentText"/>
    <w:link w:val="CommentSubjectChar"/>
    <w:uiPriority w:val="99"/>
    <w:semiHidden/>
    <w:unhideWhenUsed/>
    <w:rsid w:val="00B4289F"/>
    <w:rPr>
      <w:b/>
      <w:bCs/>
    </w:rPr>
  </w:style>
  <w:style w:type="character" w:customStyle="1" w:styleId="CommentSubjectChar">
    <w:name w:val="Comment Subject Char"/>
    <w:basedOn w:val="CommentTextChar"/>
    <w:link w:val="CommentSubject"/>
    <w:uiPriority w:val="99"/>
    <w:semiHidden/>
    <w:rsid w:val="00B4289F"/>
    <w:rPr>
      <w:b/>
      <w:bCs/>
      <w:sz w:val="20"/>
      <w:szCs w:val="20"/>
    </w:rPr>
  </w:style>
  <w:style w:type="character" w:customStyle="1" w:styleId="A0">
    <w:name w:val="A0"/>
    <w:uiPriority w:val="99"/>
    <w:rsid w:val="008F25BF"/>
    <w:rPr>
      <w:rFonts w:cs="Lato"/>
      <w:b/>
      <w:bCs/>
      <w:color w:val="000000"/>
      <w:sz w:val="44"/>
      <w:szCs w:val="44"/>
    </w:rPr>
  </w:style>
  <w:style w:type="paragraph" w:customStyle="1" w:styleId="Default">
    <w:name w:val="Default"/>
    <w:rsid w:val="00A70D90"/>
    <w:pPr>
      <w:autoSpaceDE w:val="0"/>
      <w:autoSpaceDN w:val="0"/>
      <w:adjustRightInd w:val="0"/>
      <w:spacing w:after="0" w:line="240" w:lineRule="auto"/>
    </w:pPr>
    <w:rPr>
      <w:rFonts w:ascii="Lato" w:hAnsi="Lato" w:cs="Lato"/>
      <w:color w:val="000000"/>
      <w:sz w:val="24"/>
      <w:szCs w:val="24"/>
    </w:rPr>
  </w:style>
  <w:style w:type="character" w:styleId="Hyperlink">
    <w:name w:val="Hyperlink"/>
    <w:basedOn w:val="DefaultParagraphFont"/>
    <w:uiPriority w:val="99"/>
    <w:unhideWhenUsed/>
    <w:rsid w:val="009671FD"/>
    <w:rPr>
      <w:color w:val="0000FF"/>
      <w:u w:val="single"/>
    </w:rPr>
  </w:style>
  <w:style w:type="character" w:styleId="FollowedHyperlink">
    <w:name w:val="FollowedHyperlink"/>
    <w:basedOn w:val="DefaultParagraphFont"/>
    <w:uiPriority w:val="99"/>
    <w:semiHidden/>
    <w:unhideWhenUsed/>
    <w:rsid w:val="00B051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19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citizensinformation.ie/en/money_and_tax/personal_finance/pensions/" TargetMode="External"/><Relationship Id="rId1" Type="http://schemas.openxmlformats.org/officeDocument/2006/relationships/hyperlink" Target="https://emea01.safelinks.protection.outlook.com/?url=http%3A%2F%2Fwww.citizensinformation.ie%2Fen%2Fsocial_welfare%2Fsocial_welfare_payments%2Folder_and_retired_people%2F&amp;data=02%7C01%7C%7C53892fc2cd7d46fd8cf708d63ffe52c4%7Cbb4e61ce39a3414abb5d6a0290c95fd9%7C0%7C0%7C636766758863650724&amp;sdata=VeussULgGrMXbHlUZFNvXYjio3KKgYpfuB6azGMJnU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16956-A1E0-4014-B75B-9F83DCE30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5087</Words>
  <Characters>29002</Characters>
  <Application>Microsoft Office Word</Application>
  <DocSecurity>4</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Maher</dc:creator>
  <cp:lastModifiedBy>Katie Godwin</cp:lastModifiedBy>
  <cp:revision>2</cp:revision>
  <cp:lastPrinted>2018-11-02T18:17:00Z</cp:lastPrinted>
  <dcterms:created xsi:type="dcterms:W3CDTF">2018-12-21T16:39:00Z</dcterms:created>
  <dcterms:modified xsi:type="dcterms:W3CDTF">2018-12-21T16:39:00Z</dcterms:modified>
</cp:coreProperties>
</file>