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A12" w:rsidRDefault="00830A12" w:rsidP="00830A12">
      <w:pPr>
        <w:pStyle w:val="NormalWeb"/>
        <w:shd w:val="clear" w:color="auto" w:fill="FFFFFF"/>
        <w:jc w:val="center"/>
        <w:rPr>
          <w:rFonts w:asciiTheme="majorHAnsi" w:hAnsiTheme="majorHAnsi" w:cs="Arial"/>
          <w:b/>
          <w:color w:val="333333"/>
          <w:sz w:val="28"/>
          <w:szCs w:val="28"/>
          <w:lang w:val="en"/>
        </w:rPr>
      </w:pPr>
      <w:bookmarkStart w:id="0" w:name="_GoBack"/>
      <w:bookmarkEnd w:id="0"/>
      <w:r>
        <w:rPr>
          <w:rFonts w:ascii="Arial" w:hAnsi="Arial" w:cs="Arial"/>
          <w:noProof/>
        </w:rPr>
        <w:drawing>
          <wp:inline distT="0" distB="0" distL="0" distR="0" wp14:anchorId="0890EFA6" wp14:editId="3B465A91">
            <wp:extent cx="22383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561975"/>
                    </a:xfrm>
                    <a:prstGeom prst="rect">
                      <a:avLst/>
                    </a:prstGeom>
                    <a:noFill/>
                    <a:ln>
                      <a:noFill/>
                    </a:ln>
                  </pic:spPr>
                </pic:pic>
              </a:graphicData>
            </a:graphic>
          </wp:inline>
        </w:drawing>
      </w:r>
    </w:p>
    <w:p w:rsidR="00830A12" w:rsidRDefault="00830A12" w:rsidP="00830A12">
      <w:pPr>
        <w:pStyle w:val="NormalWeb"/>
        <w:shd w:val="clear" w:color="auto" w:fill="FFFFFF"/>
        <w:jc w:val="center"/>
        <w:rPr>
          <w:rFonts w:asciiTheme="majorHAnsi" w:hAnsiTheme="majorHAnsi" w:cs="Arial"/>
          <w:b/>
          <w:color w:val="333333"/>
          <w:sz w:val="28"/>
          <w:szCs w:val="28"/>
          <w:lang w:val="en"/>
        </w:rPr>
      </w:pPr>
    </w:p>
    <w:p w:rsidR="0018386F" w:rsidRDefault="0018386F" w:rsidP="00830A12">
      <w:pPr>
        <w:pStyle w:val="NormalWeb"/>
        <w:shd w:val="clear" w:color="auto" w:fill="FFFFFF"/>
        <w:jc w:val="center"/>
        <w:rPr>
          <w:rFonts w:asciiTheme="majorHAnsi" w:hAnsiTheme="majorHAnsi" w:cs="Arial"/>
          <w:b/>
          <w:color w:val="333333"/>
          <w:sz w:val="28"/>
          <w:szCs w:val="28"/>
          <w:lang w:val="en"/>
        </w:rPr>
      </w:pPr>
      <w:r w:rsidRPr="0018386F">
        <w:rPr>
          <w:rFonts w:asciiTheme="majorHAnsi" w:hAnsiTheme="majorHAnsi" w:cs="Arial"/>
          <w:b/>
          <w:color w:val="333333"/>
          <w:sz w:val="28"/>
          <w:szCs w:val="28"/>
          <w:lang w:val="en"/>
        </w:rPr>
        <w:t>Draft National Medical Card Unit Strategic Plan 2016-2018</w:t>
      </w:r>
    </w:p>
    <w:p w:rsidR="00830A12" w:rsidRPr="0018386F" w:rsidRDefault="0018386F" w:rsidP="00830A12">
      <w:pPr>
        <w:pStyle w:val="NormalWeb"/>
        <w:shd w:val="clear" w:color="auto" w:fill="FFFFFF"/>
        <w:jc w:val="center"/>
        <w:rPr>
          <w:rFonts w:asciiTheme="majorHAnsi" w:hAnsiTheme="majorHAnsi" w:cs="Arial"/>
          <w:b/>
          <w:i/>
          <w:color w:val="333333"/>
          <w:sz w:val="28"/>
          <w:szCs w:val="28"/>
          <w:lang w:val="en"/>
        </w:rPr>
      </w:pPr>
      <w:r w:rsidRPr="0018386F">
        <w:rPr>
          <w:rFonts w:asciiTheme="majorHAnsi" w:hAnsiTheme="majorHAnsi" w:cs="Arial"/>
          <w:b/>
          <w:i/>
          <w:color w:val="333333"/>
          <w:sz w:val="28"/>
          <w:szCs w:val="28"/>
          <w:lang w:val="en"/>
        </w:rPr>
        <w:t>Submission by the Citizens Information Board</w:t>
      </w:r>
      <w:r w:rsidR="00830A12">
        <w:rPr>
          <w:rFonts w:asciiTheme="majorHAnsi" w:hAnsiTheme="majorHAnsi" w:cs="Arial"/>
          <w:b/>
          <w:i/>
          <w:color w:val="333333"/>
          <w:sz w:val="28"/>
          <w:szCs w:val="28"/>
          <w:lang w:val="en"/>
        </w:rPr>
        <w:t xml:space="preserve"> (April 2016)</w:t>
      </w:r>
    </w:p>
    <w:p w:rsidR="0018386F" w:rsidRPr="0018386F" w:rsidRDefault="0018386F" w:rsidP="00830A12">
      <w:pPr>
        <w:pStyle w:val="NormalWeb"/>
        <w:shd w:val="clear" w:color="auto" w:fill="FFFFFF"/>
        <w:rPr>
          <w:rFonts w:asciiTheme="minorHAnsi" w:hAnsiTheme="minorHAnsi" w:cs="Arial"/>
          <w:color w:val="333333"/>
          <w:lang w:val="en"/>
        </w:rPr>
      </w:pPr>
      <w:r w:rsidRPr="0018386F">
        <w:rPr>
          <w:rFonts w:asciiTheme="minorHAnsi" w:hAnsiTheme="minorHAnsi" w:cs="Arial"/>
          <w:color w:val="333333"/>
          <w:lang w:val="en"/>
        </w:rPr>
        <w:t xml:space="preserve">The Citizens Information Board (CIB) </w:t>
      </w:r>
      <w:r>
        <w:rPr>
          <w:rFonts w:asciiTheme="minorHAnsi" w:hAnsiTheme="minorHAnsi" w:cs="Arial"/>
          <w:color w:val="333333"/>
          <w:lang w:val="en"/>
        </w:rPr>
        <w:t>welcomes the opportunity to make a submission on the NMCU Strategic Plan.</w:t>
      </w:r>
      <w:r w:rsidR="00C13BDE">
        <w:rPr>
          <w:rFonts w:asciiTheme="minorHAnsi" w:hAnsiTheme="minorHAnsi" w:cs="Arial"/>
          <w:color w:val="333333"/>
          <w:lang w:val="en"/>
        </w:rPr>
        <w:t xml:space="preserve"> We note that there has been extensive consultation on the matter to date as referenced in the Appendix.</w:t>
      </w:r>
      <w:r w:rsidRPr="0018386F">
        <w:rPr>
          <w:rFonts w:asciiTheme="minorHAnsi" w:hAnsiTheme="minorHAnsi" w:cs="Arial"/>
          <w:color w:val="333333"/>
          <w:lang w:val="en"/>
        </w:rPr>
        <w:t xml:space="preserve"> This submission draws on the experiences of the countrywide network of Citizens Information Services</w:t>
      </w:r>
      <w:r w:rsidR="00D07CCD">
        <w:rPr>
          <w:rFonts w:asciiTheme="minorHAnsi" w:hAnsiTheme="minorHAnsi" w:cs="Arial"/>
          <w:color w:val="333333"/>
          <w:lang w:val="en"/>
        </w:rPr>
        <w:t xml:space="preserve"> (CISs)</w:t>
      </w:r>
      <w:r w:rsidRPr="0018386F">
        <w:rPr>
          <w:rFonts w:asciiTheme="minorHAnsi" w:hAnsiTheme="minorHAnsi" w:cs="Arial"/>
          <w:color w:val="333333"/>
          <w:lang w:val="en"/>
        </w:rPr>
        <w:t xml:space="preserve"> and the national Citizens Information Phone Service </w:t>
      </w:r>
      <w:r w:rsidR="00D07CCD">
        <w:rPr>
          <w:rFonts w:asciiTheme="minorHAnsi" w:hAnsiTheme="minorHAnsi" w:cs="Arial"/>
          <w:color w:val="333333"/>
          <w:lang w:val="en"/>
        </w:rPr>
        <w:t xml:space="preserve">(CIPS) </w:t>
      </w:r>
      <w:r w:rsidRPr="0018386F">
        <w:rPr>
          <w:rFonts w:asciiTheme="minorHAnsi" w:hAnsiTheme="minorHAnsi" w:cs="Arial"/>
          <w:color w:val="333333"/>
          <w:lang w:val="en"/>
        </w:rPr>
        <w:t xml:space="preserve">in dealing with medical card eligibility queries from the public.  These services which are </w:t>
      </w:r>
      <w:r w:rsidR="00D07CCD">
        <w:rPr>
          <w:rFonts w:asciiTheme="minorHAnsi" w:hAnsiTheme="minorHAnsi" w:cs="Arial"/>
          <w:color w:val="333333"/>
          <w:lang w:val="en"/>
        </w:rPr>
        <w:t>supported by CIB handled over 53,000 such queries in 2015</w:t>
      </w:r>
      <w:r w:rsidRPr="0018386F">
        <w:rPr>
          <w:rFonts w:asciiTheme="minorHAnsi" w:hAnsiTheme="minorHAnsi" w:cs="Arial"/>
          <w:color w:val="333333"/>
          <w:lang w:val="en"/>
        </w:rPr>
        <w:t>.</w:t>
      </w:r>
    </w:p>
    <w:p w:rsidR="00231DAB" w:rsidRDefault="0041401F" w:rsidP="009516AE">
      <w:pPr>
        <w:spacing w:after="150" w:line="240" w:lineRule="auto"/>
        <w:rPr>
          <w:rFonts w:eastAsia="Times New Roman" w:cs="Helvetica"/>
          <w:color w:val="000000"/>
          <w:sz w:val="24"/>
          <w:szCs w:val="24"/>
          <w:lang w:val="en" w:eastAsia="en-IE"/>
        </w:rPr>
      </w:pPr>
      <w:r w:rsidRPr="0041401F">
        <w:rPr>
          <w:rFonts w:eastAsia="Times New Roman" w:cs="Helvetica"/>
          <w:color w:val="000000"/>
          <w:sz w:val="24"/>
          <w:szCs w:val="24"/>
          <w:lang w:val="en" w:eastAsia="en-IE"/>
        </w:rPr>
        <w:t>The five strategic priorities</w:t>
      </w:r>
      <w:r>
        <w:rPr>
          <w:rFonts w:eastAsia="Times New Roman" w:cs="Helvetica"/>
          <w:color w:val="000000"/>
          <w:sz w:val="24"/>
          <w:szCs w:val="24"/>
          <w:lang w:val="en" w:eastAsia="en-IE"/>
        </w:rPr>
        <w:t xml:space="preserve"> outlined </w:t>
      </w:r>
      <w:r w:rsidR="0033593B">
        <w:rPr>
          <w:rFonts w:eastAsia="Times New Roman" w:cs="Helvetica"/>
          <w:color w:val="000000"/>
          <w:sz w:val="24"/>
          <w:szCs w:val="24"/>
          <w:lang w:val="en" w:eastAsia="en-IE"/>
        </w:rPr>
        <w:t xml:space="preserve">in the Strategic Plan </w:t>
      </w:r>
      <w:r>
        <w:rPr>
          <w:rFonts w:eastAsia="Times New Roman" w:cs="Helvetica"/>
          <w:color w:val="000000"/>
          <w:sz w:val="24"/>
          <w:szCs w:val="24"/>
          <w:lang w:val="en" w:eastAsia="en-IE"/>
        </w:rPr>
        <w:t xml:space="preserve">-- </w:t>
      </w:r>
      <w:r w:rsidRPr="0041401F">
        <w:rPr>
          <w:rFonts w:eastAsia="Times New Roman" w:cs="Helvetica"/>
          <w:i/>
          <w:color w:val="000000"/>
          <w:sz w:val="24"/>
          <w:szCs w:val="24"/>
          <w:lang w:val="en" w:eastAsia="en-IE"/>
        </w:rPr>
        <w:t xml:space="preserve">health and wellbeing, access to health services, transparency and accountability, quality of service, </w:t>
      </w:r>
      <w:r w:rsidRPr="0041401F">
        <w:rPr>
          <w:rFonts w:eastAsia="Times New Roman" w:cs="Helvetica"/>
          <w:color w:val="000000"/>
          <w:sz w:val="24"/>
          <w:szCs w:val="24"/>
          <w:lang w:val="en" w:eastAsia="en-IE"/>
        </w:rPr>
        <w:t>and</w:t>
      </w:r>
      <w:r w:rsidRPr="0041401F">
        <w:rPr>
          <w:rFonts w:eastAsia="Times New Roman" w:cs="Helvetica"/>
          <w:i/>
          <w:color w:val="000000"/>
          <w:sz w:val="24"/>
          <w:szCs w:val="24"/>
          <w:lang w:val="en" w:eastAsia="en-IE"/>
        </w:rPr>
        <w:t xml:space="preserve"> user experience</w:t>
      </w:r>
      <w:r>
        <w:rPr>
          <w:rFonts w:eastAsia="Times New Roman" w:cs="Helvetica"/>
          <w:color w:val="000000"/>
          <w:sz w:val="24"/>
          <w:szCs w:val="24"/>
          <w:lang w:val="en" w:eastAsia="en-IE"/>
        </w:rPr>
        <w:t>—</w:t>
      </w:r>
      <w:r>
        <w:rPr>
          <w:rFonts w:eastAsia="Times New Roman" w:cs="Helvetica"/>
          <w:i/>
          <w:color w:val="000000"/>
          <w:sz w:val="24"/>
          <w:szCs w:val="24"/>
          <w:lang w:val="en" w:eastAsia="en-IE"/>
        </w:rPr>
        <w:t xml:space="preserve"> </w:t>
      </w:r>
      <w:r>
        <w:rPr>
          <w:rFonts w:eastAsia="Times New Roman" w:cs="Helvetica"/>
          <w:color w:val="000000"/>
          <w:sz w:val="24"/>
          <w:szCs w:val="24"/>
          <w:lang w:val="en" w:eastAsia="en-IE"/>
        </w:rPr>
        <w:t xml:space="preserve">provide a necessary overarching framework. </w:t>
      </w:r>
      <w:r w:rsidR="00231DAB">
        <w:rPr>
          <w:rFonts w:eastAsia="Times New Roman" w:cs="Helvetica"/>
          <w:color w:val="000000"/>
          <w:sz w:val="24"/>
          <w:szCs w:val="24"/>
          <w:lang w:val="en" w:eastAsia="en-IE"/>
        </w:rPr>
        <w:t>The outcomes expected from the NMCU stated strategic priorities are laudable</w:t>
      </w:r>
      <w:r w:rsidR="0033593B">
        <w:rPr>
          <w:rFonts w:eastAsia="Times New Roman" w:cs="Helvetica"/>
          <w:color w:val="000000"/>
          <w:sz w:val="24"/>
          <w:szCs w:val="24"/>
          <w:lang w:val="en" w:eastAsia="en-IE"/>
        </w:rPr>
        <w:t>,</w:t>
      </w:r>
      <w:r w:rsidR="00231DAB">
        <w:rPr>
          <w:rFonts w:eastAsia="Times New Roman" w:cs="Helvetica"/>
          <w:color w:val="000000"/>
          <w:sz w:val="24"/>
          <w:szCs w:val="24"/>
          <w:lang w:val="en" w:eastAsia="en-IE"/>
        </w:rPr>
        <w:t xml:space="preserve"> reflect what can be inferred as a user perspective</w:t>
      </w:r>
      <w:r w:rsidR="0033593B">
        <w:rPr>
          <w:rFonts w:eastAsia="Times New Roman" w:cs="Helvetica"/>
          <w:color w:val="000000"/>
          <w:sz w:val="24"/>
          <w:szCs w:val="24"/>
          <w:lang w:val="en" w:eastAsia="en-IE"/>
        </w:rPr>
        <w:t xml:space="preserve"> and should be regarded as the core of strategic development</w:t>
      </w:r>
      <w:r w:rsidR="00566149">
        <w:rPr>
          <w:rFonts w:eastAsia="Times New Roman" w:cs="Helvetica"/>
          <w:color w:val="000000"/>
          <w:sz w:val="24"/>
          <w:szCs w:val="24"/>
          <w:lang w:val="en" w:eastAsia="en-IE"/>
        </w:rPr>
        <w:t>.</w:t>
      </w:r>
      <w:r w:rsidR="0033593B">
        <w:rPr>
          <w:rFonts w:eastAsia="Times New Roman" w:cs="Helvetica"/>
          <w:color w:val="000000"/>
          <w:sz w:val="24"/>
          <w:szCs w:val="24"/>
          <w:lang w:val="en" w:eastAsia="en-IE"/>
        </w:rPr>
        <w:t xml:space="preserve"> These state that p</w:t>
      </w:r>
      <w:r w:rsidR="00566149">
        <w:rPr>
          <w:rFonts w:eastAsia="Times New Roman" w:cs="Helvetica"/>
          <w:color w:val="000000"/>
          <w:sz w:val="24"/>
          <w:szCs w:val="24"/>
          <w:lang w:val="en" w:eastAsia="en-IE"/>
        </w:rPr>
        <w:t>eople engaging with the NMCU can have confidence that:</w:t>
      </w:r>
      <w:r w:rsidR="00231DAB">
        <w:rPr>
          <w:rFonts w:eastAsia="Times New Roman" w:cs="Helvetica"/>
          <w:color w:val="000000"/>
          <w:sz w:val="24"/>
          <w:szCs w:val="24"/>
          <w:lang w:val="en" w:eastAsia="en-IE"/>
        </w:rPr>
        <w:br/>
      </w:r>
    </w:p>
    <w:p w:rsidR="00566149" w:rsidRPr="00566149" w:rsidRDefault="00566149" w:rsidP="009516AE">
      <w:pPr>
        <w:pStyle w:val="ListParagraph"/>
        <w:numPr>
          <w:ilvl w:val="0"/>
          <w:numId w:val="6"/>
        </w:numPr>
        <w:spacing w:after="150" w:line="240" w:lineRule="auto"/>
        <w:rPr>
          <w:rFonts w:eastAsia="Times New Roman" w:cs="Helvetica"/>
          <w:color w:val="000000"/>
          <w:sz w:val="24"/>
          <w:szCs w:val="24"/>
          <w:lang w:val="en" w:eastAsia="en-IE"/>
        </w:rPr>
      </w:pPr>
      <w:r>
        <w:rPr>
          <w:rFonts w:asciiTheme="minorHAnsi" w:eastAsia="Times New Roman" w:hAnsiTheme="minorHAnsi" w:cs="Helvetica"/>
          <w:color w:val="000000"/>
          <w:sz w:val="24"/>
          <w:szCs w:val="24"/>
          <w:lang w:val="en" w:eastAsia="en-IE"/>
        </w:rPr>
        <w:t>O</w:t>
      </w:r>
      <w:r w:rsidR="00231DAB" w:rsidRPr="00231DAB">
        <w:rPr>
          <w:rFonts w:asciiTheme="minorHAnsi" w:eastAsia="Times New Roman" w:hAnsiTheme="minorHAnsi" w:cs="Helvetica"/>
          <w:color w:val="000000"/>
          <w:sz w:val="24"/>
          <w:szCs w:val="24"/>
          <w:lang w:val="en" w:eastAsia="en-IE"/>
        </w:rPr>
        <w:t>nce they submit an application for Medical Card or GP Visit Card</w:t>
      </w:r>
      <w:r>
        <w:rPr>
          <w:rFonts w:asciiTheme="minorHAnsi" w:eastAsia="Times New Roman" w:hAnsiTheme="minorHAnsi" w:cs="Helvetica"/>
          <w:color w:val="000000"/>
          <w:sz w:val="24"/>
          <w:szCs w:val="24"/>
          <w:lang w:val="en" w:eastAsia="en-IE"/>
        </w:rPr>
        <w:t xml:space="preserve">, </w:t>
      </w:r>
      <w:r w:rsidR="00231DAB" w:rsidRPr="00231DAB">
        <w:rPr>
          <w:rFonts w:asciiTheme="minorHAnsi" w:eastAsia="Times New Roman" w:hAnsiTheme="minorHAnsi" w:cs="Helvetica"/>
          <w:color w:val="000000"/>
          <w:sz w:val="24"/>
          <w:szCs w:val="24"/>
          <w:lang w:val="en" w:eastAsia="en-IE"/>
        </w:rPr>
        <w:t>the application will be processed in a timely manner</w:t>
      </w:r>
      <w:r>
        <w:rPr>
          <w:rFonts w:asciiTheme="minorHAnsi" w:eastAsia="Times New Roman" w:hAnsiTheme="minorHAnsi" w:cs="Helvetica"/>
          <w:color w:val="000000"/>
          <w:sz w:val="24"/>
          <w:szCs w:val="24"/>
          <w:lang w:val="en" w:eastAsia="en-IE"/>
        </w:rPr>
        <w:t>;</w:t>
      </w:r>
      <w:r>
        <w:rPr>
          <w:rFonts w:asciiTheme="minorHAnsi" w:eastAsia="Times New Roman" w:hAnsiTheme="minorHAnsi" w:cs="Helvetica"/>
          <w:color w:val="000000"/>
          <w:sz w:val="24"/>
          <w:szCs w:val="24"/>
          <w:lang w:val="en" w:eastAsia="en-IE"/>
        </w:rPr>
        <w:br/>
      </w:r>
    </w:p>
    <w:p w:rsidR="00566149" w:rsidRPr="00566149" w:rsidRDefault="00231DAB" w:rsidP="009516AE">
      <w:pPr>
        <w:pStyle w:val="ListParagraph"/>
        <w:numPr>
          <w:ilvl w:val="0"/>
          <w:numId w:val="6"/>
        </w:numPr>
        <w:spacing w:after="150" w:line="240" w:lineRule="auto"/>
        <w:rPr>
          <w:rFonts w:eastAsia="Times New Roman" w:cs="Helvetica"/>
          <w:color w:val="000000"/>
          <w:sz w:val="24"/>
          <w:szCs w:val="24"/>
          <w:lang w:val="en" w:eastAsia="en-IE"/>
        </w:rPr>
      </w:pPr>
      <w:r w:rsidRPr="00231DAB">
        <w:rPr>
          <w:rFonts w:asciiTheme="minorHAnsi" w:eastAsia="Times New Roman" w:hAnsiTheme="minorHAnsi" w:cs="Helvetica"/>
          <w:color w:val="000000"/>
          <w:sz w:val="24"/>
          <w:szCs w:val="24"/>
          <w:lang w:val="en" w:eastAsia="en-IE"/>
        </w:rPr>
        <w:t>The eligibility assessment will be undertaken strictly in accordance with the relevant legislation and the national assessment guidelines</w:t>
      </w:r>
      <w:r w:rsidR="00566149">
        <w:rPr>
          <w:rFonts w:asciiTheme="minorHAnsi" w:eastAsia="Times New Roman" w:hAnsiTheme="minorHAnsi" w:cs="Helvetica"/>
          <w:color w:val="000000"/>
          <w:sz w:val="24"/>
          <w:szCs w:val="24"/>
          <w:lang w:val="en" w:eastAsia="en-IE"/>
        </w:rPr>
        <w:t>;</w:t>
      </w:r>
      <w:r w:rsidR="00566149">
        <w:rPr>
          <w:rFonts w:asciiTheme="minorHAnsi" w:eastAsia="Times New Roman" w:hAnsiTheme="minorHAnsi" w:cs="Helvetica"/>
          <w:color w:val="000000"/>
          <w:sz w:val="24"/>
          <w:szCs w:val="24"/>
          <w:lang w:val="en" w:eastAsia="en-IE"/>
        </w:rPr>
        <w:br/>
      </w:r>
    </w:p>
    <w:p w:rsidR="00566149" w:rsidRPr="00566149" w:rsidRDefault="00231DAB" w:rsidP="009516AE">
      <w:pPr>
        <w:pStyle w:val="ListParagraph"/>
        <w:numPr>
          <w:ilvl w:val="0"/>
          <w:numId w:val="6"/>
        </w:numPr>
        <w:spacing w:after="150" w:line="240" w:lineRule="auto"/>
        <w:rPr>
          <w:rFonts w:eastAsia="Times New Roman" w:cs="Helvetica"/>
          <w:color w:val="000000"/>
          <w:sz w:val="24"/>
          <w:szCs w:val="24"/>
          <w:lang w:val="en" w:eastAsia="en-IE"/>
        </w:rPr>
      </w:pPr>
      <w:r w:rsidRPr="00231DAB">
        <w:rPr>
          <w:rFonts w:asciiTheme="minorHAnsi" w:eastAsia="Times New Roman" w:hAnsiTheme="minorHAnsi" w:cs="Helvetica"/>
          <w:color w:val="000000"/>
          <w:sz w:val="24"/>
          <w:szCs w:val="24"/>
          <w:lang w:val="en" w:eastAsia="en-IE"/>
        </w:rPr>
        <w:t xml:space="preserve">The assessment outcome will be communicated to the </w:t>
      </w:r>
      <w:r w:rsidR="00566149">
        <w:rPr>
          <w:rFonts w:asciiTheme="minorHAnsi" w:eastAsia="Times New Roman" w:hAnsiTheme="minorHAnsi" w:cs="Helvetica"/>
          <w:color w:val="000000"/>
          <w:sz w:val="24"/>
          <w:szCs w:val="24"/>
          <w:lang w:val="en" w:eastAsia="en-IE"/>
        </w:rPr>
        <w:t xml:space="preserve">applicant </w:t>
      </w:r>
      <w:r w:rsidRPr="00231DAB">
        <w:rPr>
          <w:rFonts w:asciiTheme="minorHAnsi" w:eastAsia="Times New Roman" w:hAnsiTheme="minorHAnsi" w:cs="Helvetica"/>
          <w:color w:val="000000"/>
          <w:sz w:val="24"/>
          <w:szCs w:val="24"/>
          <w:lang w:val="en" w:eastAsia="en-IE"/>
        </w:rPr>
        <w:t>in a clear and unambiguous manner</w:t>
      </w:r>
      <w:r w:rsidR="00566149">
        <w:rPr>
          <w:rFonts w:asciiTheme="minorHAnsi" w:eastAsia="Times New Roman" w:hAnsiTheme="minorHAnsi" w:cs="Helvetica"/>
          <w:color w:val="000000"/>
          <w:sz w:val="24"/>
          <w:szCs w:val="24"/>
          <w:lang w:val="en" w:eastAsia="en-IE"/>
        </w:rPr>
        <w:t>;</w:t>
      </w:r>
      <w:r w:rsidR="00566149">
        <w:rPr>
          <w:rFonts w:asciiTheme="minorHAnsi" w:eastAsia="Times New Roman" w:hAnsiTheme="minorHAnsi" w:cs="Helvetica"/>
          <w:color w:val="000000"/>
          <w:sz w:val="24"/>
          <w:szCs w:val="24"/>
          <w:lang w:val="en" w:eastAsia="en-IE"/>
        </w:rPr>
        <w:br/>
      </w:r>
    </w:p>
    <w:p w:rsidR="00D87FC3" w:rsidRPr="00231DAB" w:rsidRDefault="00231DAB" w:rsidP="009516AE">
      <w:pPr>
        <w:pStyle w:val="ListParagraph"/>
        <w:numPr>
          <w:ilvl w:val="0"/>
          <w:numId w:val="6"/>
        </w:numPr>
        <w:spacing w:after="150" w:line="240" w:lineRule="auto"/>
        <w:rPr>
          <w:rFonts w:eastAsia="Times New Roman" w:cs="Helvetica"/>
          <w:color w:val="000000"/>
          <w:sz w:val="24"/>
          <w:szCs w:val="24"/>
          <w:lang w:val="en" w:eastAsia="en-IE"/>
        </w:rPr>
      </w:pPr>
      <w:r w:rsidRPr="00231DAB">
        <w:rPr>
          <w:rFonts w:asciiTheme="minorHAnsi" w:eastAsia="Times New Roman" w:hAnsiTheme="minorHAnsi" w:cs="Helvetica"/>
          <w:color w:val="000000"/>
          <w:sz w:val="24"/>
          <w:szCs w:val="24"/>
          <w:lang w:val="en" w:eastAsia="en-IE"/>
        </w:rPr>
        <w:t xml:space="preserve">The </w:t>
      </w:r>
      <w:r w:rsidR="00566149">
        <w:rPr>
          <w:rFonts w:asciiTheme="minorHAnsi" w:eastAsia="Times New Roman" w:hAnsiTheme="minorHAnsi" w:cs="Helvetica"/>
          <w:color w:val="000000"/>
          <w:sz w:val="24"/>
          <w:szCs w:val="24"/>
          <w:lang w:val="en" w:eastAsia="en-IE"/>
        </w:rPr>
        <w:t xml:space="preserve">applicant </w:t>
      </w:r>
      <w:r w:rsidRPr="00231DAB">
        <w:rPr>
          <w:rFonts w:asciiTheme="minorHAnsi" w:eastAsia="Times New Roman" w:hAnsiTheme="minorHAnsi" w:cs="Helvetica"/>
          <w:color w:val="000000"/>
          <w:sz w:val="24"/>
          <w:szCs w:val="24"/>
          <w:lang w:val="en" w:eastAsia="en-IE"/>
        </w:rPr>
        <w:t>will be informed of the pathway for a reassessment and the right of appeal, as appropriate.</w:t>
      </w:r>
    </w:p>
    <w:p w:rsidR="002D6702" w:rsidRDefault="002D6702" w:rsidP="00D07CCD">
      <w:pPr>
        <w:rPr>
          <w:rFonts w:ascii="Arial" w:hAnsi="Arial" w:cs="Arial"/>
        </w:rPr>
      </w:pPr>
    </w:p>
    <w:p w:rsidR="00D07CCD" w:rsidRPr="00F57DD5" w:rsidRDefault="00D07CCD" w:rsidP="00D07CCD">
      <w:pPr>
        <w:rPr>
          <w:rFonts w:cs="Arial"/>
          <w:sz w:val="24"/>
          <w:szCs w:val="24"/>
        </w:rPr>
      </w:pPr>
      <w:r w:rsidRPr="00F57DD5">
        <w:rPr>
          <w:rFonts w:cs="Arial"/>
          <w:sz w:val="24"/>
          <w:szCs w:val="24"/>
        </w:rPr>
        <w:t xml:space="preserve">The enhancement of the allocation and application processes set out in the Strategic Plan is important and necessary and should result in a more accessible system. </w:t>
      </w:r>
    </w:p>
    <w:p w:rsidR="00D07CCD" w:rsidRDefault="00D07CCD" w:rsidP="008B5541">
      <w:pPr>
        <w:rPr>
          <w:rFonts w:ascii="Arial" w:hAnsi="Arial" w:cs="Arial"/>
          <w:b/>
          <w:i/>
        </w:rPr>
      </w:pPr>
    </w:p>
    <w:p w:rsidR="008B5541" w:rsidRPr="002D6702" w:rsidRDefault="008B5541" w:rsidP="008B5541">
      <w:pPr>
        <w:rPr>
          <w:rFonts w:cs="Arial"/>
          <w:b/>
          <w:i/>
          <w:sz w:val="24"/>
          <w:szCs w:val="24"/>
        </w:rPr>
      </w:pPr>
      <w:r>
        <w:rPr>
          <w:rFonts w:ascii="Arial" w:hAnsi="Arial" w:cs="Arial"/>
          <w:b/>
          <w:i/>
        </w:rPr>
        <w:t xml:space="preserve">Administrative Issues </w:t>
      </w:r>
      <w:r w:rsidR="002D6702">
        <w:rPr>
          <w:rFonts w:ascii="Arial" w:hAnsi="Arial" w:cs="Arial"/>
          <w:b/>
          <w:i/>
        </w:rPr>
        <w:t>Requiring Attention</w:t>
      </w:r>
      <w:r w:rsidR="002D6702">
        <w:rPr>
          <w:rFonts w:ascii="Arial" w:hAnsi="Arial" w:cs="Arial"/>
          <w:b/>
          <w:i/>
        </w:rPr>
        <w:br/>
      </w:r>
      <w:r w:rsidR="002D6702">
        <w:rPr>
          <w:rFonts w:cs="Arial"/>
          <w:sz w:val="24"/>
          <w:szCs w:val="24"/>
        </w:rPr>
        <w:t xml:space="preserve">The stated underlying Strategic principle of listening to the views and opinions of people engaging with the NMCU and using these to plan and deliver a service of the highest quality is an important consideration. In this context, we note the </w:t>
      </w:r>
      <w:r w:rsidRPr="002D6702">
        <w:rPr>
          <w:rFonts w:cs="Arial"/>
          <w:sz w:val="24"/>
          <w:szCs w:val="24"/>
        </w:rPr>
        <w:t>experience of CIB service delivery partners</w:t>
      </w:r>
      <w:r w:rsidR="002D6702" w:rsidRPr="002D6702">
        <w:rPr>
          <w:rFonts w:cs="Arial"/>
          <w:sz w:val="24"/>
          <w:szCs w:val="24"/>
        </w:rPr>
        <w:t xml:space="preserve">. This shows that </w:t>
      </w:r>
      <w:r w:rsidRPr="002D6702">
        <w:rPr>
          <w:rFonts w:cs="Arial"/>
          <w:sz w:val="24"/>
          <w:szCs w:val="24"/>
        </w:rPr>
        <w:t xml:space="preserve">a number of people (a relatively small proportion of Medical Card </w:t>
      </w:r>
      <w:r w:rsidRPr="002D6702">
        <w:rPr>
          <w:rFonts w:cs="Arial"/>
          <w:sz w:val="24"/>
          <w:szCs w:val="24"/>
        </w:rPr>
        <w:lastRenderedPageBreak/>
        <w:t xml:space="preserve">and GP Visit Card applicants) find the process of applying for a card and dealing with a review of eligibility difficult and stressful. The administrative difficulties which have been referenced in </w:t>
      </w:r>
      <w:r w:rsidR="0033593B">
        <w:rPr>
          <w:rFonts w:cs="Arial"/>
          <w:sz w:val="24"/>
          <w:szCs w:val="24"/>
        </w:rPr>
        <w:t xml:space="preserve">feedback to the CIB from service delivery partners </w:t>
      </w:r>
      <w:r w:rsidRPr="002D6702">
        <w:rPr>
          <w:rFonts w:cs="Arial"/>
          <w:sz w:val="24"/>
          <w:szCs w:val="24"/>
        </w:rPr>
        <w:t>typically relate to:</w:t>
      </w:r>
      <w:r w:rsidRPr="002D6702">
        <w:rPr>
          <w:rFonts w:cs="Arial"/>
          <w:sz w:val="24"/>
          <w:szCs w:val="24"/>
        </w:rPr>
        <w:br/>
      </w:r>
    </w:p>
    <w:p w:rsidR="008B5541" w:rsidRPr="002D6702" w:rsidRDefault="008B5541" w:rsidP="008B5541">
      <w:pPr>
        <w:pStyle w:val="ListParagraph"/>
        <w:numPr>
          <w:ilvl w:val="0"/>
          <w:numId w:val="4"/>
        </w:numPr>
        <w:rPr>
          <w:rFonts w:asciiTheme="minorHAnsi" w:hAnsiTheme="minorHAnsi" w:cs="Arial"/>
          <w:sz w:val="24"/>
          <w:szCs w:val="24"/>
        </w:rPr>
      </w:pPr>
      <w:r w:rsidRPr="002D6702">
        <w:rPr>
          <w:rFonts w:asciiTheme="minorHAnsi" w:hAnsiTheme="minorHAnsi" w:cs="Arial"/>
          <w:sz w:val="24"/>
          <w:szCs w:val="24"/>
        </w:rPr>
        <w:t>‘Lost’ documentation and related repeated requests for information already submitted</w:t>
      </w:r>
    </w:p>
    <w:p w:rsidR="008B5541" w:rsidRPr="002D6702" w:rsidRDefault="008B5541" w:rsidP="008B5541">
      <w:pPr>
        <w:pStyle w:val="ListParagraph"/>
        <w:numPr>
          <w:ilvl w:val="0"/>
          <w:numId w:val="4"/>
        </w:numPr>
        <w:rPr>
          <w:rFonts w:asciiTheme="minorHAnsi" w:hAnsiTheme="minorHAnsi" w:cs="Arial"/>
          <w:sz w:val="24"/>
          <w:szCs w:val="24"/>
        </w:rPr>
      </w:pPr>
      <w:r w:rsidRPr="002D6702">
        <w:rPr>
          <w:rFonts w:asciiTheme="minorHAnsi" w:hAnsiTheme="minorHAnsi" w:cs="Arial"/>
          <w:sz w:val="24"/>
          <w:szCs w:val="24"/>
        </w:rPr>
        <w:t>Issues relating to reviews and renewals</w:t>
      </w:r>
    </w:p>
    <w:p w:rsidR="008B5541" w:rsidRPr="002D6702" w:rsidRDefault="008B5541" w:rsidP="008B5541">
      <w:pPr>
        <w:pStyle w:val="ListParagraph"/>
        <w:numPr>
          <w:ilvl w:val="0"/>
          <w:numId w:val="4"/>
        </w:numPr>
        <w:rPr>
          <w:rFonts w:asciiTheme="minorHAnsi" w:hAnsiTheme="minorHAnsi" w:cs="Arial"/>
          <w:sz w:val="24"/>
          <w:szCs w:val="24"/>
        </w:rPr>
      </w:pPr>
      <w:r w:rsidRPr="002D6702">
        <w:rPr>
          <w:rFonts w:asciiTheme="minorHAnsi" w:hAnsiTheme="minorHAnsi" w:cs="Arial"/>
          <w:sz w:val="24"/>
          <w:szCs w:val="24"/>
        </w:rPr>
        <w:t>Delays in processing applications and  appeals</w:t>
      </w:r>
    </w:p>
    <w:p w:rsidR="008B5541" w:rsidRPr="002D6702" w:rsidRDefault="008B5541" w:rsidP="008B5541">
      <w:pPr>
        <w:pStyle w:val="ListParagraph"/>
        <w:numPr>
          <w:ilvl w:val="0"/>
          <w:numId w:val="4"/>
        </w:numPr>
        <w:rPr>
          <w:rFonts w:asciiTheme="minorHAnsi" w:hAnsiTheme="minorHAnsi" w:cs="Arial"/>
          <w:sz w:val="24"/>
          <w:szCs w:val="24"/>
        </w:rPr>
      </w:pPr>
      <w:r w:rsidRPr="002D6702">
        <w:rPr>
          <w:rFonts w:asciiTheme="minorHAnsi" w:hAnsiTheme="minorHAnsi" w:cs="Arial"/>
          <w:sz w:val="24"/>
          <w:szCs w:val="24"/>
        </w:rPr>
        <w:t>Documentary errors</w:t>
      </w:r>
    </w:p>
    <w:p w:rsidR="008B5541" w:rsidRPr="002D6702" w:rsidRDefault="008B5541" w:rsidP="008B5541">
      <w:pPr>
        <w:pStyle w:val="ListParagraph"/>
        <w:numPr>
          <w:ilvl w:val="0"/>
          <w:numId w:val="4"/>
        </w:numPr>
        <w:rPr>
          <w:rFonts w:asciiTheme="minorHAnsi" w:hAnsiTheme="minorHAnsi" w:cs="Arial"/>
          <w:sz w:val="24"/>
          <w:szCs w:val="24"/>
        </w:rPr>
      </w:pPr>
      <w:r w:rsidRPr="002D6702">
        <w:rPr>
          <w:rFonts w:asciiTheme="minorHAnsi" w:hAnsiTheme="minorHAnsi" w:cs="Arial"/>
          <w:sz w:val="24"/>
          <w:szCs w:val="24"/>
        </w:rPr>
        <w:t>Errors in assessment of means</w:t>
      </w:r>
    </w:p>
    <w:p w:rsidR="008B5541" w:rsidRPr="002D6702" w:rsidRDefault="008B5541" w:rsidP="008B5541">
      <w:pPr>
        <w:pStyle w:val="ListParagraph"/>
        <w:numPr>
          <w:ilvl w:val="0"/>
          <w:numId w:val="4"/>
        </w:numPr>
        <w:rPr>
          <w:rFonts w:asciiTheme="minorHAnsi" w:hAnsiTheme="minorHAnsi" w:cs="Arial"/>
          <w:sz w:val="24"/>
          <w:szCs w:val="24"/>
        </w:rPr>
      </w:pPr>
      <w:r w:rsidRPr="002D6702">
        <w:rPr>
          <w:rFonts w:asciiTheme="minorHAnsi" w:hAnsiTheme="minorHAnsi" w:cs="Arial"/>
          <w:sz w:val="24"/>
          <w:szCs w:val="24"/>
        </w:rPr>
        <w:t>Some misunderstanding in the application of EU regulations</w:t>
      </w:r>
    </w:p>
    <w:p w:rsidR="008B5541" w:rsidRPr="002D6702" w:rsidRDefault="008B5541" w:rsidP="008B5541">
      <w:pPr>
        <w:pStyle w:val="ListParagraph"/>
        <w:numPr>
          <w:ilvl w:val="0"/>
          <w:numId w:val="4"/>
        </w:numPr>
        <w:rPr>
          <w:rFonts w:asciiTheme="minorHAnsi" w:hAnsiTheme="minorHAnsi" w:cs="Arial"/>
          <w:sz w:val="24"/>
          <w:szCs w:val="24"/>
        </w:rPr>
      </w:pPr>
      <w:r w:rsidRPr="002D6702">
        <w:rPr>
          <w:rFonts w:asciiTheme="minorHAnsi" w:hAnsiTheme="minorHAnsi" w:cs="Arial"/>
          <w:sz w:val="24"/>
          <w:szCs w:val="24"/>
        </w:rPr>
        <w:t>An inability to contact the official dealing with the application</w:t>
      </w:r>
    </w:p>
    <w:p w:rsidR="008B5541" w:rsidRPr="002D6702" w:rsidRDefault="008B5541" w:rsidP="008B5541">
      <w:pPr>
        <w:pStyle w:val="ListParagraph"/>
        <w:numPr>
          <w:ilvl w:val="0"/>
          <w:numId w:val="4"/>
        </w:numPr>
        <w:rPr>
          <w:rFonts w:asciiTheme="minorHAnsi" w:hAnsiTheme="minorHAnsi" w:cs="Arial"/>
          <w:sz w:val="24"/>
          <w:szCs w:val="24"/>
        </w:rPr>
      </w:pPr>
      <w:r w:rsidRPr="002D6702">
        <w:rPr>
          <w:rFonts w:asciiTheme="minorHAnsi" w:hAnsiTheme="minorHAnsi" w:cs="Arial"/>
          <w:sz w:val="24"/>
          <w:szCs w:val="24"/>
        </w:rPr>
        <w:t xml:space="preserve">Uncertainty (and related anxiety) on the part of individuals as to whether they will be eligible for a Medical Card or retain it following a review. </w:t>
      </w:r>
    </w:p>
    <w:p w:rsidR="0033593B" w:rsidRPr="0033593B" w:rsidRDefault="008B5541" w:rsidP="008B5541">
      <w:pPr>
        <w:rPr>
          <w:rFonts w:cs="Arial"/>
          <w:b/>
          <w:sz w:val="24"/>
          <w:szCs w:val="24"/>
        </w:rPr>
      </w:pPr>
      <w:r>
        <w:rPr>
          <w:rFonts w:eastAsia="Times New Roman"/>
          <w:color w:val="000000"/>
        </w:rPr>
        <w:br/>
      </w:r>
      <w:r w:rsidR="0033593B" w:rsidRPr="0033593B">
        <w:rPr>
          <w:rFonts w:cs="Arial"/>
          <w:b/>
          <w:sz w:val="24"/>
          <w:szCs w:val="24"/>
        </w:rPr>
        <w:t>Strategy Implementation: Matters that need to be addressed</w:t>
      </w:r>
    </w:p>
    <w:p w:rsidR="008B5541" w:rsidRPr="002D6702" w:rsidRDefault="008B5541" w:rsidP="008B5541">
      <w:pPr>
        <w:rPr>
          <w:rFonts w:cs="Arial"/>
          <w:sz w:val="24"/>
          <w:szCs w:val="24"/>
        </w:rPr>
      </w:pPr>
      <w:r w:rsidRPr="002D6702">
        <w:rPr>
          <w:rFonts w:cs="Arial"/>
          <w:sz w:val="24"/>
          <w:szCs w:val="24"/>
        </w:rPr>
        <w:t xml:space="preserve">A general administrative issue noted was that a slight change in circumstances results in person having to completely reapply for Medical Card. This can cause distress and possible financial hardship while waiting for card. </w:t>
      </w:r>
    </w:p>
    <w:p w:rsidR="008B5541" w:rsidRDefault="002D6702" w:rsidP="004C1423">
      <w:pPr>
        <w:spacing w:after="0"/>
      </w:pPr>
      <w:r w:rsidRPr="004C1423">
        <w:rPr>
          <w:rFonts w:cs="Arial"/>
          <w:sz w:val="24"/>
          <w:szCs w:val="24"/>
          <w:lang w:val="en"/>
        </w:rPr>
        <w:t>While principles of equity and social inclusion clearly underpin the NMCU Strategic Plan</w:t>
      </w:r>
      <w:r w:rsidR="004C1423" w:rsidRPr="004C1423">
        <w:rPr>
          <w:rFonts w:cs="Arial"/>
          <w:sz w:val="24"/>
          <w:szCs w:val="24"/>
          <w:lang w:val="en"/>
        </w:rPr>
        <w:t xml:space="preserve"> and while reference is made </w:t>
      </w:r>
      <w:r w:rsidR="004C1423" w:rsidRPr="004C1423">
        <w:rPr>
          <w:rFonts w:eastAsia="Times New Roman" w:cs="Times New Roman"/>
          <w:sz w:val="24"/>
          <w:szCs w:val="24"/>
          <w:lang w:eastAsia="en-IE"/>
        </w:rPr>
        <w:t>to involving representatives of the public having an input on major issues, particularly "ethical and social issues"</w:t>
      </w:r>
      <w:r w:rsidR="004C1423">
        <w:rPr>
          <w:rFonts w:eastAsia="Times New Roman" w:cs="Times New Roman"/>
          <w:sz w:val="24"/>
          <w:szCs w:val="24"/>
          <w:lang w:eastAsia="en-IE"/>
        </w:rPr>
        <w:t>, th</w:t>
      </w:r>
      <w:r w:rsidR="0033593B">
        <w:rPr>
          <w:rFonts w:eastAsia="Times New Roman" w:cs="Times New Roman"/>
          <w:sz w:val="24"/>
          <w:szCs w:val="24"/>
          <w:lang w:eastAsia="en-IE"/>
        </w:rPr>
        <w:t xml:space="preserve">ese aspirations </w:t>
      </w:r>
      <w:r w:rsidRPr="00F57DD5">
        <w:rPr>
          <w:rFonts w:cs="Arial"/>
          <w:lang w:val="en"/>
        </w:rPr>
        <w:t xml:space="preserve">will only become fully meaningful </w:t>
      </w:r>
      <w:r w:rsidR="005A1449" w:rsidRPr="00F57DD5">
        <w:rPr>
          <w:rFonts w:cs="Arial"/>
          <w:lang w:val="en"/>
        </w:rPr>
        <w:t xml:space="preserve">when the </w:t>
      </w:r>
      <w:r w:rsidR="0033593B" w:rsidRPr="00F57DD5">
        <w:rPr>
          <w:rFonts w:cs="Arial"/>
          <w:lang w:val="en"/>
        </w:rPr>
        <w:t>following matters are addressed:</w:t>
      </w:r>
      <w:r w:rsidR="004C1423" w:rsidRPr="00F57DD5">
        <w:rPr>
          <w:rFonts w:cs="Arial"/>
          <w:lang w:val="en"/>
        </w:rPr>
        <w:br/>
      </w:r>
    </w:p>
    <w:p w:rsidR="005A1449" w:rsidRPr="00C13BDE" w:rsidRDefault="005A1449" w:rsidP="008B5541">
      <w:pPr>
        <w:pStyle w:val="ListParagraph"/>
        <w:numPr>
          <w:ilvl w:val="0"/>
          <w:numId w:val="1"/>
        </w:numPr>
        <w:rPr>
          <w:rFonts w:asciiTheme="minorHAnsi" w:hAnsiTheme="minorHAnsi" w:cs="Arial"/>
          <w:b/>
          <w:sz w:val="24"/>
          <w:szCs w:val="24"/>
        </w:rPr>
      </w:pPr>
      <w:r w:rsidRPr="00C13BDE">
        <w:rPr>
          <w:rFonts w:asciiTheme="minorHAnsi" w:hAnsiTheme="minorHAnsi" w:cs="Arial"/>
          <w:bCs/>
          <w:sz w:val="24"/>
          <w:szCs w:val="24"/>
        </w:rPr>
        <w:t xml:space="preserve">Expediting the </w:t>
      </w:r>
      <w:r w:rsidR="008B5541" w:rsidRPr="00C13BDE">
        <w:rPr>
          <w:rFonts w:asciiTheme="minorHAnsi" w:hAnsiTheme="minorHAnsi" w:cs="Arial"/>
          <w:bCs/>
          <w:sz w:val="24"/>
          <w:szCs w:val="24"/>
        </w:rPr>
        <w:t>development and enhancement of user-friendly aspects of the application process</w:t>
      </w:r>
      <w:r w:rsidRPr="00C13BDE">
        <w:rPr>
          <w:rFonts w:asciiTheme="minorHAnsi" w:hAnsiTheme="minorHAnsi" w:cs="Arial"/>
          <w:bCs/>
          <w:sz w:val="24"/>
          <w:szCs w:val="24"/>
        </w:rPr>
        <w:t xml:space="preserve">, </w:t>
      </w:r>
      <w:r w:rsidRPr="00C13BDE">
        <w:rPr>
          <w:rFonts w:asciiTheme="minorHAnsi" w:hAnsiTheme="minorHAnsi" w:cs="Arial"/>
          <w:bCs/>
          <w:i/>
          <w:sz w:val="24"/>
          <w:szCs w:val="24"/>
        </w:rPr>
        <w:t>viz.</w:t>
      </w:r>
      <w:r w:rsidRPr="00C13BDE">
        <w:rPr>
          <w:rFonts w:asciiTheme="minorHAnsi" w:hAnsiTheme="minorHAnsi" w:cs="Arial"/>
          <w:bCs/>
          <w:sz w:val="24"/>
          <w:szCs w:val="24"/>
        </w:rPr>
        <w:t>:</w:t>
      </w:r>
      <w:r w:rsidRPr="00C13BDE">
        <w:rPr>
          <w:rFonts w:asciiTheme="minorHAnsi" w:hAnsiTheme="minorHAnsi" w:cs="Arial"/>
          <w:bCs/>
          <w:sz w:val="24"/>
          <w:szCs w:val="24"/>
        </w:rPr>
        <w:br/>
      </w:r>
    </w:p>
    <w:p w:rsidR="005A1449" w:rsidRPr="00C13BDE" w:rsidRDefault="005A1449" w:rsidP="005A1449">
      <w:pPr>
        <w:pStyle w:val="ListParagraph"/>
        <w:numPr>
          <w:ilvl w:val="0"/>
          <w:numId w:val="7"/>
        </w:numPr>
        <w:rPr>
          <w:rFonts w:asciiTheme="minorHAnsi" w:hAnsiTheme="minorHAnsi" w:cs="Arial"/>
          <w:b/>
          <w:sz w:val="24"/>
          <w:szCs w:val="24"/>
        </w:rPr>
      </w:pPr>
      <w:r w:rsidRPr="00C13BDE">
        <w:rPr>
          <w:rFonts w:asciiTheme="minorHAnsi" w:hAnsiTheme="minorHAnsi" w:cs="Arial"/>
          <w:sz w:val="24"/>
          <w:szCs w:val="24"/>
        </w:rPr>
        <w:t>O</w:t>
      </w:r>
      <w:r w:rsidR="008B5541" w:rsidRPr="00C13BDE">
        <w:rPr>
          <w:rFonts w:asciiTheme="minorHAnsi" w:hAnsiTheme="minorHAnsi" w:cs="Arial"/>
          <w:sz w:val="24"/>
          <w:szCs w:val="24"/>
        </w:rPr>
        <w:t>nline applications, scanning of documents and improving flow an</w:t>
      </w:r>
      <w:r w:rsidRPr="00C13BDE">
        <w:rPr>
          <w:rFonts w:asciiTheme="minorHAnsi" w:hAnsiTheme="minorHAnsi" w:cs="Arial"/>
          <w:sz w:val="24"/>
          <w:szCs w:val="24"/>
        </w:rPr>
        <w:t>d tracking need to be expedited</w:t>
      </w:r>
      <w:r w:rsidRPr="00C13BDE">
        <w:rPr>
          <w:rFonts w:asciiTheme="minorHAnsi" w:hAnsiTheme="minorHAnsi" w:cs="Arial"/>
          <w:sz w:val="24"/>
          <w:szCs w:val="24"/>
        </w:rPr>
        <w:br/>
      </w:r>
    </w:p>
    <w:p w:rsidR="005A1449" w:rsidRPr="00C13BDE" w:rsidRDefault="005A1449" w:rsidP="005A1449">
      <w:pPr>
        <w:pStyle w:val="ListParagraph"/>
        <w:numPr>
          <w:ilvl w:val="0"/>
          <w:numId w:val="7"/>
        </w:numPr>
        <w:rPr>
          <w:rFonts w:asciiTheme="minorHAnsi" w:hAnsiTheme="minorHAnsi" w:cs="Arial"/>
          <w:b/>
          <w:sz w:val="24"/>
          <w:szCs w:val="24"/>
        </w:rPr>
      </w:pPr>
      <w:r w:rsidRPr="00C13BDE">
        <w:rPr>
          <w:rFonts w:asciiTheme="minorHAnsi" w:hAnsiTheme="minorHAnsi" w:cs="Arial"/>
          <w:sz w:val="24"/>
          <w:szCs w:val="24"/>
        </w:rPr>
        <w:t>O</w:t>
      </w:r>
      <w:r w:rsidR="008B5541" w:rsidRPr="00C13BDE">
        <w:rPr>
          <w:rFonts w:asciiTheme="minorHAnsi" w:hAnsiTheme="minorHAnsi" w:cs="Arial"/>
          <w:sz w:val="24"/>
          <w:szCs w:val="24"/>
        </w:rPr>
        <w:t>ngoing provision for those who cannot engage with on-line systems – there continues to be a significant digital divide in Ireland</w:t>
      </w:r>
      <w:r w:rsidRPr="00C13BDE">
        <w:rPr>
          <w:rFonts w:asciiTheme="minorHAnsi" w:hAnsiTheme="minorHAnsi" w:cs="Arial"/>
          <w:sz w:val="24"/>
          <w:szCs w:val="24"/>
        </w:rPr>
        <w:br/>
      </w:r>
    </w:p>
    <w:p w:rsidR="005A1449" w:rsidRPr="00C13BDE" w:rsidRDefault="005A1449" w:rsidP="005A1449">
      <w:pPr>
        <w:pStyle w:val="ListParagraph"/>
        <w:numPr>
          <w:ilvl w:val="0"/>
          <w:numId w:val="7"/>
        </w:numPr>
        <w:rPr>
          <w:rFonts w:asciiTheme="minorHAnsi" w:hAnsiTheme="minorHAnsi" w:cs="Arial"/>
          <w:b/>
          <w:sz w:val="24"/>
          <w:szCs w:val="24"/>
        </w:rPr>
      </w:pPr>
      <w:r w:rsidRPr="00C13BDE">
        <w:rPr>
          <w:rFonts w:asciiTheme="minorHAnsi" w:eastAsia="Times New Roman" w:hAnsiTheme="minorHAnsi" w:cs="Arial"/>
          <w:color w:val="000000"/>
          <w:sz w:val="24"/>
          <w:szCs w:val="24"/>
          <w:lang w:eastAsia="en-IE"/>
        </w:rPr>
        <w:t xml:space="preserve">Mechanisms to </w:t>
      </w:r>
      <w:r w:rsidR="008B5541" w:rsidRPr="00C13BDE">
        <w:rPr>
          <w:rFonts w:asciiTheme="minorHAnsi" w:eastAsia="Times New Roman" w:hAnsiTheme="minorHAnsi" w:cs="Arial"/>
          <w:color w:val="000000"/>
          <w:sz w:val="24"/>
          <w:szCs w:val="24"/>
          <w:lang w:eastAsia="en-IE"/>
        </w:rPr>
        <w:t>ensure that applicants who can show proof of posting of forms and related documents to the NMCU a</w:t>
      </w:r>
      <w:r w:rsidRPr="00C13BDE">
        <w:rPr>
          <w:rFonts w:asciiTheme="minorHAnsi" w:eastAsia="Times New Roman" w:hAnsiTheme="minorHAnsi" w:cs="Arial"/>
          <w:color w:val="000000"/>
          <w:sz w:val="24"/>
          <w:szCs w:val="24"/>
          <w:lang w:eastAsia="en-IE"/>
        </w:rPr>
        <w:t>re not required to re-send them</w:t>
      </w:r>
      <w:r w:rsidRPr="00C13BDE">
        <w:rPr>
          <w:rFonts w:asciiTheme="minorHAnsi" w:eastAsia="Times New Roman" w:hAnsiTheme="minorHAnsi" w:cs="Arial"/>
          <w:color w:val="000000"/>
          <w:sz w:val="24"/>
          <w:szCs w:val="24"/>
          <w:lang w:eastAsia="en-IE"/>
        </w:rPr>
        <w:br/>
      </w:r>
    </w:p>
    <w:p w:rsidR="00C13BDE" w:rsidRPr="00C13BDE" w:rsidRDefault="005A1449" w:rsidP="005A1449">
      <w:pPr>
        <w:pStyle w:val="ListParagraph"/>
        <w:numPr>
          <w:ilvl w:val="0"/>
          <w:numId w:val="7"/>
        </w:numPr>
        <w:rPr>
          <w:rFonts w:asciiTheme="minorHAnsi" w:hAnsiTheme="minorHAnsi" w:cs="Arial"/>
          <w:b/>
          <w:sz w:val="24"/>
          <w:szCs w:val="24"/>
        </w:rPr>
      </w:pPr>
      <w:r w:rsidRPr="00C13BDE">
        <w:rPr>
          <w:rFonts w:asciiTheme="minorHAnsi" w:hAnsiTheme="minorHAnsi" w:cs="Arial"/>
          <w:sz w:val="24"/>
          <w:szCs w:val="24"/>
        </w:rPr>
        <w:t>Easier access for an applicant or someone acting on his/her behalf to the official dealing with an application</w:t>
      </w:r>
      <w:r w:rsidR="00C13BDE" w:rsidRPr="00C13BDE">
        <w:rPr>
          <w:rFonts w:asciiTheme="minorHAnsi" w:hAnsiTheme="minorHAnsi" w:cs="Arial"/>
          <w:sz w:val="24"/>
          <w:szCs w:val="24"/>
        </w:rPr>
        <w:br/>
      </w:r>
    </w:p>
    <w:p w:rsidR="008B5541" w:rsidRPr="00C13BDE" w:rsidRDefault="00C13BDE" w:rsidP="005A1449">
      <w:pPr>
        <w:pStyle w:val="ListParagraph"/>
        <w:numPr>
          <w:ilvl w:val="0"/>
          <w:numId w:val="7"/>
        </w:numPr>
        <w:rPr>
          <w:rFonts w:asciiTheme="minorHAnsi" w:hAnsiTheme="minorHAnsi" w:cs="Arial"/>
          <w:b/>
          <w:sz w:val="24"/>
          <w:szCs w:val="24"/>
        </w:rPr>
      </w:pPr>
      <w:r w:rsidRPr="00C13BDE">
        <w:rPr>
          <w:rFonts w:asciiTheme="minorHAnsi" w:eastAsia="Times New Roman" w:hAnsiTheme="minorHAnsi" w:cs="Arial"/>
          <w:sz w:val="24"/>
          <w:szCs w:val="24"/>
        </w:rPr>
        <w:lastRenderedPageBreak/>
        <w:t>Correspondence  to applicants from the NMCU requesting additional information more tailored</w:t>
      </w:r>
      <w:r w:rsidR="0033593B">
        <w:rPr>
          <w:rFonts w:asciiTheme="minorHAnsi" w:eastAsia="Times New Roman" w:hAnsiTheme="minorHAnsi" w:cs="Arial"/>
          <w:sz w:val="24"/>
          <w:szCs w:val="24"/>
        </w:rPr>
        <w:t xml:space="preserve"> to individual applicant circumstances;</w:t>
      </w:r>
      <w:r w:rsidR="008B5541" w:rsidRPr="00C13BDE">
        <w:rPr>
          <w:rFonts w:asciiTheme="minorHAnsi" w:eastAsia="Times New Roman" w:hAnsiTheme="minorHAnsi" w:cs="Arial"/>
          <w:color w:val="000000"/>
          <w:sz w:val="24"/>
          <w:szCs w:val="24"/>
          <w:lang w:eastAsia="en-IE"/>
        </w:rPr>
        <w:br/>
      </w:r>
    </w:p>
    <w:p w:rsidR="004C1423" w:rsidRPr="004C1423" w:rsidRDefault="004C1423" w:rsidP="005A1449">
      <w:pPr>
        <w:pStyle w:val="ListParagraph"/>
        <w:numPr>
          <w:ilvl w:val="0"/>
          <w:numId w:val="1"/>
        </w:numPr>
        <w:rPr>
          <w:rFonts w:asciiTheme="minorHAnsi" w:hAnsiTheme="minorHAnsi" w:cs="Arial"/>
          <w:b/>
          <w:sz w:val="24"/>
          <w:szCs w:val="24"/>
        </w:rPr>
      </w:pPr>
      <w:r>
        <w:rPr>
          <w:rFonts w:asciiTheme="minorHAnsi" w:hAnsiTheme="minorHAnsi" w:cs="Arial"/>
          <w:sz w:val="24"/>
          <w:szCs w:val="24"/>
        </w:rPr>
        <w:t>T</w:t>
      </w:r>
      <w:r w:rsidR="008B5541" w:rsidRPr="00C13BDE">
        <w:rPr>
          <w:rFonts w:asciiTheme="minorHAnsi" w:hAnsiTheme="minorHAnsi" w:cs="Arial"/>
          <w:sz w:val="24"/>
          <w:szCs w:val="24"/>
        </w:rPr>
        <w:t xml:space="preserve">he proposal to introduce a single, integrated process for people to apply for a </w:t>
      </w:r>
      <w:r w:rsidR="005A1449" w:rsidRPr="00C13BDE">
        <w:rPr>
          <w:rFonts w:asciiTheme="minorHAnsi" w:hAnsiTheme="minorHAnsi" w:cs="Arial"/>
          <w:sz w:val="24"/>
          <w:szCs w:val="24"/>
        </w:rPr>
        <w:t>M</w:t>
      </w:r>
      <w:r w:rsidR="008B5541" w:rsidRPr="00C13BDE">
        <w:rPr>
          <w:rFonts w:asciiTheme="minorHAnsi" w:hAnsiTheme="minorHAnsi" w:cs="Arial"/>
          <w:sz w:val="24"/>
          <w:szCs w:val="24"/>
        </w:rPr>
        <w:t xml:space="preserve">edical </w:t>
      </w:r>
      <w:r w:rsidR="005A1449" w:rsidRPr="00C13BDE">
        <w:rPr>
          <w:rFonts w:asciiTheme="minorHAnsi" w:hAnsiTheme="minorHAnsi" w:cs="Arial"/>
          <w:sz w:val="24"/>
          <w:szCs w:val="24"/>
        </w:rPr>
        <w:t>C</w:t>
      </w:r>
      <w:r w:rsidR="008B5541" w:rsidRPr="00C13BDE">
        <w:rPr>
          <w:rFonts w:asciiTheme="minorHAnsi" w:hAnsiTheme="minorHAnsi" w:cs="Arial"/>
          <w:sz w:val="24"/>
          <w:szCs w:val="24"/>
        </w:rPr>
        <w:t xml:space="preserve">ard, a GP </w:t>
      </w:r>
      <w:r w:rsidR="005A1449" w:rsidRPr="00C13BDE">
        <w:rPr>
          <w:rFonts w:asciiTheme="minorHAnsi" w:hAnsiTheme="minorHAnsi" w:cs="Arial"/>
          <w:sz w:val="24"/>
          <w:szCs w:val="24"/>
        </w:rPr>
        <w:t>V</w:t>
      </w:r>
      <w:r w:rsidR="008B5541" w:rsidRPr="00C13BDE">
        <w:rPr>
          <w:rFonts w:asciiTheme="minorHAnsi" w:hAnsiTheme="minorHAnsi" w:cs="Arial"/>
          <w:sz w:val="24"/>
          <w:szCs w:val="24"/>
        </w:rPr>
        <w:t xml:space="preserve">isit </w:t>
      </w:r>
      <w:r w:rsidR="005A1449" w:rsidRPr="00C13BDE">
        <w:rPr>
          <w:rFonts w:asciiTheme="minorHAnsi" w:hAnsiTheme="minorHAnsi" w:cs="Arial"/>
          <w:sz w:val="24"/>
          <w:szCs w:val="24"/>
        </w:rPr>
        <w:t>C</w:t>
      </w:r>
      <w:r w:rsidR="008B5541" w:rsidRPr="00C13BDE">
        <w:rPr>
          <w:rFonts w:asciiTheme="minorHAnsi" w:hAnsiTheme="minorHAnsi" w:cs="Arial"/>
          <w:sz w:val="24"/>
          <w:szCs w:val="24"/>
        </w:rPr>
        <w:t xml:space="preserve">ard, the Long-Term Illness </w:t>
      </w:r>
      <w:r>
        <w:rPr>
          <w:rFonts w:asciiTheme="minorHAnsi" w:hAnsiTheme="minorHAnsi" w:cs="Arial"/>
          <w:sz w:val="24"/>
          <w:szCs w:val="24"/>
        </w:rPr>
        <w:t>S</w:t>
      </w:r>
      <w:r w:rsidR="008B5541" w:rsidRPr="00C13BDE">
        <w:rPr>
          <w:rFonts w:asciiTheme="minorHAnsi" w:hAnsiTheme="minorHAnsi" w:cs="Arial"/>
          <w:sz w:val="24"/>
          <w:szCs w:val="24"/>
        </w:rPr>
        <w:t>cheme, and the Drugs Payment Scheme</w:t>
      </w:r>
      <w:r>
        <w:rPr>
          <w:rFonts w:asciiTheme="minorHAnsi" w:hAnsiTheme="minorHAnsi" w:cs="Arial"/>
          <w:sz w:val="24"/>
          <w:szCs w:val="24"/>
        </w:rPr>
        <w:t xml:space="preserve"> should be implemented</w:t>
      </w:r>
      <w:r w:rsidR="008B5541" w:rsidRPr="00C13BDE">
        <w:rPr>
          <w:rFonts w:asciiTheme="minorHAnsi" w:hAnsiTheme="minorHAnsi" w:cs="Arial"/>
          <w:sz w:val="24"/>
          <w:szCs w:val="24"/>
        </w:rPr>
        <w:t>;</w:t>
      </w:r>
      <w:r>
        <w:rPr>
          <w:rFonts w:asciiTheme="minorHAnsi" w:hAnsiTheme="minorHAnsi" w:cs="Arial"/>
          <w:sz w:val="24"/>
          <w:szCs w:val="24"/>
        </w:rPr>
        <w:br/>
      </w:r>
    </w:p>
    <w:p w:rsidR="008B5541" w:rsidRPr="00C13BDE" w:rsidRDefault="004C1423" w:rsidP="005A1449">
      <w:pPr>
        <w:pStyle w:val="ListParagraph"/>
        <w:numPr>
          <w:ilvl w:val="0"/>
          <w:numId w:val="1"/>
        </w:numPr>
        <w:rPr>
          <w:rFonts w:asciiTheme="minorHAnsi" w:hAnsiTheme="minorHAnsi" w:cs="Arial"/>
          <w:b/>
          <w:sz w:val="24"/>
          <w:szCs w:val="24"/>
        </w:rPr>
      </w:pPr>
      <w:r>
        <w:rPr>
          <w:rFonts w:asciiTheme="minorHAnsi" w:hAnsiTheme="minorHAnsi" w:cs="Arial"/>
          <w:sz w:val="24"/>
          <w:szCs w:val="24"/>
        </w:rPr>
        <w:t>There needs to be rationalisation in relation to application forms  -- t</w:t>
      </w:r>
      <w:r>
        <w:rPr>
          <w:rFonts w:eastAsia="Times New Roman"/>
        </w:rPr>
        <w:t xml:space="preserve">here are currently </w:t>
      </w:r>
      <w:r w:rsidRPr="004C1423">
        <w:rPr>
          <w:rFonts w:eastAsia="Times New Roman"/>
        </w:rPr>
        <w:t>five separate application forms</w:t>
      </w:r>
      <w:r>
        <w:rPr>
          <w:rFonts w:eastAsia="Times New Roman"/>
        </w:rPr>
        <w:t xml:space="preserve"> – the Medical Card and GP Visit Card, GP Visit Card for the under-6’s, the over-070’s Medical Card, the over-70’s GP Visit Card and the Medical Card Application Form for children under 18 years (i.e. , those with a cancer diagnosis) </w:t>
      </w:r>
      <w:r>
        <w:rPr>
          <w:rFonts w:asciiTheme="minorHAnsi" w:hAnsiTheme="minorHAnsi" w:cs="Arial"/>
          <w:sz w:val="24"/>
          <w:szCs w:val="24"/>
        </w:rPr>
        <w:t xml:space="preserve"> </w:t>
      </w:r>
      <w:r w:rsidR="008B5541" w:rsidRPr="00C13BDE">
        <w:rPr>
          <w:rFonts w:asciiTheme="minorHAnsi" w:hAnsiTheme="minorHAnsi" w:cs="Arial"/>
          <w:sz w:val="24"/>
          <w:szCs w:val="24"/>
        </w:rPr>
        <w:br/>
      </w:r>
    </w:p>
    <w:p w:rsidR="008B5541" w:rsidRPr="00C13BDE" w:rsidRDefault="005A1449" w:rsidP="008B5541">
      <w:pPr>
        <w:pStyle w:val="ListParagraph"/>
        <w:numPr>
          <w:ilvl w:val="0"/>
          <w:numId w:val="1"/>
        </w:numPr>
        <w:rPr>
          <w:rFonts w:asciiTheme="minorHAnsi" w:hAnsiTheme="minorHAnsi" w:cs="Arial"/>
          <w:b/>
          <w:sz w:val="24"/>
          <w:szCs w:val="24"/>
        </w:rPr>
      </w:pPr>
      <w:r w:rsidRPr="00C13BDE">
        <w:rPr>
          <w:rFonts w:asciiTheme="minorHAnsi" w:hAnsiTheme="minorHAnsi" w:cs="Arial"/>
          <w:sz w:val="24"/>
          <w:szCs w:val="24"/>
        </w:rPr>
        <w:t>A</w:t>
      </w:r>
      <w:r w:rsidR="008B5541" w:rsidRPr="00C13BDE">
        <w:rPr>
          <w:rFonts w:asciiTheme="minorHAnsi" w:hAnsiTheme="minorHAnsi" w:cs="Arial"/>
          <w:sz w:val="24"/>
          <w:szCs w:val="24"/>
        </w:rPr>
        <w:t>ccess points in health offices across the country</w:t>
      </w:r>
      <w:r w:rsidRPr="00C13BDE">
        <w:rPr>
          <w:rFonts w:asciiTheme="minorHAnsi" w:hAnsiTheme="minorHAnsi" w:cs="Arial"/>
          <w:sz w:val="24"/>
          <w:szCs w:val="24"/>
        </w:rPr>
        <w:t xml:space="preserve"> should be widely advertised in locations frequented by the public;</w:t>
      </w:r>
      <w:r w:rsidR="008B5541" w:rsidRPr="00C13BDE">
        <w:rPr>
          <w:rFonts w:asciiTheme="minorHAnsi" w:hAnsiTheme="minorHAnsi" w:cs="Arial"/>
          <w:sz w:val="24"/>
          <w:szCs w:val="24"/>
        </w:rPr>
        <w:br/>
      </w:r>
    </w:p>
    <w:p w:rsidR="008B5541" w:rsidRPr="00C13BDE" w:rsidRDefault="008B5541" w:rsidP="008B5541">
      <w:pPr>
        <w:pStyle w:val="ListParagraph"/>
        <w:numPr>
          <w:ilvl w:val="0"/>
          <w:numId w:val="1"/>
        </w:numPr>
        <w:rPr>
          <w:rFonts w:asciiTheme="minorHAnsi" w:hAnsiTheme="minorHAnsi" w:cs="Arial"/>
          <w:b/>
          <w:sz w:val="24"/>
          <w:szCs w:val="24"/>
        </w:rPr>
      </w:pPr>
      <w:r w:rsidRPr="00C13BDE">
        <w:rPr>
          <w:rFonts w:asciiTheme="minorHAnsi" w:hAnsiTheme="minorHAnsi" w:cs="Arial"/>
          <w:bCs/>
          <w:sz w:val="24"/>
          <w:szCs w:val="24"/>
        </w:rPr>
        <w:t xml:space="preserve">Contact facilities </w:t>
      </w:r>
      <w:r w:rsidR="00EC430A">
        <w:rPr>
          <w:rFonts w:asciiTheme="minorHAnsi" w:hAnsiTheme="minorHAnsi" w:cs="Arial"/>
          <w:bCs/>
          <w:sz w:val="24"/>
          <w:szCs w:val="24"/>
        </w:rPr>
        <w:t xml:space="preserve">similar to those </w:t>
      </w:r>
      <w:r w:rsidRPr="00C13BDE">
        <w:rPr>
          <w:rFonts w:asciiTheme="minorHAnsi" w:hAnsiTheme="minorHAnsi" w:cs="Arial"/>
          <w:bCs/>
          <w:sz w:val="24"/>
          <w:szCs w:val="24"/>
        </w:rPr>
        <w:t xml:space="preserve">currently available to Oireachtas members should be </w:t>
      </w:r>
      <w:r w:rsidR="00EC430A">
        <w:rPr>
          <w:rFonts w:asciiTheme="minorHAnsi" w:hAnsiTheme="minorHAnsi" w:cs="Arial"/>
          <w:bCs/>
          <w:sz w:val="24"/>
          <w:szCs w:val="24"/>
        </w:rPr>
        <w:t xml:space="preserve">considered for intermediaries  such as </w:t>
      </w:r>
      <w:r w:rsidR="00EC430A" w:rsidRPr="00C13BDE">
        <w:rPr>
          <w:rFonts w:asciiTheme="minorHAnsi" w:hAnsiTheme="minorHAnsi" w:cs="Arial"/>
          <w:bCs/>
          <w:sz w:val="24"/>
          <w:szCs w:val="24"/>
        </w:rPr>
        <w:t>CISs and CIPS</w:t>
      </w:r>
      <w:r w:rsidR="00EC430A">
        <w:rPr>
          <w:rFonts w:asciiTheme="minorHAnsi" w:hAnsiTheme="minorHAnsi" w:cs="Arial"/>
          <w:bCs/>
          <w:sz w:val="24"/>
          <w:szCs w:val="24"/>
        </w:rPr>
        <w:t xml:space="preserve"> </w:t>
      </w:r>
      <w:r w:rsidRPr="00C13BDE">
        <w:rPr>
          <w:rFonts w:asciiTheme="minorHAnsi" w:hAnsiTheme="minorHAnsi" w:cs="Arial"/>
          <w:bCs/>
          <w:sz w:val="24"/>
          <w:szCs w:val="24"/>
        </w:rPr>
        <w:t>to  enable them to provide appropriate and timely advice and assistance to people who are experiencing difficulties with the application process;</w:t>
      </w:r>
      <w:r w:rsidRPr="00C13BDE">
        <w:rPr>
          <w:rFonts w:asciiTheme="minorHAnsi" w:hAnsiTheme="minorHAnsi" w:cs="Arial"/>
          <w:bCs/>
          <w:sz w:val="24"/>
          <w:szCs w:val="24"/>
        </w:rPr>
        <w:br/>
      </w:r>
    </w:p>
    <w:p w:rsidR="008B5541" w:rsidRPr="00C13BDE" w:rsidRDefault="008B5541" w:rsidP="008B5541">
      <w:pPr>
        <w:pStyle w:val="ListParagraph"/>
        <w:numPr>
          <w:ilvl w:val="0"/>
          <w:numId w:val="1"/>
        </w:numPr>
        <w:rPr>
          <w:rFonts w:asciiTheme="minorHAnsi" w:hAnsiTheme="minorHAnsi" w:cs="Arial"/>
          <w:b/>
          <w:sz w:val="24"/>
          <w:szCs w:val="24"/>
        </w:rPr>
      </w:pPr>
      <w:r w:rsidRPr="00C13BDE">
        <w:rPr>
          <w:rFonts w:asciiTheme="minorHAnsi" w:eastAsia="Times New Roman" w:hAnsiTheme="minorHAnsi" w:cs="Arial"/>
          <w:color w:val="000000"/>
          <w:sz w:val="24"/>
          <w:szCs w:val="24"/>
        </w:rPr>
        <w:t>There should be clearer information on EU medical card eligibility on the part of officials dealing with applications under this provision;</w:t>
      </w:r>
      <w:r w:rsidRPr="00C13BDE">
        <w:rPr>
          <w:rFonts w:asciiTheme="minorHAnsi" w:eastAsia="Times New Roman" w:hAnsiTheme="minorHAnsi" w:cs="Arial"/>
          <w:color w:val="000000"/>
          <w:sz w:val="24"/>
          <w:szCs w:val="24"/>
        </w:rPr>
        <w:br/>
      </w:r>
    </w:p>
    <w:p w:rsidR="008B5541" w:rsidRPr="00C13BDE" w:rsidRDefault="008B5541" w:rsidP="008B5541">
      <w:pPr>
        <w:pStyle w:val="ListParagraph"/>
        <w:numPr>
          <w:ilvl w:val="0"/>
          <w:numId w:val="1"/>
        </w:numPr>
        <w:rPr>
          <w:rFonts w:asciiTheme="minorHAnsi" w:hAnsiTheme="minorHAnsi" w:cs="Arial"/>
          <w:b/>
          <w:sz w:val="24"/>
          <w:szCs w:val="24"/>
        </w:rPr>
      </w:pPr>
      <w:r w:rsidRPr="00C13BDE">
        <w:rPr>
          <w:rFonts w:asciiTheme="minorHAnsi" w:eastAsia="Times New Roman" w:hAnsiTheme="minorHAnsi" w:cs="Arial"/>
          <w:color w:val="000000"/>
          <w:sz w:val="24"/>
          <w:szCs w:val="24"/>
        </w:rPr>
        <w:t xml:space="preserve">There should be clearer information on the two types of Medical Card applications and related assessment criteria for people aged over-70; </w:t>
      </w:r>
      <w:r w:rsidRPr="00C13BDE">
        <w:rPr>
          <w:rFonts w:asciiTheme="minorHAnsi" w:eastAsia="Times New Roman" w:hAnsiTheme="minorHAnsi" w:cs="Arial"/>
          <w:color w:val="000000"/>
          <w:sz w:val="24"/>
          <w:szCs w:val="24"/>
        </w:rPr>
        <w:br/>
      </w:r>
    </w:p>
    <w:p w:rsidR="00C13BDE" w:rsidRPr="00C13BDE" w:rsidRDefault="008B5541" w:rsidP="008B5541">
      <w:pPr>
        <w:pStyle w:val="ListParagraph"/>
        <w:numPr>
          <w:ilvl w:val="0"/>
          <w:numId w:val="1"/>
        </w:numPr>
        <w:rPr>
          <w:rFonts w:asciiTheme="minorHAnsi" w:hAnsiTheme="minorHAnsi" w:cs="Arial"/>
          <w:b/>
          <w:sz w:val="24"/>
          <w:szCs w:val="24"/>
        </w:rPr>
      </w:pPr>
      <w:r w:rsidRPr="00C13BDE">
        <w:rPr>
          <w:rFonts w:asciiTheme="minorHAnsi" w:eastAsia="Times New Roman" w:hAnsiTheme="minorHAnsi" w:cs="Arial"/>
          <w:color w:val="000000"/>
          <w:sz w:val="24"/>
          <w:szCs w:val="24"/>
        </w:rPr>
        <w:t>There should be total clarity as to what people are covered for under both Medical Cards and GP Visit Cards  -- this applies in particular to services provided by GPs;</w:t>
      </w:r>
      <w:r w:rsidR="00C13BDE" w:rsidRPr="00C13BDE">
        <w:rPr>
          <w:rFonts w:asciiTheme="minorHAnsi" w:eastAsia="Times New Roman" w:hAnsiTheme="minorHAnsi" w:cs="Arial"/>
          <w:color w:val="000000"/>
          <w:sz w:val="24"/>
          <w:szCs w:val="24"/>
        </w:rPr>
        <w:br/>
      </w:r>
    </w:p>
    <w:p w:rsidR="008B5541" w:rsidRPr="004C1423" w:rsidRDefault="00C13BDE" w:rsidP="00C13BDE">
      <w:pPr>
        <w:pStyle w:val="ListParagraph"/>
        <w:numPr>
          <w:ilvl w:val="0"/>
          <w:numId w:val="1"/>
        </w:numPr>
        <w:spacing w:line="240" w:lineRule="auto"/>
        <w:rPr>
          <w:rFonts w:asciiTheme="minorHAnsi" w:hAnsiTheme="minorHAnsi" w:cs="Arial"/>
          <w:sz w:val="24"/>
          <w:szCs w:val="24"/>
        </w:rPr>
      </w:pPr>
      <w:r w:rsidRPr="004C1423">
        <w:rPr>
          <w:rFonts w:asciiTheme="minorHAnsi" w:eastAsia="Times New Roman" w:hAnsiTheme="minorHAnsi" w:cs="Arial"/>
          <w:color w:val="000000"/>
          <w:sz w:val="24"/>
          <w:szCs w:val="24"/>
        </w:rPr>
        <w:t xml:space="preserve">There should be some reference to how the ongoing work and deliberations of the  </w:t>
      </w:r>
      <w:r w:rsidR="008B5541" w:rsidRPr="004C1423">
        <w:rPr>
          <w:rFonts w:asciiTheme="minorHAnsi" w:hAnsiTheme="minorHAnsi" w:cs="Arial"/>
          <w:sz w:val="24"/>
          <w:szCs w:val="24"/>
        </w:rPr>
        <w:t>Clinical Advisory Group in developing assessment tools for discretionary medical cards</w:t>
      </w:r>
      <w:r w:rsidRPr="004C1423">
        <w:rPr>
          <w:rFonts w:asciiTheme="minorHAnsi" w:hAnsiTheme="minorHAnsi" w:cs="Arial"/>
          <w:sz w:val="24"/>
          <w:szCs w:val="24"/>
        </w:rPr>
        <w:t xml:space="preserve"> will feed into the NMCU Strategic Plan</w:t>
      </w:r>
      <w:r w:rsidR="008B5541" w:rsidRPr="004C1423">
        <w:rPr>
          <w:rFonts w:asciiTheme="minorHAnsi" w:hAnsiTheme="minorHAnsi" w:cs="Arial"/>
          <w:sz w:val="24"/>
          <w:szCs w:val="24"/>
        </w:rPr>
        <w:t>;</w:t>
      </w:r>
      <w:r w:rsidR="004C1423">
        <w:rPr>
          <w:rFonts w:asciiTheme="minorHAnsi" w:hAnsiTheme="minorHAnsi" w:cs="Arial"/>
          <w:sz w:val="24"/>
          <w:szCs w:val="24"/>
        </w:rPr>
        <w:br/>
      </w:r>
    </w:p>
    <w:p w:rsidR="004C1423" w:rsidRPr="004C1423" w:rsidRDefault="004C1423" w:rsidP="004C1423">
      <w:pPr>
        <w:pStyle w:val="ListParagraph"/>
        <w:numPr>
          <w:ilvl w:val="0"/>
          <w:numId w:val="1"/>
        </w:numPr>
        <w:spacing w:line="240" w:lineRule="auto"/>
        <w:rPr>
          <w:rFonts w:asciiTheme="minorHAnsi" w:hAnsiTheme="minorHAnsi" w:cs="Arial"/>
          <w:sz w:val="24"/>
          <w:szCs w:val="24"/>
        </w:rPr>
      </w:pPr>
      <w:r w:rsidRPr="000241C9">
        <w:rPr>
          <w:rFonts w:asciiTheme="minorHAnsi" w:hAnsiTheme="minorHAnsi" w:cs="Arial"/>
          <w:sz w:val="24"/>
          <w:szCs w:val="24"/>
          <w:lang w:val="en"/>
        </w:rPr>
        <w:t>It is important that, as far as possible, the  assessment criteria are such to enable decisions on applications made in the first instance to be thorough, transparent and easily understandable in order to minimise  the need for appeals which by their very nature can be stressful for people;</w:t>
      </w:r>
      <w:r w:rsidR="00EC430A" w:rsidRPr="000241C9">
        <w:rPr>
          <w:rFonts w:asciiTheme="minorHAnsi" w:hAnsiTheme="minorHAnsi" w:cs="Arial"/>
          <w:sz w:val="24"/>
          <w:szCs w:val="24"/>
          <w:lang w:val="en"/>
        </w:rPr>
        <w:t xml:space="preserve"> </w:t>
      </w:r>
      <w:r w:rsidRPr="004C1423">
        <w:rPr>
          <w:rFonts w:asciiTheme="minorHAnsi" w:hAnsiTheme="minorHAnsi" w:cs="Arial"/>
          <w:color w:val="333333"/>
          <w:sz w:val="24"/>
          <w:szCs w:val="24"/>
          <w:lang w:val="en"/>
        </w:rPr>
        <w:br/>
      </w:r>
    </w:p>
    <w:p w:rsidR="004C1423" w:rsidRPr="004C1423" w:rsidRDefault="004C1423" w:rsidP="004C1423">
      <w:pPr>
        <w:pStyle w:val="ListParagraph"/>
        <w:numPr>
          <w:ilvl w:val="0"/>
          <w:numId w:val="1"/>
        </w:numPr>
        <w:spacing w:line="240" w:lineRule="auto"/>
        <w:rPr>
          <w:rFonts w:asciiTheme="minorHAnsi" w:hAnsiTheme="minorHAnsi" w:cs="Arial"/>
          <w:sz w:val="24"/>
          <w:szCs w:val="24"/>
        </w:rPr>
      </w:pPr>
      <w:r w:rsidRPr="004C1423">
        <w:rPr>
          <w:rFonts w:asciiTheme="minorHAnsi" w:hAnsiTheme="minorHAnsi" w:cs="Arial"/>
          <w:color w:val="333333"/>
          <w:sz w:val="24"/>
          <w:szCs w:val="24"/>
          <w:lang w:val="en"/>
        </w:rPr>
        <w:t xml:space="preserve">The application system must have a proactive dimension to ensure that </w:t>
      </w:r>
      <w:r w:rsidRPr="004C1423">
        <w:rPr>
          <w:rFonts w:asciiTheme="minorHAnsi" w:hAnsiTheme="minorHAnsi" w:cs="Arial"/>
          <w:sz w:val="24"/>
          <w:szCs w:val="24"/>
        </w:rPr>
        <w:t>people who for reasons of disability or other may have difficulty in engaging with the process do not lose out on a service to which they have a clear legal entitlement;</w:t>
      </w:r>
      <w:r w:rsidRPr="004C1423">
        <w:rPr>
          <w:rFonts w:asciiTheme="minorHAnsi" w:hAnsiTheme="minorHAnsi" w:cs="Arial"/>
          <w:sz w:val="24"/>
          <w:szCs w:val="24"/>
        </w:rPr>
        <w:br/>
      </w:r>
    </w:p>
    <w:p w:rsidR="004C1423" w:rsidRPr="004C1423" w:rsidRDefault="004C1423" w:rsidP="004C1423">
      <w:pPr>
        <w:pStyle w:val="ListParagraph"/>
        <w:numPr>
          <w:ilvl w:val="0"/>
          <w:numId w:val="1"/>
        </w:numPr>
        <w:spacing w:line="240" w:lineRule="auto"/>
        <w:rPr>
          <w:rFonts w:asciiTheme="minorHAnsi" w:hAnsiTheme="minorHAnsi" w:cs="Arial"/>
          <w:sz w:val="24"/>
          <w:szCs w:val="24"/>
        </w:rPr>
      </w:pPr>
      <w:r w:rsidRPr="004C1423">
        <w:rPr>
          <w:rFonts w:asciiTheme="minorHAnsi" w:hAnsiTheme="minorHAnsi" w:cs="Arial"/>
          <w:sz w:val="24"/>
          <w:szCs w:val="24"/>
        </w:rPr>
        <w:t xml:space="preserve">Other services where assessments of medical conditions are made could be used as a basis for an award of a Medical Card in order to ensure that people receive joined up services and do not have to undergo unnecessary further assessment (see below).  </w:t>
      </w:r>
    </w:p>
    <w:p w:rsidR="0033593B" w:rsidRDefault="0033593B" w:rsidP="009516AE"/>
    <w:p w:rsidR="0033593B" w:rsidRDefault="0033593B" w:rsidP="009516AE">
      <w:pPr>
        <w:rPr>
          <w:b/>
        </w:rPr>
      </w:pPr>
      <w:r>
        <w:rPr>
          <w:b/>
        </w:rPr>
        <w:t>Broader Policy Issues</w:t>
      </w:r>
    </w:p>
    <w:p w:rsidR="005D023A" w:rsidRDefault="0033593B" w:rsidP="009516AE">
      <w:r>
        <w:rPr>
          <w:b/>
        </w:rPr>
        <w:t>I</w:t>
      </w:r>
      <w:r w:rsidR="0041401F">
        <w:t xml:space="preserve">n terms of social inclusion and equity, the </w:t>
      </w:r>
      <w:r>
        <w:t>following matters are relevant and should be included in setting out the context for the NMCU strategic development.</w:t>
      </w:r>
    </w:p>
    <w:p w:rsidR="00120F58" w:rsidRPr="00120F58" w:rsidRDefault="0041401F" w:rsidP="0041401F">
      <w:pPr>
        <w:pStyle w:val="ListParagraph"/>
        <w:numPr>
          <w:ilvl w:val="0"/>
          <w:numId w:val="9"/>
        </w:numPr>
        <w:rPr>
          <w:rFonts w:asciiTheme="minorHAnsi" w:hAnsiTheme="minorHAnsi" w:cs="Arial"/>
          <w:b/>
          <w:sz w:val="24"/>
          <w:szCs w:val="24"/>
        </w:rPr>
      </w:pPr>
      <w:r w:rsidRPr="0041401F">
        <w:rPr>
          <w:rFonts w:asciiTheme="minorHAnsi" w:hAnsiTheme="minorHAnsi" w:cs="Arial"/>
          <w:sz w:val="24"/>
          <w:szCs w:val="24"/>
        </w:rPr>
        <w:t>The thresholds for qualification for a Medical card need to be reviewed  -- there has been no increase in these thresholds since 2006;</w:t>
      </w:r>
      <w:r w:rsidR="00120F58">
        <w:rPr>
          <w:rFonts w:asciiTheme="minorHAnsi" w:hAnsiTheme="minorHAnsi" w:cs="Arial"/>
          <w:sz w:val="24"/>
          <w:szCs w:val="24"/>
        </w:rPr>
        <w:br/>
      </w:r>
    </w:p>
    <w:p w:rsidR="0041401F" w:rsidRPr="00120F58" w:rsidRDefault="0041401F" w:rsidP="00120F58">
      <w:pPr>
        <w:pStyle w:val="ListParagraph"/>
        <w:numPr>
          <w:ilvl w:val="0"/>
          <w:numId w:val="9"/>
        </w:numPr>
        <w:rPr>
          <w:rFonts w:asciiTheme="minorHAnsi" w:hAnsiTheme="minorHAnsi" w:cs="Arial"/>
          <w:b/>
          <w:sz w:val="24"/>
          <w:szCs w:val="24"/>
        </w:rPr>
      </w:pPr>
      <w:r w:rsidRPr="00120F58">
        <w:rPr>
          <w:rFonts w:asciiTheme="minorHAnsi" w:hAnsiTheme="minorHAnsi" w:cs="Arial"/>
          <w:sz w:val="24"/>
          <w:szCs w:val="24"/>
        </w:rPr>
        <w:t>The provision for the retention of Medical Cards on taking up employment should</w:t>
      </w:r>
      <w:r w:rsidR="0033593B" w:rsidRPr="00120F58">
        <w:rPr>
          <w:rFonts w:asciiTheme="minorHAnsi" w:hAnsiTheme="minorHAnsi" w:cs="Arial"/>
          <w:sz w:val="24"/>
          <w:szCs w:val="24"/>
        </w:rPr>
        <w:t xml:space="preserve"> be reviewed to take account of s</w:t>
      </w:r>
      <w:r w:rsidRPr="00120F58">
        <w:rPr>
          <w:rFonts w:asciiTheme="minorHAnsi" w:hAnsiTheme="minorHAnsi" w:cs="Arial"/>
          <w:sz w:val="24"/>
          <w:szCs w:val="24"/>
        </w:rPr>
        <w:t>ituations where a ‘Qualifying Adult’ is the person taking up employment</w:t>
      </w:r>
      <w:r w:rsidRPr="0041401F">
        <w:t xml:space="preserve"> </w:t>
      </w:r>
      <w:r w:rsidRPr="0041401F">
        <w:br/>
      </w:r>
    </w:p>
    <w:p w:rsidR="0041401F" w:rsidRPr="0041401F" w:rsidRDefault="0041401F" w:rsidP="0041401F">
      <w:pPr>
        <w:pStyle w:val="ListParagraph"/>
        <w:numPr>
          <w:ilvl w:val="0"/>
          <w:numId w:val="10"/>
        </w:numPr>
        <w:rPr>
          <w:rFonts w:asciiTheme="minorHAnsi" w:hAnsiTheme="minorHAnsi"/>
          <w:b/>
          <w:sz w:val="24"/>
          <w:szCs w:val="24"/>
        </w:rPr>
      </w:pPr>
      <w:r w:rsidRPr="0041401F">
        <w:rPr>
          <w:rFonts w:asciiTheme="minorHAnsi" w:hAnsiTheme="minorHAnsi"/>
          <w:sz w:val="24"/>
          <w:szCs w:val="24"/>
        </w:rPr>
        <w:t>The situation of self-employed people, particularly those with very limited trading, in terms of establishing eligibility for a Medical Card needs to be reviewed;</w:t>
      </w:r>
      <w:r w:rsidRPr="0041401F">
        <w:rPr>
          <w:rFonts w:asciiTheme="minorHAnsi" w:hAnsiTheme="minorHAnsi"/>
          <w:sz w:val="24"/>
          <w:szCs w:val="24"/>
        </w:rPr>
        <w:br/>
      </w:r>
    </w:p>
    <w:p w:rsidR="0041401F" w:rsidRPr="0041401F" w:rsidRDefault="0041401F" w:rsidP="0041401F">
      <w:pPr>
        <w:pStyle w:val="ListParagraph"/>
        <w:numPr>
          <w:ilvl w:val="0"/>
          <w:numId w:val="10"/>
        </w:numPr>
        <w:rPr>
          <w:rFonts w:asciiTheme="minorHAnsi" w:hAnsiTheme="minorHAnsi"/>
          <w:b/>
          <w:sz w:val="24"/>
          <w:szCs w:val="24"/>
        </w:rPr>
      </w:pPr>
      <w:r w:rsidRPr="0041401F">
        <w:rPr>
          <w:rFonts w:asciiTheme="minorHAnsi" w:hAnsiTheme="minorHAnsi"/>
          <w:sz w:val="24"/>
          <w:szCs w:val="24"/>
        </w:rPr>
        <w:t>Medical Card income limits for young people aged between 16-25 years need to be reviewed;</w:t>
      </w:r>
      <w:r w:rsidRPr="0041401F">
        <w:rPr>
          <w:rFonts w:asciiTheme="minorHAnsi" w:hAnsiTheme="minorHAnsi"/>
          <w:sz w:val="24"/>
          <w:szCs w:val="24"/>
        </w:rPr>
        <w:br/>
      </w:r>
    </w:p>
    <w:p w:rsidR="004D28FD" w:rsidRPr="004D28FD" w:rsidRDefault="0041401F" w:rsidP="004D28FD">
      <w:pPr>
        <w:pStyle w:val="ListParagraph"/>
        <w:numPr>
          <w:ilvl w:val="0"/>
          <w:numId w:val="10"/>
        </w:numPr>
        <w:rPr>
          <w:rFonts w:asciiTheme="minorHAnsi" w:hAnsiTheme="minorHAnsi" w:cs="Arial"/>
          <w:sz w:val="24"/>
          <w:szCs w:val="24"/>
        </w:rPr>
      </w:pPr>
      <w:r w:rsidRPr="004D28FD">
        <w:rPr>
          <w:rFonts w:asciiTheme="minorHAnsi" w:hAnsiTheme="minorHAnsi" w:cs="Arial"/>
          <w:sz w:val="24"/>
          <w:szCs w:val="24"/>
        </w:rPr>
        <w:t>The current system of means testing in relation to savings and assets needs to be reviewed in line with the means assessment used by the Department of Social Protection;</w:t>
      </w:r>
      <w:r w:rsidR="004D28FD" w:rsidRPr="004D28FD">
        <w:rPr>
          <w:rFonts w:asciiTheme="minorHAnsi" w:hAnsiTheme="minorHAnsi" w:cs="Arial"/>
          <w:sz w:val="24"/>
          <w:szCs w:val="24"/>
        </w:rPr>
        <w:br/>
      </w:r>
    </w:p>
    <w:p w:rsidR="00132618" w:rsidRDefault="004D28FD" w:rsidP="00132618">
      <w:pPr>
        <w:pStyle w:val="ListParagraph"/>
        <w:numPr>
          <w:ilvl w:val="0"/>
          <w:numId w:val="10"/>
        </w:numPr>
        <w:rPr>
          <w:rStyle w:val="user-generated"/>
          <w:b/>
          <w:lang w:val="en"/>
        </w:rPr>
      </w:pPr>
      <w:r w:rsidRPr="00132618">
        <w:rPr>
          <w:rFonts w:asciiTheme="minorHAnsi" w:hAnsiTheme="minorHAnsi" w:cs="Arial"/>
          <w:sz w:val="24"/>
          <w:szCs w:val="24"/>
        </w:rPr>
        <w:t>The availability of therapies for Medical Card holders in nursing homes needs to be reviewed to ensure equal access with those living in the community;</w:t>
      </w:r>
      <w:r w:rsidR="0041401F" w:rsidRPr="0041401F">
        <w:br/>
      </w:r>
    </w:p>
    <w:p w:rsidR="00132618" w:rsidRPr="00132618" w:rsidRDefault="00132618" w:rsidP="00132618">
      <w:pPr>
        <w:rPr>
          <w:rStyle w:val="user-generated"/>
          <w:b/>
          <w:lang w:val="en"/>
        </w:rPr>
      </w:pPr>
      <w:r w:rsidRPr="00132618">
        <w:rPr>
          <w:rStyle w:val="user-generated"/>
          <w:b/>
          <w:lang w:val="en"/>
        </w:rPr>
        <w:t>Overall</w:t>
      </w:r>
      <w:r w:rsidR="00120F58">
        <w:rPr>
          <w:rStyle w:val="user-generated"/>
          <w:b/>
          <w:lang w:val="en"/>
        </w:rPr>
        <w:t xml:space="preserve"> Structure and Focus of Strategic Plan</w:t>
      </w:r>
    </w:p>
    <w:p w:rsidR="0041401F" w:rsidRPr="0041401F" w:rsidRDefault="00132618" w:rsidP="004D28FD">
      <w:r w:rsidRPr="00132618">
        <w:rPr>
          <w:rStyle w:val="user-generated"/>
          <w:lang w:val="en"/>
        </w:rPr>
        <w:t xml:space="preserve">In response to the consultation questions listed, we are of the view </w:t>
      </w:r>
      <w:r>
        <w:rPr>
          <w:rStyle w:val="user-generated"/>
          <w:lang w:val="en"/>
        </w:rPr>
        <w:t xml:space="preserve">the </w:t>
      </w:r>
      <w:r w:rsidRPr="00132618">
        <w:rPr>
          <w:rStyle w:val="user-generated"/>
          <w:lang w:val="en"/>
        </w:rPr>
        <w:t xml:space="preserve">language used </w:t>
      </w:r>
      <w:r>
        <w:rPr>
          <w:rStyle w:val="user-generated"/>
          <w:lang w:val="en"/>
        </w:rPr>
        <w:t xml:space="preserve">is relatively </w:t>
      </w:r>
      <w:r w:rsidRPr="00132618">
        <w:rPr>
          <w:rStyle w:val="user-generated"/>
          <w:lang w:val="en"/>
        </w:rPr>
        <w:t>clear and easy to understand</w:t>
      </w:r>
      <w:r>
        <w:rPr>
          <w:rStyle w:val="user-generated"/>
          <w:lang w:val="en"/>
        </w:rPr>
        <w:t xml:space="preserve"> and is relatively easy to follow</w:t>
      </w:r>
      <w:r w:rsidR="00120F58">
        <w:rPr>
          <w:rStyle w:val="user-generated"/>
          <w:lang w:val="en"/>
        </w:rPr>
        <w:t xml:space="preserve">. However, we believe that </w:t>
      </w:r>
      <w:r>
        <w:rPr>
          <w:rStyle w:val="user-generated"/>
          <w:lang w:val="en"/>
        </w:rPr>
        <w:t xml:space="preserve">the high level focus of the document means that it is not entirely clear how the various components will be reflected in practice.  While the Mission, Values and Goals are easy to understand and </w:t>
      </w:r>
      <w:r w:rsidR="00120F58">
        <w:rPr>
          <w:rStyle w:val="user-generated"/>
          <w:lang w:val="en"/>
        </w:rPr>
        <w:t xml:space="preserve">largely </w:t>
      </w:r>
      <w:r>
        <w:rPr>
          <w:rStyle w:val="user-generated"/>
          <w:lang w:val="en"/>
        </w:rPr>
        <w:t>reflect the service user needs</w:t>
      </w:r>
      <w:r w:rsidR="00120F58">
        <w:rPr>
          <w:rStyle w:val="user-generated"/>
          <w:lang w:val="en"/>
        </w:rPr>
        <w:t xml:space="preserve"> as identified by CIB service delivery partners</w:t>
      </w:r>
      <w:r>
        <w:rPr>
          <w:rStyle w:val="user-generated"/>
          <w:lang w:val="en"/>
        </w:rPr>
        <w:t xml:space="preserve">, it is not clear how broader health policy </w:t>
      </w:r>
      <w:r w:rsidR="00120F58">
        <w:rPr>
          <w:rStyle w:val="user-generated"/>
          <w:lang w:val="en"/>
        </w:rPr>
        <w:t xml:space="preserve">and related budgetary matters </w:t>
      </w:r>
      <w:r>
        <w:rPr>
          <w:rStyle w:val="user-generated"/>
          <w:lang w:val="en"/>
        </w:rPr>
        <w:t>will impact on the NMCU strategic goals. While key aspects of the medical card application process have been covered, the needs of people engaging with the NMCU, as reflected in queries to CISs and CIPS and as outlined in this submission</w:t>
      </w:r>
      <w:r w:rsidR="00120F58">
        <w:rPr>
          <w:rStyle w:val="user-generated"/>
          <w:lang w:val="en"/>
        </w:rPr>
        <w:t>,</w:t>
      </w:r>
      <w:r>
        <w:rPr>
          <w:rStyle w:val="user-generated"/>
          <w:lang w:val="en"/>
        </w:rPr>
        <w:t xml:space="preserve"> may not be fully captured.</w:t>
      </w:r>
    </w:p>
    <w:sectPr w:rsidR="0041401F" w:rsidRPr="0041401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B89" w:rsidRDefault="00B05B89" w:rsidP="0073734A">
      <w:pPr>
        <w:spacing w:after="0" w:line="240" w:lineRule="auto"/>
      </w:pPr>
      <w:r>
        <w:separator/>
      </w:r>
    </w:p>
  </w:endnote>
  <w:endnote w:type="continuationSeparator" w:id="0">
    <w:p w:rsidR="00B05B89" w:rsidRDefault="00B05B89" w:rsidP="0073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5AB" w:rsidRDefault="00B835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664863"/>
      <w:docPartObj>
        <w:docPartGallery w:val="Page Numbers (Bottom of Page)"/>
        <w:docPartUnique/>
      </w:docPartObj>
    </w:sdtPr>
    <w:sdtEndPr>
      <w:rPr>
        <w:noProof/>
      </w:rPr>
    </w:sdtEndPr>
    <w:sdtContent>
      <w:p w:rsidR="0073734A" w:rsidRDefault="0073734A">
        <w:pPr>
          <w:pStyle w:val="Footer"/>
          <w:jc w:val="right"/>
        </w:pPr>
        <w:r>
          <w:fldChar w:fldCharType="begin"/>
        </w:r>
        <w:r>
          <w:instrText xml:space="preserve"> PAGE   \* MERGEFORMAT </w:instrText>
        </w:r>
        <w:r>
          <w:fldChar w:fldCharType="separate"/>
        </w:r>
        <w:r w:rsidR="00B835AB">
          <w:rPr>
            <w:noProof/>
          </w:rPr>
          <w:t>1</w:t>
        </w:r>
        <w:r>
          <w:rPr>
            <w:noProof/>
          </w:rPr>
          <w:fldChar w:fldCharType="end"/>
        </w:r>
      </w:p>
    </w:sdtContent>
  </w:sdt>
  <w:p w:rsidR="0073734A" w:rsidRDefault="007373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5AB" w:rsidRDefault="00B83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B89" w:rsidRDefault="00B05B89" w:rsidP="0073734A">
      <w:pPr>
        <w:spacing w:after="0" w:line="240" w:lineRule="auto"/>
      </w:pPr>
      <w:r>
        <w:separator/>
      </w:r>
    </w:p>
  </w:footnote>
  <w:footnote w:type="continuationSeparator" w:id="0">
    <w:p w:rsidR="00B05B89" w:rsidRDefault="00B05B89" w:rsidP="0073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5AB" w:rsidRDefault="00B835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5AB" w:rsidRDefault="00B835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5AB" w:rsidRDefault="00B835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3D0B"/>
    <w:multiLevelType w:val="hybridMultilevel"/>
    <w:tmpl w:val="F9B66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88422C2"/>
    <w:multiLevelType w:val="hybridMultilevel"/>
    <w:tmpl w:val="39167F5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nsid w:val="38EB5EFB"/>
    <w:multiLevelType w:val="hybridMultilevel"/>
    <w:tmpl w:val="3758BD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49BF7398"/>
    <w:multiLevelType w:val="hybridMultilevel"/>
    <w:tmpl w:val="B4C0D5EA"/>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500" w:hanging="360"/>
      </w:pPr>
      <w:rPr>
        <w:rFonts w:ascii="Courier New" w:hAnsi="Courier New" w:cs="Courier New" w:hint="default"/>
      </w:rPr>
    </w:lvl>
    <w:lvl w:ilvl="2" w:tplc="18090005">
      <w:start w:val="1"/>
      <w:numFmt w:val="bullet"/>
      <w:lvlText w:val=""/>
      <w:lvlJc w:val="left"/>
      <w:pPr>
        <w:ind w:left="2220" w:hanging="360"/>
      </w:pPr>
      <w:rPr>
        <w:rFonts w:ascii="Wingdings" w:hAnsi="Wingdings" w:hint="default"/>
      </w:rPr>
    </w:lvl>
    <w:lvl w:ilvl="3" w:tplc="18090001">
      <w:start w:val="1"/>
      <w:numFmt w:val="bullet"/>
      <w:lvlText w:val=""/>
      <w:lvlJc w:val="left"/>
      <w:pPr>
        <w:ind w:left="2940" w:hanging="360"/>
      </w:pPr>
      <w:rPr>
        <w:rFonts w:ascii="Symbol" w:hAnsi="Symbol" w:hint="default"/>
      </w:rPr>
    </w:lvl>
    <w:lvl w:ilvl="4" w:tplc="18090003">
      <w:start w:val="1"/>
      <w:numFmt w:val="bullet"/>
      <w:lvlText w:val="o"/>
      <w:lvlJc w:val="left"/>
      <w:pPr>
        <w:ind w:left="3660" w:hanging="360"/>
      </w:pPr>
      <w:rPr>
        <w:rFonts w:ascii="Courier New" w:hAnsi="Courier New" w:cs="Courier New" w:hint="default"/>
      </w:rPr>
    </w:lvl>
    <w:lvl w:ilvl="5" w:tplc="18090005">
      <w:start w:val="1"/>
      <w:numFmt w:val="bullet"/>
      <w:lvlText w:val=""/>
      <w:lvlJc w:val="left"/>
      <w:pPr>
        <w:ind w:left="4380" w:hanging="360"/>
      </w:pPr>
      <w:rPr>
        <w:rFonts w:ascii="Wingdings" w:hAnsi="Wingdings" w:hint="default"/>
      </w:rPr>
    </w:lvl>
    <w:lvl w:ilvl="6" w:tplc="18090001">
      <w:start w:val="1"/>
      <w:numFmt w:val="bullet"/>
      <w:lvlText w:val=""/>
      <w:lvlJc w:val="left"/>
      <w:pPr>
        <w:ind w:left="5100" w:hanging="360"/>
      </w:pPr>
      <w:rPr>
        <w:rFonts w:ascii="Symbol" w:hAnsi="Symbol" w:hint="default"/>
      </w:rPr>
    </w:lvl>
    <w:lvl w:ilvl="7" w:tplc="18090003">
      <w:start w:val="1"/>
      <w:numFmt w:val="bullet"/>
      <w:lvlText w:val="o"/>
      <w:lvlJc w:val="left"/>
      <w:pPr>
        <w:ind w:left="5820" w:hanging="360"/>
      </w:pPr>
      <w:rPr>
        <w:rFonts w:ascii="Courier New" w:hAnsi="Courier New" w:cs="Courier New" w:hint="default"/>
      </w:rPr>
    </w:lvl>
    <w:lvl w:ilvl="8" w:tplc="18090005">
      <w:start w:val="1"/>
      <w:numFmt w:val="bullet"/>
      <w:lvlText w:val=""/>
      <w:lvlJc w:val="left"/>
      <w:pPr>
        <w:ind w:left="6540" w:hanging="360"/>
      </w:pPr>
      <w:rPr>
        <w:rFonts w:ascii="Wingdings" w:hAnsi="Wingdings" w:hint="default"/>
      </w:rPr>
    </w:lvl>
  </w:abstractNum>
  <w:abstractNum w:abstractNumId="4">
    <w:nsid w:val="4D602BAD"/>
    <w:multiLevelType w:val="hybridMultilevel"/>
    <w:tmpl w:val="75EAEE0C"/>
    <w:lvl w:ilvl="0" w:tplc="132E13CC">
      <w:start w:val="1"/>
      <w:numFmt w:val="lowerLetter"/>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5">
    <w:nsid w:val="55F60AC6"/>
    <w:multiLevelType w:val="hybridMultilevel"/>
    <w:tmpl w:val="DF24F3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E4A5271"/>
    <w:multiLevelType w:val="hybridMultilevel"/>
    <w:tmpl w:val="EA1E3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103426E"/>
    <w:multiLevelType w:val="hybridMultilevel"/>
    <w:tmpl w:val="65422E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nsid w:val="7ADE6852"/>
    <w:multiLevelType w:val="hybridMultilevel"/>
    <w:tmpl w:val="A9E8D96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8"/>
  </w:num>
  <w:num w:numId="8">
    <w:abstractNumId w:val="2"/>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FE"/>
    <w:rsid w:val="000241C9"/>
    <w:rsid w:val="00120F58"/>
    <w:rsid w:val="00132618"/>
    <w:rsid w:val="0018386F"/>
    <w:rsid w:val="00231DAB"/>
    <w:rsid w:val="002D6702"/>
    <w:rsid w:val="0033593B"/>
    <w:rsid w:val="0041401F"/>
    <w:rsid w:val="004C1423"/>
    <w:rsid w:val="004D28FD"/>
    <w:rsid w:val="00521E06"/>
    <w:rsid w:val="00566149"/>
    <w:rsid w:val="005A1449"/>
    <w:rsid w:val="005D023A"/>
    <w:rsid w:val="005F0D60"/>
    <w:rsid w:val="00651037"/>
    <w:rsid w:val="0066620A"/>
    <w:rsid w:val="0073734A"/>
    <w:rsid w:val="00830A12"/>
    <w:rsid w:val="008B5541"/>
    <w:rsid w:val="009516AE"/>
    <w:rsid w:val="00B05B89"/>
    <w:rsid w:val="00B835AB"/>
    <w:rsid w:val="00C13BDE"/>
    <w:rsid w:val="00C35F17"/>
    <w:rsid w:val="00CC1AB6"/>
    <w:rsid w:val="00CF6DF5"/>
    <w:rsid w:val="00D07CCD"/>
    <w:rsid w:val="00D87FC3"/>
    <w:rsid w:val="00DF76FE"/>
    <w:rsid w:val="00EC430A"/>
    <w:rsid w:val="00F57D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8B5541"/>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6AE"/>
    <w:pPr>
      <w:spacing w:after="150" w:line="240" w:lineRule="auto"/>
    </w:pPr>
    <w:rPr>
      <w:rFonts w:ascii="Times New Roman" w:eastAsia="Times New Roman" w:hAnsi="Times New Roman" w:cs="Times New Roman"/>
      <w:sz w:val="24"/>
      <w:szCs w:val="24"/>
      <w:lang w:eastAsia="en-IE"/>
    </w:rPr>
  </w:style>
  <w:style w:type="character" w:customStyle="1" w:styleId="user-generated">
    <w:name w:val="user-generated"/>
    <w:basedOn w:val="DefaultParagraphFont"/>
    <w:rsid w:val="005D023A"/>
  </w:style>
  <w:style w:type="character" w:customStyle="1" w:styleId="Heading2Char">
    <w:name w:val="Heading 2 Char"/>
    <w:basedOn w:val="DefaultParagraphFont"/>
    <w:link w:val="Heading2"/>
    <w:uiPriority w:val="9"/>
    <w:semiHidden/>
    <w:rsid w:val="008B5541"/>
    <w:rPr>
      <w:rFonts w:ascii="Times New Roman" w:eastAsia="Times New Roman" w:hAnsi="Times New Roman" w:cs="Times New Roman"/>
      <w:b/>
      <w:bCs/>
      <w:sz w:val="36"/>
      <w:szCs w:val="36"/>
      <w:lang w:eastAsia="en-IE"/>
    </w:rPr>
  </w:style>
  <w:style w:type="paragraph" w:styleId="ListParagraph">
    <w:name w:val="List Paragraph"/>
    <w:basedOn w:val="Normal"/>
    <w:uiPriority w:val="34"/>
    <w:qFormat/>
    <w:rsid w:val="008B5541"/>
    <w:pPr>
      <w:ind w:left="720"/>
      <w:contextualSpacing/>
    </w:pPr>
    <w:rPr>
      <w:rFonts w:ascii="Calibri" w:eastAsia="Calibri" w:hAnsi="Calibri" w:cs="Times New Roman"/>
    </w:rPr>
  </w:style>
  <w:style w:type="paragraph" w:styleId="Header">
    <w:name w:val="header"/>
    <w:basedOn w:val="Normal"/>
    <w:link w:val="HeaderChar"/>
    <w:uiPriority w:val="99"/>
    <w:unhideWhenUsed/>
    <w:rsid w:val="0073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34A"/>
  </w:style>
  <w:style w:type="paragraph" w:styleId="Footer">
    <w:name w:val="footer"/>
    <w:basedOn w:val="Normal"/>
    <w:link w:val="FooterChar"/>
    <w:uiPriority w:val="99"/>
    <w:unhideWhenUsed/>
    <w:rsid w:val="0073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34A"/>
  </w:style>
  <w:style w:type="paragraph" w:styleId="FootnoteText">
    <w:name w:val="footnote text"/>
    <w:basedOn w:val="Normal"/>
    <w:link w:val="FootnoteTextChar"/>
    <w:uiPriority w:val="99"/>
    <w:semiHidden/>
    <w:unhideWhenUsed/>
    <w:rsid w:val="004C142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C1423"/>
    <w:rPr>
      <w:rFonts w:ascii="Calibri" w:eastAsia="Calibri" w:hAnsi="Calibri" w:cs="Times New Roman"/>
      <w:sz w:val="20"/>
      <w:szCs w:val="20"/>
    </w:rPr>
  </w:style>
  <w:style w:type="character" w:styleId="FootnoteReference">
    <w:name w:val="footnote reference"/>
    <w:uiPriority w:val="99"/>
    <w:semiHidden/>
    <w:unhideWhenUsed/>
    <w:rsid w:val="004C1423"/>
    <w:rPr>
      <w:vertAlign w:val="superscript"/>
    </w:rPr>
  </w:style>
  <w:style w:type="paragraph" w:styleId="BalloonText">
    <w:name w:val="Balloon Text"/>
    <w:basedOn w:val="Normal"/>
    <w:link w:val="BalloonTextChar"/>
    <w:uiPriority w:val="99"/>
    <w:semiHidden/>
    <w:unhideWhenUsed/>
    <w:rsid w:val="00830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A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8B5541"/>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6AE"/>
    <w:pPr>
      <w:spacing w:after="150" w:line="240" w:lineRule="auto"/>
    </w:pPr>
    <w:rPr>
      <w:rFonts w:ascii="Times New Roman" w:eastAsia="Times New Roman" w:hAnsi="Times New Roman" w:cs="Times New Roman"/>
      <w:sz w:val="24"/>
      <w:szCs w:val="24"/>
      <w:lang w:eastAsia="en-IE"/>
    </w:rPr>
  </w:style>
  <w:style w:type="character" w:customStyle="1" w:styleId="user-generated">
    <w:name w:val="user-generated"/>
    <w:basedOn w:val="DefaultParagraphFont"/>
    <w:rsid w:val="005D023A"/>
  </w:style>
  <w:style w:type="character" w:customStyle="1" w:styleId="Heading2Char">
    <w:name w:val="Heading 2 Char"/>
    <w:basedOn w:val="DefaultParagraphFont"/>
    <w:link w:val="Heading2"/>
    <w:uiPriority w:val="9"/>
    <w:semiHidden/>
    <w:rsid w:val="008B5541"/>
    <w:rPr>
      <w:rFonts w:ascii="Times New Roman" w:eastAsia="Times New Roman" w:hAnsi="Times New Roman" w:cs="Times New Roman"/>
      <w:b/>
      <w:bCs/>
      <w:sz w:val="36"/>
      <w:szCs w:val="36"/>
      <w:lang w:eastAsia="en-IE"/>
    </w:rPr>
  </w:style>
  <w:style w:type="paragraph" w:styleId="ListParagraph">
    <w:name w:val="List Paragraph"/>
    <w:basedOn w:val="Normal"/>
    <w:uiPriority w:val="34"/>
    <w:qFormat/>
    <w:rsid w:val="008B5541"/>
    <w:pPr>
      <w:ind w:left="720"/>
      <w:contextualSpacing/>
    </w:pPr>
    <w:rPr>
      <w:rFonts w:ascii="Calibri" w:eastAsia="Calibri" w:hAnsi="Calibri" w:cs="Times New Roman"/>
    </w:rPr>
  </w:style>
  <w:style w:type="paragraph" w:styleId="Header">
    <w:name w:val="header"/>
    <w:basedOn w:val="Normal"/>
    <w:link w:val="HeaderChar"/>
    <w:uiPriority w:val="99"/>
    <w:unhideWhenUsed/>
    <w:rsid w:val="0073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34A"/>
  </w:style>
  <w:style w:type="paragraph" w:styleId="Footer">
    <w:name w:val="footer"/>
    <w:basedOn w:val="Normal"/>
    <w:link w:val="FooterChar"/>
    <w:uiPriority w:val="99"/>
    <w:unhideWhenUsed/>
    <w:rsid w:val="0073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34A"/>
  </w:style>
  <w:style w:type="paragraph" w:styleId="FootnoteText">
    <w:name w:val="footnote text"/>
    <w:basedOn w:val="Normal"/>
    <w:link w:val="FootnoteTextChar"/>
    <w:uiPriority w:val="99"/>
    <w:semiHidden/>
    <w:unhideWhenUsed/>
    <w:rsid w:val="004C1423"/>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C1423"/>
    <w:rPr>
      <w:rFonts w:ascii="Calibri" w:eastAsia="Calibri" w:hAnsi="Calibri" w:cs="Times New Roman"/>
      <w:sz w:val="20"/>
      <w:szCs w:val="20"/>
    </w:rPr>
  </w:style>
  <w:style w:type="character" w:styleId="FootnoteReference">
    <w:name w:val="footnote reference"/>
    <w:uiPriority w:val="99"/>
    <w:semiHidden/>
    <w:unhideWhenUsed/>
    <w:rsid w:val="004C1423"/>
    <w:rPr>
      <w:vertAlign w:val="superscript"/>
    </w:rPr>
  </w:style>
  <w:style w:type="paragraph" w:styleId="BalloonText">
    <w:name w:val="Balloon Text"/>
    <w:basedOn w:val="Normal"/>
    <w:link w:val="BalloonTextChar"/>
    <w:uiPriority w:val="99"/>
    <w:semiHidden/>
    <w:unhideWhenUsed/>
    <w:rsid w:val="00830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A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0931">
      <w:bodyDiv w:val="1"/>
      <w:marLeft w:val="0"/>
      <w:marRight w:val="0"/>
      <w:marTop w:val="0"/>
      <w:marBottom w:val="0"/>
      <w:divBdr>
        <w:top w:val="none" w:sz="0" w:space="0" w:color="auto"/>
        <w:left w:val="none" w:sz="0" w:space="0" w:color="auto"/>
        <w:bottom w:val="none" w:sz="0" w:space="0" w:color="auto"/>
        <w:right w:val="none" w:sz="0" w:space="0" w:color="auto"/>
      </w:divBdr>
    </w:div>
    <w:div w:id="417794350">
      <w:bodyDiv w:val="1"/>
      <w:marLeft w:val="0"/>
      <w:marRight w:val="0"/>
      <w:marTop w:val="0"/>
      <w:marBottom w:val="0"/>
      <w:divBdr>
        <w:top w:val="none" w:sz="0" w:space="0" w:color="auto"/>
        <w:left w:val="none" w:sz="0" w:space="0" w:color="auto"/>
        <w:bottom w:val="none" w:sz="0" w:space="0" w:color="auto"/>
        <w:right w:val="none" w:sz="0" w:space="0" w:color="auto"/>
      </w:divBdr>
    </w:div>
    <w:div w:id="631322705">
      <w:bodyDiv w:val="1"/>
      <w:marLeft w:val="0"/>
      <w:marRight w:val="0"/>
      <w:marTop w:val="0"/>
      <w:marBottom w:val="0"/>
      <w:divBdr>
        <w:top w:val="none" w:sz="0" w:space="0" w:color="auto"/>
        <w:left w:val="none" w:sz="0" w:space="0" w:color="auto"/>
        <w:bottom w:val="none" w:sz="0" w:space="0" w:color="auto"/>
        <w:right w:val="none" w:sz="0" w:space="0" w:color="auto"/>
      </w:divBdr>
    </w:div>
    <w:div w:id="656689609">
      <w:bodyDiv w:val="1"/>
      <w:marLeft w:val="0"/>
      <w:marRight w:val="0"/>
      <w:marTop w:val="0"/>
      <w:marBottom w:val="0"/>
      <w:divBdr>
        <w:top w:val="none" w:sz="0" w:space="0" w:color="auto"/>
        <w:left w:val="none" w:sz="0" w:space="0" w:color="auto"/>
        <w:bottom w:val="none" w:sz="0" w:space="0" w:color="auto"/>
        <w:right w:val="none" w:sz="0" w:space="0" w:color="auto"/>
      </w:divBdr>
    </w:div>
    <w:div w:id="915473889">
      <w:bodyDiv w:val="1"/>
      <w:marLeft w:val="0"/>
      <w:marRight w:val="0"/>
      <w:marTop w:val="0"/>
      <w:marBottom w:val="0"/>
      <w:divBdr>
        <w:top w:val="none" w:sz="0" w:space="0" w:color="auto"/>
        <w:left w:val="none" w:sz="0" w:space="0" w:color="auto"/>
        <w:bottom w:val="none" w:sz="0" w:space="0" w:color="auto"/>
        <w:right w:val="none" w:sz="0" w:space="0" w:color="auto"/>
      </w:divBdr>
      <w:divsChild>
        <w:div w:id="1564831710">
          <w:marLeft w:val="0"/>
          <w:marRight w:val="0"/>
          <w:marTop w:val="0"/>
          <w:marBottom w:val="0"/>
          <w:divBdr>
            <w:top w:val="none" w:sz="0" w:space="0" w:color="auto"/>
            <w:left w:val="none" w:sz="0" w:space="0" w:color="auto"/>
            <w:bottom w:val="none" w:sz="0" w:space="0" w:color="auto"/>
            <w:right w:val="none" w:sz="0" w:space="0" w:color="auto"/>
          </w:divBdr>
          <w:divsChild>
            <w:div w:id="1878011042">
              <w:marLeft w:val="0"/>
              <w:marRight w:val="0"/>
              <w:marTop w:val="0"/>
              <w:marBottom w:val="0"/>
              <w:divBdr>
                <w:top w:val="none" w:sz="0" w:space="0" w:color="auto"/>
                <w:left w:val="none" w:sz="0" w:space="0" w:color="auto"/>
                <w:bottom w:val="none" w:sz="0" w:space="0" w:color="auto"/>
                <w:right w:val="none" w:sz="0" w:space="0" w:color="auto"/>
              </w:divBdr>
              <w:divsChild>
                <w:div w:id="481123317">
                  <w:marLeft w:val="0"/>
                  <w:marRight w:val="0"/>
                  <w:marTop w:val="0"/>
                  <w:marBottom w:val="0"/>
                  <w:divBdr>
                    <w:top w:val="none" w:sz="0" w:space="0" w:color="auto"/>
                    <w:left w:val="none" w:sz="0" w:space="0" w:color="auto"/>
                    <w:bottom w:val="none" w:sz="0" w:space="0" w:color="auto"/>
                    <w:right w:val="none" w:sz="0" w:space="0" w:color="auto"/>
                  </w:divBdr>
                  <w:divsChild>
                    <w:div w:id="120929151">
                      <w:marLeft w:val="-225"/>
                      <w:marRight w:val="-225"/>
                      <w:marTop w:val="0"/>
                      <w:marBottom w:val="0"/>
                      <w:divBdr>
                        <w:top w:val="none" w:sz="0" w:space="0" w:color="auto"/>
                        <w:left w:val="none" w:sz="0" w:space="0" w:color="auto"/>
                        <w:bottom w:val="none" w:sz="0" w:space="0" w:color="auto"/>
                        <w:right w:val="none" w:sz="0" w:space="0" w:color="auto"/>
                      </w:divBdr>
                      <w:divsChild>
                        <w:div w:id="558592118">
                          <w:marLeft w:val="0"/>
                          <w:marRight w:val="0"/>
                          <w:marTop w:val="0"/>
                          <w:marBottom w:val="0"/>
                          <w:divBdr>
                            <w:top w:val="none" w:sz="0" w:space="0" w:color="auto"/>
                            <w:left w:val="none" w:sz="0" w:space="0" w:color="auto"/>
                            <w:bottom w:val="none" w:sz="0" w:space="0" w:color="auto"/>
                            <w:right w:val="none" w:sz="0" w:space="0" w:color="auto"/>
                          </w:divBdr>
                          <w:divsChild>
                            <w:div w:id="4635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265555">
      <w:bodyDiv w:val="1"/>
      <w:marLeft w:val="0"/>
      <w:marRight w:val="0"/>
      <w:marTop w:val="0"/>
      <w:marBottom w:val="0"/>
      <w:divBdr>
        <w:top w:val="none" w:sz="0" w:space="0" w:color="auto"/>
        <w:left w:val="none" w:sz="0" w:space="0" w:color="auto"/>
        <w:bottom w:val="none" w:sz="0" w:space="0" w:color="auto"/>
        <w:right w:val="none" w:sz="0" w:space="0" w:color="auto"/>
      </w:divBdr>
    </w:div>
    <w:div w:id="1002776788">
      <w:bodyDiv w:val="1"/>
      <w:marLeft w:val="0"/>
      <w:marRight w:val="0"/>
      <w:marTop w:val="0"/>
      <w:marBottom w:val="0"/>
      <w:divBdr>
        <w:top w:val="none" w:sz="0" w:space="0" w:color="auto"/>
        <w:left w:val="none" w:sz="0" w:space="0" w:color="auto"/>
        <w:bottom w:val="none" w:sz="0" w:space="0" w:color="auto"/>
        <w:right w:val="none" w:sz="0" w:space="0" w:color="auto"/>
      </w:divBdr>
    </w:div>
    <w:div w:id="1054892994">
      <w:bodyDiv w:val="1"/>
      <w:marLeft w:val="0"/>
      <w:marRight w:val="0"/>
      <w:marTop w:val="0"/>
      <w:marBottom w:val="0"/>
      <w:divBdr>
        <w:top w:val="none" w:sz="0" w:space="0" w:color="auto"/>
        <w:left w:val="none" w:sz="0" w:space="0" w:color="auto"/>
        <w:bottom w:val="none" w:sz="0" w:space="0" w:color="auto"/>
        <w:right w:val="none" w:sz="0" w:space="0" w:color="auto"/>
      </w:divBdr>
    </w:div>
    <w:div w:id="1057315433">
      <w:bodyDiv w:val="1"/>
      <w:marLeft w:val="0"/>
      <w:marRight w:val="0"/>
      <w:marTop w:val="0"/>
      <w:marBottom w:val="0"/>
      <w:divBdr>
        <w:top w:val="none" w:sz="0" w:space="0" w:color="auto"/>
        <w:left w:val="none" w:sz="0" w:space="0" w:color="auto"/>
        <w:bottom w:val="none" w:sz="0" w:space="0" w:color="auto"/>
        <w:right w:val="none" w:sz="0" w:space="0" w:color="auto"/>
      </w:divBdr>
    </w:div>
    <w:div w:id="1062674880">
      <w:bodyDiv w:val="1"/>
      <w:marLeft w:val="0"/>
      <w:marRight w:val="0"/>
      <w:marTop w:val="0"/>
      <w:marBottom w:val="0"/>
      <w:divBdr>
        <w:top w:val="none" w:sz="0" w:space="0" w:color="auto"/>
        <w:left w:val="none" w:sz="0" w:space="0" w:color="auto"/>
        <w:bottom w:val="none" w:sz="0" w:space="0" w:color="auto"/>
        <w:right w:val="none" w:sz="0" w:space="0" w:color="auto"/>
      </w:divBdr>
    </w:div>
    <w:div w:id="1310398189">
      <w:bodyDiv w:val="1"/>
      <w:marLeft w:val="0"/>
      <w:marRight w:val="0"/>
      <w:marTop w:val="0"/>
      <w:marBottom w:val="0"/>
      <w:divBdr>
        <w:top w:val="none" w:sz="0" w:space="0" w:color="auto"/>
        <w:left w:val="none" w:sz="0" w:space="0" w:color="auto"/>
        <w:bottom w:val="none" w:sz="0" w:space="0" w:color="auto"/>
        <w:right w:val="none" w:sz="0" w:space="0" w:color="auto"/>
      </w:divBdr>
    </w:div>
    <w:div w:id="1371373237">
      <w:bodyDiv w:val="1"/>
      <w:marLeft w:val="0"/>
      <w:marRight w:val="0"/>
      <w:marTop w:val="0"/>
      <w:marBottom w:val="0"/>
      <w:divBdr>
        <w:top w:val="none" w:sz="0" w:space="0" w:color="auto"/>
        <w:left w:val="none" w:sz="0" w:space="0" w:color="auto"/>
        <w:bottom w:val="none" w:sz="0" w:space="0" w:color="auto"/>
        <w:right w:val="none" w:sz="0" w:space="0" w:color="auto"/>
      </w:divBdr>
    </w:div>
    <w:div w:id="1382708806">
      <w:bodyDiv w:val="1"/>
      <w:marLeft w:val="0"/>
      <w:marRight w:val="0"/>
      <w:marTop w:val="0"/>
      <w:marBottom w:val="0"/>
      <w:divBdr>
        <w:top w:val="none" w:sz="0" w:space="0" w:color="auto"/>
        <w:left w:val="none" w:sz="0" w:space="0" w:color="auto"/>
        <w:bottom w:val="none" w:sz="0" w:space="0" w:color="auto"/>
        <w:right w:val="none" w:sz="0" w:space="0" w:color="auto"/>
      </w:divBdr>
    </w:div>
    <w:div w:id="1639870139">
      <w:bodyDiv w:val="1"/>
      <w:marLeft w:val="0"/>
      <w:marRight w:val="0"/>
      <w:marTop w:val="0"/>
      <w:marBottom w:val="0"/>
      <w:divBdr>
        <w:top w:val="none" w:sz="0" w:space="0" w:color="auto"/>
        <w:left w:val="none" w:sz="0" w:space="0" w:color="auto"/>
        <w:bottom w:val="none" w:sz="0" w:space="0" w:color="auto"/>
        <w:right w:val="none" w:sz="0" w:space="0" w:color="auto"/>
      </w:divBdr>
    </w:div>
    <w:div w:id="19838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7351</Characters>
  <Application>Microsoft Office Word</Application>
  <DocSecurity>0</DocSecurity>
  <Lines>61</Lines>
  <Paragraphs>17</Paragraphs>
  <ScaleCrop>false</ScaleCrop>
  <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2016-05-12T08:24:00Z</dcterms:created>
  <dcterms:modified xsi:type="dcterms:W3CDTF">2016-05-12T08:24:00Z</dcterms:modified>
</cp:coreProperties>
</file>