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81" w:rsidRDefault="00134C81" w:rsidP="00245BAC">
      <w:pPr>
        <w:pStyle w:val="Heading1"/>
      </w:pPr>
      <w:bookmarkStart w:id="0" w:name="_GoBack"/>
      <w:bookmarkEnd w:id="0"/>
    </w:p>
    <w:p w:rsidR="00AB5B37" w:rsidRDefault="00AB5B37" w:rsidP="00AB5B37"/>
    <w:p w:rsidR="00AB5B37" w:rsidRDefault="00AB5B37" w:rsidP="00AB5B37"/>
    <w:p w:rsidR="00AB5B37" w:rsidRDefault="00AB5B37" w:rsidP="00AB5B37"/>
    <w:p w:rsidR="00DC16C1" w:rsidRDefault="00DC16C1" w:rsidP="00AB5B37"/>
    <w:p w:rsidR="00DC16C1" w:rsidRPr="00AB5B37" w:rsidRDefault="00DC16C1" w:rsidP="00AB5B37"/>
    <w:p w:rsidR="00AB5B37" w:rsidRPr="00AB5B37" w:rsidRDefault="00AB5B37" w:rsidP="00AB5B37">
      <w:pPr>
        <w:pStyle w:val="Heading2"/>
        <w:spacing w:line="360" w:lineRule="auto"/>
        <w:jc w:val="center"/>
        <w:rPr>
          <w:rFonts w:ascii="Tw Cen MT" w:hAnsi="Tw Cen MT"/>
          <w:b w:val="0"/>
          <w:color w:val="548DD4" w:themeColor="text2" w:themeTint="99"/>
          <w:sz w:val="72"/>
          <w:szCs w:val="72"/>
        </w:rPr>
      </w:pPr>
      <w:r w:rsidRPr="00AB5B37">
        <w:rPr>
          <w:rFonts w:ascii="Tw Cen MT" w:hAnsi="Tw Cen MT"/>
          <w:b w:val="0"/>
          <w:color w:val="548DD4" w:themeColor="text2" w:themeTint="99"/>
          <w:sz w:val="72"/>
          <w:szCs w:val="72"/>
        </w:rPr>
        <w:t>B</w:t>
      </w:r>
      <w:r>
        <w:rPr>
          <w:rFonts w:ascii="Tw Cen MT" w:hAnsi="Tw Cen MT"/>
          <w:b w:val="0"/>
          <w:color w:val="548DD4" w:themeColor="text2" w:themeTint="99"/>
          <w:sz w:val="72"/>
          <w:szCs w:val="72"/>
        </w:rPr>
        <w:t>ARELY GETTING BY</w:t>
      </w:r>
    </w:p>
    <w:p w:rsidR="00AB5B37" w:rsidRDefault="00AB5B37" w:rsidP="00AB5B37">
      <w:pPr>
        <w:pStyle w:val="Heading2"/>
        <w:spacing w:line="360" w:lineRule="auto"/>
        <w:jc w:val="center"/>
        <w:rPr>
          <w:rFonts w:ascii="Tw Cen MT" w:hAnsi="Tw Cen MT"/>
          <w:sz w:val="36"/>
          <w:szCs w:val="36"/>
        </w:rPr>
      </w:pPr>
      <w:r w:rsidRPr="00D37E7D">
        <w:rPr>
          <w:rFonts w:ascii="Tw Cen MT" w:eastAsia="Tw Cen MT" w:hAnsi="Tw Cen MT"/>
          <w:lang w:val="en-IE" w:eastAsia="en-IE"/>
        </w:rPr>
        <w:drawing>
          <wp:inline distT="0" distB="0" distL="0" distR="0" wp14:anchorId="3A5F9ED4" wp14:editId="015D0FF3">
            <wp:extent cx="4899660"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99660" cy="3390900"/>
                    </a:xfrm>
                    <a:prstGeom prst="rect">
                      <a:avLst/>
                    </a:prstGeom>
                  </pic:spPr>
                </pic:pic>
              </a:graphicData>
            </a:graphic>
          </wp:inline>
        </w:drawing>
      </w:r>
    </w:p>
    <w:p w:rsidR="00AB5B37" w:rsidRPr="009A6DE9" w:rsidRDefault="00AB5B37" w:rsidP="00AB5B37">
      <w:pPr>
        <w:pStyle w:val="Heading2"/>
        <w:spacing w:line="360" w:lineRule="auto"/>
        <w:jc w:val="center"/>
        <w:rPr>
          <w:rFonts w:ascii="Tw Cen MT" w:hAnsi="Tw Cen MT"/>
          <w:b w:val="0"/>
          <w:color w:val="548DD4" w:themeColor="text2" w:themeTint="99"/>
          <w:sz w:val="72"/>
          <w:szCs w:val="72"/>
        </w:rPr>
      </w:pPr>
      <w:r w:rsidRPr="009A6DE9">
        <w:rPr>
          <w:rFonts w:ascii="Tw Cen MT" w:hAnsi="Tw Cen MT"/>
          <w:b w:val="0"/>
          <w:color w:val="548DD4" w:themeColor="text2" w:themeTint="99"/>
          <w:sz w:val="72"/>
          <w:szCs w:val="72"/>
        </w:rPr>
        <w:t>Pre-Budget Submission 2019</w:t>
      </w:r>
    </w:p>
    <w:p w:rsidR="00AB5B37" w:rsidRDefault="00AB5B37" w:rsidP="00EC49F4">
      <w:pPr>
        <w:pStyle w:val="Heading2"/>
        <w:spacing w:line="360" w:lineRule="auto"/>
        <w:rPr>
          <w:rFonts w:ascii="Tw Cen MT" w:hAnsi="Tw Cen MT"/>
          <w:sz w:val="36"/>
          <w:szCs w:val="36"/>
        </w:rPr>
      </w:pPr>
    </w:p>
    <w:p w:rsidR="00AB5B37" w:rsidRDefault="00AB5B37" w:rsidP="00EC49F4">
      <w:pPr>
        <w:pStyle w:val="Heading2"/>
        <w:spacing w:line="360" w:lineRule="auto"/>
        <w:rPr>
          <w:rFonts w:ascii="Tw Cen MT" w:hAnsi="Tw Cen MT"/>
          <w:sz w:val="36"/>
          <w:szCs w:val="36"/>
        </w:rPr>
      </w:pPr>
    </w:p>
    <w:p w:rsidR="00AB5B37" w:rsidRDefault="00AB5B37" w:rsidP="00EC49F4">
      <w:pPr>
        <w:pStyle w:val="Heading2"/>
        <w:spacing w:line="360" w:lineRule="auto"/>
        <w:rPr>
          <w:rFonts w:ascii="Tw Cen MT" w:hAnsi="Tw Cen MT"/>
          <w:sz w:val="36"/>
          <w:szCs w:val="36"/>
        </w:rPr>
      </w:pPr>
    </w:p>
    <w:p w:rsidR="00AB5B37" w:rsidRDefault="00AB5B37" w:rsidP="00EC49F4">
      <w:pPr>
        <w:pStyle w:val="Heading2"/>
        <w:spacing w:line="360" w:lineRule="auto"/>
        <w:rPr>
          <w:rFonts w:ascii="Tw Cen MT" w:hAnsi="Tw Cen MT"/>
          <w:sz w:val="36"/>
          <w:szCs w:val="36"/>
        </w:rPr>
      </w:pPr>
    </w:p>
    <w:p w:rsidR="00B44A3C" w:rsidRPr="00EC49F4" w:rsidRDefault="00B44A3C" w:rsidP="00EC49F4">
      <w:pPr>
        <w:pStyle w:val="Heading2"/>
        <w:spacing w:line="360" w:lineRule="auto"/>
        <w:rPr>
          <w:rFonts w:ascii="Tw Cen MT" w:hAnsi="Tw Cen MT"/>
          <w:sz w:val="36"/>
          <w:szCs w:val="36"/>
        </w:rPr>
      </w:pPr>
      <w:r w:rsidRPr="00EC49F4">
        <w:rPr>
          <w:rFonts w:ascii="Tw Cen MT" w:hAnsi="Tw Cen MT"/>
          <w:sz w:val="36"/>
          <w:szCs w:val="36"/>
        </w:rPr>
        <w:lastRenderedPageBreak/>
        <w:t>Introduction</w:t>
      </w:r>
    </w:p>
    <w:p w:rsidR="00513A0B" w:rsidRPr="00EC49F4" w:rsidRDefault="00B44A3C" w:rsidP="00EC49F4">
      <w:pPr>
        <w:autoSpaceDE w:val="0"/>
        <w:autoSpaceDN w:val="0"/>
        <w:adjustRightInd w:val="0"/>
        <w:spacing w:after="0" w:line="360" w:lineRule="auto"/>
        <w:rPr>
          <w:rFonts w:ascii="Tw Cen MT" w:hAnsi="Tw Cen MT"/>
          <w:sz w:val="24"/>
          <w:szCs w:val="24"/>
        </w:rPr>
      </w:pPr>
      <w:r w:rsidRPr="00EC49F4">
        <w:rPr>
          <w:rFonts w:ascii="Tw Cen MT" w:hAnsi="Tw Cen MT"/>
          <w:sz w:val="24"/>
          <w:szCs w:val="24"/>
        </w:rPr>
        <w:t xml:space="preserve">Every day, Citizens Information Board-funded delivery services assist thousands of people to access a wide range of social, public and financial services through the provision of information, advocacy and money advice. During 2017, these frontline services met the information and advocacy needs of a significant proportion of the Irish population – </w:t>
      </w:r>
      <w:r w:rsidR="00863E36" w:rsidRPr="00EC49F4">
        <w:rPr>
          <w:rFonts w:ascii="Tw Cen MT" w:hAnsi="Tw Cen MT"/>
          <w:sz w:val="24"/>
          <w:szCs w:val="24"/>
        </w:rPr>
        <w:t>with a combined total of over 77</w:t>
      </w:r>
      <w:r w:rsidRPr="00EC49F4">
        <w:rPr>
          <w:rFonts w:ascii="Tw Cen MT" w:hAnsi="Tw Cen MT"/>
          <w:sz w:val="24"/>
          <w:szCs w:val="24"/>
        </w:rPr>
        <w:t>0,000 people accessing Citizens Information</w:t>
      </w:r>
      <w:r w:rsidR="007F12F7" w:rsidRPr="00EC49F4">
        <w:rPr>
          <w:rFonts w:ascii="Tw Cen MT" w:hAnsi="Tw Cen MT"/>
          <w:sz w:val="24"/>
          <w:szCs w:val="24"/>
        </w:rPr>
        <w:t xml:space="preserve"> Services</w:t>
      </w:r>
      <w:r w:rsidRPr="00EC49F4">
        <w:rPr>
          <w:rFonts w:ascii="Tw Cen MT" w:hAnsi="Tw Cen MT"/>
          <w:sz w:val="24"/>
          <w:szCs w:val="24"/>
        </w:rPr>
        <w:t xml:space="preserve">, MABS </w:t>
      </w:r>
      <w:r w:rsidR="00B7668B" w:rsidRPr="00EC49F4">
        <w:rPr>
          <w:rFonts w:ascii="Tw Cen MT" w:hAnsi="Tw Cen MT"/>
          <w:sz w:val="24"/>
          <w:szCs w:val="24"/>
        </w:rPr>
        <w:t xml:space="preserve">services, </w:t>
      </w:r>
      <w:r w:rsidRPr="00EC49F4">
        <w:rPr>
          <w:rFonts w:ascii="Tw Cen MT" w:hAnsi="Tw Cen MT"/>
          <w:sz w:val="24"/>
          <w:szCs w:val="24"/>
        </w:rPr>
        <w:t xml:space="preserve">the national </w:t>
      </w:r>
      <w:r w:rsidR="0073483D" w:rsidRPr="00EC49F4">
        <w:rPr>
          <w:rFonts w:ascii="Tw Cen MT" w:hAnsi="Tw Cen MT"/>
          <w:sz w:val="24"/>
          <w:szCs w:val="24"/>
        </w:rPr>
        <w:t>Citizens Information P</w:t>
      </w:r>
      <w:r w:rsidRPr="00EC49F4">
        <w:rPr>
          <w:rFonts w:ascii="Tw Cen MT" w:hAnsi="Tw Cen MT"/>
          <w:sz w:val="24"/>
          <w:szCs w:val="24"/>
        </w:rPr>
        <w:t xml:space="preserve">hone </w:t>
      </w:r>
      <w:r w:rsidR="00834F58" w:rsidRPr="00EC49F4">
        <w:rPr>
          <w:rFonts w:ascii="Tw Cen MT" w:hAnsi="Tw Cen MT"/>
          <w:sz w:val="24"/>
          <w:szCs w:val="24"/>
        </w:rPr>
        <w:t>S</w:t>
      </w:r>
      <w:r w:rsidRPr="00EC49F4">
        <w:rPr>
          <w:rFonts w:ascii="Tw Cen MT" w:hAnsi="Tw Cen MT"/>
          <w:sz w:val="24"/>
          <w:szCs w:val="24"/>
        </w:rPr>
        <w:t>ervice</w:t>
      </w:r>
      <w:r w:rsidR="00B7668B" w:rsidRPr="00EC49F4">
        <w:rPr>
          <w:rFonts w:ascii="Tw Cen MT" w:hAnsi="Tw Cen MT"/>
          <w:sz w:val="24"/>
          <w:szCs w:val="24"/>
        </w:rPr>
        <w:t xml:space="preserve"> and the National Advocacy Service (NAS</w:t>
      </w:r>
      <w:r w:rsidR="00DC35E6" w:rsidRPr="00EC49F4">
        <w:rPr>
          <w:rFonts w:ascii="Tw Cen MT" w:hAnsi="Tw Cen MT"/>
          <w:sz w:val="24"/>
          <w:szCs w:val="24"/>
        </w:rPr>
        <w:t>)</w:t>
      </w:r>
      <w:r w:rsidR="00703591">
        <w:rPr>
          <w:rStyle w:val="FootnoteReference"/>
          <w:rFonts w:ascii="Tw Cen MT" w:hAnsi="Tw Cen MT"/>
          <w:sz w:val="24"/>
          <w:szCs w:val="24"/>
        </w:rPr>
        <w:footnoteReference w:id="1"/>
      </w:r>
      <w:r w:rsidR="0066749B" w:rsidRPr="00EC49F4">
        <w:rPr>
          <w:rFonts w:ascii="Tw Cen MT" w:hAnsi="Tw Cen MT"/>
          <w:sz w:val="24"/>
          <w:szCs w:val="24"/>
        </w:rPr>
        <w:t xml:space="preserve"> </w:t>
      </w:r>
      <w:r w:rsidR="00B7668B" w:rsidRPr="00EC49F4">
        <w:rPr>
          <w:rFonts w:ascii="Tw Cen MT" w:hAnsi="Tw Cen MT"/>
          <w:sz w:val="24"/>
          <w:szCs w:val="24"/>
        </w:rPr>
        <w:t>for people with disabilities</w:t>
      </w:r>
      <w:r w:rsidRPr="00EC49F4">
        <w:rPr>
          <w:rFonts w:ascii="Tw Cen MT" w:hAnsi="Tw Cen MT"/>
          <w:sz w:val="24"/>
          <w:szCs w:val="24"/>
        </w:rPr>
        <w:t xml:space="preserve"> (</w:t>
      </w:r>
      <w:r w:rsidR="00A70A2C">
        <w:rPr>
          <w:rFonts w:ascii="Tw Cen MT" w:hAnsi="Tw Cen MT"/>
          <w:sz w:val="24"/>
          <w:szCs w:val="24"/>
        </w:rPr>
        <w:t xml:space="preserve">599,016 </w:t>
      </w:r>
      <w:r w:rsidR="007F12F7" w:rsidRPr="00EC49F4">
        <w:rPr>
          <w:rFonts w:ascii="Tw Cen MT" w:hAnsi="Tw Cen MT"/>
          <w:sz w:val="24"/>
          <w:szCs w:val="24"/>
        </w:rPr>
        <w:t xml:space="preserve">callers </w:t>
      </w:r>
      <w:r w:rsidRPr="00EC49F4">
        <w:rPr>
          <w:rFonts w:ascii="Tw Cen MT" w:hAnsi="Tw Cen MT"/>
          <w:sz w:val="24"/>
          <w:szCs w:val="24"/>
        </w:rPr>
        <w:t xml:space="preserve"> to CISs,</w:t>
      </w:r>
      <w:r w:rsidR="00C9615E" w:rsidRPr="00EC49F4">
        <w:rPr>
          <w:rStyle w:val="FootnoteReference"/>
          <w:rFonts w:ascii="Tw Cen MT" w:hAnsi="Tw Cen MT"/>
          <w:sz w:val="24"/>
          <w:szCs w:val="24"/>
        </w:rPr>
        <w:footnoteReference w:id="2"/>
      </w:r>
      <w:r w:rsidRPr="00EC49F4">
        <w:rPr>
          <w:rFonts w:ascii="Tw Cen MT" w:hAnsi="Tw Cen MT"/>
          <w:sz w:val="24"/>
          <w:szCs w:val="24"/>
        </w:rPr>
        <w:t xml:space="preserve"> </w:t>
      </w:r>
      <w:r w:rsidR="001F3CDC">
        <w:rPr>
          <w:rFonts w:ascii="Tw Cen MT" w:hAnsi="Tw Cen MT"/>
          <w:sz w:val="24"/>
          <w:szCs w:val="24"/>
        </w:rPr>
        <w:t xml:space="preserve">almost </w:t>
      </w:r>
      <w:r w:rsidRPr="00EC49F4">
        <w:rPr>
          <w:rFonts w:ascii="Tw Cen MT" w:hAnsi="Tw Cen MT"/>
          <w:sz w:val="24"/>
          <w:szCs w:val="24"/>
        </w:rPr>
        <w:t>4</w:t>
      </w:r>
      <w:r w:rsidR="00301B27" w:rsidRPr="00EC49F4">
        <w:rPr>
          <w:rFonts w:ascii="Tw Cen MT" w:hAnsi="Tw Cen MT"/>
          <w:sz w:val="24"/>
          <w:szCs w:val="24"/>
        </w:rPr>
        <w:t>4</w:t>
      </w:r>
      <w:r w:rsidRPr="00EC49F4">
        <w:rPr>
          <w:rFonts w:ascii="Tw Cen MT" w:hAnsi="Tw Cen MT"/>
          <w:sz w:val="24"/>
          <w:szCs w:val="24"/>
        </w:rPr>
        <w:t>,000</w:t>
      </w:r>
      <w:r w:rsidR="00301B27" w:rsidRPr="00EC49F4">
        <w:rPr>
          <w:rStyle w:val="FootnoteReference"/>
          <w:rFonts w:ascii="Tw Cen MT" w:hAnsi="Tw Cen MT"/>
          <w:sz w:val="24"/>
          <w:szCs w:val="24"/>
        </w:rPr>
        <w:footnoteReference w:id="3"/>
      </w:r>
      <w:r w:rsidRPr="00EC49F4">
        <w:rPr>
          <w:rFonts w:ascii="Tw Cen MT" w:hAnsi="Tw Cen MT"/>
          <w:sz w:val="24"/>
          <w:szCs w:val="24"/>
        </w:rPr>
        <w:t xml:space="preserve"> to MABS and 12</w:t>
      </w:r>
      <w:r w:rsidR="00071E38" w:rsidRPr="00EC49F4">
        <w:rPr>
          <w:rFonts w:ascii="Tw Cen MT" w:hAnsi="Tw Cen MT"/>
          <w:sz w:val="24"/>
          <w:szCs w:val="24"/>
        </w:rPr>
        <w:t>8</w:t>
      </w:r>
      <w:r w:rsidRPr="00EC49F4">
        <w:rPr>
          <w:rFonts w:ascii="Tw Cen MT" w:hAnsi="Tw Cen MT"/>
          <w:sz w:val="24"/>
          <w:szCs w:val="24"/>
        </w:rPr>
        <w:t>,000 to CIPS</w:t>
      </w:r>
      <w:r w:rsidR="003362F2" w:rsidRPr="00EC49F4">
        <w:rPr>
          <w:rFonts w:ascii="Tw Cen MT" w:hAnsi="Tw Cen MT"/>
          <w:sz w:val="24"/>
          <w:szCs w:val="24"/>
        </w:rPr>
        <w:t>)</w:t>
      </w:r>
      <w:r w:rsidRPr="00EC49F4">
        <w:rPr>
          <w:rFonts w:ascii="Tw Cen MT" w:hAnsi="Tw Cen MT"/>
          <w:sz w:val="24"/>
          <w:szCs w:val="24"/>
        </w:rPr>
        <w:t>. In addition, the Citizens Information website had 19</w:t>
      </w:r>
      <w:r w:rsidR="00DC4144" w:rsidRPr="00EC49F4">
        <w:rPr>
          <w:rFonts w:ascii="Tw Cen MT" w:hAnsi="Tw Cen MT"/>
          <w:sz w:val="24"/>
          <w:szCs w:val="24"/>
        </w:rPr>
        <w:t>.8</w:t>
      </w:r>
      <w:r w:rsidRPr="00EC49F4">
        <w:rPr>
          <w:rFonts w:ascii="Tw Cen MT" w:hAnsi="Tw Cen MT"/>
          <w:sz w:val="24"/>
          <w:szCs w:val="24"/>
        </w:rPr>
        <w:t xml:space="preserve"> million visits in 2017 and an average of </w:t>
      </w:r>
      <w:r w:rsidR="00DC4144" w:rsidRPr="00EC49F4">
        <w:rPr>
          <w:rFonts w:ascii="Tw Cen MT" w:hAnsi="Tw Cen MT" w:cs="Bliss-Bold"/>
          <w:bCs/>
          <w:noProof w:val="0"/>
          <w:sz w:val="24"/>
          <w:szCs w:val="24"/>
          <w:lang w:val="en-IE"/>
        </w:rPr>
        <w:t>872,042</w:t>
      </w:r>
      <w:r w:rsidR="00DC4144" w:rsidRPr="00EC49F4">
        <w:rPr>
          <w:rFonts w:ascii="Tw Cen MT" w:hAnsi="Tw Cen MT" w:cs="Bliss-Bold"/>
          <w:b/>
          <w:bCs/>
          <w:noProof w:val="0"/>
          <w:sz w:val="24"/>
          <w:szCs w:val="24"/>
          <w:lang w:val="en-IE"/>
        </w:rPr>
        <w:t xml:space="preserve"> </w:t>
      </w:r>
      <w:r w:rsidRPr="00EC49F4">
        <w:rPr>
          <w:rFonts w:ascii="Tw Cen MT" w:hAnsi="Tw Cen MT"/>
          <w:sz w:val="24"/>
          <w:szCs w:val="24"/>
        </w:rPr>
        <w:t xml:space="preserve">visitors each month. These services are </w:t>
      </w:r>
      <w:r w:rsidR="00703591">
        <w:rPr>
          <w:rFonts w:ascii="Tw Cen MT" w:hAnsi="Tw Cen MT"/>
          <w:sz w:val="24"/>
          <w:szCs w:val="24"/>
        </w:rPr>
        <w:t xml:space="preserve">well </w:t>
      </w:r>
      <w:r w:rsidRPr="00EC49F4">
        <w:rPr>
          <w:rFonts w:ascii="Tw Cen MT" w:hAnsi="Tw Cen MT"/>
          <w:sz w:val="24"/>
          <w:szCs w:val="24"/>
        </w:rPr>
        <w:t xml:space="preserve">placed to have a clear understanding of the problems that people experience when trying to access social and public services. Further, their engagement with such a significant proportion of the population (typically, at crucial stages of their lives) ensures that the data, evidence and insights that are provided to CIB by these frontline services on a daily basis can give a strong indication as to </w:t>
      </w:r>
      <w:r w:rsidR="00DC73B5" w:rsidRPr="00EC49F4">
        <w:rPr>
          <w:rFonts w:ascii="Tw Cen MT" w:hAnsi="Tw Cen MT"/>
          <w:sz w:val="24"/>
          <w:szCs w:val="24"/>
        </w:rPr>
        <w:t xml:space="preserve">the impact of </w:t>
      </w:r>
      <w:r w:rsidRPr="00EC49F4">
        <w:rPr>
          <w:rFonts w:ascii="Tw Cen MT" w:hAnsi="Tw Cen MT"/>
          <w:sz w:val="24"/>
          <w:szCs w:val="24"/>
        </w:rPr>
        <w:t xml:space="preserve">policies and where the challenges are for people who are trying to access their rights and entitlements. </w:t>
      </w:r>
    </w:p>
    <w:p w:rsidR="00513A0B" w:rsidRPr="00EC49F4" w:rsidRDefault="00513A0B" w:rsidP="00EC49F4">
      <w:pPr>
        <w:autoSpaceDE w:val="0"/>
        <w:autoSpaceDN w:val="0"/>
        <w:adjustRightInd w:val="0"/>
        <w:spacing w:after="0" w:line="360" w:lineRule="auto"/>
        <w:rPr>
          <w:rFonts w:ascii="Tw Cen MT" w:hAnsi="Tw Cen MT"/>
          <w:sz w:val="24"/>
          <w:szCs w:val="24"/>
        </w:rPr>
      </w:pPr>
    </w:p>
    <w:p w:rsidR="00B44A3C" w:rsidRPr="00EC49F4" w:rsidRDefault="00B44A3C" w:rsidP="00EC49F4">
      <w:pPr>
        <w:autoSpaceDE w:val="0"/>
        <w:autoSpaceDN w:val="0"/>
        <w:adjustRightInd w:val="0"/>
        <w:spacing w:after="0" w:line="360" w:lineRule="auto"/>
        <w:rPr>
          <w:rFonts w:ascii="Tw Cen MT" w:hAnsi="Tw Cen MT"/>
          <w:sz w:val="24"/>
          <w:szCs w:val="24"/>
        </w:rPr>
      </w:pPr>
      <w:r w:rsidRPr="00EC49F4">
        <w:rPr>
          <w:rFonts w:ascii="Tw Cen MT" w:hAnsi="Tw Cen MT"/>
          <w:sz w:val="24"/>
          <w:szCs w:val="24"/>
        </w:rPr>
        <w:t>Given th</w:t>
      </w:r>
      <w:r w:rsidR="0073483D" w:rsidRPr="00EC49F4">
        <w:rPr>
          <w:rFonts w:ascii="Tw Cen MT" w:hAnsi="Tw Cen MT"/>
          <w:sz w:val="24"/>
          <w:szCs w:val="24"/>
        </w:rPr>
        <w:t>is</w:t>
      </w:r>
      <w:r w:rsidRPr="00EC49F4">
        <w:rPr>
          <w:rFonts w:ascii="Tw Cen MT" w:hAnsi="Tw Cen MT"/>
          <w:sz w:val="24"/>
          <w:szCs w:val="24"/>
        </w:rPr>
        <w:t xml:space="preserve"> </w:t>
      </w:r>
      <w:r w:rsidRPr="00EC49F4">
        <w:rPr>
          <w:rFonts w:ascii="Tw Cen MT" w:hAnsi="Tw Cen MT"/>
          <w:b/>
          <w:color w:val="1F497D" w:themeColor="text2"/>
          <w:sz w:val="24"/>
          <w:szCs w:val="24"/>
        </w:rPr>
        <w:t>unique level of engagement</w:t>
      </w:r>
      <w:r w:rsidR="0073483D" w:rsidRPr="00EC49F4">
        <w:rPr>
          <w:rFonts w:ascii="Tw Cen MT" w:hAnsi="Tw Cen MT"/>
          <w:b/>
          <w:color w:val="1F497D" w:themeColor="text2"/>
          <w:sz w:val="24"/>
          <w:szCs w:val="24"/>
        </w:rPr>
        <w:t xml:space="preserve"> </w:t>
      </w:r>
      <w:r w:rsidRPr="00EC49F4">
        <w:rPr>
          <w:rFonts w:ascii="Tw Cen MT" w:hAnsi="Tw Cen MT"/>
          <w:b/>
          <w:color w:val="1F497D" w:themeColor="text2"/>
          <w:sz w:val="24"/>
          <w:szCs w:val="24"/>
        </w:rPr>
        <w:t>with</w:t>
      </w:r>
      <w:r w:rsidR="00B22B9C" w:rsidRPr="00EC49F4">
        <w:rPr>
          <w:rFonts w:ascii="Tw Cen MT" w:hAnsi="Tw Cen MT"/>
          <w:b/>
          <w:color w:val="1F497D" w:themeColor="text2"/>
          <w:sz w:val="24"/>
          <w:szCs w:val="24"/>
        </w:rPr>
        <w:t xml:space="preserve"> the public</w:t>
      </w:r>
      <w:r w:rsidR="00B22B9C" w:rsidRPr="00EC49F4">
        <w:rPr>
          <w:rFonts w:ascii="Tw Cen MT" w:hAnsi="Tw Cen MT"/>
          <w:sz w:val="24"/>
          <w:szCs w:val="24"/>
        </w:rPr>
        <w:t xml:space="preserve">, </w:t>
      </w:r>
      <w:r w:rsidRPr="00EC49F4">
        <w:rPr>
          <w:rFonts w:ascii="Tw Cen MT" w:hAnsi="Tw Cen MT"/>
          <w:sz w:val="24"/>
          <w:szCs w:val="24"/>
        </w:rPr>
        <w:t xml:space="preserve">the Citizens Information Board is </w:t>
      </w:r>
      <w:r w:rsidR="00DC73B5" w:rsidRPr="00EC49F4">
        <w:rPr>
          <w:rFonts w:ascii="Tw Cen MT" w:hAnsi="Tw Cen MT"/>
          <w:sz w:val="24"/>
          <w:szCs w:val="24"/>
        </w:rPr>
        <w:t xml:space="preserve">basing </w:t>
      </w:r>
      <w:r w:rsidRPr="00EC49F4">
        <w:rPr>
          <w:rFonts w:ascii="Tw Cen MT" w:hAnsi="Tw Cen MT"/>
          <w:sz w:val="24"/>
          <w:szCs w:val="24"/>
        </w:rPr>
        <w:t xml:space="preserve">this submission </w:t>
      </w:r>
      <w:r w:rsidR="00DC73B5" w:rsidRPr="00EC49F4">
        <w:rPr>
          <w:rFonts w:ascii="Tw Cen MT" w:hAnsi="Tw Cen MT"/>
          <w:sz w:val="24"/>
          <w:szCs w:val="24"/>
        </w:rPr>
        <w:t xml:space="preserve">on </w:t>
      </w:r>
      <w:r w:rsidRPr="00EC49F4">
        <w:rPr>
          <w:rFonts w:ascii="Tw Cen MT" w:hAnsi="Tw Cen MT"/>
          <w:sz w:val="24"/>
          <w:szCs w:val="24"/>
        </w:rPr>
        <w:t>the key areas of concern</w:t>
      </w:r>
      <w:r w:rsidR="00DC4144" w:rsidRPr="00EC49F4">
        <w:rPr>
          <w:rFonts w:ascii="Tw Cen MT" w:hAnsi="Tw Cen MT"/>
          <w:sz w:val="24"/>
          <w:szCs w:val="24"/>
        </w:rPr>
        <w:t xml:space="preserve"> </w:t>
      </w:r>
      <w:r w:rsidRPr="00EC49F4">
        <w:rPr>
          <w:rFonts w:ascii="Tw Cen MT" w:hAnsi="Tw Cen MT"/>
          <w:sz w:val="24"/>
          <w:szCs w:val="24"/>
        </w:rPr>
        <w:t xml:space="preserve">that have </w:t>
      </w:r>
      <w:r w:rsidR="0073483D" w:rsidRPr="00EC49F4">
        <w:rPr>
          <w:rFonts w:ascii="Tw Cen MT" w:hAnsi="Tw Cen MT"/>
          <w:sz w:val="24"/>
          <w:szCs w:val="24"/>
        </w:rPr>
        <w:t>arisen for</w:t>
      </w:r>
      <w:r w:rsidR="00436190" w:rsidRPr="00EC49F4">
        <w:rPr>
          <w:rFonts w:ascii="Tw Cen MT" w:hAnsi="Tw Cen MT"/>
          <w:sz w:val="24"/>
          <w:szCs w:val="24"/>
        </w:rPr>
        <w:t xml:space="preserve"> clients of </w:t>
      </w:r>
      <w:r w:rsidRPr="00EC49F4">
        <w:rPr>
          <w:rFonts w:ascii="Tw Cen MT" w:hAnsi="Tw Cen MT"/>
          <w:sz w:val="24"/>
          <w:szCs w:val="24"/>
        </w:rPr>
        <w:t xml:space="preserve">our services </w:t>
      </w:r>
      <w:r w:rsidR="00DC73B5" w:rsidRPr="00EC49F4">
        <w:rPr>
          <w:rFonts w:ascii="Tw Cen MT" w:hAnsi="Tw Cen MT"/>
          <w:sz w:val="24"/>
          <w:szCs w:val="24"/>
        </w:rPr>
        <w:t xml:space="preserve">in </w:t>
      </w:r>
      <w:r w:rsidRPr="00EC49F4">
        <w:rPr>
          <w:rFonts w:ascii="Tw Cen MT" w:hAnsi="Tw Cen MT"/>
          <w:sz w:val="24"/>
          <w:szCs w:val="24"/>
        </w:rPr>
        <w:t>the past year</w:t>
      </w:r>
      <w:r w:rsidR="00513A0B" w:rsidRPr="00EC49F4">
        <w:rPr>
          <w:rFonts w:ascii="Tw Cen MT" w:hAnsi="Tw Cen MT"/>
          <w:sz w:val="24"/>
          <w:szCs w:val="24"/>
        </w:rPr>
        <w:t xml:space="preserve"> which will be impacted by budgetary decisions</w:t>
      </w:r>
      <w:r w:rsidR="0073483D" w:rsidRPr="00EC49F4">
        <w:rPr>
          <w:rFonts w:ascii="Tw Cen MT" w:hAnsi="Tw Cen MT"/>
          <w:sz w:val="24"/>
          <w:szCs w:val="24"/>
        </w:rPr>
        <w:t>.</w:t>
      </w:r>
      <w:r w:rsidRPr="00EC49F4">
        <w:rPr>
          <w:rFonts w:ascii="Tw Cen MT" w:hAnsi="Tw Cen MT"/>
          <w:sz w:val="24"/>
          <w:szCs w:val="24"/>
        </w:rPr>
        <w:t xml:space="preserve">  During 2017, </w:t>
      </w:r>
      <w:r w:rsidR="00DC35E6" w:rsidRPr="00EC49F4">
        <w:rPr>
          <w:rFonts w:ascii="Tw Cen MT" w:hAnsi="Tw Cen MT"/>
          <w:sz w:val="24"/>
          <w:szCs w:val="24"/>
        </w:rPr>
        <w:t xml:space="preserve">four </w:t>
      </w:r>
      <w:r w:rsidRPr="00EC49F4">
        <w:rPr>
          <w:rFonts w:ascii="Tw Cen MT" w:hAnsi="Tw Cen MT"/>
          <w:sz w:val="24"/>
          <w:szCs w:val="24"/>
        </w:rPr>
        <w:t xml:space="preserve">particular areas stand out from the </w:t>
      </w:r>
      <w:r w:rsidR="009321C8" w:rsidRPr="00EC49F4">
        <w:rPr>
          <w:rFonts w:ascii="Tw Cen MT" w:hAnsi="Tw Cen MT"/>
          <w:sz w:val="24"/>
          <w:szCs w:val="24"/>
        </w:rPr>
        <w:t xml:space="preserve">feedback </w:t>
      </w:r>
      <w:r w:rsidRPr="00EC49F4">
        <w:rPr>
          <w:rFonts w:ascii="Tw Cen MT" w:hAnsi="Tw Cen MT"/>
          <w:sz w:val="24"/>
          <w:szCs w:val="24"/>
        </w:rPr>
        <w:t>provided:-</w:t>
      </w:r>
    </w:p>
    <w:p w:rsidR="00513A0B" w:rsidRPr="00EC49F4" w:rsidRDefault="00513A0B" w:rsidP="00EC49F4">
      <w:pPr>
        <w:autoSpaceDE w:val="0"/>
        <w:autoSpaceDN w:val="0"/>
        <w:adjustRightInd w:val="0"/>
        <w:spacing w:after="0" w:line="360" w:lineRule="auto"/>
        <w:rPr>
          <w:rFonts w:ascii="Tw Cen MT" w:hAnsi="Tw Cen MT" w:cs="Bliss-Bold"/>
          <w:b/>
          <w:bCs/>
          <w:noProof w:val="0"/>
          <w:sz w:val="24"/>
          <w:szCs w:val="24"/>
          <w:lang w:val="en-IE"/>
        </w:rPr>
      </w:pPr>
    </w:p>
    <w:p w:rsidR="00B44A3C" w:rsidRPr="00EC49F4" w:rsidRDefault="00DC35E6" w:rsidP="00EC49F4">
      <w:pPr>
        <w:spacing w:line="360" w:lineRule="auto"/>
        <w:ind w:left="720"/>
        <w:rPr>
          <w:rFonts w:ascii="Tw Cen MT" w:hAnsi="Tw Cen MT"/>
          <w:sz w:val="24"/>
          <w:szCs w:val="24"/>
        </w:rPr>
      </w:pPr>
      <w:r w:rsidRPr="00EC49F4">
        <w:rPr>
          <w:rFonts w:ascii="Tw Cen MT" w:hAnsi="Tw Cen MT"/>
          <w:sz w:val="24"/>
          <w:szCs w:val="24"/>
        </w:rPr>
        <w:t xml:space="preserve">1. </w:t>
      </w:r>
      <w:r w:rsidR="00B44A3C" w:rsidRPr="00EC49F4">
        <w:rPr>
          <w:rFonts w:ascii="Tw Cen MT" w:hAnsi="Tw Cen MT"/>
          <w:sz w:val="24"/>
          <w:szCs w:val="24"/>
        </w:rPr>
        <w:t>The interaction of the work and welfare systems, whereby policy and process is slow to respond to changes in peoples circumstances or to changes in peoples incomes or working situations;</w:t>
      </w:r>
    </w:p>
    <w:p w:rsidR="00B44A3C" w:rsidRPr="00EC49F4" w:rsidRDefault="00DC35E6" w:rsidP="00EC49F4">
      <w:pPr>
        <w:spacing w:line="360" w:lineRule="auto"/>
        <w:ind w:left="720"/>
        <w:rPr>
          <w:rFonts w:ascii="Tw Cen MT" w:hAnsi="Tw Cen MT"/>
          <w:sz w:val="24"/>
          <w:szCs w:val="24"/>
        </w:rPr>
      </w:pPr>
      <w:r w:rsidRPr="00EC49F4">
        <w:rPr>
          <w:rFonts w:ascii="Tw Cen MT" w:hAnsi="Tw Cen MT"/>
          <w:sz w:val="24"/>
          <w:szCs w:val="24"/>
        </w:rPr>
        <w:t xml:space="preserve">2. </w:t>
      </w:r>
      <w:r w:rsidR="00B44A3C" w:rsidRPr="00EC49F4">
        <w:rPr>
          <w:rFonts w:ascii="Tw Cen MT" w:hAnsi="Tw Cen MT"/>
          <w:sz w:val="24"/>
          <w:szCs w:val="24"/>
        </w:rPr>
        <w:t>Problems with benefits and services, whereby those in need do not receive their entitlements in a timely manner, are not aware of their rights or do not understand the mechanisms by which they can receive certain supports and benefits;</w:t>
      </w:r>
    </w:p>
    <w:p w:rsidR="00B44A3C" w:rsidRPr="00EC49F4" w:rsidRDefault="00DC35E6" w:rsidP="00EC49F4">
      <w:pPr>
        <w:spacing w:line="360" w:lineRule="auto"/>
        <w:ind w:left="720"/>
        <w:rPr>
          <w:rFonts w:ascii="Tw Cen MT" w:hAnsi="Tw Cen MT"/>
          <w:sz w:val="24"/>
          <w:szCs w:val="24"/>
        </w:rPr>
      </w:pPr>
      <w:r w:rsidRPr="00EC49F4">
        <w:rPr>
          <w:rFonts w:ascii="Tw Cen MT" w:hAnsi="Tw Cen MT"/>
          <w:sz w:val="24"/>
          <w:szCs w:val="24"/>
        </w:rPr>
        <w:t>3. T</w:t>
      </w:r>
      <w:r w:rsidR="00B44A3C" w:rsidRPr="00EC49F4">
        <w:rPr>
          <w:rFonts w:ascii="Tw Cen MT" w:hAnsi="Tw Cen MT"/>
          <w:sz w:val="24"/>
          <w:szCs w:val="24"/>
        </w:rPr>
        <w:t xml:space="preserve">he provision of housing and housing supports, </w:t>
      </w:r>
      <w:r w:rsidR="009321C8" w:rsidRPr="00EC49F4">
        <w:rPr>
          <w:rFonts w:ascii="Tw Cen MT" w:hAnsi="Tw Cen MT"/>
          <w:sz w:val="24"/>
          <w:szCs w:val="24"/>
        </w:rPr>
        <w:t xml:space="preserve">with </w:t>
      </w:r>
      <w:r w:rsidR="00B44A3C" w:rsidRPr="00EC49F4">
        <w:rPr>
          <w:rFonts w:ascii="Tw Cen MT" w:hAnsi="Tw Cen MT"/>
          <w:sz w:val="24"/>
          <w:szCs w:val="24"/>
        </w:rPr>
        <w:t>people trying to access (and mainta</w:t>
      </w:r>
      <w:r w:rsidR="009321C8" w:rsidRPr="00EC49F4">
        <w:rPr>
          <w:rFonts w:ascii="Tw Cen MT" w:hAnsi="Tw Cen MT"/>
          <w:sz w:val="24"/>
          <w:szCs w:val="24"/>
        </w:rPr>
        <w:t>in) appropriate housing continuing</w:t>
      </w:r>
      <w:r w:rsidR="00B44A3C" w:rsidRPr="00EC49F4">
        <w:rPr>
          <w:rFonts w:ascii="Tw Cen MT" w:hAnsi="Tw Cen MT"/>
          <w:sz w:val="24"/>
          <w:szCs w:val="24"/>
        </w:rPr>
        <w:t xml:space="preserve"> to experience a range of difficulties relating to scarcity, costs, quality and security of tenure;</w:t>
      </w:r>
    </w:p>
    <w:p w:rsidR="00B44A3C" w:rsidRPr="00EC49F4" w:rsidRDefault="00DC35E6" w:rsidP="00EC49F4">
      <w:pPr>
        <w:spacing w:line="360" w:lineRule="auto"/>
        <w:ind w:left="720"/>
        <w:rPr>
          <w:rFonts w:ascii="Tw Cen MT" w:hAnsi="Tw Cen MT"/>
          <w:sz w:val="24"/>
          <w:szCs w:val="24"/>
        </w:rPr>
      </w:pPr>
      <w:r w:rsidRPr="00EC49F4">
        <w:rPr>
          <w:rFonts w:ascii="Tw Cen MT" w:hAnsi="Tw Cen MT"/>
          <w:sz w:val="24"/>
          <w:szCs w:val="24"/>
        </w:rPr>
        <w:lastRenderedPageBreak/>
        <w:t xml:space="preserve">4. </w:t>
      </w:r>
      <w:r w:rsidR="002C7AD9" w:rsidRPr="00EC49F4">
        <w:rPr>
          <w:rFonts w:ascii="Tw Cen MT" w:hAnsi="Tw Cen MT"/>
          <w:sz w:val="24"/>
          <w:szCs w:val="24"/>
        </w:rPr>
        <w:t xml:space="preserve">Indebtedness  and the </w:t>
      </w:r>
      <w:r w:rsidR="00C9615E" w:rsidRPr="00EC49F4">
        <w:rPr>
          <w:rFonts w:ascii="Tw Cen MT" w:hAnsi="Tw Cen MT"/>
          <w:sz w:val="24"/>
          <w:szCs w:val="24"/>
        </w:rPr>
        <w:t xml:space="preserve">continuing impact of mortgage arrears and household debt burdens </w:t>
      </w:r>
      <w:r w:rsidR="002C7AD9" w:rsidRPr="00EC49F4">
        <w:rPr>
          <w:rFonts w:ascii="Tw Cen MT" w:hAnsi="Tw Cen MT"/>
          <w:sz w:val="24"/>
          <w:szCs w:val="24"/>
        </w:rPr>
        <w:t>on low income clients using MABS services.</w:t>
      </w:r>
    </w:p>
    <w:p w:rsidR="00B44A3C"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In this submission we highlight how a </w:t>
      </w:r>
      <w:r w:rsidR="00086D59" w:rsidRPr="00EC49F4">
        <w:rPr>
          <w:rFonts w:ascii="Tw Cen MT" w:hAnsi="Tw Cen MT"/>
          <w:sz w:val="24"/>
          <w:szCs w:val="24"/>
        </w:rPr>
        <w:t xml:space="preserve">more </w:t>
      </w:r>
      <w:r w:rsidRPr="00EC49F4">
        <w:rPr>
          <w:rFonts w:ascii="Tw Cen MT" w:hAnsi="Tw Cen MT"/>
          <w:sz w:val="24"/>
          <w:szCs w:val="24"/>
        </w:rPr>
        <w:t xml:space="preserve">targeted approach by Government in Budget 2019 could make it easier for people with disabilities, low paid workers, lone parents, carers, the long-term unemployed, older people, those in need of supports to live at home, immigrants or </w:t>
      </w:r>
      <w:r w:rsidR="002C7AD9" w:rsidRPr="00EC49F4">
        <w:rPr>
          <w:rFonts w:ascii="Tw Cen MT" w:hAnsi="Tw Cen MT"/>
          <w:sz w:val="24"/>
          <w:szCs w:val="24"/>
        </w:rPr>
        <w:t>those who are</w:t>
      </w:r>
      <w:r w:rsidRPr="00EC49F4">
        <w:rPr>
          <w:rFonts w:ascii="Tw Cen MT" w:hAnsi="Tw Cen MT"/>
          <w:sz w:val="24"/>
          <w:szCs w:val="24"/>
        </w:rPr>
        <w:t xml:space="preserve"> </w:t>
      </w:r>
      <w:r w:rsidR="00513A0B" w:rsidRPr="00EC49F4">
        <w:rPr>
          <w:rFonts w:ascii="Tw Cen MT" w:hAnsi="Tw Cen MT"/>
          <w:sz w:val="24"/>
          <w:szCs w:val="24"/>
        </w:rPr>
        <w:t>experiencing unsustainable debt</w:t>
      </w:r>
      <w:r w:rsidRPr="00EC49F4">
        <w:rPr>
          <w:rFonts w:ascii="Tw Cen MT" w:hAnsi="Tw Cen MT"/>
          <w:sz w:val="24"/>
          <w:szCs w:val="24"/>
        </w:rPr>
        <w:t xml:space="preserve">. </w:t>
      </w:r>
      <w:r w:rsidR="00086D59" w:rsidRPr="00EC49F4">
        <w:rPr>
          <w:rFonts w:ascii="Tw Cen MT" w:hAnsi="Tw Cen MT"/>
          <w:sz w:val="24"/>
          <w:szCs w:val="24"/>
        </w:rPr>
        <w:t>P</w:t>
      </w:r>
      <w:r w:rsidRPr="00EC49F4">
        <w:rPr>
          <w:rFonts w:ascii="Tw Cen MT" w:hAnsi="Tw Cen MT"/>
          <w:sz w:val="24"/>
          <w:szCs w:val="24"/>
        </w:rPr>
        <w:t>eople</w:t>
      </w:r>
      <w:r w:rsidR="00086D59" w:rsidRPr="00EC49F4">
        <w:rPr>
          <w:rFonts w:ascii="Tw Cen MT" w:hAnsi="Tw Cen MT"/>
          <w:sz w:val="24"/>
          <w:szCs w:val="24"/>
        </w:rPr>
        <w:t xml:space="preserve"> in these situations </w:t>
      </w:r>
      <w:r w:rsidRPr="00EC49F4">
        <w:rPr>
          <w:rFonts w:ascii="Tw Cen MT" w:hAnsi="Tw Cen MT"/>
          <w:sz w:val="24"/>
          <w:szCs w:val="24"/>
        </w:rPr>
        <w:t xml:space="preserve"> may be working, but receiving welf</w:t>
      </w:r>
      <w:r w:rsidR="002C7AD9" w:rsidRPr="00EC49F4">
        <w:rPr>
          <w:rFonts w:ascii="Tw Cen MT" w:hAnsi="Tw Cen MT"/>
          <w:sz w:val="24"/>
          <w:szCs w:val="24"/>
        </w:rPr>
        <w:t>are supports, will have little (</w:t>
      </w:r>
      <w:r w:rsidRPr="00EC49F4">
        <w:rPr>
          <w:rFonts w:ascii="Tw Cen MT" w:hAnsi="Tw Cen MT"/>
          <w:sz w:val="24"/>
          <w:szCs w:val="24"/>
        </w:rPr>
        <w:t>if any</w:t>
      </w:r>
      <w:r w:rsidR="002C7AD9" w:rsidRPr="00EC49F4">
        <w:rPr>
          <w:rFonts w:ascii="Tw Cen MT" w:hAnsi="Tw Cen MT"/>
          <w:sz w:val="24"/>
          <w:szCs w:val="24"/>
        </w:rPr>
        <w:t xml:space="preserve">) </w:t>
      </w:r>
      <w:r w:rsidR="00C9615E" w:rsidRPr="00EC49F4">
        <w:rPr>
          <w:rFonts w:ascii="Tw Cen MT" w:hAnsi="Tw Cen MT"/>
          <w:sz w:val="24"/>
          <w:szCs w:val="24"/>
        </w:rPr>
        <w:t xml:space="preserve">recourse to </w:t>
      </w:r>
      <w:r w:rsidRPr="00EC49F4">
        <w:rPr>
          <w:rFonts w:ascii="Tw Cen MT" w:hAnsi="Tw Cen MT"/>
          <w:sz w:val="24"/>
          <w:szCs w:val="24"/>
        </w:rPr>
        <w:t xml:space="preserve">savings, could be living in poor quality, insecure housing and are barely getting by on a day-to-day basis. </w:t>
      </w:r>
      <w:r w:rsidR="00086D59" w:rsidRPr="00EC49F4">
        <w:rPr>
          <w:rFonts w:ascii="Tw Cen MT" w:hAnsi="Tw Cen MT"/>
          <w:sz w:val="24"/>
          <w:szCs w:val="24"/>
        </w:rPr>
        <w:t>W</w:t>
      </w:r>
      <w:r w:rsidRPr="00EC49F4">
        <w:rPr>
          <w:rFonts w:ascii="Tw Cen MT" w:hAnsi="Tw Cen MT"/>
          <w:sz w:val="24"/>
          <w:szCs w:val="24"/>
        </w:rPr>
        <w:t xml:space="preserve">hen a problem hits (such as illness, a reduction in working hours, or a rent increase) they really struggle. For many of </w:t>
      </w:r>
      <w:r w:rsidR="00DC35E6" w:rsidRPr="00EC49F4">
        <w:rPr>
          <w:rFonts w:ascii="Tw Cen MT" w:hAnsi="Tw Cen MT"/>
          <w:sz w:val="24"/>
          <w:szCs w:val="24"/>
        </w:rPr>
        <w:t xml:space="preserve">the </w:t>
      </w:r>
      <w:r w:rsidRPr="00EC49F4">
        <w:rPr>
          <w:rFonts w:ascii="Tw Cen MT" w:hAnsi="Tw Cen MT"/>
          <w:sz w:val="24"/>
          <w:szCs w:val="24"/>
        </w:rPr>
        <w:t>cli</w:t>
      </w:r>
      <w:r w:rsidR="00DC35E6" w:rsidRPr="00EC49F4">
        <w:rPr>
          <w:rFonts w:ascii="Tw Cen MT" w:hAnsi="Tw Cen MT"/>
          <w:sz w:val="24"/>
          <w:szCs w:val="24"/>
        </w:rPr>
        <w:t>ents of our frontline services</w:t>
      </w:r>
      <w:r w:rsidR="00EC49F4">
        <w:rPr>
          <w:rFonts w:ascii="Tw Cen MT" w:hAnsi="Tw Cen MT"/>
          <w:sz w:val="24"/>
          <w:szCs w:val="24"/>
        </w:rPr>
        <w:t xml:space="preserve"> </w:t>
      </w:r>
      <w:r w:rsidRPr="00EC49F4">
        <w:rPr>
          <w:rFonts w:ascii="Tw Cen MT" w:hAnsi="Tw Cen MT"/>
          <w:sz w:val="24"/>
          <w:szCs w:val="24"/>
        </w:rPr>
        <w:t xml:space="preserve">the supports that are delivered through public services are essential to their ability to cope with limited means in difficult circumstances. </w:t>
      </w:r>
    </w:p>
    <w:p w:rsidR="00840EE7" w:rsidRPr="00EC49F4" w:rsidRDefault="00B62370" w:rsidP="00EC49F4">
      <w:pPr>
        <w:pStyle w:val="Heading2"/>
        <w:spacing w:line="360" w:lineRule="auto"/>
        <w:rPr>
          <w:rFonts w:ascii="Tw Cen MT" w:hAnsi="Tw Cen MT"/>
          <w:sz w:val="36"/>
          <w:szCs w:val="36"/>
        </w:rPr>
      </w:pPr>
      <w:r w:rsidRPr="00EC49F4">
        <w:rPr>
          <w:rFonts w:ascii="Tw Cen MT" w:hAnsi="Tw Cen MT"/>
          <w:sz w:val="36"/>
          <w:szCs w:val="36"/>
        </w:rPr>
        <w:t>Work and welfare</w:t>
      </w:r>
    </w:p>
    <w:p w:rsidR="00B44A3C" w:rsidRPr="00EC49F4" w:rsidRDefault="00B44A3C" w:rsidP="00EC49F4">
      <w:pPr>
        <w:spacing w:line="360" w:lineRule="auto"/>
        <w:rPr>
          <w:rFonts w:ascii="Tw Cen MT" w:hAnsi="Tw Cen MT"/>
          <w:sz w:val="24"/>
          <w:szCs w:val="24"/>
        </w:rPr>
      </w:pPr>
      <w:r w:rsidRPr="00EC49F4">
        <w:rPr>
          <w:rFonts w:ascii="Tw Cen MT" w:hAnsi="Tw Cen MT"/>
          <w:sz w:val="24"/>
          <w:szCs w:val="24"/>
        </w:rPr>
        <w:t>During 2017, there were over</w:t>
      </w:r>
      <w:r w:rsidR="0066749B" w:rsidRPr="00EC49F4">
        <w:rPr>
          <w:rFonts w:ascii="Tw Cen MT" w:hAnsi="Tw Cen MT"/>
          <w:sz w:val="24"/>
          <w:szCs w:val="24"/>
        </w:rPr>
        <w:t xml:space="preserve"> one</w:t>
      </w:r>
      <w:r w:rsidR="00436190" w:rsidRPr="00EC49F4">
        <w:rPr>
          <w:rFonts w:ascii="Tw Cen MT" w:hAnsi="Tw Cen MT"/>
          <w:sz w:val="24"/>
          <w:szCs w:val="24"/>
        </w:rPr>
        <w:t xml:space="preserve"> million queries to Citizens Information Centres nationwide</w:t>
      </w:r>
      <w:r w:rsidR="001522F7" w:rsidRPr="00EC49F4">
        <w:rPr>
          <w:rFonts w:ascii="Tw Cen MT" w:hAnsi="Tw Cen MT"/>
          <w:sz w:val="24"/>
          <w:szCs w:val="24"/>
        </w:rPr>
        <w:t>. One fifth of these (</w:t>
      </w:r>
      <w:r w:rsidR="0066749B" w:rsidRPr="00EC49F4">
        <w:rPr>
          <w:rFonts w:ascii="Tw Cen MT" w:hAnsi="Tw Cen MT"/>
          <w:sz w:val="24"/>
          <w:szCs w:val="24"/>
        </w:rPr>
        <w:t>over</w:t>
      </w:r>
      <w:r w:rsidR="001522F7" w:rsidRPr="00EC49F4">
        <w:rPr>
          <w:rFonts w:ascii="Tw Cen MT" w:hAnsi="Tw Cen MT"/>
          <w:sz w:val="24"/>
          <w:szCs w:val="24"/>
        </w:rPr>
        <w:t xml:space="preserve"> </w:t>
      </w:r>
      <w:r w:rsidRPr="00EC49F4">
        <w:rPr>
          <w:rFonts w:ascii="Tw Cen MT" w:hAnsi="Tw Cen MT"/>
          <w:sz w:val="24"/>
          <w:szCs w:val="24"/>
        </w:rPr>
        <w:t>200,000 queries</w:t>
      </w:r>
      <w:r w:rsidR="001522F7" w:rsidRPr="00EC49F4">
        <w:rPr>
          <w:rFonts w:ascii="Tw Cen MT" w:hAnsi="Tw Cen MT"/>
          <w:sz w:val="24"/>
          <w:szCs w:val="24"/>
        </w:rPr>
        <w:t>)</w:t>
      </w:r>
      <w:r w:rsidR="00B60AB6" w:rsidRPr="00EC49F4">
        <w:rPr>
          <w:rFonts w:ascii="Tw Cen MT" w:hAnsi="Tw Cen MT"/>
          <w:sz w:val="24"/>
          <w:szCs w:val="24"/>
        </w:rPr>
        <w:t>,</w:t>
      </w:r>
      <w:r w:rsidRPr="00EC49F4">
        <w:rPr>
          <w:rFonts w:ascii="Tw Cen MT" w:hAnsi="Tw Cen MT"/>
          <w:sz w:val="24"/>
          <w:szCs w:val="24"/>
        </w:rPr>
        <w:t xml:space="preserve"> concer</w:t>
      </w:r>
      <w:r w:rsidR="00436190" w:rsidRPr="00EC49F4">
        <w:rPr>
          <w:rFonts w:ascii="Tw Cen MT" w:hAnsi="Tw Cen MT"/>
          <w:sz w:val="24"/>
          <w:szCs w:val="24"/>
        </w:rPr>
        <w:t>ned</w:t>
      </w:r>
      <w:r w:rsidRPr="00EC49F4">
        <w:rPr>
          <w:rFonts w:ascii="Tw Cen MT" w:hAnsi="Tw Cen MT"/>
          <w:sz w:val="24"/>
          <w:szCs w:val="24"/>
        </w:rPr>
        <w:t xml:space="preserve"> employment, unemployment and associated welfare issues</w:t>
      </w:r>
      <w:r w:rsidR="00DD3C66" w:rsidRPr="00EC49F4">
        <w:rPr>
          <w:rFonts w:ascii="Tw Cen MT" w:hAnsi="Tw Cen MT"/>
          <w:sz w:val="24"/>
          <w:szCs w:val="24"/>
        </w:rPr>
        <w:t xml:space="preserve">. </w:t>
      </w:r>
      <w:r w:rsidRPr="00EC49F4">
        <w:rPr>
          <w:rFonts w:ascii="Tw Cen MT" w:hAnsi="Tw Cen MT"/>
          <w:sz w:val="24"/>
          <w:szCs w:val="24"/>
        </w:rPr>
        <w:t>As the Irish economy settles into a consis</w:t>
      </w:r>
      <w:r w:rsidR="001522F7" w:rsidRPr="00EC49F4">
        <w:rPr>
          <w:rFonts w:ascii="Tw Cen MT" w:hAnsi="Tw Cen MT"/>
          <w:sz w:val="24"/>
          <w:szCs w:val="24"/>
        </w:rPr>
        <w:t xml:space="preserve">tent period of economic growth </w:t>
      </w:r>
      <w:r w:rsidRPr="00EC49F4">
        <w:rPr>
          <w:rFonts w:ascii="Tw Cen MT" w:hAnsi="Tw Cen MT"/>
          <w:sz w:val="24"/>
          <w:szCs w:val="24"/>
        </w:rPr>
        <w:t>and as unemployment reaches its</w:t>
      </w:r>
      <w:r w:rsidR="001522F7" w:rsidRPr="00EC49F4">
        <w:rPr>
          <w:rFonts w:ascii="Tw Cen MT" w:hAnsi="Tw Cen MT"/>
          <w:sz w:val="24"/>
          <w:szCs w:val="24"/>
        </w:rPr>
        <w:t xml:space="preserve"> lowest level since 2008,</w:t>
      </w:r>
      <w:r w:rsidRPr="00EC49F4">
        <w:rPr>
          <w:rFonts w:ascii="Tw Cen MT" w:hAnsi="Tw Cen MT"/>
          <w:sz w:val="24"/>
          <w:szCs w:val="24"/>
        </w:rPr>
        <w:t xml:space="preserve"> the feedback from </w:t>
      </w:r>
      <w:r w:rsidR="00086D59" w:rsidRPr="00EC49F4">
        <w:rPr>
          <w:rFonts w:ascii="Tw Cen MT" w:hAnsi="Tw Cen MT"/>
          <w:sz w:val="24"/>
          <w:szCs w:val="24"/>
        </w:rPr>
        <w:t xml:space="preserve">CIB supported </w:t>
      </w:r>
      <w:r w:rsidRPr="00EC49F4">
        <w:rPr>
          <w:rFonts w:ascii="Tw Cen MT" w:hAnsi="Tw Cen MT"/>
          <w:sz w:val="24"/>
          <w:szCs w:val="24"/>
        </w:rPr>
        <w:t>services demonstrates that income support measures (and associated eligibility difficulties) are not just an issue for unemployed people. The difficulties that information services have highlighted indicate an increasing complexity for citizen</w:t>
      </w:r>
      <w:r w:rsidR="00436190" w:rsidRPr="00EC49F4">
        <w:rPr>
          <w:rFonts w:ascii="Tw Cen MT" w:hAnsi="Tw Cen MT"/>
          <w:sz w:val="24"/>
          <w:szCs w:val="24"/>
        </w:rPr>
        <w:t>s</w:t>
      </w:r>
      <w:r w:rsidRPr="00EC49F4">
        <w:rPr>
          <w:rFonts w:ascii="Tw Cen MT" w:hAnsi="Tw Cen MT"/>
          <w:sz w:val="24"/>
          <w:szCs w:val="24"/>
        </w:rPr>
        <w:t xml:space="preserve"> caused by the interaction of tax, welfare and activation measures with their working situation</w:t>
      </w:r>
      <w:r w:rsidR="00436190" w:rsidRPr="00EC49F4">
        <w:rPr>
          <w:rFonts w:ascii="Tw Cen MT" w:hAnsi="Tw Cen MT"/>
          <w:sz w:val="24"/>
          <w:szCs w:val="24"/>
        </w:rPr>
        <w:t>s</w:t>
      </w:r>
      <w:r w:rsidRPr="00EC49F4">
        <w:rPr>
          <w:rFonts w:ascii="Tw Cen MT" w:hAnsi="Tw Cen MT"/>
          <w:sz w:val="24"/>
          <w:szCs w:val="24"/>
        </w:rPr>
        <w:t>. With many previously unemployed people tak</w:t>
      </w:r>
      <w:r w:rsidR="00752755" w:rsidRPr="00EC49F4">
        <w:rPr>
          <w:rFonts w:ascii="Tw Cen MT" w:hAnsi="Tw Cen MT"/>
          <w:sz w:val="24"/>
          <w:szCs w:val="24"/>
        </w:rPr>
        <w:t>ing</w:t>
      </w:r>
      <w:r w:rsidRPr="00EC49F4">
        <w:rPr>
          <w:rFonts w:ascii="Tw Cen MT" w:hAnsi="Tw Cen MT"/>
          <w:sz w:val="24"/>
          <w:szCs w:val="24"/>
        </w:rPr>
        <w:t xml:space="preserve"> up part-time, </w:t>
      </w:r>
      <w:r w:rsidR="00752755" w:rsidRPr="00EC49F4">
        <w:rPr>
          <w:rFonts w:ascii="Tw Cen MT" w:hAnsi="Tw Cen MT"/>
          <w:sz w:val="24"/>
          <w:szCs w:val="24"/>
        </w:rPr>
        <w:t xml:space="preserve">and </w:t>
      </w:r>
      <w:r w:rsidR="00436190" w:rsidRPr="00EC49F4">
        <w:rPr>
          <w:rFonts w:ascii="Tw Cen MT" w:hAnsi="Tw Cen MT"/>
          <w:sz w:val="24"/>
          <w:szCs w:val="24"/>
        </w:rPr>
        <w:t>in some instances</w:t>
      </w:r>
      <w:r w:rsidR="002C7AD9" w:rsidRPr="00EC49F4">
        <w:rPr>
          <w:rFonts w:ascii="Tw Cen MT" w:hAnsi="Tw Cen MT"/>
          <w:sz w:val="24"/>
          <w:szCs w:val="24"/>
        </w:rPr>
        <w:t>,</w:t>
      </w:r>
      <w:r w:rsidR="00436190" w:rsidRPr="00EC49F4">
        <w:rPr>
          <w:rFonts w:ascii="Tw Cen MT" w:hAnsi="Tw Cen MT"/>
          <w:sz w:val="24"/>
          <w:szCs w:val="24"/>
        </w:rPr>
        <w:t xml:space="preserve"> </w:t>
      </w:r>
      <w:r w:rsidRPr="00EC49F4">
        <w:rPr>
          <w:rFonts w:ascii="Tw Cen MT" w:hAnsi="Tw Cen MT"/>
          <w:sz w:val="24"/>
          <w:szCs w:val="24"/>
        </w:rPr>
        <w:t xml:space="preserve">casual or low-paid work in combination with social welfare payments and benefits, many of </w:t>
      </w:r>
      <w:r w:rsidR="00752755" w:rsidRPr="00EC49F4">
        <w:rPr>
          <w:rFonts w:ascii="Tw Cen MT" w:hAnsi="Tw Cen MT"/>
          <w:sz w:val="24"/>
          <w:szCs w:val="24"/>
        </w:rPr>
        <w:t xml:space="preserve">the related </w:t>
      </w:r>
      <w:r w:rsidRPr="00EC49F4">
        <w:rPr>
          <w:rFonts w:ascii="Tw Cen MT" w:hAnsi="Tw Cen MT"/>
          <w:sz w:val="24"/>
          <w:szCs w:val="24"/>
        </w:rPr>
        <w:t xml:space="preserve">issues </w:t>
      </w:r>
      <w:r w:rsidR="00752755" w:rsidRPr="00EC49F4">
        <w:rPr>
          <w:rFonts w:ascii="Tw Cen MT" w:hAnsi="Tw Cen MT"/>
          <w:sz w:val="24"/>
          <w:szCs w:val="24"/>
        </w:rPr>
        <w:t xml:space="preserve">identified </w:t>
      </w:r>
      <w:r w:rsidRPr="00EC49F4">
        <w:rPr>
          <w:rFonts w:ascii="Tw Cen MT" w:hAnsi="Tw Cen MT"/>
          <w:sz w:val="24"/>
          <w:szCs w:val="24"/>
        </w:rPr>
        <w:t>by services evidence a system that is complex, slow to respond to changes in in</w:t>
      </w:r>
      <w:r w:rsidR="001522F7" w:rsidRPr="00EC49F4">
        <w:rPr>
          <w:rFonts w:ascii="Tw Cen MT" w:hAnsi="Tw Cen MT"/>
          <w:sz w:val="24"/>
          <w:szCs w:val="24"/>
        </w:rPr>
        <w:t xml:space="preserve">come or working situations and </w:t>
      </w:r>
      <w:r w:rsidRPr="00EC49F4">
        <w:rPr>
          <w:rFonts w:ascii="Tw Cen MT" w:hAnsi="Tw Cen MT"/>
          <w:sz w:val="24"/>
          <w:szCs w:val="24"/>
        </w:rPr>
        <w:t>difficult to navigate and understand.</w:t>
      </w:r>
    </w:p>
    <w:p w:rsidR="00B44A3C" w:rsidRPr="00EC49F4" w:rsidRDefault="00B44A3C" w:rsidP="00EC49F4">
      <w:pPr>
        <w:spacing w:line="360" w:lineRule="auto"/>
        <w:rPr>
          <w:rFonts w:ascii="Tw Cen MT" w:hAnsi="Tw Cen MT"/>
          <w:sz w:val="24"/>
          <w:szCs w:val="24"/>
        </w:rPr>
      </w:pPr>
      <w:r w:rsidRPr="00EC49F4">
        <w:rPr>
          <w:rFonts w:ascii="Tw Cen MT" w:hAnsi="Tw Cen MT"/>
          <w:sz w:val="24"/>
          <w:szCs w:val="24"/>
        </w:rPr>
        <w:t>For the many clients of CISs who are barely getting by, the move from welfare to work - thoug</w:t>
      </w:r>
      <w:r w:rsidR="0029794A" w:rsidRPr="00EC49F4">
        <w:rPr>
          <w:rFonts w:ascii="Tw Cen MT" w:hAnsi="Tw Cen MT"/>
          <w:sz w:val="24"/>
          <w:szCs w:val="24"/>
        </w:rPr>
        <w:t xml:space="preserve">h welcome - can be challenging. </w:t>
      </w:r>
      <w:r w:rsidRPr="00EC49F4">
        <w:rPr>
          <w:rFonts w:ascii="Tw Cen MT" w:hAnsi="Tw Cen MT"/>
          <w:sz w:val="24"/>
          <w:szCs w:val="24"/>
        </w:rPr>
        <w:t xml:space="preserve">And for some, </w:t>
      </w:r>
      <w:r w:rsidRPr="00EC49F4">
        <w:rPr>
          <w:rFonts w:ascii="Tw Cen MT" w:hAnsi="Tw Cen MT"/>
          <w:b/>
          <w:color w:val="1F497D" w:themeColor="text2"/>
          <w:sz w:val="24"/>
          <w:szCs w:val="24"/>
        </w:rPr>
        <w:t xml:space="preserve">the ability to combine welfare supports with work is crucial </w:t>
      </w:r>
      <w:r w:rsidRPr="00EC49F4">
        <w:rPr>
          <w:rFonts w:ascii="Tw Cen MT" w:hAnsi="Tw Cen MT"/>
          <w:sz w:val="24"/>
          <w:szCs w:val="24"/>
        </w:rPr>
        <w:t>in this move. The most commonly reported concerns facing CIS clients include:-</w:t>
      </w:r>
    </w:p>
    <w:p w:rsidR="00B44A3C" w:rsidRPr="00AB5B37" w:rsidRDefault="00B44A3C" w:rsidP="00AB5B37">
      <w:pPr>
        <w:pStyle w:val="ListParagraph"/>
        <w:numPr>
          <w:ilvl w:val="0"/>
          <w:numId w:val="39"/>
        </w:numPr>
        <w:spacing w:line="360" w:lineRule="auto"/>
        <w:rPr>
          <w:rFonts w:ascii="Tw Cen MT" w:hAnsi="Tw Cen MT"/>
          <w:sz w:val="24"/>
          <w:szCs w:val="24"/>
        </w:rPr>
      </w:pPr>
      <w:r w:rsidRPr="00AB5B37">
        <w:rPr>
          <w:rFonts w:ascii="Tw Cen MT" w:hAnsi="Tw Cen MT"/>
          <w:sz w:val="24"/>
          <w:szCs w:val="24"/>
        </w:rPr>
        <w:t>The impact of the three-day rule for those on jobseeker’s payments, which leaves some low-paid part-time workers without income support depending on the pattern of hours worked and, consequently, can act as a disincentive to take up work (or can encourage the take-up of undisclosed employment which will be untaxed and unregulated);</w:t>
      </w:r>
    </w:p>
    <w:p w:rsidR="00B44A3C" w:rsidRPr="00AB5B37" w:rsidRDefault="00B44A3C" w:rsidP="00AB5B37">
      <w:pPr>
        <w:pStyle w:val="ListParagraph"/>
        <w:numPr>
          <w:ilvl w:val="0"/>
          <w:numId w:val="39"/>
        </w:numPr>
        <w:spacing w:line="360" w:lineRule="auto"/>
        <w:rPr>
          <w:rFonts w:ascii="Tw Cen MT" w:hAnsi="Tw Cen MT"/>
          <w:sz w:val="24"/>
          <w:szCs w:val="24"/>
        </w:rPr>
      </w:pPr>
      <w:r w:rsidRPr="00AB5B37">
        <w:rPr>
          <w:rFonts w:ascii="Tw Cen MT" w:hAnsi="Tw Cen MT"/>
          <w:sz w:val="24"/>
          <w:szCs w:val="24"/>
        </w:rPr>
        <w:t xml:space="preserve">The financial difficulties that exist for those who take up work and are not paid for a month – making the move, for many, from welfare to work a costly </w:t>
      </w:r>
      <w:r w:rsidR="001522F7" w:rsidRPr="00AB5B37">
        <w:rPr>
          <w:rFonts w:ascii="Tw Cen MT" w:hAnsi="Tw Cen MT"/>
          <w:sz w:val="24"/>
          <w:szCs w:val="24"/>
        </w:rPr>
        <w:t xml:space="preserve">and risky time. In this regard, </w:t>
      </w:r>
      <w:r w:rsidRPr="00AB5B37">
        <w:rPr>
          <w:rFonts w:ascii="Tw Cen MT" w:hAnsi="Tw Cen MT"/>
          <w:sz w:val="24"/>
          <w:szCs w:val="24"/>
        </w:rPr>
        <w:t xml:space="preserve">it would </w:t>
      </w:r>
      <w:r w:rsidRPr="00AB5B37">
        <w:rPr>
          <w:rFonts w:ascii="Tw Cen MT" w:hAnsi="Tw Cen MT"/>
          <w:sz w:val="24"/>
          <w:szCs w:val="24"/>
        </w:rPr>
        <w:lastRenderedPageBreak/>
        <w:t xml:space="preserve">seem that the level of promotion or awareness regarding the payment of Basic </w:t>
      </w:r>
      <w:r w:rsidR="00513A0B" w:rsidRPr="00AB5B37">
        <w:rPr>
          <w:rFonts w:ascii="Tw Cen MT" w:hAnsi="Tw Cen MT"/>
          <w:sz w:val="24"/>
          <w:szCs w:val="24"/>
        </w:rPr>
        <w:t xml:space="preserve">Supplementary Welfare Allowance </w:t>
      </w:r>
      <w:r w:rsidRPr="00AB5B37">
        <w:rPr>
          <w:rFonts w:ascii="Tw Cen MT" w:hAnsi="Tw Cen MT"/>
          <w:sz w:val="24"/>
          <w:szCs w:val="24"/>
        </w:rPr>
        <w:t xml:space="preserve"> is limited in these instances;</w:t>
      </w:r>
    </w:p>
    <w:p w:rsidR="00B44A3C" w:rsidRPr="00AB5B37" w:rsidRDefault="00B44A3C" w:rsidP="00AB5B37">
      <w:pPr>
        <w:pStyle w:val="ListParagraph"/>
        <w:numPr>
          <w:ilvl w:val="0"/>
          <w:numId w:val="39"/>
        </w:numPr>
        <w:spacing w:line="360" w:lineRule="auto"/>
        <w:rPr>
          <w:rFonts w:ascii="Tw Cen MT" w:hAnsi="Tw Cen MT"/>
          <w:sz w:val="24"/>
          <w:szCs w:val="24"/>
        </w:rPr>
      </w:pPr>
      <w:r w:rsidRPr="00AB5B37">
        <w:rPr>
          <w:rFonts w:ascii="Tw Cen MT" w:hAnsi="Tw Cen MT"/>
          <w:sz w:val="24"/>
          <w:szCs w:val="24"/>
        </w:rPr>
        <w:t>The limitations on eligibility and availability of the Part-Time Job Incentive Scheme (evidenced in take-up of this targeted scheme, which is the lowest of any of the social welfare labour activation schemes);</w:t>
      </w:r>
    </w:p>
    <w:p w:rsidR="00B44A3C" w:rsidRPr="00AB5B37" w:rsidRDefault="00B44A3C" w:rsidP="00AB5B37">
      <w:pPr>
        <w:pStyle w:val="ListParagraph"/>
        <w:numPr>
          <w:ilvl w:val="0"/>
          <w:numId w:val="39"/>
        </w:numPr>
        <w:spacing w:line="360" w:lineRule="auto"/>
        <w:rPr>
          <w:rFonts w:ascii="Tw Cen MT" w:hAnsi="Tw Cen MT"/>
          <w:sz w:val="24"/>
          <w:szCs w:val="24"/>
        </w:rPr>
      </w:pPr>
      <w:r w:rsidRPr="00AB5B37">
        <w:rPr>
          <w:rFonts w:ascii="Tw Cen MT" w:hAnsi="Tw Cen MT"/>
          <w:sz w:val="24"/>
          <w:szCs w:val="24"/>
        </w:rPr>
        <w:t>The level of awareness and application of the Medical Card Retention Scheme</w:t>
      </w:r>
      <w:r w:rsidR="00086D59" w:rsidRPr="00AB5B37">
        <w:rPr>
          <w:rFonts w:ascii="Tw Cen MT" w:hAnsi="Tw Cen MT"/>
          <w:sz w:val="24"/>
          <w:szCs w:val="24"/>
        </w:rPr>
        <w:t xml:space="preserve"> on return to work</w:t>
      </w:r>
      <w:r w:rsidRPr="00AB5B37">
        <w:rPr>
          <w:rFonts w:ascii="Tw Cen MT" w:hAnsi="Tw Cen MT"/>
          <w:sz w:val="24"/>
          <w:szCs w:val="24"/>
        </w:rPr>
        <w:t xml:space="preserve"> for certain social welfare claimants – with services reporting that, as this provision is not widely promoted, many eligible claimants are not aware (or are not being assessed) in this context when they move back into work;  </w:t>
      </w:r>
    </w:p>
    <w:p w:rsidR="00B44A3C" w:rsidRPr="00AB5B37" w:rsidRDefault="00B44A3C" w:rsidP="00AB5B37">
      <w:pPr>
        <w:pStyle w:val="ListParagraph"/>
        <w:numPr>
          <w:ilvl w:val="0"/>
          <w:numId w:val="39"/>
        </w:numPr>
        <w:spacing w:line="360" w:lineRule="auto"/>
        <w:rPr>
          <w:rFonts w:ascii="Tw Cen MT" w:hAnsi="Tw Cen MT"/>
          <w:sz w:val="24"/>
          <w:szCs w:val="24"/>
        </w:rPr>
      </w:pPr>
      <w:r w:rsidRPr="00AB5B37">
        <w:rPr>
          <w:rFonts w:ascii="Tw Cen MT" w:hAnsi="Tw Cen MT"/>
          <w:sz w:val="24"/>
          <w:szCs w:val="24"/>
        </w:rPr>
        <w:t>The difficulties for low-income families who are dependent on the Working Family Payment</w:t>
      </w:r>
      <w:r w:rsidR="00BA026D" w:rsidRPr="00AB5B37">
        <w:rPr>
          <w:rFonts w:ascii="Tw Cen MT" w:hAnsi="Tw Cen MT"/>
          <w:sz w:val="24"/>
          <w:szCs w:val="24"/>
        </w:rPr>
        <w:t xml:space="preserve"> (WFP)</w:t>
      </w:r>
      <w:r w:rsidR="009321C8" w:rsidRPr="00AB5B37">
        <w:rPr>
          <w:rFonts w:ascii="Tw Cen MT" w:hAnsi="Tw Cen MT"/>
          <w:sz w:val="24"/>
          <w:szCs w:val="24"/>
        </w:rPr>
        <w:t xml:space="preserve"> </w:t>
      </w:r>
      <w:r w:rsidR="00436190" w:rsidRPr="00AB5B37">
        <w:rPr>
          <w:rFonts w:ascii="Tw Cen MT" w:hAnsi="Tw Cen MT"/>
          <w:sz w:val="24"/>
          <w:szCs w:val="24"/>
        </w:rPr>
        <w:t xml:space="preserve">- formerly FIS - </w:t>
      </w:r>
      <w:r w:rsidRPr="00AB5B37">
        <w:rPr>
          <w:rFonts w:ascii="Tw Cen MT" w:hAnsi="Tw Cen MT"/>
          <w:sz w:val="24"/>
          <w:szCs w:val="24"/>
        </w:rPr>
        <w:t>to get by</w:t>
      </w:r>
      <w:r w:rsidR="0029794A" w:rsidRPr="00AB5B37">
        <w:rPr>
          <w:rFonts w:ascii="Tw Cen MT" w:hAnsi="Tw Cen MT"/>
          <w:sz w:val="24"/>
          <w:szCs w:val="24"/>
        </w:rPr>
        <w:t>. I</w:t>
      </w:r>
      <w:r w:rsidRPr="00AB5B37">
        <w:rPr>
          <w:rFonts w:ascii="Tw Cen MT" w:hAnsi="Tw Cen MT"/>
          <w:sz w:val="24"/>
          <w:szCs w:val="24"/>
        </w:rPr>
        <w:t xml:space="preserve">n particular, </w:t>
      </w:r>
      <w:r w:rsidR="0029794A" w:rsidRPr="00AB5B37">
        <w:rPr>
          <w:rFonts w:ascii="Tw Cen MT" w:hAnsi="Tw Cen MT"/>
          <w:sz w:val="24"/>
          <w:szCs w:val="24"/>
        </w:rPr>
        <w:t xml:space="preserve">the issues most referenced by services include </w:t>
      </w:r>
      <w:r w:rsidRPr="00AB5B37">
        <w:rPr>
          <w:rFonts w:ascii="Tw Cen MT" w:hAnsi="Tw Cen MT"/>
          <w:sz w:val="24"/>
          <w:szCs w:val="24"/>
        </w:rPr>
        <w:t>the level at which the income limits and working hours threshold is set, and also the rigidity of the 52 week review period</w:t>
      </w:r>
      <w:r w:rsidR="0029794A" w:rsidRPr="00AB5B37">
        <w:rPr>
          <w:rFonts w:ascii="Tw Cen MT" w:hAnsi="Tw Cen MT"/>
          <w:sz w:val="24"/>
          <w:szCs w:val="24"/>
        </w:rPr>
        <w:t xml:space="preserve"> -</w:t>
      </w:r>
      <w:r w:rsidRPr="00AB5B37">
        <w:rPr>
          <w:rFonts w:ascii="Tw Cen MT" w:hAnsi="Tw Cen MT"/>
          <w:sz w:val="24"/>
          <w:szCs w:val="24"/>
        </w:rPr>
        <w:t xml:space="preserve"> which can be costly in circumstances where there is a decrease in income or working hours;</w:t>
      </w:r>
    </w:p>
    <w:p w:rsidR="00B44A3C" w:rsidRPr="00AB5B37" w:rsidRDefault="00B44A3C" w:rsidP="00AB5B37">
      <w:pPr>
        <w:pStyle w:val="ListParagraph"/>
        <w:numPr>
          <w:ilvl w:val="0"/>
          <w:numId w:val="39"/>
        </w:numPr>
        <w:spacing w:line="360" w:lineRule="auto"/>
        <w:rPr>
          <w:rFonts w:ascii="Tw Cen MT" w:hAnsi="Tw Cen MT"/>
          <w:sz w:val="24"/>
          <w:szCs w:val="24"/>
        </w:rPr>
      </w:pPr>
      <w:r w:rsidRPr="00AB5B37">
        <w:rPr>
          <w:rFonts w:ascii="Tw Cen MT" w:hAnsi="Tw Cen MT"/>
          <w:sz w:val="24"/>
          <w:szCs w:val="24"/>
        </w:rPr>
        <w:t>The situation for jobseekers under the age of 26 in receipt of the reduced rate of Jobseeker’s Allowance, with particular difficulties reported for those who are not living in the family home;</w:t>
      </w:r>
    </w:p>
    <w:p w:rsidR="00B44A3C" w:rsidRPr="00AB5B37" w:rsidRDefault="00B44A3C" w:rsidP="00AB5B37">
      <w:pPr>
        <w:pStyle w:val="ListParagraph"/>
        <w:numPr>
          <w:ilvl w:val="0"/>
          <w:numId w:val="39"/>
        </w:numPr>
        <w:spacing w:line="360" w:lineRule="auto"/>
        <w:rPr>
          <w:rFonts w:ascii="Tw Cen MT" w:hAnsi="Tw Cen MT"/>
          <w:sz w:val="24"/>
          <w:szCs w:val="24"/>
        </w:rPr>
      </w:pPr>
      <w:r w:rsidRPr="00AB5B37">
        <w:rPr>
          <w:rFonts w:ascii="Tw Cen MT" w:hAnsi="Tw Cen MT"/>
          <w:sz w:val="24"/>
          <w:szCs w:val="24"/>
        </w:rPr>
        <w:t>The difficulties caused by the six day wait for Illness Benefit for low-paid workers, at a time when many have to meet increased costs of medical care;</w:t>
      </w:r>
    </w:p>
    <w:p w:rsidR="00B44A3C" w:rsidRPr="00AB5B37" w:rsidRDefault="00B44A3C" w:rsidP="00AB5B37">
      <w:pPr>
        <w:pStyle w:val="ListParagraph"/>
        <w:numPr>
          <w:ilvl w:val="0"/>
          <w:numId w:val="39"/>
        </w:numPr>
        <w:spacing w:line="360" w:lineRule="auto"/>
        <w:rPr>
          <w:rFonts w:ascii="Tw Cen MT" w:hAnsi="Tw Cen MT"/>
          <w:sz w:val="24"/>
          <w:szCs w:val="24"/>
        </w:rPr>
      </w:pPr>
      <w:r w:rsidRPr="00AB5B37">
        <w:rPr>
          <w:rFonts w:ascii="Tw Cen MT" w:hAnsi="Tw Cen MT"/>
          <w:sz w:val="24"/>
          <w:szCs w:val="24"/>
        </w:rPr>
        <w:t>The difficulties for employees who are requested by their employer to declare themselves as self-employed when they take up work.  This will have a direct impact on any future assessment f</w:t>
      </w:r>
      <w:r w:rsidR="00011E7E">
        <w:rPr>
          <w:rFonts w:ascii="Tw Cen MT" w:hAnsi="Tw Cen MT"/>
          <w:sz w:val="24"/>
          <w:szCs w:val="24"/>
        </w:rPr>
        <w:t>or Jobseeker’</w:t>
      </w:r>
      <w:r w:rsidRPr="00AB5B37">
        <w:rPr>
          <w:rFonts w:ascii="Tw Cen MT" w:hAnsi="Tw Cen MT"/>
          <w:sz w:val="24"/>
          <w:szCs w:val="24"/>
        </w:rPr>
        <w:t>s Allowance, on their eligibility for certain PRSI-related benefits and also to access activation and training schemes</w:t>
      </w:r>
      <w:r w:rsidR="0029794A" w:rsidRPr="00AB5B37">
        <w:rPr>
          <w:rFonts w:ascii="Tw Cen MT" w:hAnsi="Tw Cen MT"/>
          <w:sz w:val="24"/>
          <w:szCs w:val="24"/>
        </w:rPr>
        <w:t xml:space="preserve">. </w:t>
      </w:r>
      <w:r w:rsidR="00D674FA" w:rsidRPr="00AB5B37">
        <w:rPr>
          <w:rFonts w:ascii="Tw Cen MT" w:hAnsi="Tw Cen MT"/>
          <w:sz w:val="24"/>
          <w:szCs w:val="24"/>
        </w:rPr>
        <w:t>In this context</w:t>
      </w:r>
      <w:r w:rsidR="0029794A" w:rsidRPr="00AB5B37">
        <w:rPr>
          <w:rFonts w:ascii="Tw Cen MT" w:hAnsi="Tw Cen MT"/>
          <w:sz w:val="24"/>
          <w:szCs w:val="24"/>
        </w:rPr>
        <w:t>,</w:t>
      </w:r>
      <w:r w:rsidR="00D674FA" w:rsidRPr="00AB5B37">
        <w:rPr>
          <w:rFonts w:ascii="Tw Cen MT" w:hAnsi="Tw Cen MT"/>
          <w:sz w:val="24"/>
          <w:szCs w:val="24"/>
        </w:rPr>
        <w:t xml:space="preserve"> CIB welcomes the current government campaign to hig</w:t>
      </w:r>
      <w:r w:rsidR="00B7320C" w:rsidRPr="00AB5B37">
        <w:rPr>
          <w:rFonts w:ascii="Tw Cen MT" w:hAnsi="Tw Cen MT"/>
          <w:sz w:val="24"/>
          <w:szCs w:val="24"/>
        </w:rPr>
        <w:t>hlight enforced self employment;</w:t>
      </w:r>
    </w:p>
    <w:p w:rsidR="00B44A3C" w:rsidRPr="00AB5B37" w:rsidRDefault="00B44A3C" w:rsidP="00AB5B37">
      <w:pPr>
        <w:pStyle w:val="ListParagraph"/>
        <w:numPr>
          <w:ilvl w:val="0"/>
          <w:numId w:val="39"/>
        </w:numPr>
        <w:spacing w:line="360" w:lineRule="auto"/>
        <w:rPr>
          <w:rFonts w:ascii="Tw Cen MT" w:hAnsi="Tw Cen MT"/>
          <w:sz w:val="24"/>
          <w:szCs w:val="24"/>
        </w:rPr>
      </w:pPr>
      <w:r w:rsidRPr="00AB5B37">
        <w:rPr>
          <w:rFonts w:ascii="Tw Cen MT" w:hAnsi="Tw Cen MT"/>
          <w:sz w:val="24"/>
          <w:szCs w:val="24"/>
        </w:rPr>
        <w:t>The extent to which the ‘hidden unemployed’ are enabled to access activation measures (this includes claimants who have exhausted Jobseeker’s Benefit but who do not qualify for Jobseeker’s Allowance, people with disabilities, qualified adult dependents, or those who have taken time out of the workforce to care in the home)</w:t>
      </w:r>
      <w:r w:rsidR="0029794A" w:rsidRPr="00AB5B37">
        <w:rPr>
          <w:rFonts w:ascii="Tw Cen MT" w:hAnsi="Tw Cen MT"/>
          <w:sz w:val="24"/>
          <w:szCs w:val="24"/>
        </w:rPr>
        <w:t>.</w:t>
      </w:r>
    </w:p>
    <w:p w:rsidR="00B44A3C"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These key difficulties, </w:t>
      </w:r>
      <w:r w:rsidR="00D674FA" w:rsidRPr="00EC49F4">
        <w:rPr>
          <w:rFonts w:ascii="Tw Cen MT" w:hAnsi="Tw Cen MT"/>
          <w:sz w:val="24"/>
          <w:szCs w:val="24"/>
        </w:rPr>
        <w:t xml:space="preserve">illustrate </w:t>
      </w:r>
      <w:r w:rsidRPr="00EC49F4">
        <w:rPr>
          <w:rFonts w:ascii="Tw Cen MT" w:hAnsi="Tw Cen MT"/>
          <w:b/>
          <w:color w:val="1F497D" w:themeColor="text2"/>
          <w:sz w:val="24"/>
          <w:szCs w:val="24"/>
        </w:rPr>
        <w:t>the importance of an appropriately designed in-work welfare system</w:t>
      </w:r>
      <w:r w:rsidRPr="00EC49F4">
        <w:rPr>
          <w:rFonts w:ascii="Tw Cen MT" w:hAnsi="Tw Cen MT"/>
          <w:sz w:val="24"/>
          <w:szCs w:val="24"/>
        </w:rPr>
        <w:t xml:space="preserve">. Such a system can provide both additional income and security for those seeking to move back into work and for low-paid working people. </w:t>
      </w:r>
    </w:p>
    <w:p w:rsidR="00B44A3C"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As the context for workers continues to change in the Irish economy, </w:t>
      </w:r>
      <w:r w:rsidRPr="00EC49F4">
        <w:rPr>
          <w:rFonts w:ascii="Tw Cen MT" w:hAnsi="Tw Cen MT"/>
          <w:b/>
          <w:color w:val="1F497D" w:themeColor="text2"/>
          <w:sz w:val="24"/>
          <w:szCs w:val="24"/>
        </w:rPr>
        <w:t>the ways in which the system is delivered also requires attention</w:t>
      </w:r>
      <w:r w:rsidRPr="00EC49F4">
        <w:rPr>
          <w:rFonts w:ascii="Tw Cen MT" w:hAnsi="Tw Cen MT"/>
          <w:color w:val="1F497D" w:themeColor="text2"/>
          <w:sz w:val="24"/>
          <w:szCs w:val="24"/>
        </w:rPr>
        <w:t xml:space="preserve"> </w:t>
      </w:r>
      <w:r w:rsidR="00B7320C" w:rsidRPr="00EC49F4">
        <w:rPr>
          <w:rFonts w:ascii="Tw Cen MT" w:hAnsi="Tw Cen MT"/>
          <w:sz w:val="24"/>
          <w:szCs w:val="24"/>
        </w:rPr>
        <w:t xml:space="preserve">- </w:t>
      </w:r>
      <w:r w:rsidRPr="00EC49F4">
        <w:rPr>
          <w:rFonts w:ascii="Tw Cen MT" w:hAnsi="Tw Cen MT"/>
          <w:sz w:val="24"/>
          <w:szCs w:val="24"/>
        </w:rPr>
        <w:t>as many of the issues highlighted by CISs during 2017 show the significant challenges for those who are dependent on the delivery</w:t>
      </w:r>
      <w:r w:rsidR="00372977" w:rsidRPr="00EC49F4">
        <w:rPr>
          <w:rFonts w:ascii="Tw Cen MT" w:hAnsi="Tw Cen MT"/>
          <w:sz w:val="24"/>
          <w:szCs w:val="24"/>
        </w:rPr>
        <w:t xml:space="preserve"> systems</w:t>
      </w:r>
      <w:r w:rsidR="00B7320C" w:rsidRPr="00EC49F4">
        <w:rPr>
          <w:rFonts w:ascii="Tw Cen MT" w:hAnsi="Tw Cen MT"/>
          <w:sz w:val="24"/>
          <w:szCs w:val="24"/>
        </w:rPr>
        <w:t xml:space="preserve"> for </w:t>
      </w:r>
      <w:r w:rsidRPr="00EC49F4">
        <w:rPr>
          <w:rFonts w:ascii="Tw Cen MT" w:hAnsi="Tw Cen MT"/>
          <w:sz w:val="24"/>
          <w:szCs w:val="24"/>
        </w:rPr>
        <w:t>many of these benefits and supports. Persistent concerns continue to be expressed around</w:t>
      </w:r>
      <w:r w:rsidRPr="00EC49F4">
        <w:rPr>
          <w:rFonts w:ascii="Tw Cen MT" w:hAnsi="Tw Cen MT"/>
          <w:b/>
          <w:color w:val="1F497D" w:themeColor="text2"/>
          <w:sz w:val="24"/>
          <w:szCs w:val="24"/>
        </w:rPr>
        <w:t xml:space="preserve"> delays in applications, reviews and appeals</w:t>
      </w:r>
      <w:r w:rsidRPr="00EC49F4">
        <w:rPr>
          <w:rFonts w:ascii="Tw Cen MT" w:hAnsi="Tw Cen MT"/>
          <w:color w:val="1F497D" w:themeColor="text2"/>
          <w:sz w:val="24"/>
          <w:szCs w:val="24"/>
        </w:rPr>
        <w:t xml:space="preserve"> </w:t>
      </w:r>
      <w:r w:rsidR="006844CD" w:rsidRPr="00EC49F4">
        <w:rPr>
          <w:rFonts w:ascii="Tw Cen MT" w:hAnsi="Tw Cen MT"/>
          <w:sz w:val="24"/>
          <w:szCs w:val="24"/>
        </w:rPr>
        <w:t xml:space="preserve">as well as </w:t>
      </w:r>
      <w:r w:rsidRPr="00EC49F4">
        <w:rPr>
          <w:rFonts w:ascii="Tw Cen MT" w:hAnsi="Tw Cen MT"/>
          <w:sz w:val="24"/>
          <w:szCs w:val="24"/>
        </w:rPr>
        <w:t xml:space="preserve">ongoing difficulties that </w:t>
      </w:r>
      <w:r w:rsidR="006844CD" w:rsidRPr="00EC49F4">
        <w:rPr>
          <w:rFonts w:ascii="Tw Cen MT" w:hAnsi="Tw Cen MT"/>
          <w:sz w:val="24"/>
          <w:szCs w:val="24"/>
        </w:rPr>
        <w:t xml:space="preserve">services </w:t>
      </w:r>
      <w:r w:rsidRPr="00EC49F4">
        <w:rPr>
          <w:rFonts w:ascii="Tw Cen MT" w:hAnsi="Tw Cen MT"/>
          <w:sz w:val="24"/>
          <w:szCs w:val="24"/>
        </w:rPr>
        <w:t xml:space="preserve">(and their clients) have in making </w:t>
      </w:r>
      <w:r w:rsidRPr="00EC49F4">
        <w:rPr>
          <w:rFonts w:ascii="Tw Cen MT" w:hAnsi="Tw Cen MT"/>
          <w:sz w:val="24"/>
          <w:szCs w:val="24"/>
        </w:rPr>
        <w:lastRenderedPageBreak/>
        <w:t xml:space="preserve">contact with the relevant </w:t>
      </w:r>
      <w:r w:rsidR="00D674FA" w:rsidRPr="00EC49F4">
        <w:rPr>
          <w:rFonts w:ascii="Tw Cen MT" w:hAnsi="Tw Cen MT"/>
          <w:sz w:val="24"/>
          <w:szCs w:val="24"/>
        </w:rPr>
        <w:t xml:space="preserve">public bodies and </w:t>
      </w:r>
      <w:r w:rsidRPr="00EC49F4">
        <w:rPr>
          <w:rFonts w:ascii="Tw Cen MT" w:hAnsi="Tw Cen MT"/>
          <w:sz w:val="24"/>
          <w:szCs w:val="24"/>
        </w:rPr>
        <w:t xml:space="preserve">sections within the Department of Employment Affairs and Social Protection. Typically, these welfare applicants will be trying to juggle changing circumstances and many will have difficulty understanding what these changes will mean for their claims. </w:t>
      </w:r>
      <w:r w:rsidR="00752755" w:rsidRPr="00EC49F4">
        <w:rPr>
          <w:rFonts w:ascii="Tw Cen MT" w:hAnsi="Tw Cen MT"/>
          <w:sz w:val="24"/>
          <w:szCs w:val="24"/>
        </w:rPr>
        <w:t>A</w:t>
      </w:r>
      <w:r w:rsidRPr="00EC49F4">
        <w:rPr>
          <w:rFonts w:ascii="Tw Cen MT" w:hAnsi="Tw Cen MT"/>
          <w:sz w:val="24"/>
          <w:szCs w:val="24"/>
        </w:rPr>
        <w:t xml:space="preserve">dministrative delays and </w:t>
      </w:r>
      <w:r w:rsidRPr="00EC49F4">
        <w:rPr>
          <w:rFonts w:ascii="Tw Cen MT" w:hAnsi="Tw Cen MT"/>
          <w:b/>
          <w:color w:val="1F497D" w:themeColor="text2"/>
          <w:sz w:val="24"/>
          <w:szCs w:val="24"/>
        </w:rPr>
        <w:t>frustrations in contacting authorities</w:t>
      </w:r>
      <w:r w:rsidRPr="00EC49F4">
        <w:rPr>
          <w:rFonts w:ascii="Tw Cen MT" w:hAnsi="Tw Cen MT"/>
          <w:color w:val="1F497D" w:themeColor="text2"/>
          <w:sz w:val="24"/>
          <w:szCs w:val="24"/>
        </w:rPr>
        <w:t xml:space="preserve"> </w:t>
      </w:r>
      <w:r w:rsidRPr="00EC49F4">
        <w:rPr>
          <w:rFonts w:ascii="Tw Cen MT" w:hAnsi="Tw Cen MT"/>
          <w:sz w:val="24"/>
          <w:szCs w:val="24"/>
        </w:rPr>
        <w:t xml:space="preserve">are acutely felt by CIS clients </w:t>
      </w:r>
      <w:r w:rsidR="006844CD" w:rsidRPr="00EC49F4">
        <w:rPr>
          <w:rFonts w:ascii="Tw Cen MT" w:hAnsi="Tw Cen MT"/>
          <w:sz w:val="24"/>
          <w:szCs w:val="24"/>
        </w:rPr>
        <w:t xml:space="preserve">with impacts on </w:t>
      </w:r>
      <w:r w:rsidRPr="00EC49F4">
        <w:rPr>
          <w:rFonts w:ascii="Tw Cen MT" w:hAnsi="Tw Cen MT"/>
          <w:sz w:val="24"/>
          <w:szCs w:val="24"/>
        </w:rPr>
        <w:t xml:space="preserve">eligibility, rights and entitlements. </w:t>
      </w:r>
    </w:p>
    <w:p w:rsidR="00582BAF" w:rsidRPr="00EC49F4" w:rsidRDefault="00B44A3C" w:rsidP="00EC49F4">
      <w:pPr>
        <w:spacing w:line="360" w:lineRule="auto"/>
        <w:rPr>
          <w:rFonts w:ascii="Tw Cen MT" w:hAnsi="Tw Cen MT"/>
          <w:sz w:val="24"/>
          <w:szCs w:val="24"/>
        </w:rPr>
      </w:pPr>
      <w:r w:rsidRPr="00EC49F4">
        <w:rPr>
          <w:rFonts w:ascii="Tw Cen MT" w:hAnsi="Tw Cen MT"/>
          <w:sz w:val="24"/>
          <w:szCs w:val="24"/>
        </w:rPr>
        <w:t>Of further relevance here is the feedback from services around accessing local offices and concerns about the nature and quality of engagement by activation services at local level with jobseekers, with some services suggesting the need to enhance further education and training opportunities for the long-term unemployed, for school leavers and also for those in employment.</w:t>
      </w:r>
      <w:r w:rsidR="006844CD" w:rsidRPr="00EC49F4">
        <w:rPr>
          <w:rFonts w:ascii="Tw Cen MT" w:hAnsi="Tw Cen MT"/>
          <w:sz w:val="24"/>
          <w:szCs w:val="24"/>
        </w:rPr>
        <w:t xml:space="preserve"> </w:t>
      </w:r>
      <w:r w:rsidRPr="00EC49F4">
        <w:rPr>
          <w:rFonts w:ascii="Tw Cen MT" w:hAnsi="Tw Cen MT"/>
          <w:sz w:val="24"/>
          <w:szCs w:val="24"/>
        </w:rPr>
        <w:t xml:space="preserve">Staff within information services have also expressed concerns about the nature of communications </w:t>
      </w:r>
      <w:r w:rsidR="00C5320F" w:rsidRPr="00EC49F4">
        <w:rPr>
          <w:rFonts w:ascii="Tw Cen MT" w:hAnsi="Tw Cen MT"/>
          <w:sz w:val="24"/>
          <w:szCs w:val="24"/>
        </w:rPr>
        <w:t>around eligibility and entitlement</w:t>
      </w:r>
      <w:r w:rsidRPr="00EC49F4">
        <w:rPr>
          <w:rFonts w:ascii="Tw Cen MT" w:hAnsi="Tw Cen MT"/>
          <w:sz w:val="24"/>
          <w:szCs w:val="24"/>
        </w:rPr>
        <w:t xml:space="preserve">, indicating the need for </w:t>
      </w:r>
      <w:r w:rsidRPr="00EC49F4">
        <w:rPr>
          <w:rFonts w:ascii="Tw Cen MT" w:hAnsi="Tw Cen MT"/>
          <w:b/>
          <w:color w:val="1F497D" w:themeColor="text2"/>
          <w:sz w:val="24"/>
          <w:szCs w:val="24"/>
        </w:rPr>
        <w:t>better practices regarding the communication of decisions</w:t>
      </w:r>
      <w:r w:rsidRPr="00EC49F4">
        <w:rPr>
          <w:rFonts w:ascii="Tw Cen MT" w:hAnsi="Tw Cen MT"/>
          <w:color w:val="1F497D" w:themeColor="text2"/>
          <w:sz w:val="24"/>
          <w:szCs w:val="24"/>
        </w:rPr>
        <w:t xml:space="preserve"> </w:t>
      </w:r>
      <w:r w:rsidRPr="00EC49F4">
        <w:rPr>
          <w:rFonts w:ascii="Tw Cen MT" w:hAnsi="Tw Cen MT"/>
          <w:sz w:val="24"/>
          <w:szCs w:val="24"/>
        </w:rPr>
        <w:t>to applicants and potential applicants</w:t>
      </w:r>
      <w:r w:rsidR="002155FA" w:rsidRPr="00EC49F4">
        <w:rPr>
          <w:rFonts w:ascii="Tw Cen MT" w:hAnsi="Tw Cen MT"/>
          <w:sz w:val="24"/>
          <w:szCs w:val="24"/>
        </w:rPr>
        <w:t xml:space="preserve"> and </w:t>
      </w:r>
      <w:r w:rsidR="00582BAF" w:rsidRPr="00EC49F4">
        <w:rPr>
          <w:rFonts w:ascii="Tw Cen MT" w:hAnsi="Tw Cen MT"/>
          <w:sz w:val="24"/>
          <w:szCs w:val="24"/>
        </w:rPr>
        <w:t xml:space="preserve">the </w:t>
      </w:r>
      <w:r w:rsidR="002155FA" w:rsidRPr="00EC49F4">
        <w:rPr>
          <w:rFonts w:ascii="Tw Cen MT" w:hAnsi="Tw Cen MT"/>
          <w:sz w:val="24"/>
          <w:szCs w:val="24"/>
        </w:rPr>
        <w:t>signposting of relevant schemes and payments.</w:t>
      </w:r>
      <w:r w:rsidR="00582BAF" w:rsidRPr="00EC49F4">
        <w:rPr>
          <w:rFonts w:ascii="Tw Cen MT" w:hAnsi="Tw Cen MT"/>
          <w:sz w:val="24"/>
          <w:szCs w:val="24"/>
        </w:rPr>
        <w:t xml:space="preserve"> </w:t>
      </w:r>
    </w:p>
    <w:p w:rsidR="007E038F"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For many CIS </w:t>
      </w:r>
      <w:r w:rsidR="002155FA" w:rsidRPr="00EC49F4">
        <w:rPr>
          <w:rFonts w:ascii="Tw Cen MT" w:hAnsi="Tw Cen MT"/>
          <w:sz w:val="24"/>
          <w:szCs w:val="24"/>
        </w:rPr>
        <w:t>users</w:t>
      </w:r>
      <w:r w:rsidR="003003F8" w:rsidRPr="00EC49F4">
        <w:rPr>
          <w:rFonts w:ascii="Tw Cen MT" w:hAnsi="Tw Cen MT"/>
          <w:sz w:val="24"/>
          <w:szCs w:val="24"/>
        </w:rPr>
        <w:t xml:space="preserve"> and MABS clients, </w:t>
      </w:r>
      <w:r w:rsidRPr="00EC49F4">
        <w:rPr>
          <w:rFonts w:ascii="Tw Cen MT" w:hAnsi="Tw Cen MT"/>
          <w:sz w:val="24"/>
          <w:szCs w:val="24"/>
        </w:rPr>
        <w:t xml:space="preserve">the </w:t>
      </w:r>
      <w:r w:rsidR="00EB3B8C" w:rsidRPr="00EC49F4">
        <w:rPr>
          <w:rFonts w:ascii="Tw Cen MT" w:hAnsi="Tw Cen MT"/>
          <w:sz w:val="24"/>
          <w:szCs w:val="24"/>
        </w:rPr>
        <w:t xml:space="preserve">persistent </w:t>
      </w:r>
      <w:r w:rsidRPr="00EC49F4">
        <w:rPr>
          <w:rFonts w:ascii="Tw Cen MT" w:hAnsi="Tw Cen MT"/>
          <w:sz w:val="24"/>
          <w:szCs w:val="24"/>
        </w:rPr>
        <w:t>issue of</w:t>
      </w:r>
      <w:r w:rsidR="0093777D" w:rsidRPr="00EC49F4">
        <w:rPr>
          <w:rFonts w:ascii="Tw Cen MT" w:hAnsi="Tw Cen MT"/>
          <w:sz w:val="24"/>
          <w:szCs w:val="24"/>
        </w:rPr>
        <w:t xml:space="preserve"> the </w:t>
      </w:r>
      <w:r w:rsidR="003003F8" w:rsidRPr="00EC49F4">
        <w:rPr>
          <w:rFonts w:ascii="Tw Cen MT" w:hAnsi="Tw Cen MT"/>
          <w:b/>
          <w:color w:val="1F497D" w:themeColor="text2"/>
          <w:sz w:val="24"/>
          <w:szCs w:val="24"/>
        </w:rPr>
        <w:t xml:space="preserve">affordability of </w:t>
      </w:r>
      <w:r w:rsidRPr="00EC49F4">
        <w:rPr>
          <w:rFonts w:ascii="Tw Cen MT" w:hAnsi="Tw Cen MT"/>
          <w:b/>
          <w:color w:val="1F497D" w:themeColor="text2"/>
          <w:sz w:val="24"/>
          <w:szCs w:val="24"/>
        </w:rPr>
        <w:t>childcare costs</w:t>
      </w:r>
      <w:r w:rsidRPr="00EC49F4">
        <w:rPr>
          <w:rFonts w:ascii="Tw Cen MT" w:hAnsi="Tw Cen MT"/>
          <w:color w:val="1F497D" w:themeColor="text2"/>
          <w:sz w:val="24"/>
          <w:szCs w:val="24"/>
        </w:rPr>
        <w:t xml:space="preserve"> </w:t>
      </w:r>
      <w:r w:rsidRPr="00EC49F4">
        <w:rPr>
          <w:rFonts w:ascii="Tw Cen MT" w:hAnsi="Tw Cen MT"/>
          <w:b/>
          <w:color w:val="1F497D" w:themeColor="text2"/>
          <w:sz w:val="24"/>
          <w:szCs w:val="24"/>
        </w:rPr>
        <w:t>and provision</w:t>
      </w:r>
      <w:r w:rsidRPr="00EC49F4">
        <w:rPr>
          <w:rFonts w:ascii="Tw Cen MT" w:hAnsi="Tw Cen MT"/>
          <w:color w:val="1F497D" w:themeColor="text2"/>
          <w:sz w:val="24"/>
          <w:szCs w:val="24"/>
        </w:rPr>
        <w:t xml:space="preserve"> </w:t>
      </w:r>
      <w:r w:rsidRPr="00EC49F4">
        <w:rPr>
          <w:rFonts w:ascii="Tw Cen MT" w:hAnsi="Tw Cen MT"/>
          <w:sz w:val="24"/>
          <w:szCs w:val="24"/>
        </w:rPr>
        <w:t xml:space="preserve">remain a significant barrier in taking up work, increasing working hours </w:t>
      </w:r>
      <w:r w:rsidR="005F6282" w:rsidRPr="00EC49F4">
        <w:rPr>
          <w:rFonts w:ascii="Tw Cen MT" w:hAnsi="Tw Cen MT"/>
          <w:sz w:val="24"/>
          <w:szCs w:val="24"/>
        </w:rPr>
        <w:t>or accessing activation schemes, with very specific impacts on lone parents</w:t>
      </w:r>
      <w:r w:rsidR="00DD3C66" w:rsidRPr="00EC49F4">
        <w:rPr>
          <w:rFonts w:ascii="Tw Cen MT" w:hAnsi="Tw Cen MT"/>
          <w:sz w:val="24"/>
          <w:szCs w:val="24"/>
        </w:rPr>
        <w:t>.</w:t>
      </w:r>
      <w:r w:rsidR="005F6282" w:rsidRPr="00EC49F4">
        <w:rPr>
          <w:rFonts w:ascii="Tw Cen MT" w:hAnsi="Tw Cen MT"/>
          <w:sz w:val="24"/>
          <w:szCs w:val="24"/>
        </w:rPr>
        <w:t xml:space="preserve">  </w:t>
      </w:r>
      <w:r w:rsidR="00A3595C" w:rsidRPr="00EC49F4">
        <w:rPr>
          <w:rFonts w:ascii="Tw Cen MT" w:hAnsi="Tw Cen MT"/>
          <w:sz w:val="24"/>
          <w:szCs w:val="24"/>
        </w:rPr>
        <w:t xml:space="preserve">The recent passage of the Childcare Support Bill through the Dáil, which will give effect to the Single Affordable Childcare Scheme (as announced in Budget 2017) is to be welcomed and it is hoped that this legislation (and the associated administrative and technical systems) will finally deliver a </w:t>
      </w:r>
      <w:r w:rsidRPr="00EC49F4">
        <w:rPr>
          <w:rFonts w:ascii="Tw Cen MT" w:hAnsi="Tw Cen MT"/>
          <w:sz w:val="24"/>
          <w:szCs w:val="24"/>
        </w:rPr>
        <w:t>cohesive system of affordable, full-time quality childcare</w:t>
      </w:r>
      <w:r w:rsidR="00A3595C" w:rsidRPr="00EC49F4">
        <w:rPr>
          <w:rFonts w:ascii="Tw Cen MT" w:hAnsi="Tw Cen MT"/>
          <w:sz w:val="24"/>
          <w:szCs w:val="24"/>
        </w:rPr>
        <w:t xml:space="preserve"> for low-income households throughout the country.</w:t>
      </w:r>
    </w:p>
    <w:p w:rsidR="00B44A3C" w:rsidRPr="00EC49F4" w:rsidRDefault="006844CD" w:rsidP="00EC49F4">
      <w:pPr>
        <w:spacing w:line="360" w:lineRule="auto"/>
        <w:rPr>
          <w:rFonts w:ascii="Tw Cen MT" w:hAnsi="Tw Cen MT"/>
          <w:sz w:val="24"/>
          <w:szCs w:val="24"/>
        </w:rPr>
      </w:pPr>
      <w:r w:rsidRPr="00EC49F4">
        <w:rPr>
          <w:rFonts w:ascii="Tw Cen MT" w:hAnsi="Tw Cen MT"/>
          <w:sz w:val="24"/>
          <w:szCs w:val="24"/>
        </w:rPr>
        <w:t>The</w:t>
      </w:r>
      <w:r w:rsidR="00B44A3C" w:rsidRPr="00EC49F4">
        <w:rPr>
          <w:rFonts w:ascii="Tw Cen MT" w:hAnsi="Tw Cen MT"/>
          <w:sz w:val="24"/>
          <w:szCs w:val="24"/>
        </w:rPr>
        <w:t xml:space="preserve"> evidence provided by our delivery services speaks to the need for an appropriately designed and delivered in-work welfare system, which is more responsive to the needs </w:t>
      </w:r>
      <w:r w:rsidR="00071E38" w:rsidRPr="00EC49F4">
        <w:rPr>
          <w:rFonts w:ascii="Tw Cen MT" w:hAnsi="Tw Cen MT"/>
          <w:sz w:val="24"/>
          <w:szCs w:val="24"/>
        </w:rPr>
        <w:t xml:space="preserve">and circumstances of its users. </w:t>
      </w:r>
      <w:r w:rsidR="00B44A3C" w:rsidRPr="00EC49F4">
        <w:rPr>
          <w:rFonts w:ascii="Tw Cen MT" w:hAnsi="Tw Cen MT"/>
          <w:sz w:val="24"/>
          <w:szCs w:val="24"/>
        </w:rPr>
        <w:t xml:space="preserve">It also highlights the importance of robust </w:t>
      </w:r>
      <w:r w:rsidR="00071E38" w:rsidRPr="00EC49F4">
        <w:rPr>
          <w:rFonts w:ascii="Tw Cen MT" w:hAnsi="Tw Cen MT"/>
          <w:sz w:val="24"/>
          <w:szCs w:val="24"/>
        </w:rPr>
        <w:t>engagement with employment and</w:t>
      </w:r>
      <w:r w:rsidR="00EB3B8C" w:rsidRPr="00EC49F4">
        <w:rPr>
          <w:rFonts w:ascii="Tw Cen MT" w:hAnsi="Tw Cen MT"/>
          <w:sz w:val="24"/>
          <w:szCs w:val="24"/>
        </w:rPr>
        <w:t xml:space="preserve"> </w:t>
      </w:r>
      <w:r w:rsidR="00B44A3C" w:rsidRPr="00EC49F4">
        <w:rPr>
          <w:rFonts w:ascii="Tw Cen MT" w:hAnsi="Tw Cen MT"/>
          <w:sz w:val="24"/>
          <w:szCs w:val="24"/>
        </w:rPr>
        <w:t>support services in helping people through change and uncertainty.</w:t>
      </w:r>
    </w:p>
    <w:p w:rsidR="00B44A3C" w:rsidRPr="00AB5B37" w:rsidRDefault="00B44A3C" w:rsidP="00EC49F4">
      <w:pPr>
        <w:pStyle w:val="Heading3"/>
        <w:spacing w:line="360" w:lineRule="auto"/>
        <w:rPr>
          <w:rFonts w:ascii="Tw Cen MT" w:hAnsi="Tw Cen MT"/>
          <w:sz w:val="28"/>
          <w:szCs w:val="28"/>
        </w:rPr>
      </w:pPr>
      <w:r w:rsidRPr="00AB5B37">
        <w:rPr>
          <w:rFonts w:ascii="Tw Cen MT" w:hAnsi="Tw Cen MT"/>
          <w:sz w:val="28"/>
          <w:szCs w:val="28"/>
        </w:rPr>
        <w:t>Recommendations</w:t>
      </w:r>
      <w:r w:rsidR="00A934E9" w:rsidRPr="00AB5B37">
        <w:rPr>
          <w:rFonts w:ascii="Tw Cen MT" w:hAnsi="Tw Cen MT"/>
          <w:sz w:val="28"/>
          <w:szCs w:val="28"/>
        </w:rPr>
        <w:t xml:space="preserve"> - Work and Welfare</w:t>
      </w:r>
      <w:r w:rsidRPr="00AB5B37">
        <w:rPr>
          <w:rFonts w:ascii="Tw Cen MT" w:hAnsi="Tw Cen MT"/>
          <w:sz w:val="28"/>
          <w:szCs w:val="28"/>
        </w:rPr>
        <w:t xml:space="preserve">: </w:t>
      </w:r>
    </w:p>
    <w:p w:rsidR="00D44EBE" w:rsidRPr="00EC49F4" w:rsidRDefault="00B44A3C" w:rsidP="00EC49F4">
      <w:p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Based on the evidence provided , CIB recommends the following in relation to the design of work and welfare systems:-</w:t>
      </w:r>
    </w:p>
    <w:p w:rsidR="00D44EBE" w:rsidRPr="00EC49F4" w:rsidRDefault="00B44A3C" w:rsidP="00EC49F4">
      <w:pPr>
        <w:pStyle w:val="ListParagraph"/>
        <w:numPr>
          <w:ilvl w:val="0"/>
          <w:numId w:val="35"/>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Change eligibility for jobseeker’s payments to criteria based on hours worked rather than the number of days worked, to better support part-time and casual working patterns;</w:t>
      </w:r>
    </w:p>
    <w:p w:rsidR="00D44EBE" w:rsidRPr="00EC49F4" w:rsidRDefault="00B44A3C" w:rsidP="00EC49F4">
      <w:pPr>
        <w:pStyle w:val="ListParagraph"/>
        <w:numPr>
          <w:ilvl w:val="0"/>
          <w:numId w:val="35"/>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Continue to phase out the age-differentiated, reduced rate of payment of Jobseeker’s Allowance for jobseekers who are under 26;</w:t>
      </w:r>
    </w:p>
    <w:p w:rsidR="00D44EBE" w:rsidRPr="00EC49F4" w:rsidRDefault="00B44A3C" w:rsidP="00EC49F4">
      <w:pPr>
        <w:pStyle w:val="ListParagraph"/>
        <w:numPr>
          <w:ilvl w:val="0"/>
          <w:numId w:val="35"/>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Decrease the number of waiting days for entitlement</w:t>
      </w:r>
      <w:r w:rsidR="00054DBA" w:rsidRPr="00EC49F4">
        <w:rPr>
          <w:rFonts w:ascii="Tw Cen MT" w:hAnsi="Tw Cen MT"/>
          <w:sz w:val="24"/>
          <w:szCs w:val="24"/>
        </w:rPr>
        <w:t xml:space="preserve"> to Illness B</w:t>
      </w:r>
      <w:r w:rsidRPr="00EC49F4">
        <w:rPr>
          <w:rFonts w:ascii="Tw Cen MT" w:hAnsi="Tw Cen MT"/>
          <w:sz w:val="24"/>
          <w:szCs w:val="24"/>
        </w:rPr>
        <w:t xml:space="preserve">enefit from six to three days, reverting to the criteria prior to 2014; </w:t>
      </w:r>
    </w:p>
    <w:p w:rsidR="00D44EBE" w:rsidRPr="00EC49F4" w:rsidRDefault="00B44A3C" w:rsidP="00EC49F4">
      <w:pPr>
        <w:pStyle w:val="ListParagraph"/>
        <w:numPr>
          <w:ilvl w:val="0"/>
          <w:numId w:val="35"/>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lastRenderedPageBreak/>
        <w:t>Adjust the income and working hours threshold for the Working Family Payment to better reflect the types of employment that are now being filled by low-income families;</w:t>
      </w:r>
    </w:p>
    <w:p w:rsidR="00D44EBE" w:rsidRPr="00EC49F4" w:rsidRDefault="00B44A3C" w:rsidP="00EC49F4">
      <w:pPr>
        <w:pStyle w:val="ListParagraph"/>
        <w:numPr>
          <w:ilvl w:val="0"/>
          <w:numId w:val="35"/>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Extend the reach and coverage of activation and training schemes to include the ‘hidden unemployed’, and in particular, ensure that eligibility and supports for all employment activation schemes includes people with disabilities in line with the recommendations of the Make Work Pay Report;</w:t>
      </w:r>
    </w:p>
    <w:p w:rsidR="00D44EBE" w:rsidRPr="00EC49F4" w:rsidRDefault="00B44A3C" w:rsidP="00EC49F4">
      <w:pPr>
        <w:pStyle w:val="ListParagraph"/>
        <w:numPr>
          <w:ilvl w:val="0"/>
          <w:numId w:val="35"/>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Develop a streamlined, over-arching system of subsidi</w:t>
      </w:r>
      <w:r w:rsidR="00EB3B8C" w:rsidRPr="00EC49F4">
        <w:rPr>
          <w:rFonts w:ascii="Tw Cen MT" w:hAnsi="Tw Cen MT"/>
          <w:sz w:val="24"/>
          <w:szCs w:val="24"/>
        </w:rPr>
        <w:t>s</w:t>
      </w:r>
      <w:r w:rsidRPr="00EC49F4">
        <w:rPr>
          <w:rFonts w:ascii="Tw Cen MT" w:hAnsi="Tw Cen MT"/>
          <w:sz w:val="24"/>
          <w:szCs w:val="24"/>
        </w:rPr>
        <w:t xml:space="preserve">ed childcare that provides affordable, quality, full-time childcare options for low income families; </w:t>
      </w:r>
    </w:p>
    <w:p w:rsidR="00D44EBE" w:rsidRPr="00EC49F4" w:rsidRDefault="00B44A3C" w:rsidP="00EC49F4">
      <w:pPr>
        <w:pStyle w:val="ListParagraph"/>
        <w:numPr>
          <w:ilvl w:val="0"/>
          <w:numId w:val="35"/>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 xml:space="preserve">Examine the potential that exists to exploit the imminent </w:t>
      </w:r>
      <w:r w:rsidR="00054DBA" w:rsidRPr="00EC49F4">
        <w:rPr>
          <w:rFonts w:ascii="Tw Cen MT" w:hAnsi="Tw Cen MT"/>
          <w:sz w:val="24"/>
          <w:szCs w:val="24"/>
        </w:rPr>
        <w:t>roll-out of the PAYE modernis</w:t>
      </w:r>
      <w:r w:rsidRPr="00EC49F4">
        <w:rPr>
          <w:rFonts w:ascii="Tw Cen MT" w:hAnsi="Tw Cen MT"/>
          <w:sz w:val="24"/>
          <w:szCs w:val="24"/>
        </w:rPr>
        <w:t>ation programme in terms of the processing and administration of claims for benefits – specifically how the availability of real-time information relating to pay, tax, PRSI and USC deductions can be utili</w:t>
      </w:r>
      <w:r w:rsidR="00EB3B8C" w:rsidRPr="00EC49F4">
        <w:rPr>
          <w:rFonts w:ascii="Tw Cen MT" w:hAnsi="Tw Cen MT"/>
          <w:sz w:val="24"/>
          <w:szCs w:val="24"/>
        </w:rPr>
        <w:t>s</w:t>
      </w:r>
      <w:r w:rsidRPr="00EC49F4">
        <w:rPr>
          <w:rFonts w:ascii="Tw Cen MT" w:hAnsi="Tw Cen MT"/>
          <w:sz w:val="24"/>
          <w:szCs w:val="24"/>
        </w:rPr>
        <w:t xml:space="preserve">ed by DEASP in designing a system that is more responsive to their clients needs; </w:t>
      </w:r>
    </w:p>
    <w:p w:rsidR="00D44EBE" w:rsidRPr="00EC49F4" w:rsidRDefault="00B44A3C" w:rsidP="00EC49F4">
      <w:p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CIB also makes the following recommendations which are focused on the delivery of welfare supports to people who are seeking to access work or combine work with welfare:-</w:t>
      </w:r>
    </w:p>
    <w:p w:rsidR="00D44EBE" w:rsidRPr="00EC49F4" w:rsidRDefault="00B44A3C" w:rsidP="00EC49F4">
      <w:pPr>
        <w:pStyle w:val="ListParagraph"/>
        <w:numPr>
          <w:ilvl w:val="0"/>
          <w:numId w:val="36"/>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Proactively promote the scope and availability of the targeted measures that operate as a valuable incentive to taking up (and extending) employment, such as the Back To Work Family Dividend, the Medical Card Retention Scheme and the Part-time Job Incentive Scheme;</w:t>
      </w:r>
    </w:p>
    <w:p w:rsidR="00712D68" w:rsidRPr="00EC49F4" w:rsidRDefault="00B44A3C" w:rsidP="00EC49F4">
      <w:pPr>
        <w:pStyle w:val="ListParagraph"/>
        <w:numPr>
          <w:ilvl w:val="0"/>
          <w:numId w:val="36"/>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Provide for additional investment in frontline services – specifically, local Intreo offices, Community Welfare Services and particular sections within DEASP – to enable staff to provide a relevant and timely response to the needs of clients who are seeking to mo</w:t>
      </w:r>
      <w:r w:rsidR="00054DBA" w:rsidRPr="00EC49F4">
        <w:rPr>
          <w:rFonts w:ascii="Tw Cen MT" w:hAnsi="Tw Cen MT"/>
          <w:sz w:val="24"/>
          <w:szCs w:val="24"/>
        </w:rPr>
        <w:t>ve from welfare to work.</w:t>
      </w:r>
    </w:p>
    <w:p w:rsidR="00B44A3C" w:rsidRPr="00AB5B37" w:rsidRDefault="00B44A3C" w:rsidP="00EC49F4">
      <w:pPr>
        <w:pStyle w:val="Heading2"/>
        <w:spacing w:line="360" w:lineRule="auto"/>
        <w:rPr>
          <w:rFonts w:ascii="Tw Cen MT" w:hAnsi="Tw Cen MT"/>
          <w:sz w:val="36"/>
          <w:szCs w:val="36"/>
        </w:rPr>
      </w:pPr>
      <w:r w:rsidRPr="00AB5B37">
        <w:rPr>
          <w:rFonts w:ascii="Tw Cen MT" w:hAnsi="Tw Cen MT"/>
          <w:sz w:val="36"/>
          <w:szCs w:val="36"/>
        </w:rPr>
        <w:t>Benefits and services</w:t>
      </w:r>
    </w:p>
    <w:p w:rsidR="00DD3C66"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Of the 1.03 million queries that were handled in CISs during 2017, over 467,000 (or 45%) were related to social welfare. Within this, there were over 110,000 queries concerning Disability, Illness and Carers related issues, some 75,000 queries related to benefits for Families and Children and 73,000 referencing Extra Social Welfare Benefits. In addition, the Citizens Information Phone Service dealt with over </w:t>
      </w:r>
      <w:r w:rsidR="00890E12" w:rsidRPr="00EC49F4">
        <w:rPr>
          <w:rFonts w:ascii="Tw Cen MT" w:hAnsi="Tw Cen MT"/>
          <w:sz w:val="24"/>
          <w:szCs w:val="24"/>
        </w:rPr>
        <w:t>51,000</w:t>
      </w:r>
      <w:r w:rsidRPr="00EC49F4">
        <w:rPr>
          <w:rFonts w:ascii="Tw Cen MT" w:hAnsi="Tw Cen MT"/>
          <w:sz w:val="24"/>
          <w:szCs w:val="24"/>
        </w:rPr>
        <w:t xml:space="preserve"> social welfare queries – making social welfare benefits the largest information area delivered by our frontline services. </w:t>
      </w:r>
    </w:p>
    <w:p w:rsidR="00DA6EBC" w:rsidRPr="00EC49F4" w:rsidRDefault="00DA6EBC" w:rsidP="00EC49F4">
      <w:pPr>
        <w:pStyle w:val="Heading4"/>
        <w:spacing w:line="360" w:lineRule="auto"/>
        <w:rPr>
          <w:rFonts w:ascii="Tw Cen MT" w:hAnsi="Tw Cen MT"/>
        </w:rPr>
      </w:pPr>
      <w:r w:rsidRPr="00EC49F4">
        <w:rPr>
          <w:rFonts w:ascii="Tw Cen MT" w:hAnsi="Tw Cen MT"/>
        </w:rPr>
        <w:t xml:space="preserve">Disability, illness and carer’s payments </w:t>
      </w:r>
    </w:p>
    <w:p w:rsidR="00B44A3C" w:rsidRPr="00EC49F4" w:rsidRDefault="00B44A3C" w:rsidP="00EC49F4">
      <w:pPr>
        <w:spacing w:line="360" w:lineRule="auto"/>
        <w:rPr>
          <w:rFonts w:ascii="Tw Cen MT" w:hAnsi="Tw Cen MT"/>
          <w:sz w:val="24"/>
          <w:szCs w:val="24"/>
        </w:rPr>
      </w:pPr>
      <w:r w:rsidRPr="00EC49F4">
        <w:rPr>
          <w:rFonts w:ascii="Tw Cen MT" w:hAnsi="Tw Cen MT"/>
          <w:sz w:val="24"/>
          <w:szCs w:val="24"/>
        </w:rPr>
        <w:t>The most commonly reported concerns facing people who are seeking this type of support include:-</w:t>
      </w:r>
    </w:p>
    <w:p w:rsidR="00B44A3C" w:rsidRPr="00EC49F4" w:rsidRDefault="00B44A3C" w:rsidP="00EC49F4">
      <w:pPr>
        <w:pStyle w:val="ListParagraph"/>
        <w:numPr>
          <w:ilvl w:val="0"/>
          <w:numId w:val="1"/>
        </w:numPr>
        <w:spacing w:line="360" w:lineRule="auto"/>
        <w:rPr>
          <w:rFonts w:ascii="Tw Cen MT" w:hAnsi="Tw Cen MT"/>
          <w:color w:val="1F497D" w:themeColor="text2"/>
          <w:sz w:val="24"/>
          <w:szCs w:val="24"/>
        </w:rPr>
      </w:pPr>
      <w:r w:rsidRPr="00EC49F4">
        <w:rPr>
          <w:rFonts w:ascii="Tw Cen MT" w:hAnsi="Tw Cen MT"/>
          <w:sz w:val="24"/>
          <w:szCs w:val="24"/>
        </w:rPr>
        <w:t xml:space="preserve">The impact of </w:t>
      </w:r>
      <w:r w:rsidRPr="00EC49F4">
        <w:rPr>
          <w:rFonts w:ascii="Tw Cen MT" w:hAnsi="Tw Cen MT"/>
          <w:b/>
          <w:color w:val="1F497D" w:themeColor="text2"/>
          <w:sz w:val="24"/>
          <w:szCs w:val="24"/>
        </w:rPr>
        <w:t>unreasonable delays</w:t>
      </w:r>
      <w:r w:rsidRPr="00EC49F4">
        <w:rPr>
          <w:rFonts w:ascii="Tw Cen MT" w:hAnsi="Tw Cen MT"/>
          <w:color w:val="1F497D" w:themeColor="text2"/>
          <w:sz w:val="24"/>
          <w:szCs w:val="24"/>
        </w:rPr>
        <w:t xml:space="preserve"> </w:t>
      </w:r>
      <w:r w:rsidRPr="00EC49F4">
        <w:rPr>
          <w:rFonts w:ascii="Tw Cen MT" w:hAnsi="Tw Cen MT"/>
          <w:sz w:val="24"/>
          <w:szCs w:val="24"/>
        </w:rPr>
        <w:t xml:space="preserve">in the processing of applications, reviews and appeals and difficulties in making contact with specific sections </w:t>
      </w:r>
      <w:r w:rsidR="002155FA" w:rsidRPr="00EC49F4">
        <w:rPr>
          <w:rFonts w:ascii="Tw Cen MT" w:hAnsi="Tw Cen MT"/>
          <w:sz w:val="24"/>
          <w:szCs w:val="24"/>
        </w:rPr>
        <w:t>of relevant departments</w:t>
      </w:r>
      <w:r w:rsidR="004C256D" w:rsidRPr="00EC49F4">
        <w:rPr>
          <w:rFonts w:ascii="Tw Cen MT" w:hAnsi="Tw Cen MT"/>
          <w:sz w:val="24"/>
          <w:szCs w:val="24"/>
        </w:rPr>
        <w:t xml:space="preserve">. Many reports </w:t>
      </w:r>
      <w:r w:rsidR="006A2654" w:rsidRPr="00EC49F4">
        <w:rPr>
          <w:rFonts w:ascii="Tw Cen MT" w:hAnsi="Tw Cen MT"/>
          <w:sz w:val="24"/>
          <w:szCs w:val="24"/>
        </w:rPr>
        <w:t xml:space="preserve">relate </w:t>
      </w:r>
      <w:r w:rsidR="004C256D" w:rsidRPr="00EC49F4">
        <w:rPr>
          <w:rFonts w:ascii="Tw Cen MT" w:hAnsi="Tw Cen MT"/>
          <w:sz w:val="24"/>
          <w:szCs w:val="24"/>
        </w:rPr>
        <w:lastRenderedPageBreak/>
        <w:t>in particular</w:t>
      </w:r>
      <w:r w:rsidR="00B7320C" w:rsidRPr="00EC49F4">
        <w:rPr>
          <w:rFonts w:ascii="Tw Cen MT" w:hAnsi="Tw Cen MT"/>
          <w:sz w:val="24"/>
          <w:szCs w:val="24"/>
        </w:rPr>
        <w:t xml:space="preserve"> to</w:t>
      </w:r>
      <w:r w:rsidR="004C256D" w:rsidRPr="00EC49F4">
        <w:rPr>
          <w:rFonts w:ascii="Tw Cen MT" w:hAnsi="Tw Cen MT"/>
          <w:sz w:val="24"/>
          <w:szCs w:val="24"/>
        </w:rPr>
        <w:t xml:space="preserve"> applications for carer’s payments and Disability Allowance</w:t>
      </w:r>
      <w:r w:rsidRPr="00EC49F4">
        <w:rPr>
          <w:rFonts w:ascii="Tw Cen MT" w:hAnsi="Tw Cen MT"/>
          <w:sz w:val="24"/>
          <w:szCs w:val="24"/>
        </w:rPr>
        <w:t xml:space="preserve">. The reports also evidenced the real hardships felt by applicants who were waiting to receive a decision or payment and the knock-on effect on their ability to apply for other benefits;    </w:t>
      </w:r>
    </w:p>
    <w:p w:rsidR="00893D74" w:rsidRPr="00EC49F4" w:rsidRDefault="00B44A3C" w:rsidP="00EC49F4">
      <w:pPr>
        <w:pStyle w:val="ListParagraph"/>
        <w:numPr>
          <w:ilvl w:val="0"/>
          <w:numId w:val="1"/>
        </w:numPr>
        <w:spacing w:line="360" w:lineRule="auto"/>
        <w:rPr>
          <w:rFonts w:ascii="Tw Cen MT" w:hAnsi="Tw Cen MT"/>
          <w:sz w:val="24"/>
          <w:szCs w:val="24"/>
        </w:rPr>
      </w:pPr>
      <w:r w:rsidRPr="00EC49F4">
        <w:rPr>
          <w:rFonts w:ascii="Tw Cen MT" w:hAnsi="Tw Cen MT"/>
          <w:sz w:val="24"/>
          <w:szCs w:val="24"/>
        </w:rPr>
        <w:t xml:space="preserve">The </w:t>
      </w:r>
      <w:r w:rsidRPr="00EC49F4">
        <w:rPr>
          <w:rFonts w:ascii="Tw Cen MT" w:hAnsi="Tw Cen MT"/>
          <w:b/>
          <w:color w:val="1F497D" w:themeColor="text2"/>
          <w:sz w:val="24"/>
          <w:szCs w:val="24"/>
        </w:rPr>
        <w:t xml:space="preserve">difficulties in accessing </w:t>
      </w:r>
      <w:r w:rsidR="004C256D" w:rsidRPr="00EC49F4">
        <w:rPr>
          <w:rFonts w:ascii="Tw Cen MT" w:hAnsi="Tw Cen MT"/>
          <w:b/>
          <w:color w:val="1F497D" w:themeColor="text2"/>
          <w:sz w:val="24"/>
          <w:szCs w:val="24"/>
        </w:rPr>
        <w:t xml:space="preserve">the </w:t>
      </w:r>
      <w:r w:rsidRPr="00EC49F4">
        <w:rPr>
          <w:rFonts w:ascii="Tw Cen MT" w:hAnsi="Tw Cen MT"/>
          <w:b/>
          <w:color w:val="1F497D" w:themeColor="text2"/>
          <w:sz w:val="24"/>
          <w:szCs w:val="24"/>
        </w:rPr>
        <w:t>local Community Welfare Service</w:t>
      </w:r>
      <w:r w:rsidRPr="00EC49F4">
        <w:rPr>
          <w:rFonts w:ascii="Tw Cen MT" w:hAnsi="Tw Cen MT"/>
          <w:color w:val="1F497D" w:themeColor="text2"/>
          <w:sz w:val="24"/>
          <w:szCs w:val="24"/>
        </w:rPr>
        <w:t xml:space="preserve"> </w:t>
      </w:r>
      <w:r w:rsidRPr="00EC49F4">
        <w:rPr>
          <w:rFonts w:ascii="Tw Cen MT" w:hAnsi="Tw Cen MT"/>
          <w:sz w:val="24"/>
          <w:szCs w:val="24"/>
        </w:rPr>
        <w:t xml:space="preserve">for many clients who are trying to cope with processing delays – in addition to concerns relating to the adequacy and availability of Basic </w:t>
      </w:r>
      <w:r w:rsidR="00054DBA" w:rsidRPr="00EC49F4">
        <w:rPr>
          <w:rFonts w:ascii="Tw Cen MT" w:hAnsi="Tw Cen MT"/>
          <w:sz w:val="24"/>
          <w:szCs w:val="24"/>
        </w:rPr>
        <w:t xml:space="preserve">SWA </w:t>
      </w:r>
      <w:r w:rsidRPr="00EC49F4">
        <w:rPr>
          <w:rFonts w:ascii="Tw Cen MT" w:hAnsi="Tw Cen MT"/>
          <w:sz w:val="24"/>
          <w:szCs w:val="24"/>
        </w:rPr>
        <w:t xml:space="preserve">as a payment of last resort. </w:t>
      </w:r>
      <w:r w:rsidR="003003F8" w:rsidRPr="00EC49F4">
        <w:rPr>
          <w:rFonts w:ascii="Tw Cen MT" w:hAnsi="Tw Cen MT"/>
          <w:sz w:val="24"/>
          <w:szCs w:val="24"/>
        </w:rPr>
        <w:t>The current process for application for an emergency need payment (ENP)</w:t>
      </w:r>
      <w:r w:rsidR="00B7320C" w:rsidRPr="00EC49F4">
        <w:rPr>
          <w:rFonts w:ascii="Tw Cen MT" w:hAnsi="Tw Cen MT"/>
          <w:sz w:val="24"/>
          <w:szCs w:val="24"/>
        </w:rPr>
        <w:t xml:space="preserve"> requires an appointment - </w:t>
      </w:r>
      <w:r w:rsidR="003003F8" w:rsidRPr="00EC49F4">
        <w:rPr>
          <w:rFonts w:ascii="Tw Cen MT" w:hAnsi="Tw Cen MT"/>
          <w:sz w:val="24"/>
          <w:szCs w:val="24"/>
        </w:rPr>
        <w:t xml:space="preserve"> it is not possible to access urgently as may be needed. MABS staff report that currently there are some extensive delays being experienced in accessing an appointment to apply for an ENP.  </w:t>
      </w:r>
      <w:r w:rsidRPr="00EC49F4">
        <w:rPr>
          <w:rFonts w:ascii="Tw Cen MT" w:hAnsi="Tw Cen MT"/>
          <w:sz w:val="24"/>
          <w:szCs w:val="24"/>
        </w:rPr>
        <w:t>There were also reports of a lack of awareness of the payment amongst CIS</w:t>
      </w:r>
      <w:r w:rsidR="003003F8" w:rsidRPr="00EC49F4">
        <w:rPr>
          <w:rFonts w:ascii="Tw Cen MT" w:hAnsi="Tw Cen MT"/>
          <w:sz w:val="24"/>
          <w:szCs w:val="24"/>
        </w:rPr>
        <w:t xml:space="preserve"> and MABS</w:t>
      </w:r>
      <w:r w:rsidRPr="00EC49F4">
        <w:rPr>
          <w:rFonts w:ascii="Tw Cen MT" w:hAnsi="Tw Cen MT"/>
          <w:sz w:val="24"/>
          <w:szCs w:val="24"/>
        </w:rPr>
        <w:t xml:space="preserve"> clients, indicating that there is not widespread promotion of the scheme amongst welfare applicants and appellants – all of which works to reduce the impact of the payment as a safety net</w:t>
      </w:r>
      <w:r w:rsidR="00893D74" w:rsidRPr="00EC49F4">
        <w:rPr>
          <w:rFonts w:ascii="Tw Cen MT" w:hAnsi="Tw Cen MT"/>
          <w:sz w:val="24"/>
          <w:szCs w:val="24"/>
        </w:rPr>
        <w:t>;</w:t>
      </w:r>
      <w:r w:rsidRPr="00EC49F4">
        <w:rPr>
          <w:rFonts w:ascii="Tw Cen MT" w:hAnsi="Tw Cen MT"/>
          <w:sz w:val="24"/>
          <w:szCs w:val="24"/>
        </w:rPr>
        <w:t xml:space="preserve"> </w:t>
      </w:r>
    </w:p>
    <w:p w:rsidR="00B44A3C" w:rsidRPr="00EC49F4" w:rsidRDefault="00B44A3C" w:rsidP="00EC49F4">
      <w:pPr>
        <w:pStyle w:val="ListParagraph"/>
        <w:numPr>
          <w:ilvl w:val="0"/>
          <w:numId w:val="1"/>
        </w:numPr>
        <w:spacing w:line="360" w:lineRule="auto"/>
        <w:rPr>
          <w:rFonts w:ascii="Tw Cen MT" w:hAnsi="Tw Cen MT"/>
          <w:sz w:val="24"/>
          <w:szCs w:val="24"/>
        </w:rPr>
      </w:pPr>
      <w:r w:rsidRPr="00EC49F4">
        <w:rPr>
          <w:rFonts w:ascii="Tw Cen MT" w:hAnsi="Tw Cen MT"/>
          <w:sz w:val="24"/>
          <w:szCs w:val="24"/>
        </w:rPr>
        <w:t>The seeming</w:t>
      </w:r>
      <w:r w:rsidR="00B60AB6" w:rsidRPr="00EC49F4">
        <w:rPr>
          <w:rFonts w:ascii="Tw Cen MT" w:hAnsi="Tw Cen MT"/>
          <w:sz w:val="24"/>
          <w:szCs w:val="24"/>
        </w:rPr>
        <w:t>ly</w:t>
      </w:r>
      <w:r w:rsidRPr="00EC49F4">
        <w:rPr>
          <w:rFonts w:ascii="Tw Cen MT" w:hAnsi="Tw Cen MT"/>
          <w:sz w:val="24"/>
          <w:szCs w:val="24"/>
        </w:rPr>
        <w:t xml:space="preserve"> </w:t>
      </w:r>
      <w:r w:rsidRPr="00EC49F4">
        <w:rPr>
          <w:rFonts w:ascii="Tw Cen MT" w:hAnsi="Tw Cen MT"/>
          <w:b/>
          <w:color w:val="1F497D" w:themeColor="text2"/>
          <w:sz w:val="24"/>
          <w:szCs w:val="24"/>
        </w:rPr>
        <w:t>high number of refusals of disability and illness applications</w:t>
      </w:r>
      <w:r w:rsidRPr="00EC49F4">
        <w:rPr>
          <w:rFonts w:ascii="Tw Cen MT" w:hAnsi="Tw Cen MT"/>
          <w:color w:val="1F497D" w:themeColor="text2"/>
          <w:sz w:val="24"/>
          <w:szCs w:val="24"/>
        </w:rPr>
        <w:t xml:space="preserve"> </w:t>
      </w:r>
      <w:r w:rsidRPr="00EC49F4">
        <w:rPr>
          <w:rFonts w:ascii="Tw Cen MT" w:hAnsi="Tw Cen MT"/>
          <w:sz w:val="24"/>
          <w:szCs w:val="24"/>
        </w:rPr>
        <w:t>(in particular relative to the high rate of appeals subsequently allowed</w:t>
      </w:r>
      <w:r w:rsidR="004C256D" w:rsidRPr="00EC49F4">
        <w:rPr>
          <w:rStyle w:val="FootnoteReference"/>
          <w:rFonts w:ascii="Tw Cen MT" w:hAnsi="Tw Cen MT"/>
          <w:sz w:val="24"/>
          <w:szCs w:val="24"/>
        </w:rPr>
        <w:footnoteReference w:id="4"/>
      </w:r>
      <w:r w:rsidRPr="00EC49F4">
        <w:rPr>
          <w:rFonts w:ascii="Tw Cen MT" w:hAnsi="Tw Cen MT"/>
          <w:sz w:val="24"/>
          <w:szCs w:val="24"/>
        </w:rPr>
        <w:t>), with some services suggesting the need to re-design application forms to attain more relevant information from the applicant, for clearer guidelines for GPs in providing supporting information and more consiste</w:t>
      </w:r>
      <w:r w:rsidR="00B60AB6" w:rsidRPr="00EC49F4">
        <w:rPr>
          <w:rFonts w:ascii="Tw Cen MT" w:hAnsi="Tw Cen MT"/>
          <w:sz w:val="24"/>
          <w:szCs w:val="24"/>
        </w:rPr>
        <w:t>ncy amongst Deciding Officers, Medical E</w:t>
      </w:r>
      <w:r w:rsidRPr="00EC49F4">
        <w:rPr>
          <w:rFonts w:ascii="Tw Cen MT" w:hAnsi="Tw Cen MT"/>
          <w:sz w:val="24"/>
          <w:szCs w:val="24"/>
        </w:rPr>
        <w:t>xaminers and the Social Welfare Appeals Office in the cases of reviews and appeals.</w:t>
      </w:r>
    </w:p>
    <w:p w:rsidR="00D72609" w:rsidRPr="00EC49F4" w:rsidRDefault="00893D74" w:rsidP="00EC49F4">
      <w:pPr>
        <w:pStyle w:val="Heading4"/>
        <w:spacing w:line="360" w:lineRule="auto"/>
        <w:rPr>
          <w:rFonts w:ascii="Tw Cen MT" w:hAnsi="Tw Cen MT"/>
        </w:rPr>
      </w:pPr>
      <w:r w:rsidRPr="00EC49F4">
        <w:rPr>
          <w:rFonts w:ascii="Tw Cen MT" w:hAnsi="Tw Cen MT"/>
        </w:rPr>
        <w:t>Low income s</w:t>
      </w:r>
      <w:r w:rsidR="00D72609" w:rsidRPr="00EC49F4">
        <w:rPr>
          <w:rFonts w:ascii="Tw Cen MT" w:hAnsi="Tw Cen MT"/>
        </w:rPr>
        <w:t>elf employed</w:t>
      </w:r>
      <w:r w:rsidRPr="00EC49F4">
        <w:rPr>
          <w:rFonts w:ascii="Tw Cen MT" w:hAnsi="Tw Cen MT"/>
        </w:rPr>
        <w:t xml:space="preserve"> people</w:t>
      </w:r>
    </w:p>
    <w:p w:rsidR="0095647D"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The recent extension of treatment benefits and Invalidity Pension to the self-employed has been positively received by staff in information services who are supporting self-employed clients, but it remains that a </w:t>
      </w:r>
      <w:r w:rsidRPr="00EC49F4">
        <w:rPr>
          <w:rFonts w:ascii="Tw Cen MT" w:hAnsi="Tw Cen MT"/>
          <w:b/>
          <w:color w:val="1F497D" w:themeColor="text2"/>
          <w:sz w:val="24"/>
          <w:szCs w:val="24"/>
        </w:rPr>
        <w:t xml:space="preserve">lack of knowledge and understanding of the social insurance system </w:t>
      </w:r>
      <w:r w:rsidRPr="00EC49F4">
        <w:rPr>
          <w:rFonts w:ascii="Tw Cen MT" w:hAnsi="Tw Cen MT"/>
          <w:sz w:val="24"/>
          <w:szCs w:val="24"/>
        </w:rPr>
        <w:t xml:space="preserve">continues to be a key issue for many low income self-employed people who approach information services seeking support in times of crisis such as illness, disability or business failure. This, in addition to the means test requirements for Jobseekers Allowance (and for Basic SWA), their exclusion from participation on activation schemes (if they do not qualify for </w:t>
      </w:r>
      <w:r w:rsidR="00301B27" w:rsidRPr="00EC49F4">
        <w:rPr>
          <w:rFonts w:ascii="Tw Cen MT" w:hAnsi="Tw Cen MT"/>
          <w:sz w:val="24"/>
          <w:szCs w:val="24"/>
        </w:rPr>
        <w:t>j</w:t>
      </w:r>
      <w:r w:rsidRPr="00EC49F4">
        <w:rPr>
          <w:rFonts w:ascii="Tw Cen MT" w:hAnsi="Tw Cen MT"/>
          <w:sz w:val="24"/>
          <w:szCs w:val="24"/>
        </w:rPr>
        <w:t>obseeker’s payments), the Working Family Payment and from short-term illness supports continues to be the focus of much of the concerns highlighted by information staff. In this regard, CIB looks forward to the conclusions of the DEASP working group on extending social insurance coverage to the self-employed</w:t>
      </w:r>
      <w:r w:rsidR="00B60AB6" w:rsidRPr="00EC49F4">
        <w:rPr>
          <w:rFonts w:ascii="Tw Cen MT" w:hAnsi="Tw Cen MT"/>
          <w:sz w:val="24"/>
          <w:szCs w:val="24"/>
        </w:rPr>
        <w:t>.</w:t>
      </w:r>
      <w:r w:rsidR="005F6282" w:rsidRPr="00EC49F4">
        <w:rPr>
          <w:rStyle w:val="FootnoteReference"/>
          <w:rFonts w:ascii="Tw Cen MT" w:hAnsi="Tw Cen MT"/>
          <w:sz w:val="24"/>
          <w:szCs w:val="24"/>
        </w:rPr>
        <w:footnoteReference w:id="5"/>
      </w:r>
      <w:r w:rsidR="00893D74" w:rsidRPr="00EC49F4">
        <w:rPr>
          <w:rFonts w:ascii="Tw Cen MT" w:hAnsi="Tw Cen MT"/>
          <w:sz w:val="24"/>
          <w:szCs w:val="24"/>
        </w:rPr>
        <w:t xml:space="preserve"> </w:t>
      </w:r>
    </w:p>
    <w:p w:rsidR="00FA2B28" w:rsidRDefault="00FA2B28" w:rsidP="00EC49F4">
      <w:pPr>
        <w:pStyle w:val="Heading4"/>
        <w:spacing w:line="360" w:lineRule="auto"/>
        <w:rPr>
          <w:rFonts w:ascii="Tw Cen MT" w:hAnsi="Tw Cen MT"/>
        </w:rPr>
      </w:pPr>
    </w:p>
    <w:p w:rsidR="00FA2B28" w:rsidRDefault="00FA2B28" w:rsidP="00EC49F4">
      <w:pPr>
        <w:pStyle w:val="Heading4"/>
        <w:spacing w:line="360" w:lineRule="auto"/>
        <w:rPr>
          <w:rFonts w:ascii="Tw Cen MT" w:hAnsi="Tw Cen MT"/>
        </w:rPr>
      </w:pPr>
    </w:p>
    <w:p w:rsidR="00D72609" w:rsidRPr="00EC49F4" w:rsidRDefault="00D72609" w:rsidP="00EC49F4">
      <w:pPr>
        <w:pStyle w:val="Heading4"/>
        <w:spacing w:line="360" w:lineRule="auto"/>
        <w:rPr>
          <w:rFonts w:ascii="Tw Cen MT" w:hAnsi="Tw Cen MT"/>
        </w:rPr>
      </w:pPr>
      <w:r w:rsidRPr="00EC49F4">
        <w:rPr>
          <w:rFonts w:ascii="Tw Cen MT" w:hAnsi="Tw Cen MT"/>
        </w:rPr>
        <w:t>Pensions</w:t>
      </w:r>
    </w:p>
    <w:p w:rsidR="00A01B0C"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For many people, </w:t>
      </w:r>
      <w:r w:rsidR="0066371A" w:rsidRPr="00EC49F4">
        <w:rPr>
          <w:rFonts w:ascii="Tw Cen MT" w:hAnsi="Tw Cen MT"/>
          <w:sz w:val="24"/>
          <w:szCs w:val="24"/>
        </w:rPr>
        <w:t xml:space="preserve">understanding how </w:t>
      </w:r>
      <w:r w:rsidRPr="00EC49F4">
        <w:rPr>
          <w:rFonts w:ascii="Tw Cen MT" w:hAnsi="Tw Cen MT"/>
          <w:sz w:val="24"/>
          <w:szCs w:val="24"/>
        </w:rPr>
        <w:t xml:space="preserve">to </w:t>
      </w:r>
      <w:r w:rsidR="0066371A" w:rsidRPr="00EC49F4">
        <w:rPr>
          <w:rFonts w:ascii="Tw Cen MT" w:hAnsi="Tw Cen MT"/>
          <w:sz w:val="24"/>
          <w:szCs w:val="24"/>
        </w:rPr>
        <w:t xml:space="preserve">plan for (and </w:t>
      </w:r>
      <w:r w:rsidRPr="00EC49F4">
        <w:rPr>
          <w:rFonts w:ascii="Tw Cen MT" w:hAnsi="Tw Cen MT"/>
          <w:sz w:val="24"/>
          <w:szCs w:val="24"/>
        </w:rPr>
        <w:t>access</w:t>
      </w:r>
      <w:r w:rsidR="0066371A" w:rsidRPr="00EC49F4">
        <w:rPr>
          <w:rFonts w:ascii="Tw Cen MT" w:hAnsi="Tw Cen MT"/>
          <w:sz w:val="24"/>
          <w:szCs w:val="24"/>
        </w:rPr>
        <w:t>)</w:t>
      </w:r>
      <w:r w:rsidRPr="00EC49F4">
        <w:rPr>
          <w:rFonts w:ascii="Tw Cen MT" w:hAnsi="Tw Cen MT"/>
          <w:sz w:val="24"/>
          <w:szCs w:val="24"/>
        </w:rPr>
        <w:t xml:space="preserve"> their p</w:t>
      </w:r>
      <w:r w:rsidR="003A3CB1" w:rsidRPr="00EC49F4">
        <w:rPr>
          <w:rFonts w:ascii="Tw Cen MT" w:hAnsi="Tw Cen MT"/>
          <w:sz w:val="24"/>
          <w:szCs w:val="24"/>
        </w:rPr>
        <w:t xml:space="preserve">ension will be a major decision </w:t>
      </w:r>
      <w:r w:rsidRPr="00EC49F4">
        <w:rPr>
          <w:rFonts w:ascii="Tw Cen MT" w:hAnsi="Tw Cen MT"/>
          <w:sz w:val="24"/>
          <w:szCs w:val="24"/>
        </w:rPr>
        <w:t>in their lives and reports from CISs indicate that they are supporting a significant number of people to make informed</w:t>
      </w:r>
      <w:r w:rsidR="00B7320C" w:rsidRPr="00EC49F4">
        <w:rPr>
          <w:rFonts w:ascii="Tw Cen MT" w:hAnsi="Tw Cen MT"/>
          <w:sz w:val="24"/>
          <w:szCs w:val="24"/>
        </w:rPr>
        <w:t xml:space="preserve"> decisions about their pensions - last year s</w:t>
      </w:r>
      <w:r w:rsidR="002A60DB" w:rsidRPr="00EC49F4">
        <w:rPr>
          <w:rFonts w:ascii="Tw Cen MT" w:hAnsi="Tw Cen MT"/>
          <w:sz w:val="24"/>
          <w:szCs w:val="24"/>
        </w:rPr>
        <w:t xml:space="preserve">ervices addressed </w:t>
      </w:r>
      <w:r w:rsidRPr="00EC49F4">
        <w:rPr>
          <w:rFonts w:ascii="Tw Cen MT" w:hAnsi="Tw Cen MT"/>
          <w:sz w:val="24"/>
          <w:szCs w:val="24"/>
        </w:rPr>
        <w:t xml:space="preserve">some 54,000 </w:t>
      </w:r>
      <w:r w:rsidR="002A60DB" w:rsidRPr="00EC49F4">
        <w:rPr>
          <w:rFonts w:ascii="Tw Cen MT" w:hAnsi="Tw Cen MT"/>
          <w:sz w:val="24"/>
          <w:szCs w:val="24"/>
        </w:rPr>
        <w:t xml:space="preserve">queries </w:t>
      </w:r>
      <w:r w:rsidRPr="00EC49F4">
        <w:rPr>
          <w:rFonts w:ascii="Tw Cen MT" w:hAnsi="Tw Cen MT"/>
          <w:sz w:val="24"/>
          <w:szCs w:val="24"/>
        </w:rPr>
        <w:t>regarding pension entitlements (specifically Contributory, Non-Contributory, EU</w:t>
      </w:r>
      <w:r w:rsidR="00C82075" w:rsidRPr="00EC49F4">
        <w:rPr>
          <w:rFonts w:ascii="Tw Cen MT" w:hAnsi="Tw Cen MT"/>
          <w:sz w:val="24"/>
          <w:szCs w:val="24"/>
        </w:rPr>
        <w:t xml:space="preserve"> contributions</w:t>
      </w:r>
      <w:r w:rsidRPr="00EC49F4">
        <w:rPr>
          <w:rFonts w:ascii="Tw Cen MT" w:hAnsi="Tw Cen MT"/>
          <w:sz w:val="24"/>
          <w:szCs w:val="24"/>
        </w:rPr>
        <w:t xml:space="preserve"> and UK pensions). Feedback on pensions over the past number of years indicates that there is a lack of knowledge (and a good degree of confusion) amongst many soon-to-retire people around their entitlements. During 2017 in particular, staff within information services also expressed concerns about the </w:t>
      </w:r>
      <w:r w:rsidRPr="00EC49F4">
        <w:rPr>
          <w:rFonts w:ascii="Tw Cen MT" w:hAnsi="Tw Cen MT"/>
          <w:b/>
          <w:color w:val="1F497D" w:themeColor="text2"/>
          <w:sz w:val="24"/>
          <w:szCs w:val="24"/>
        </w:rPr>
        <w:t xml:space="preserve">difficulties caused by changed administrative procedures </w:t>
      </w:r>
      <w:r w:rsidRPr="00EC49F4">
        <w:rPr>
          <w:rFonts w:ascii="Tw Cen MT" w:hAnsi="Tw Cen MT"/>
          <w:sz w:val="24"/>
          <w:szCs w:val="24"/>
        </w:rPr>
        <w:t>regarding accessing PRSI Contribution Statements, the absence of a pension forecasting facility from DEASP, confusion</w:t>
      </w:r>
      <w:r w:rsidR="002A60DB" w:rsidRPr="00EC49F4">
        <w:rPr>
          <w:rFonts w:ascii="Tw Cen MT" w:hAnsi="Tw Cen MT"/>
          <w:sz w:val="24"/>
          <w:szCs w:val="24"/>
        </w:rPr>
        <w:t xml:space="preserve"> and concern</w:t>
      </w:r>
      <w:r w:rsidRPr="00EC49F4">
        <w:rPr>
          <w:rFonts w:ascii="Tw Cen MT" w:hAnsi="Tw Cen MT"/>
          <w:sz w:val="24"/>
          <w:szCs w:val="24"/>
        </w:rPr>
        <w:t xml:space="preserve"> about changing pension rules (with the anticipated move to the Total Contributions Approach in 2020) and the ongoing financial cost, to some, of the </w:t>
      </w:r>
      <w:r w:rsidRPr="00EC49F4">
        <w:rPr>
          <w:rFonts w:ascii="Tw Cen MT" w:hAnsi="Tw Cen MT"/>
          <w:b/>
          <w:color w:val="1F497D" w:themeColor="text2"/>
          <w:sz w:val="24"/>
          <w:szCs w:val="24"/>
        </w:rPr>
        <w:t xml:space="preserve">2012 </w:t>
      </w:r>
      <w:r w:rsidR="005837AB" w:rsidRPr="00EC49F4">
        <w:rPr>
          <w:rFonts w:ascii="Tw Cen MT" w:hAnsi="Tw Cen MT"/>
          <w:b/>
          <w:color w:val="1F497D" w:themeColor="text2"/>
          <w:sz w:val="24"/>
          <w:szCs w:val="24"/>
        </w:rPr>
        <w:t>changes in eligibility criteria</w:t>
      </w:r>
      <w:r w:rsidR="00C82075" w:rsidRPr="00EC49F4">
        <w:rPr>
          <w:rFonts w:ascii="Tw Cen MT" w:hAnsi="Tw Cen MT"/>
          <w:sz w:val="24"/>
          <w:szCs w:val="24"/>
        </w:rPr>
        <w:t xml:space="preserve">. There are </w:t>
      </w:r>
      <w:r w:rsidR="00A01B0C" w:rsidRPr="00EC49F4">
        <w:rPr>
          <w:rFonts w:ascii="Tw Cen MT" w:hAnsi="Tw Cen MT"/>
          <w:sz w:val="24"/>
          <w:szCs w:val="24"/>
        </w:rPr>
        <w:t xml:space="preserve">continuing </w:t>
      </w:r>
      <w:r w:rsidR="00C82075" w:rsidRPr="00EC49F4">
        <w:rPr>
          <w:rFonts w:ascii="Tw Cen MT" w:hAnsi="Tw Cen MT"/>
          <w:sz w:val="24"/>
          <w:szCs w:val="24"/>
        </w:rPr>
        <w:t>reports of how these complications are serving to disproportionately affect women who took time out o</w:t>
      </w:r>
      <w:r w:rsidR="005837AB" w:rsidRPr="00EC49F4">
        <w:rPr>
          <w:rFonts w:ascii="Tw Cen MT" w:hAnsi="Tw Cen MT"/>
          <w:sz w:val="24"/>
          <w:szCs w:val="24"/>
        </w:rPr>
        <w:t>f paid work to care in the home</w:t>
      </w:r>
      <w:r w:rsidR="00C82075" w:rsidRPr="00EC49F4">
        <w:rPr>
          <w:rFonts w:ascii="Tw Cen MT" w:hAnsi="Tw Cen MT"/>
          <w:sz w:val="24"/>
          <w:szCs w:val="24"/>
        </w:rPr>
        <w:t xml:space="preserve"> at various intervals in their working lives</w:t>
      </w:r>
      <w:r w:rsidR="00A01B0C" w:rsidRPr="00EC49F4">
        <w:rPr>
          <w:rFonts w:ascii="Tw Cen MT" w:hAnsi="Tw Cen MT"/>
          <w:sz w:val="24"/>
          <w:szCs w:val="24"/>
        </w:rPr>
        <w:t>.</w:t>
      </w:r>
    </w:p>
    <w:p w:rsidR="0065450A" w:rsidRPr="00EC49F4" w:rsidRDefault="0065450A" w:rsidP="00EC49F4">
      <w:pPr>
        <w:spacing w:line="360" w:lineRule="auto"/>
        <w:rPr>
          <w:rFonts w:ascii="Tw Cen MT" w:hAnsi="Tw Cen MT"/>
          <w:b/>
          <w:i/>
          <w:color w:val="1F497D" w:themeColor="text2"/>
          <w:sz w:val="24"/>
          <w:szCs w:val="24"/>
        </w:rPr>
      </w:pPr>
      <w:r w:rsidRPr="00EC49F4">
        <w:rPr>
          <w:rFonts w:ascii="Tw Cen MT" w:hAnsi="Tw Cen MT"/>
          <w:b/>
          <w:i/>
          <w:color w:val="1F497D" w:themeColor="text2"/>
          <w:sz w:val="24"/>
          <w:szCs w:val="24"/>
        </w:rPr>
        <w:t>Fuel Poverty</w:t>
      </w:r>
    </w:p>
    <w:p w:rsidR="003A23A2" w:rsidRPr="00EC49F4" w:rsidRDefault="0065450A" w:rsidP="00EC49F4">
      <w:pPr>
        <w:spacing w:line="360" w:lineRule="auto"/>
        <w:rPr>
          <w:rFonts w:ascii="Tw Cen MT" w:hAnsi="Tw Cen MT"/>
          <w:sz w:val="24"/>
          <w:szCs w:val="24"/>
        </w:rPr>
      </w:pPr>
      <w:r w:rsidRPr="00EC49F4">
        <w:rPr>
          <w:rFonts w:ascii="Tw Cen MT" w:hAnsi="Tw Cen MT"/>
          <w:sz w:val="24"/>
          <w:szCs w:val="24"/>
        </w:rPr>
        <w:t xml:space="preserve">The changes made with regard to the payment of the Fuel Allowance during 2017-2018 (that is, the introduction of the option to receive the payment in two lump sums and the extension of the payment by one week in April 2018) were welcomed by staff in information services who continue to see the impact of rising energy costs, extreme weather conditions and poor housing standards amongst many of the low-income families that they support. </w:t>
      </w:r>
      <w:r w:rsidR="003271D8" w:rsidRPr="00EC49F4">
        <w:rPr>
          <w:rFonts w:ascii="Tw Cen MT" w:hAnsi="Tw Cen MT"/>
          <w:sz w:val="24"/>
          <w:szCs w:val="24"/>
        </w:rPr>
        <w:t xml:space="preserve"> Servcies have noted that, while increases in fuel prices and related heating costs affect everyone, low income households fare worst because a higher percentage of their disposable income is required for this purpose.</w:t>
      </w:r>
    </w:p>
    <w:p w:rsidR="00370A29" w:rsidRPr="00EC49F4" w:rsidRDefault="0065450A" w:rsidP="00EC49F4">
      <w:pPr>
        <w:spacing w:line="360" w:lineRule="auto"/>
        <w:rPr>
          <w:rFonts w:ascii="Tw Cen MT" w:hAnsi="Tw Cen MT"/>
          <w:spacing w:val="3"/>
          <w:sz w:val="24"/>
          <w:szCs w:val="24"/>
          <w:lang w:val="en"/>
        </w:rPr>
      </w:pPr>
      <w:r w:rsidRPr="00EC49F4">
        <w:rPr>
          <w:rFonts w:ascii="Tw Cen MT" w:hAnsi="Tw Cen MT"/>
          <w:sz w:val="24"/>
          <w:szCs w:val="24"/>
        </w:rPr>
        <w:t>A 2017 MABS-commissioned study</w:t>
      </w:r>
      <w:r w:rsidR="003A23A2" w:rsidRPr="00EC49F4">
        <w:rPr>
          <w:rStyle w:val="FootnoteReference"/>
          <w:rFonts w:ascii="Tw Cen MT" w:hAnsi="Tw Cen MT"/>
          <w:sz w:val="24"/>
          <w:szCs w:val="24"/>
        </w:rPr>
        <w:footnoteReference w:id="6"/>
      </w:r>
      <w:r w:rsidRPr="00EC49F4">
        <w:rPr>
          <w:rFonts w:ascii="Tw Cen MT" w:hAnsi="Tw Cen MT"/>
          <w:sz w:val="24"/>
          <w:szCs w:val="24"/>
        </w:rPr>
        <w:t xml:space="preserve"> (in Dublin 10 and 20) found that, despite the national economic recovery, the level of fuel poverty amongst </w:t>
      </w:r>
      <w:r w:rsidR="005326FF" w:rsidRPr="00EC49F4">
        <w:rPr>
          <w:rFonts w:ascii="Tw Cen MT" w:hAnsi="Tw Cen MT"/>
          <w:sz w:val="24"/>
          <w:szCs w:val="24"/>
        </w:rPr>
        <w:t xml:space="preserve">their </w:t>
      </w:r>
      <w:r w:rsidRPr="00EC49F4">
        <w:rPr>
          <w:rFonts w:ascii="Tw Cen MT" w:hAnsi="Tw Cen MT"/>
          <w:sz w:val="24"/>
          <w:szCs w:val="24"/>
        </w:rPr>
        <w:t xml:space="preserve">clients remained at unacceptably high levels – that is, at around seven in ten households, with over 55% of households reporting that they had gone without heating in the previous twelve months due to lack of money. </w:t>
      </w:r>
      <w:r w:rsidR="00370A29" w:rsidRPr="00EC49F4">
        <w:rPr>
          <w:rFonts w:ascii="Tw Cen MT" w:hAnsi="Tw Cen MT"/>
          <w:sz w:val="24"/>
          <w:szCs w:val="24"/>
        </w:rPr>
        <w:t xml:space="preserve">The report also highlighted heightened levels of fuel poverty amongst Travellers living in mobile homes/trailer accommodation and found that Travellers surveyed spend 21% of their income on fuel costs. </w:t>
      </w:r>
      <w:r w:rsidRPr="00EC49F4">
        <w:rPr>
          <w:rFonts w:ascii="Tw Cen MT" w:hAnsi="Tw Cen MT"/>
          <w:sz w:val="24"/>
          <w:szCs w:val="24"/>
        </w:rPr>
        <w:t>The report noted a move amongst these households towards pre-payment meters for electricity and heating costs (which resulted in a noteworthy decrease in both arrears’ incidence and associated disconnection). However, the relatively low levels of disposable income amongst clients seemed to result in frequent self-</w:t>
      </w:r>
      <w:r w:rsidRPr="00EC49F4">
        <w:rPr>
          <w:rFonts w:ascii="Tw Cen MT" w:hAnsi="Tw Cen MT"/>
          <w:sz w:val="24"/>
          <w:szCs w:val="24"/>
        </w:rPr>
        <w:lastRenderedPageBreak/>
        <w:t xml:space="preserve">disconnection. </w:t>
      </w:r>
      <w:r w:rsidR="00370A29" w:rsidRPr="00EC49F4">
        <w:rPr>
          <w:rFonts w:ascii="Tw Cen MT" w:hAnsi="Tw Cen MT"/>
          <w:sz w:val="24"/>
          <w:szCs w:val="24"/>
        </w:rPr>
        <w:t>The report found that there was emerging evidence of a “poverty premium” in the form of additional payment administration charges amongst certain providers of pre-payment facilities (primarily for meter top-ups).</w:t>
      </w:r>
      <w:r w:rsidR="00EE2558" w:rsidRPr="00EC49F4">
        <w:rPr>
          <w:rFonts w:ascii="Tw Cen MT" w:hAnsi="Tw Cen MT"/>
          <w:spacing w:val="3"/>
          <w:sz w:val="24"/>
          <w:szCs w:val="24"/>
          <w:lang w:val="en"/>
        </w:rPr>
        <w:t xml:space="preserve"> </w:t>
      </w:r>
    </w:p>
    <w:p w:rsidR="0065450A" w:rsidRPr="00EC49F4" w:rsidRDefault="0065450A" w:rsidP="00EC49F4">
      <w:pPr>
        <w:spacing w:line="360" w:lineRule="auto"/>
        <w:rPr>
          <w:rFonts w:ascii="Tw Cen MT" w:hAnsi="Tw Cen MT"/>
          <w:sz w:val="24"/>
          <w:szCs w:val="24"/>
        </w:rPr>
      </w:pPr>
      <w:r w:rsidRPr="00EC49F4">
        <w:rPr>
          <w:rFonts w:ascii="Tw Cen MT" w:hAnsi="Tw Cen MT"/>
          <w:sz w:val="24"/>
          <w:szCs w:val="24"/>
        </w:rPr>
        <w:t>The experience of frontline staff in CIS and MABS services throughout the country suggests the need for a more integrated, multi-dimensional approach to fuel poverty - that is, regulation and action on energy prices, targetted financial support to relevant households and the expansion of energy efficiency schemes across all households – including owner-occupied homes and those living in the pri</w:t>
      </w:r>
      <w:r w:rsidR="005326FF" w:rsidRPr="00EC49F4">
        <w:rPr>
          <w:rFonts w:ascii="Tw Cen MT" w:hAnsi="Tw Cen MT"/>
          <w:sz w:val="24"/>
          <w:szCs w:val="24"/>
        </w:rPr>
        <w:t xml:space="preserve">vate and public </w:t>
      </w:r>
      <w:r w:rsidRPr="00EC49F4">
        <w:rPr>
          <w:rFonts w:ascii="Tw Cen MT" w:hAnsi="Tw Cen MT"/>
          <w:sz w:val="24"/>
          <w:szCs w:val="24"/>
        </w:rPr>
        <w:t>rented sectors.</w:t>
      </w:r>
    </w:p>
    <w:p w:rsidR="00D72609" w:rsidRPr="00EC49F4" w:rsidRDefault="00D72609" w:rsidP="00EC49F4">
      <w:pPr>
        <w:pStyle w:val="Heading4"/>
        <w:spacing w:line="360" w:lineRule="auto"/>
        <w:rPr>
          <w:rFonts w:ascii="Tw Cen MT" w:hAnsi="Tw Cen MT"/>
        </w:rPr>
      </w:pPr>
      <w:r w:rsidRPr="00EC49F4">
        <w:rPr>
          <w:rFonts w:ascii="Tw Cen MT" w:hAnsi="Tw Cen MT"/>
        </w:rPr>
        <w:t>Home Care services</w:t>
      </w:r>
    </w:p>
    <w:p w:rsidR="00B7668B" w:rsidRPr="00EC49F4" w:rsidRDefault="00B44A3C" w:rsidP="00EC49F4">
      <w:pPr>
        <w:spacing w:line="360" w:lineRule="auto"/>
        <w:rPr>
          <w:rFonts w:ascii="Tw Cen MT" w:hAnsi="Tw Cen MT"/>
          <w:sz w:val="24"/>
          <w:szCs w:val="24"/>
        </w:rPr>
      </w:pPr>
      <w:r w:rsidRPr="00EC49F4">
        <w:rPr>
          <w:rFonts w:ascii="Tw Cen MT" w:hAnsi="Tw Cen MT"/>
          <w:sz w:val="24"/>
          <w:szCs w:val="24"/>
        </w:rPr>
        <w:t>CIB has received consistent feedback from information</w:t>
      </w:r>
      <w:r w:rsidR="00975292" w:rsidRPr="00EC49F4">
        <w:rPr>
          <w:rFonts w:ascii="Tw Cen MT" w:hAnsi="Tw Cen MT"/>
          <w:sz w:val="24"/>
          <w:szCs w:val="24"/>
        </w:rPr>
        <w:t xml:space="preserve"> services</w:t>
      </w:r>
      <w:r w:rsidRPr="00EC49F4">
        <w:rPr>
          <w:rFonts w:ascii="Tw Cen MT" w:hAnsi="Tw Cen MT"/>
          <w:sz w:val="24"/>
          <w:szCs w:val="24"/>
        </w:rPr>
        <w:t xml:space="preserve"> </w:t>
      </w:r>
      <w:r w:rsidR="003A3CB1" w:rsidRPr="00EC49F4">
        <w:rPr>
          <w:rFonts w:ascii="Tw Cen MT" w:hAnsi="Tw Cen MT"/>
          <w:sz w:val="24"/>
          <w:szCs w:val="24"/>
        </w:rPr>
        <w:t xml:space="preserve">and </w:t>
      </w:r>
      <w:r w:rsidR="00975292" w:rsidRPr="00EC49F4">
        <w:rPr>
          <w:rFonts w:ascii="Tw Cen MT" w:hAnsi="Tw Cen MT"/>
          <w:sz w:val="24"/>
          <w:szCs w:val="24"/>
        </w:rPr>
        <w:t>NAS disability advocates</w:t>
      </w:r>
      <w:r w:rsidRPr="00EC49F4">
        <w:rPr>
          <w:rFonts w:ascii="Tw Cen MT" w:hAnsi="Tw Cen MT"/>
          <w:sz w:val="24"/>
          <w:szCs w:val="24"/>
        </w:rPr>
        <w:t xml:space="preserve"> regarding the significant challenges that are facing people with disabilities and older people in getting the supports that they need to live at home (or to transition from a ho</w:t>
      </w:r>
      <w:r w:rsidR="005837AB" w:rsidRPr="00EC49F4">
        <w:rPr>
          <w:rFonts w:ascii="Tw Cen MT" w:hAnsi="Tw Cen MT"/>
          <w:sz w:val="24"/>
          <w:szCs w:val="24"/>
        </w:rPr>
        <w:t xml:space="preserve">spital stay to returning home). These are </w:t>
      </w:r>
      <w:r w:rsidRPr="00EC49F4">
        <w:rPr>
          <w:rFonts w:ascii="Tw Cen MT" w:hAnsi="Tw Cen MT"/>
          <w:sz w:val="24"/>
          <w:szCs w:val="24"/>
        </w:rPr>
        <w:t xml:space="preserve">services delivered through the HSE (the Home Help Service, Home Care Packages, </w:t>
      </w:r>
      <w:r w:rsidR="00B7320C" w:rsidRPr="00EC49F4">
        <w:rPr>
          <w:rFonts w:ascii="Tw Cen MT" w:hAnsi="Tw Cen MT"/>
          <w:sz w:val="24"/>
          <w:szCs w:val="24"/>
        </w:rPr>
        <w:t>personal assistance hours</w:t>
      </w:r>
      <w:r w:rsidR="00B7668B" w:rsidRPr="00EC49F4">
        <w:rPr>
          <w:rFonts w:ascii="Tw Cen MT" w:hAnsi="Tw Cen MT"/>
          <w:sz w:val="24"/>
          <w:szCs w:val="24"/>
        </w:rPr>
        <w:t>,</w:t>
      </w:r>
      <w:r w:rsidR="00B7320C" w:rsidRPr="00EC49F4">
        <w:rPr>
          <w:rFonts w:ascii="Tw Cen MT" w:hAnsi="Tw Cen MT"/>
          <w:sz w:val="24"/>
          <w:szCs w:val="24"/>
        </w:rPr>
        <w:t xml:space="preserve"> </w:t>
      </w:r>
      <w:r w:rsidRPr="00EC49F4">
        <w:rPr>
          <w:rFonts w:ascii="Tw Cen MT" w:hAnsi="Tw Cen MT"/>
          <w:sz w:val="24"/>
          <w:szCs w:val="24"/>
        </w:rPr>
        <w:t>community-based therapies and GP care) or, the grants  that are made available through local authorities to fund housing adaptations. As the provision</w:t>
      </w:r>
      <w:r w:rsidRPr="00EC49F4">
        <w:rPr>
          <w:rFonts w:ascii="Tw Cen MT" w:hAnsi="Tw Cen MT"/>
          <w:b/>
          <w:color w:val="1F497D" w:themeColor="text2"/>
          <w:sz w:val="24"/>
          <w:szCs w:val="24"/>
        </w:rPr>
        <w:t xml:space="preserve"> </w:t>
      </w:r>
      <w:r w:rsidR="00E72C29" w:rsidRPr="00EC49F4">
        <w:rPr>
          <w:rFonts w:ascii="Tw Cen MT" w:hAnsi="Tw Cen MT"/>
          <w:sz w:val="24"/>
          <w:szCs w:val="24"/>
        </w:rPr>
        <w:t xml:space="preserve">of </w:t>
      </w:r>
      <w:r w:rsidRPr="00EC49F4">
        <w:rPr>
          <w:rFonts w:ascii="Tw Cen MT" w:hAnsi="Tw Cen MT"/>
          <w:sz w:val="24"/>
          <w:szCs w:val="24"/>
        </w:rPr>
        <w:t>each of these elements is currently based on the</w:t>
      </w:r>
      <w:r w:rsidRPr="00EC49F4">
        <w:rPr>
          <w:rFonts w:ascii="Tw Cen MT" w:hAnsi="Tw Cen MT"/>
          <w:b/>
          <w:sz w:val="24"/>
          <w:szCs w:val="24"/>
        </w:rPr>
        <w:t xml:space="preserve"> </w:t>
      </w:r>
      <w:r w:rsidRPr="00EC49F4">
        <w:rPr>
          <w:rFonts w:ascii="Tw Cen MT" w:hAnsi="Tw Cen MT"/>
          <w:b/>
          <w:color w:val="1F497D" w:themeColor="text2"/>
          <w:sz w:val="24"/>
          <w:szCs w:val="24"/>
        </w:rPr>
        <w:t>availability of resources, rather than on the assessed needs of applicants</w:t>
      </w:r>
      <w:r w:rsidRPr="00EC49F4">
        <w:rPr>
          <w:rFonts w:ascii="Tw Cen MT" w:hAnsi="Tw Cen MT"/>
          <w:sz w:val="24"/>
          <w:szCs w:val="24"/>
        </w:rPr>
        <w:t>, CISs</w:t>
      </w:r>
      <w:r w:rsidR="00A1381D" w:rsidRPr="00EC49F4">
        <w:rPr>
          <w:rFonts w:ascii="Tw Cen MT" w:hAnsi="Tw Cen MT"/>
          <w:sz w:val="24"/>
          <w:szCs w:val="24"/>
        </w:rPr>
        <w:t xml:space="preserve"> and dis</w:t>
      </w:r>
      <w:r w:rsidR="00B7668B" w:rsidRPr="00EC49F4">
        <w:rPr>
          <w:rFonts w:ascii="Tw Cen MT" w:hAnsi="Tw Cen MT"/>
          <w:sz w:val="24"/>
          <w:szCs w:val="24"/>
        </w:rPr>
        <w:t>ability advocates</w:t>
      </w:r>
      <w:r w:rsidRPr="00EC49F4">
        <w:rPr>
          <w:rFonts w:ascii="Tw Cen MT" w:hAnsi="Tw Cen MT"/>
          <w:sz w:val="24"/>
          <w:szCs w:val="24"/>
        </w:rPr>
        <w:t xml:space="preserve"> continue to report on many of their clients</w:t>
      </w:r>
      <w:r w:rsidRPr="00EC49F4">
        <w:rPr>
          <w:rFonts w:ascii="Tw Cen MT" w:hAnsi="Tw Cen MT"/>
          <w:b/>
          <w:sz w:val="24"/>
          <w:szCs w:val="24"/>
        </w:rPr>
        <w:t xml:space="preserve"> </w:t>
      </w:r>
      <w:r w:rsidRPr="00EC49F4">
        <w:rPr>
          <w:rFonts w:ascii="Tw Cen MT" w:hAnsi="Tw Cen MT"/>
          <w:b/>
          <w:color w:val="1F497D" w:themeColor="text2"/>
          <w:sz w:val="24"/>
          <w:szCs w:val="24"/>
        </w:rPr>
        <w:t>who are falling through the gaps</w:t>
      </w:r>
      <w:r w:rsidRPr="00EC49F4">
        <w:rPr>
          <w:rFonts w:ascii="Tw Cen MT" w:hAnsi="Tw Cen MT"/>
          <w:color w:val="1F497D" w:themeColor="text2"/>
          <w:sz w:val="24"/>
          <w:szCs w:val="24"/>
        </w:rPr>
        <w:t xml:space="preserve"> </w:t>
      </w:r>
      <w:r w:rsidRPr="00EC49F4">
        <w:rPr>
          <w:rFonts w:ascii="Tw Cen MT" w:hAnsi="Tw Cen MT"/>
          <w:sz w:val="24"/>
          <w:szCs w:val="24"/>
        </w:rPr>
        <w:t xml:space="preserve">– older people, people with disabilities and their family members who are seeking to care for them in stressful and difficult circumstances. These pressures can also contrive to push older people </w:t>
      </w:r>
      <w:r w:rsidR="003B0DAA" w:rsidRPr="00EC49F4">
        <w:rPr>
          <w:rFonts w:ascii="Tw Cen MT" w:hAnsi="Tw Cen MT"/>
          <w:sz w:val="24"/>
          <w:szCs w:val="24"/>
        </w:rPr>
        <w:t xml:space="preserve">(and some younger people with disabilities) </w:t>
      </w:r>
      <w:r w:rsidRPr="00EC49F4">
        <w:rPr>
          <w:rFonts w:ascii="Tw Cen MT" w:hAnsi="Tw Cen MT"/>
          <w:sz w:val="24"/>
          <w:szCs w:val="24"/>
        </w:rPr>
        <w:t xml:space="preserve">to access long-term nursing home care via the Nursing Home Support Scheme (NHSS) </w:t>
      </w:r>
      <w:r w:rsidR="00A1381D" w:rsidRPr="00EC49F4">
        <w:rPr>
          <w:rFonts w:ascii="Tw Cen MT" w:hAnsi="Tw Cen MT"/>
          <w:sz w:val="24"/>
          <w:szCs w:val="24"/>
        </w:rPr>
        <w:t xml:space="preserve">with </w:t>
      </w:r>
      <w:r w:rsidRPr="00EC49F4">
        <w:rPr>
          <w:rFonts w:ascii="Tw Cen MT" w:hAnsi="Tw Cen MT"/>
          <w:sz w:val="24"/>
          <w:szCs w:val="24"/>
        </w:rPr>
        <w:t>the associated h</w:t>
      </w:r>
      <w:r w:rsidR="00B7668B" w:rsidRPr="00EC49F4">
        <w:rPr>
          <w:rFonts w:ascii="Tw Cen MT" w:hAnsi="Tw Cen MT"/>
          <w:sz w:val="24"/>
          <w:szCs w:val="24"/>
        </w:rPr>
        <w:t>igher costs of care.  In particular, disability advocates have frequently encountered cases where lack of funding for personal assistance hours for people with disabilities has led to individuals being unable to remain in their own homes and having to move into residential settings.</w:t>
      </w:r>
      <w:r w:rsidR="00AB5B37">
        <w:rPr>
          <w:rFonts w:ascii="Tw Cen MT" w:hAnsi="Tw Cen MT"/>
          <w:sz w:val="24"/>
          <w:szCs w:val="24"/>
        </w:rPr>
        <w:t xml:space="preserve"> </w:t>
      </w:r>
      <w:r w:rsidR="00B7668B" w:rsidRPr="00EC49F4">
        <w:rPr>
          <w:rFonts w:ascii="Tw Cen MT" w:hAnsi="Tw Cen MT"/>
          <w:sz w:val="24"/>
          <w:szCs w:val="24"/>
        </w:rPr>
        <w:t>NAS disability advocates also continue to expr</w:t>
      </w:r>
      <w:r w:rsidR="00AB5B37">
        <w:rPr>
          <w:rFonts w:ascii="Tw Cen MT" w:hAnsi="Tw Cen MT"/>
          <w:sz w:val="24"/>
          <w:szCs w:val="24"/>
        </w:rPr>
        <w:t xml:space="preserve">ess concern at the slow pace of </w:t>
      </w:r>
      <w:r w:rsidR="00B7668B" w:rsidRPr="00EC49F4">
        <w:rPr>
          <w:rFonts w:ascii="Tw Cen MT" w:hAnsi="Tw Cen MT"/>
          <w:sz w:val="24"/>
          <w:szCs w:val="24"/>
        </w:rPr>
        <w:t xml:space="preserve">decongregation, and </w:t>
      </w:r>
      <w:r w:rsidR="00A01B0C" w:rsidRPr="00EC49F4">
        <w:rPr>
          <w:rFonts w:ascii="Tw Cen MT" w:hAnsi="Tw Cen MT"/>
          <w:sz w:val="24"/>
          <w:szCs w:val="24"/>
        </w:rPr>
        <w:t xml:space="preserve">the </w:t>
      </w:r>
      <w:r w:rsidR="00B7668B" w:rsidRPr="00EC49F4">
        <w:rPr>
          <w:rFonts w:ascii="Tw Cen MT" w:hAnsi="Tw Cen MT"/>
          <w:sz w:val="24"/>
          <w:szCs w:val="24"/>
        </w:rPr>
        <w:t xml:space="preserve">high number of people with disabilities who remain living long-term in residential, congregated settings. </w:t>
      </w:r>
    </w:p>
    <w:p w:rsidR="005B3A8E"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Regarding the provision of care in the home, there are also ongoing reports of difficulties for many family carers who are </w:t>
      </w:r>
      <w:r w:rsidR="00DB07D8" w:rsidRPr="00EC49F4">
        <w:rPr>
          <w:rFonts w:ascii="Tw Cen MT" w:hAnsi="Tw Cen MT"/>
          <w:sz w:val="24"/>
          <w:szCs w:val="24"/>
        </w:rPr>
        <w:t xml:space="preserve">in receipt of Carer’s Allowance and are </w:t>
      </w:r>
      <w:r w:rsidRPr="00EC49F4">
        <w:rPr>
          <w:rFonts w:ascii="Tw Cen MT" w:hAnsi="Tw Cen MT"/>
          <w:sz w:val="24"/>
          <w:szCs w:val="24"/>
        </w:rPr>
        <w:t xml:space="preserve">limited in the hours that they can work or study (currently 15) while receiving </w:t>
      </w:r>
      <w:r w:rsidR="00DB07D8" w:rsidRPr="00EC49F4">
        <w:rPr>
          <w:rFonts w:ascii="Tw Cen MT" w:hAnsi="Tw Cen MT"/>
          <w:sz w:val="24"/>
          <w:szCs w:val="24"/>
        </w:rPr>
        <w:t>the</w:t>
      </w:r>
      <w:r w:rsidR="005B3A8E" w:rsidRPr="00EC49F4">
        <w:rPr>
          <w:rFonts w:ascii="Tw Cen MT" w:hAnsi="Tw Cen MT"/>
          <w:sz w:val="24"/>
          <w:szCs w:val="24"/>
        </w:rPr>
        <w:t xml:space="preserve"> payment </w:t>
      </w:r>
      <w:r w:rsidRPr="00EC49F4">
        <w:rPr>
          <w:rFonts w:ascii="Tw Cen MT" w:hAnsi="Tw Cen MT"/>
          <w:sz w:val="24"/>
          <w:szCs w:val="24"/>
        </w:rPr>
        <w:t xml:space="preserve">- a measure which restricts their ability to supplement their income or to upskill or retrain while providing care to a family member. </w:t>
      </w:r>
      <w:r w:rsidR="005B3A8E" w:rsidRPr="00EC49F4">
        <w:rPr>
          <w:rFonts w:ascii="Tw Cen MT" w:hAnsi="Tw Cen MT"/>
          <w:sz w:val="24"/>
          <w:szCs w:val="24"/>
        </w:rPr>
        <w:t xml:space="preserve">The </w:t>
      </w:r>
      <w:r w:rsidR="005B3A8E" w:rsidRPr="00EC49F4">
        <w:rPr>
          <w:rFonts w:ascii="Tw Cen MT" w:hAnsi="Tw Cen MT"/>
          <w:b/>
          <w:color w:val="1F497D" w:themeColor="text2"/>
          <w:sz w:val="24"/>
          <w:szCs w:val="24"/>
        </w:rPr>
        <w:t xml:space="preserve">introduction of a concept of graduated care requirements </w:t>
      </w:r>
      <w:r w:rsidR="005B3A8E" w:rsidRPr="00EC49F4">
        <w:rPr>
          <w:rFonts w:ascii="Tw Cen MT" w:hAnsi="Tw Cen MT"/>
          <w:sz w:val="24"/>
          <w:szCs w:val="24"/>
        </w:rPr>
        <w:t xml:space="preserve">could be of benefit here, in recognition of those needing a level of care that is not necessarily full-time – whilst also allowing the carer to retain their payment and seek employment or training. This could also help to ensure that carers are enabled to re-enter the workforce when their caring role comes to an end. </w:t>
      </w:r>
    </w:p>
    <w:p w:rsidR="00F27D27" w:rsidRPr="00EC49F4" w:rsidRDefault="00B44A3C" w:rsidP="00EC49F4">
      <w:pPr>
        <w:spacing w:line="360" w:lineRule="auto"/>
        <w:rPr>
          <w:rFonts w:ascii="Tw Cen MT" w:hAnsi="Tw Cen MT"/>
          <w:sz w:val="24"/>
          <w:szCs w:val="24"/>
        </w:rPr>
      </w:pPr>
      <w:r w:rsidRPr="00EC49F4">
        <w:rPr>
          <w:rFonts w:ascii="Tw Cen MT" w:hAnsi="Tw Cen MT"/>
          <w:sz w:val="24"/>
          <w:szCs w:val="24"/>
        </w:rPr>
        <w:lastRenderedPageBreak/>
        <w:t xml:space="preserve">Of further relevance here are reports from services concerned with professional carers who provide home care services, which give an indication of the many difficulties that carers and health care assistants employed in the home care sector experience in their work.  With many carers </w:t>
      </w:r>
      <w:r w:rsidR="005837AB" w:rsidRPr="00EC49F4">
        <w:rPr>
          <w:rFonts w:ascii="Tw Cen MT" w:hAnsi="Tw Cen MT"/>
          <w:sz w:val="24"/>
          <w:szCs w:val="24"/>
        </w:rPr>
        <w:t>working ‘if-and-when’ contracts ac</w:t>
      </w:r>
      <w:r w:rsidRPr="00EC49F4">
        <w:rPr>
          <w:rFonts w:ascii="Tw Cen MT" w:hAnsi="Tw Cen MT"/>
          <w:sz w:val="24"/>
          <w:szCs w:val="24"/>
        </w:rPr>
        <w:t>ross a large geographical area, and in many cases, trying t</w:t>
      </w:r>
      <w:r w:rsidR="00855D0F" w:rsidRPr="00EC49F4">
        <w:rPr>
          <w:rFonts w:ascii="Tw Cen MT" w:hAnsi="Tw Cen MT"/>
          <w:sz w:val="24"/>
          <w:szCs w:val="24"/>
        </w:rPr>
        <w:t xml:space="preserve">o combine irregular hours with some </w:t>
      </w:r>
      <w:r w:rsidRPr="00EC49F4">
        <w:rPr>
          <w:rFonts w:ascii="Tw Cen MT" w:hAnsi="Tw Cen MT"/>
          <w:sz w:val="24"/>
          <w:szCs w:val="24"/>
        </w:rPr>
        <w:t xml:space="preserve"> rigid</w:t>
      </w:r>
      <w:r w:rsidR="00855D0F" w:rsidRPr="00EC49F4">
        <w:rPr>
          <w:rFonts w:ascii="Tw Cen MT" w:hAnsi="Tw Cen MT"/>
          <w:sz w:val="24"/>
          <w:szCs w:val="24"/>
        </w:rPr>
        <w:t xml:space="preserve">ity in the </w:t>
      </w:r>
      <w:r w:rsidRPr="00EC49F4">
        <w:rPr>
          <w:rFonts w:ascii="Tw Cen MT" w:hAnsi="Tw Cen MT"/>
          <w:sz w:val="24"/>
          <w:szCs w:val="24"/>
        </w:rPr>
        <w:t xml:space="preserve"> social welfare system, it would seem that the development of a new statutory scheme and system of regulation would have significant benefits for older people, people with disabilities, family carers and professional carers alike. </w:t>
      </w:r>
      <w:r w:rsidR="005837AB" w:rsidRPr="00EC49F4">
        <w:rPr>
          <w:rFonts w:ascii="Tw Cen MT" w:hAnsi="Tw Cen MT"/>
          <w:sz w:val="24"/>
          <w:szCs w:val="24"/>
        </w:rPr>
        <w:t>W</w:t>
      </w:r>
      <w:r w:rsidRPr="00EC49F4">
        <w:rPr>
          <w:rFonts w:ascii="Tw Cen MT" w:hAnsi="Tw Cen MT"/>
          <w:sz w:val="24"/>
          <w:szCs w:val="24"/>
        </w:rPr>
        <w:t>ith the demand for home help hours predicted to increase by up to 54% over the next 12 years</w:t>
      </w:r>
      <w:r w:rsidR="005C0798" w:rsidRPr="00EC49F4">
        <w:rPr>
          <w:rStyle w:val="FootnoteReference"/>
          <w:rFonts w:ascii="Tw Cen MT" w:hAnsi="Tw Cen MT"/>
          <w:sz w:val="24"/>
          <w:szCs w:val="24"/>
        </w:rPr>
        <w:footnoteReference w:id="7"/>
      </w:r>
      <w:r w:rsidR="00975292" w:rsidRPr="00EC49F4">
        <w:rPr>
          <w:rFonts w:ascii="Tw Cen MT" w:hAnsi="Tw Cen MT"/>
          <w:sz w:val="24"/>
          <w:szCs w:val="24"/>
        </w:rPr>
        <w:t xml:space="preserve">, </w:t>
      </w:r>
      <w:r w:rsidRPr="00EC49F4">
        <w:rPr>
          <w:rFonts w:ascii="Tw Cen MT" w:hAnsi="Tw Cen MT"/>
          <w:sz w:val="24"/>
          <w:szCs w:val="24"/>
        </w:rPr>
        <w:t>CIB is of the view that the development of this legislation, and the associated regulati</w:t>
      </w:r>
      <w:r w:rsidR="00975292" w:rsidRPr="00EC49F4">
        <w:rPr>
          <w:rFonts w:ascii="Tw Cen MT" w:hAnsi="Tw Cen MT"/>
          <w:sz w:val="24"/>
          <w:szCs w:val="24"/>
        </w:rPr>
        <w:t>on and resourcing of the sector,</w:t>
      </w:r>
      <w:r w:rsidRPr="00EC49F4">
        <w:rPr>
          <w:rFonts w:ascii="Tw Cen MT" w:hAnsi="Tw Cen MT"/>
          <w:sz w:val="24"/>
          <w:szCs w:val="24"/>
        </w:rPr>
        <w:t xml:space="preserve"> should be a priority for Government in 2019. </w:t>
      </w:r>
    </w:p>
    <w:p w:rsidR="00DC35E6" w:rsidRPr="00EC49F4" w:rsidRDefault="00122EF5" w:rsidP="00EC49F4">
      <w:pPr>
        <w:spacing w:line="360" w:lineRule="auto"/>
        <w:rPr>
          <w:rFonts w:ascii="Tw Cen MT" w:hAnsi="Tw Cen MT"/>
          <w:sz w:val="24"/>
          <w:szCs w:val="24"/>
        </w:rPr>
      </w:pPr>
      <w:r w:rsidRPr="00EC49F4">
        <w:rPr>
          <w:rFonts w:ascii="Tw Cen MT" w:hAnsi="Tw Cen MT"/>
          <w:sz w:val="24"/>
          <w:szCs w:val="24"/>
        </w:rPr>
        <w:t>Not</w:t>
      </w:r>
      <w:r w:rsidR="00B7668B" w:rsidRPr="00EC49F4">
        <w:rPr>
          <w:rFonts w:ascii="Tw Cen MT" w:hAnsi="Tw Cen MT"/>
          <w:sz w:val="24"/>
          <w:szCs w:val="24"/>
        </w:rPr>
        <w:t xml:space="preserve">withstanding the scale of support provided through the welfare system, CIS  clients encounter </w:t>
      </w:r>
      <w:r w:rsidR="00C82075" w:rsidRPr="00EC49F4">
        <w:rPr>
          <w:rFonts w:ascii="Tw Cen MT" w:hAnsi="Tw Cen MT"/>
          <w:sz w:val="24"/>
          <w:szCs w:val="24"/>
        </w:rPr>
        <w:t xml:space="preserve">limitations that seem to be inherent in </w:t>
      </w:r>
      <w:r w:rsidR="00B7668B" w:rsidRPr="00EC49F4">
        <w:rPr>
          <w:rFonts w:ascii="Tw Cen MT" w:hAnsi="Tw Cen MT"/>
          <w:sz w:val="24"/>
          <w:szCs w:val="24"/>
        </w:rPr>
        <w:t xml:space="preserve">a </w:t>
      </w:r>
      <w:r w:rsidR="00C82075" w:rsidRPr="00EC49F4">
        <w:rPr>
          <w:rFonts w:ascii="Tw Cen MT" w:hAnsi="Tw Cen MT"/>
          <w:sz w:val="24"/>
          <w:szCs w:val="24"/>
        </w:rPr>
        <w:t xml:space="preserve">complex system - whether it is unreasonable delays, unclear eligibility, contradictory or incorrect information, failure to follow best practice, gaps in welfare provision, or a basic lack of communication. </w:t>
      </w:r>
    </w:p>
    <w:p w:rsidR="00B44A3C" w:rsidRPr="00AB5B37" w:rsidRDefault="00B44A3C" w:rsidP="00EC49F4">
      <w:pPr>
        <w:pStyle w:val="Heading3"/>
        <w:spacing w:line="360" w:lineRule="auto"/>
        <w:rPr>
          <w:rFonts w:ascii="Tw Cen MT" w:hAnsi="Tw Cen MT"/>
          <w:sz w:val="28"/>
          <w:szCs w:val="28"/>
        </w:rPr>
      </w:pPr>
      <w:r w:rsidRPr="00AB5B37">
        <w:rPr>
          <w:rFonts w:ascii="Tw Cen MT" w:hAnsi="Tw Cen MT"/>
          <w:sz w:val="28"/>
          <w:szCs w:val="28"/>
        </w:rPr>
        <w:t>Recommendations</w:t>
      </w:r>
      <w:r w:rsidR="00C5007F" w:rsidRPr="00AB5B37">
        <w:rPr>
          <w:rFonts w:ascii="Tw Cen MT" w:hAnsi="Tw Cen MT"/>
          <w:sz w:val="28"/>
          <w:szCs w:val="28"/>
        </w:rPr>
        <w:t xml:space="preserve"> - Benefits and Services</w:t>
      </w:r>
      <w:r w:rsidRPr="00AB5B37">
        <w:rPr>
          <w:rFonts w:ascii="Tw Cen MT" w:hAnsi="Tw Cen MT"/>
          <w:sz w:val="28"/>
          <w:szCs w:val="28"/>
        </w:rPr>
        <w:t xml:space="preserve">: </w:t>
      </w:r>
    </w:p>
    <w:p w:rsidR="00D44EBE" w:rsidRPr="00EC49F4" w:rsidRDefault="00B44A3C" w:rsidP="00EC49F4">
      <w:p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Based on the evidence provided by our delivery services, CIB recommends the following in relation to improving the provision of services and benefits:-</w:t>
      </w:r>
    </w:p>
    <w:p w:rsidR="00D44EBE" w:rsidRPr="00EC49F4" w:rsidRDefault="00B44A3C" w:rsidP="00EC49F4">
      <w:pPr>
        <w:pStyle w:val="ListParagraph"/>
        <w:numPr>
          <w:ilvl w:val="0"/>
          <w:numId w:val="37"/>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Proactively</w:t>
      </w:r>
      <w:r w:rsidR="005837AB" w:rsidRPr="00EC49F4">
        <w:rPr>
          <w:rFonts w:ascii="Tw Cen MT" w:hAnsi="Tw Cen MT"/>
          <w:sz w:val="24"/>
          <w:szCs w:val="24"/>
        </w:rPr>
        <w:t xml:space="preserve"> promote the availability of the Supplementary Welfare Scheme</w:t>
      </w:r>
      <w:r w:rsidRPr="00EC49F4">
        <w:rPr>
          <w:rFonts w:ascii="Tw Cen MT" w:hAnsi="Tw Cen MT"/>
          <w:sz w:val="24"/>
          <w:szCs w:val="24"/>
        </w:rPr>
        <w:t xml:space="preserve"> (in particular, Basic SWA) and resource the provision of Community Welfare Services as a flexible and responsive support for those in urgent n</w:t>
      </w:r>
      <w:r w:rsidR="00122EF5" w:rsidRPr="00EC49F4">
        <w:rPr>
          <w:rFonts w:ascii="Tw Cen MT" w:hAnsi="Tw Cen MT"/>
          <w:sz w:val="24"/>
          <w:szCs w:val="24"/>
        </w:rPr>
        <w:t xml:space="preserve">eed and also </w:t>
      </w:r>
      <w:r w:rsidR="003003F8" w:rsidRPr="00EC49F4">
        <w:rPr>
          <w:rFonts w:ascii="Tw Cen MT" w:hAnsi="Tw Cen MT"/>
          <w:sz w:val="24"/>
          <w:szCs w:val="24"/>
        </w:rPr>
        <w:t>consider measures to ensure ENP</w:t>
      </w:r>
      <w:r w:rsidR="00C6779E" w:rsidRPr="00EC49F4">
        <w:rPr>
          <w:rFonts w:ascii="Tw Cen MT" w:hAnsi="Tw Cen MT"/>
          <w:sz w:val="24"/>
          <w:szCs w:val="24"/>
        </w:rPr>
        <w:t>s are readily accessible to clie</w:t>
      </w:r>
      <w:r w:rsidR="003003F8" w:rsidRPr="00EC49F4">
        <w:rPr>
          <w:rFonts w:ascii="Tw Cen MT" w:hAnsi="Tw Cen MT"/>
          <w:sz w:val="24"/>
          <w:szCs w:val="24"/>
        </w:rPr>
        <w:t>n</w:t>
      </w:r>
      <w:r w:rsidR="00C6779E" w:rsidRPr="00EC49F4">
        <w:rPr>
          <w:rFonts w:ascii="Tw Cen MT" w:hAnsi="Tw Cen MT"/>
          <w:sz w:val="24"/>
          <w:szCs w:val="24"/>
        </w:rPr>
        <w:t>t</w:t>
      </w:r>
      <w:r w:rsidR="003003F8" w:rsidRPr="00EC49F4">
        <w:rPr>
          <w:rFonts w:ascii="Tw Cen MT" w:hAnsi="Tw Cen MT"/>
          <w:sz w:val="24"/>
          <w:szCs w:val="24"/>
        </w:rPr>
        <w:t>s in emergency need</w:t>
      </w:r>
      <w:r w:rsidR="00C6779E" w:rsidRPr="00EC49F4">
        <w:rPr>
          <w:rFonts w:ascii="Tw Cen MT" w:hAnsi="Tw Cen MT"/>
          <w:sz w:val="24"/>
          <w:szCs w:val="24"/>
        </w:rPr>
        <w:t xml:space="preserve">; </w:t>
      </w:r>
    </w:p>
    <w:p w:rsidR="00D44EBE" w:rsidRPr="00EC49F4" w:rsidRDefault="005C0798" w:rsidP="00EC49F4">
      <w:pPr>
        <w:pStyle w:val="ListParagraph"/>
        <w:numPr>
          <w:ilvl w:val="0"/>
          <w:numId w:val="37"/>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F</w:t>
      </w:r>
      <w:r w:rsidR="00B44A3C" w:rsidRPr="00EC49F4">
        <w:rPr>
          <w:rFonts w:ascii="Tw Cen MT" w:hAnsi="Tw Cen MT"/>
          <w:sz w:val="24"/>
          <w:szCs w:val="24"/>
        </w:rPr>
        <w:t>inalise and report on the review undertaken on extending social insurance coverage to self-employed people and, in line with recent policy initiatives, continue to extend social insurance coverage to the self-employed, including provision for both unemployment and illness or disability;</w:t>
      </w:r>
    </w:p>
    <w:p w:rsidR="00D44EBE" w:rsidRPr="00EC49F4" w:rsidRDefault="005C0798" w:rsidP="00EC49F4">
      <w:pPr>
        <w:pStyle w:val="ListParagraph"/>
        <w:numPr>
          <w:ilvl w:val="0"/>
          <w:numId w:val="37"/>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Develop a clear policy response and impact assessment with regard to the design and funding of the Total Contributions Approach to the State Pension (Contributory) which is due to be introduced in 2020;</w:t>
      </w:r>
    </w:p>
    <w:p w:rsidR="005C0798" w:rsidRPr="00EC49F4" w:rsidRDefault="005C0798" w:rsidP="00EC49F4">
      <w:pPr>
        <w:pStyle w:val="ListParagraph"/>
        <w:numPr>
          <w:ilvl w:val="0"/>
          <w:numId w:val="37"/>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 xml:space="preserve">Provide enhanced resources to particular sections within DEASP (disability, illness, carers and Working Family Payment sections) in order to expedite the processing of applications, reviews and appeals; </w:t>
      </w:r>
    </w:p>
    <w:p w:rsidR="00D44EBE" w:rsidRPr="00EC49F4" w:rsidRDefault="0065450A" w:rsidP="00EC49F4">
      <w:pPr>
        <w:pStyle w:val="ListParagraph"/>
        <w:numPr>
          <w:ilvl w:val="0"/>
          <w:numId w:val="37"/>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 xml:space="preserve">Provide for an increase in the rate of the Fuel Allowance and introduce a Cold Weather Payment Scheme </w:t>
      </w:r>
      <w:r w:rsidR="003A23A2" w:rsidRPr="00EC49F4">
        <w:rPr>
          <w:rFonts w:ascii="Tw Cen MT" w:hAnsi="Tw Cen MT"/>
          <w:sz w:val="24"/>
          <w:szCs w:val="24"/>
        </w:rPr>
        <w:t>to allow for certainty to FA recipients in the event of extremely cold conditions;</w:t>
      </w:r>
    </w:p>
    <w:p w:rsidR="00D44EBE" w:rsidRPr="00EC49F4" w:rsidRDefault="00B44A3C" w:rsidP="00EC49F4">
      <w:pPr>
        <w:pStyle w:val="ListParagraph"/>
        <w:numPr>
          <w:ilvl w:val="0"/>
          <w:numId w:val="37"/>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lastRenderedPageBreak/>
        <w:t>Proceed with the establishment of a new homec</w:t>
      </w:r>
      <w:r w:rsidR="00F27D27" w:rsidRPr="00EC49F4">
        <w:rPr>
          <w:rFonts w:ascii="Tw Cen MT" w:hAnsi="Tw Cen MT"/>
          <w:sz w:val="24"/>
          <w:szCs w:val="24"/>
        </w:rPr>
        <w:t>are scheme on a statutory basis and provide increased funding for the provision of personal assistance hours, home help and home care packages</w:t>
      </w:r>
      <w:r w:rsidR="00975292" w:rsidRPr="00EC49F4">
        <w:rPr>
          <w:rFonts w:ascii="Tw Cen MT" w:hAnsi="Tw Cen MT"/>
          <w:sz w:val="24"/>
          <w:szCs w:val="24"/>
        </w:rPr>
        <w:t xml:space="preserve"> and additional supports for people with disabilities living in the community;</w:t>
      </w:r>
      <w:r w:rsidR="00D44EBE" w:rsidRPr="00EC49F4">
        <w:rPr>
          <w:rFonts w:ascii="Tw Cen MT" w:hAnsi="Tw Cen MT"/>
          <w:sz w:val="24"/>
          <w:szCs w:val="24"/>
        </w:rPr>
        <w:t xml:space="preserve"> </w:t>
      </w:r>
    </w:p>
    <w:p w:rsidR="00D44EBE" w:rsidRPr="00EC49F4" w:rsidRDefault="005C0798" w:rsidP="00EC49F4">
      <w:pPr>
        <w:pStyle w:val="ListParagraph"/>
        <w:numPr>
          <w:ilvl w:val="0"/>
          <w:numId w:val="37"/>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 xml:space="preserve">Introduce a system of graduated care provision for those in receipt of Carer’s Allowance, </w:t>
      </w:r>
      <w:r w:rsidR="00844185" w:rsidRPr="00EC49F4">
        <w:rPr>
          <w:rFonts w:ascii="Tw Cen MT" w:hAnsi="Tw Cen MT"/>
          <w:sz w:val="24"/>
          <w:szCs w:val="24"/>
        </w:rPr>
        <w:t>increasing the hours allowed to work or study whilst retaining their caring role;</w:t>
      </w:r>
    </w:p>
    <w:p w:rsidR="00B44A3C" w:rsidRPr="00EC49F4" w:rsidRDefault="00B44A3C" w:rsidP="00EC49F4">
      <w:pPr>
        <w:pStyle w:val="ListParagraph"/>
        <w:numPr>
          <w:ilvl w:val="0"/>
          <w:numId w:val="37"/>
        </w:numPr>
        <w:shd w:val="clear" w:color="auto" w:fill="DBE5F1" w:themeFill="accent1" w:themeFillTint="33"/>
        <w:spacing w:line="360" w:lineRule="auto"/>
        <w:rPr>
          <w:rFonts w:ascii="Tw Cen MT" w:hAnsi="Tw Cen MT"/>
          <w:sz w:val="24"/>
          <w:szCs w:val="24"/>
        </w:rPr>
      </w:pPr>
      <w:r w:rsidRPr="00EC49F4">
        <w:rPr>
          <w:rFonts w:ascii="Tw Cen MT" w:hAnsi="Tw Cen MT"/>
          <w:sz w:val="24"/>
          <w:szCs w:val="24"/>
        </w:rPr>
        <w:t>Restore funding for local authority schemes (Housing Adaptation Grants for Older People and the Mobility Aids Grant Scheme) to 2010 levels to support older people and people with disabilities to cont</w:t>
      </w:r>
      <w:r w:rsidR="005C0798" w:rsidRPr="00EC49F4">
        <w:rPr>
          <w:rFonts w:ascii="Tw Cen MT" w:hAnsi="Tw Cen MT"/>
          <w:sz w:val="24"/>
          <w:szCs w:val="24"/>
        </w:rPr>
        <w:t>inue to live in their own homes.</w:t>
      </w:r>
    </w:p>
    <w:p w:rsidR="00B44A3C" w:rsidRPr="00EC49F4" w:rsidRDefault="00B44A3C" w:rsidP="00EC49F4">
      <w:pPr>
        <w:pStyle w:val="Heading2"/>
        <w:spacing w:line="360" w:lineRule="auto"/>
        <w:rPr>
          <w:rFonts w:ascii="Tw Cen MT" w:hAnsi="Tw Cen MT"/>
        </w:rPr>
      </w:pPr>
      <w:r w:rsidRPr="00EC49F4">
        <w:rPr>
          <w:rFonts w:ascii="Tw Cen MT" w:hAnsi="Tw Cen MT"/>
        </w:rPr>
        <w:t>Housing</w:t>
      </w:r>
    </w:p>
    <w:p w:rsidR="00B44A3C"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During 2017, staff in </w:t>
      </w:r>
      <w:r w:rsidRPr="00EC49F4">
        <w:rPr>
          <w:rFonts w:ascii="Tw Cen MT" w:hAnsi="Tw Cen MT"/>
          <w:b/>
          <w:color w:val="1F497D" w:themeColor="text2"/>
          <w:sz w:val="24"/>
          <w:szCs w:val="24"/>
        </w:rPr>
        <w:t xml:space="preserve">information services responded to </w:t>
      </w:r>
      <w:r w:rsidR="00844185" w:rsidRPr="00EC49F4">
        <w:rPr>
          <w:rFonts w:ascii="Tw Cen MT" w:hAnsi="Tw Cen MT"/>
          <w:b/>
          <w:color w:val="1F497D" w:themeColor="text2"/>
          <w:sz w:val="24"/>
          <w:szCs w:val="24"/>
        </w:rPr>
        <w:t>over</w:t>
      </w:r>
      <w:r w:rsidRPr="00EC49F4">
        <w:rPr>
          <w:rFonts w:ascii="Tw Cen MT" w:hAnsi="Tw Cen MT"/>
          <w:b/>
          <w:color w:val="1F497D" w:themeColor="text2"/>
          <w:sz w:val="24"/>
          <w:szCs w:val="24"/>
        </w:rPr>
        <w:t xml:space="preserve"> 100,000 queries relating to housing issues</w:t>
      </w:r>
      <w:r w:rsidR="00844185" w:rsidRPr="00EC49F4">
        <w:rPr>
          <w:rFonts w:ascii="Tw Cen MT" w:hAnsi="Tw Cen MT"/>
          <w:b/>
          <w:color w:val="1F497D" w:themeColor="text2"/>
          <w:sz w:val="24"/>
          <w:szCs w:val="24"/>
        </w:rPr>
        <w:t xml:space="preserve"> </w:t>
      </w:r>
      <w:r w:rsidR="00844185" w:rsidRPr="00EC49F4">
        <w:rPr>
          <w:rFonts w:ascii="Tw Cen MT" w:hAnsi="Tw Cen MT"/>
          <w:sz w:val="24"/>
          <w:szCs w:val="24"/>
        </w:rPr>
        <w:t xml:space="preserve">– which was a </w:t>
      </w:r>
      <w:r w:rsidR="00844185" w:rsidRPr="00EC49F4">
        <w:rPr>
          <w:rFonts w:ascii="Tw Cen MT" w:hAnsi="Tw Cen MT"/>
          <w:b/>
          <w:color w:val="1F497D" w:themeColor="text2"/>
          <w:sz w:val="24"/>
          <w:szCs w:val="24"/>
        </w:rPr>
        <w:t>15% increase</w:t>
      </w:r>
      <w:r w:rsidR="00844185" w:rsidRPr="00EC49F4">
        <w:rPr>
          <w:rFonts w:ascii="Tw Cen MT" w:hAnsi="Tw Cen MT"/>
          <w:color w:val="1F497D" w:themeColor="text2"/>
          <w:sz w:val="24"/>
          <w:szCs w:val="24"/>
        </w:rPr>
        <w:t xml:space="preserve"> </w:t>
      </w:r>
      <w:r w:rsidR="00844185" w:rsidRPr="00EC49F4">
        <w:rPr>
          <w:rFonts w:ascii="Tw Cen MT" w:hAnsi="Tw Cen MT"/>
          <w:sz w:val="24"/>
          <w:szCs w:val="24"/>
        </w:rPr>
        <w:t xml:space="preserve">on the previous year. Over half of these queries were related to </w:t>
      </w:r>
      <w:r w:rsidR="00844185" w:rsidRPr="00EC49F4">
        <w:rPr>
          <w:rFonts w:ascii="Tw Cen MT" w:hAnsi="Tw Cen MT"/>
          <w:i/>
          <w:sz w:val="24"/>
          <w:szCs w:val="24"/>
        </w:rPr>
        <w:t>Local Authority and Social Housing</w:t>
      </w:r>
      <w:r w:rsidR="00F93F85" w:rsidRPr="00EC49F4">
        <w:rPr>
          <w:rFonts w:ascii="Tw Cen MT" w:hAnsi="Tw Cen MT"/>
          <w:sz w:val="24"/>
          <w:szCs w:val="24"/>
        </w:rPr>
        <w:t xml:space="preserve"> and another 20% were concerned with </w:t>
      </w:r>
      <w:r w:rsidR="00F93F85" w:rsidRPr="00EC49F4">
        <w:rPr>
          <w:rFonts w:ascii="Tw Cen MT" w:hAnsi="Tw Cen MT"/>
          <w:i/>
          <w:sz w:val="24"/>
          <w:szCs w:val="24"/>
        </w:rPr>
        <w:t>Renting a Home</w:t>
      </w:r>
      <w:r w:rsidRPr="00EC49F4">
        <w:rPr>
          <w:rFonts w:ascii="Tw Cen MT" w:hAnsi="Tw Cen MT"/>
          <w:sz w:val="24"/>
          <w:szCs w:val="24"/>
        </w:rPr>
        <w:t>. Next to social welfare</w:t>
      </w:r>
      <w:r w:rsidR="00015DAD" w:rsidRPr="00EC49F4">
        <w:rPr>
          <w:rFonts w:ascii="Tw Cen MT" w:hAnsi="Tw Cen MT"/>
          <w:sz w:val="24"/>
          <w:szCs w:val="24"/>
        </w:rPr>
        <w:t xml:space="preserve"> issues and medical card eligibility</w:t>
      </w:r>
      <w:r w:rsidR="00844185" w:rsidRPr="00EC49F4">
        <w:rPr>
          <w:rFonts w:ascii="Tw Cen MT" w:hAnsi="Tw Cen MT"/>
          <w:sz w:val="24"/>
          <w:szCs w:val="24"/>
        </w:rPr>
        <w:t>,</w:t>
      </w:r>
      <w:r w:rsidRPr="00EC49F4">
        <w:rPr>
          <w:rFonts w:ascii="Tw Cen MT" w:hAnsi="Tw Cen MT"/>
          <w:sz w:val="24"/>
          <w:szCs w:val="24"/>
        </w:rPr>
        <w:t xml:space="preserve"> this makes </w:t>
      </w:r>
      <w:r w:rsidRPr="00EC49F4">
        <w:rPr>
          <w:rFonts w:ascii="Tw Cen MT" w:hAnsi="Tw Cen MT"/>
          <w:b/>
          <w:color w:val="1F497D" w:themeColor="text2"/>
          <w:sz w:val="24"/>
          <w:szCs w:val="24"/>
        </w:rPr>
        <w:t xml:space="preserve">housing </w:t>
      </w:r>
      <w:r w:rsidR="00D35D12" w:rsidRPr="00EC49F4">
        <w:rPr>
          <w:rFonts w:ascii="Tw Cen MT" w:hAnsi="Tw Cen MT"/>
          <w:b/>
          <w:color w:val="1F497D" w:themeColor="text2"/>
          <w:sz w:val="24"/>
          <w:szCs w:val="24"/>
        </w:rPr>
        <w:t xml:space="preserve">one of </w:t>
      </w:r>
      <w:r w:rsidRPr="00EC49F4">
        <w:rPr>
          <w:rFonts w:ascii="Tw Cen MT" w:hAnsi="Tw Cen MT"/>
          <w:b/>
          <w:color w:val="1F497D" w:themeColor="text2"/>
          <w:sz w:val="24"/>
          <w:szCs w:val="24"/>
        </w:rPr>
        <w:t>the top issue</w:t>
      </w:r>
      <w:r w:rsidR="00975292" w:rsidRPr="00EC49F4">
        <w:rPr>
          <w:rFonts w:ascii="Tw Cen MT" w:hAnsi="Tw Cen MT"/>
          <w:b/>
          <w:color w:val="1F497D" w:themeColor="text2"/>
          <w:sz w:val="24"/>
          <w:szCs w:val="24"/>
        </w:rPr>
        <w:t>s</w:t>
      </w:r>
      <w:r w:rsidRPr="00EC49F4">
        <w:rPr>
          <w:rFonts w:ascii="Tw Cen MT" w:hAnsi="Tw Cen MT"/>
          <w:b/>
          <w:color w:val="1F497D" w:themeColor="text2"/>
          <w:sz w:val="24"/>
          <w:szCs w:val="24"/>
        </w:rPr>
        <w:t xml:space="preserve"> </w:t>
      </w:r>
      <w:r w:rsidRPr="00EC49F4">
        <w:rPr>
          <w:rFonts w:ascii="Tw Cen MT" w:hAnsi="Tw Cen MT"/>
          <w:sz w:val="24"/>
          <w:szCs w:val="24"/>
        </w:rPr>
        <w:t>that people turn to citizens information services for help with. Housing is also reported as the key concern for MABS clients – many of whom are struggling to make mortgage payments or are seeking rental accommodation or social housing, with very limited options available to them. During the past ten years, the scale and pace of changes in the Irish housing landscape has been striking and has been acutely felt by a significant proportion of our clients who struggle to</w:t>
      </w:r>
      <w:r w:rsidR="00102041" w:rsidRPr="00EC49F4">
        <w:rPr>
          <w:rFonts w:ascii="Tw Cen MT" w:hAnsi="Tw Cen MT"/>
          <w:sz w:val="24"/>
          <w:szCs w:val="24"/>
        </w:rPr>
        <w:t xml:space="preserve"> meet rising housing costs </w:t>
      </w:r>
      <w:r w:rsidRPr="00EC49F4">
        <w:rPr>
          <w:rFonts w:ascii="Tw Cen MT" w:hAnsi="Tw Cen MT"/>
          <w:sz w:val="24"/>
          <w:szCs w:val="24"/>
        </w:rPr>
        <w:t xml:space="preserve">on limited means. </w:t>
      </w:r>
    </w:p>
    <w:p w:rsidR="00B44A3C" w:rsidRPr="00EC49F4" w:rsidRDefault="00DC3CFC" w:rsidP="00EC49F4">
      <w:pPr>
        <w:spacing w:line="360" w:lineRule="auto"/>
        <w:rPr>
          <w:rFonts w:ascii="Tw Cen MT" w:hAnsi="Tw Cen MT"/>
          <w:sz w:val="24"/>
          <w:szCs w:val="24"/>
        </w:rPr>
      </w:pPr>
      <w:r w:rsidRPr="00EC49F4">
        <w:rPr>
          <w:rFonts w:ascii="Tw Cen MT" w:hAnsi="Tw Cen MT"/>
          <w:sz w:val="24"/>
          <w:szCs w:val="24"/>
        </w:rPr>
        <w:t xml:space="preserve">The range of </w:t>
      </w:r>
      <w:r w:rsidR="00102041" w:rsidRPr="00EC49F4">
        <w:rPr>
          <w:rFonts w:ascii="Tw Cen MT" w:hAnsi="Tw Cen MT"/>
          <w:sz w:val="24"/>
          <w:szCs w:val="24"/>
        </w:rPr>
        <w:t>CIB</w:t>
      </w:r>
      <w:r w:rsidRPr="00EC49F4">
        <w:rPr>
          <w:rFonts w:ascii="Tw Cen MT" w:hAnsi="Tw Cen MT"/>
          <w:sz w:val="24"/>
          <w:szCs w:val="24"/>
        </w:rPr>
        <w:t>-</w:t>
      </w:r>
      <w:r w:rsidR="00102041" w:rsidRPr="00EC49F4">
        <w:rPr>
          <w:rFonts w:ascii="Tw Cen MT" w:hAnsi="Tw Cen MT"/>
          <w:sz w:val="24"/>
          <w:szCs w:val="24"/>
        </w:rPr>
        <w:t xml:space="preserve">supported </w:t>
      </w:r>
      <w:r w:rsidR="00B44A3C" w:rsidRPr="00EC49F4">
        <w:rPr>
          <w:rFonts w:ascii="Tw Cen MT" w:hAnsi="Tw Cen MT"/>
          <w:sz w:val="24"/>
          <w:szCs w:val="24"/>
        </w:rPr>
        <w:t>frontline delivery services continue to see the detrimental effects of a range of different housing-related problems on low-income families</w:t>
      </w:r>
      <w:r w:rsidR="00F93F85" w:rsidRPr="00EC49F4">
        <w:rPr>
          <w:rFonts w:ascii="Tw Cen MT" w:hAnsi="Tw Cen MT"/>
          <w:sz w:val="24"/>
          <w:szCs w:val="24"/>
        </w:rPr>
        <w:t xml:space="preserve"> and it would seem that a </w:t>
      </w:r>
      <w:r w:rsidR="00B44A3C" w:rsidRPr="00EC49F4">
        <w:rPr>
          <w:rFonts w:ascii="Tw Cen MT" w:hAnsi="Tw Cen MT"/>
          <w:sz w:val="24"/>
          <w:szCs w:val="24"/>
        </w:rPr>
        <w:t xml:space="preserve">good deal of the difficulties originate from </w:t>
      </w:r>
      <w:r w:rsidR="00B44A3C" w:rsidRPr="00EC49F4">
        <w:rPr>
          <w:rFonts w:ascii="Tw Cen MT" w:hAnsi="Tw Cen MT"/>
          <w:b/>
          <w:color w:val="1F497D" w:themeColor="text2"/>
          <w:sz w:val="24"/>
          <w:szCs w:val="24"/>
        </w:rPr>
        <w:t>low security, low stability, low quality and high-cost housing</w:t>
      </w:r>
      <w:r w:rsidR="00B44A3C" w:rsidRPr="00EC49F4">
        <w:rPr>
          <w:rFonts w:ascii="Tw Cen MT" w:hAnsi="Tw Cen MT"/>
          <w:sz w:val="24"/>
          <w:szCs w:val="24"/>
        </w:rPr>
        <w:t>. While information and money advice services offer support to clients with everything from poor quality housing to mortgage arrears</w:t>
      </w:r>
      <w:r w:rsidR="00A43F9A" w:rsidRPr="00EC49F4">
        <w:rPr>
          <w:rFonts w:ascii="Tw Cen MT" w:hAnsi="Tw Cen MT"/>
          <w:sz w:val="24"/>
          <w:szCs w:val="24"/>
        </w:rPr>
        <w:t xml:space="preserve"> and evictions</w:t>
      </w:r>
      <w:r w:rsidR="00B44A3C" w:rsidRPr="00EC49F4">
        <w:rPr>
          <w:rFonts w:ascii="Tw Cen MT" w:hAnsi="Tw Cen MT"/>
          <w:sz w:val="24"/>
          <w:szCs w:val="24"/>
        </w:rPr>
        <w:t>, there are particular concerns that come up time and again. These include:-</w:t>
      </w:r>
    </w:p>
    <w:p w:rsidR="00B44A3C" w:rsidRPr="00EC49F4" w:rsidRDefault="00B44A3C" w:rsidP="00EC49F4">
      <w:pPr>
        <w:pStyle w:val="ListParagraph"/>
        <w:numPr>
          <w:ilvl w:val="0"/>
          <w:numId w:val="3"/>
        </w:numPr>
        <w:spacing w:line="360" w:lineRule="auto"/>
        <w:rPr>
          <w:rFonts w:ascii="Tw Cen MT" w:hAnsi="Tw Cen MT"/>
          <w:sz w:val="24"/>
          <w:szCs w:val="24"/>
        </w:rPr>
      </w:pPr>
      <w:r w:rsidRPr="00EC49F4">
        <w:rPr>
          <w:rFonts w:ascii="Tw Cen MT" w:hAnsi="Tw Cen MT"/>
          <w:sz w:val="24"/>
          <w:szCs w:val="24"/>
        </w:rPr>
        <w:t xml:space="preserve">The </w:t>
      </w:r>
      <w:r w:rsidRPr="00EC49F4">
        <w:rPr>
          <w:rFonts w:ascii="Tw Cen MT" w:hAnsi="Tw Cen MT"/>
          <w:b/>
          <w:color w:val="1F497D" w:themeColor="text2"/>
          <w:sz w:val="24"/>
          <w:szCs w:val="24"/>
        </w:rPr>
        <w:t>supply, processing and allocation of social housing</w:t>
      </w:r>
      <w:r w:rsidRPr="00EC49F4">
        <w:rPr>
          <w:rFonts w:ascii="Tw Cen MT" w:hAnsi="Tw Cen MT"/>
          <w:sz w:val="24"/>
          <w:szCs w:val="24"/>
        </w:rPr>
        <w:t>. In addition to these broad</w:t>
      </w:r>
      <w:r w:rsidR="00122EF5" w:rsidRPr="00EC49F4">
        <w:rPr>
          <w:rFonts w:ascii="Tw Cen MT" w:hAnsi="Tw Cen MT"/>
          <w:sz w:val="24"/>
          <w:szCs w:val="24"/>
        </w:rPr>
        <w:t xml:space="preserve"> concerns</w:t>
      </w:r>
      <w:r w:rsidRPr="00EC49F4">
        <w:rPr>
          <w:rFonts w:ascii="Tw Cen MT" w:hAnsi="Tw Cen MT"/>
          <w:sz w:val="24"/>
          <w:szCs w:val="24"/>
        </w:rPr>
        <w:t xml:space="preserve">, services have pointed to </w:t>
      </w:r>
      <w:r w:rsidR="00BA026D" w:rsidRPr="00EC49F4">
        <w:rPr>
          <w:rFonts w:ascii="Tw Cen MT" w:hAnsi="Tw Cen MT"/>
          <w:sz w:val="24"/>
          <w:szCs w:val="24"/>
        </w:rPr>
        <w:t xml:space="preserve">issues with the </w:t>
      </w:r>
      <w:r w:rsidRPr="00EC49F4">
        <w:rPr>
          <w:rFonts w:ascii="Tw Cen MT" w:hAnsi="Tw Cen MT"/>
          <w:sz w:val="24"/>
          <w:szCs w:val="24"/>
        </w:rPr>
        <w:t xml:space="preserve">income eligibility </w:t>
      </w:r>
      <w:r w:rsidR="00BA026D" w:rsidRPr="00EC49F4">
        <w:rPr>
          <w:rFonts w:ascii="Tw Cen MT" w:hAnsi="Tw Cen MT"/>
          <w:sz w:val="24"/>
          <w:szCs w:val="24"/>
        </w:rPr>
        <w:t xml:space="preserve">assessment </w:t>
      </w:r>
      <w:r w:rsidRPr="00EC49F4">
        <w:rPr>
          <w:rFonts w:ascii="Tw Cen MT" w:hAnsi="Tw Cen MT"/>
          <w:sz w:val="24"/>
          <w:szCs w:val="24"/>
        </w:rPr>
        <w:t xml:space="preserve">for social housing, with some instances where families who receive in-work welfare supports (such as WFP or BTWFD) being pushed above the income limits. They also point to the inconsistency whereby WFP is included as assessable income for social housing assessment, but is disregarded for the differential rent scheme; </w:t>
      </w:r>
    </w:p>
    <w:p w:rsidR="00D357B3" w:rsidRPr="00EC49F4" w:rsidRDefault="00B44A3C" w:rsidP="00EC49F4">
      <w:pPr>
        <w:pStyle w:val="ListParagraph"/>
        <w:numPr>
          <w:ilvl w:val="0"/>
          <w:numId w:val="3"/>
        </w:numPr>
        <w:spacing w:line="360" w:lineRule="auto"/>
        <w:rPr>
          <w:rFonts w:ascii="Tw Cen MT" w:hAnsi="Tw Cen MT"/>
          <w:sz w:val="24"/>
          <w:szCs w:val="24"/>
        </w:rPr>
      </w:pPr>
      <w:r w:rsidRPr="00EC49F4">
        <w:rPr>
          <w:rFonts w:ascii="Tw Cen MT" w:hAnsi="Tw Cen MT"/>
          <w:sz w:val="24"/>
          <w:szCs w:val="24"/>
        </w:rPr>
        <w:t xml:space="preserve">The </w:t>
      </w:r>
      <w:r w:rsidR="00D35D12" w:rsidRPr="00EC49F4">
        <w:rPr>
          <w:rFonts w:ascii="Tw Cen MT" w:hAnsi="Tw Cen MT"/>
          <w:b/>
          <w:color w:val="1F497D" w:themeColor="text2"/>
          <w:sz w:val="24"/>
          <w:szCs w:val="24"/>
        </w:rPr>
        <w:t xml:space="preserve">lack of availability, </w:t>
      </w:r>
      <w:r w:rsidRPr="00EC49F4">
        <w:rPr>
          <w:rFonts w:ascii="Tw Cen MT" w:hAnsi="Tw Cen MT"/>
          <w:b/>
          <w:color w:val="1F497D" w:themeColor="text2"/>
          <w:sz w:val="24"/>
          <w:szCs w:val="24"/>
        </w:rPr>
        <w:t xml:space="preserve"> affordability</w:t>
      </w:r>
      <w:r w:rsidR="00D35D12" w:rsidRPr="00EC49F4">
        <w:rPr>
          <w:rFonts w:ascii="Tw Cen MT" w:hAnsi="Tw Cen MT"/>
          <w:b/>
          <w:color w:val="1F497D" w:themeColor="text2"/>
          <w:sz w:val="24"/>
          <w:szCs w:val="24"/>
        </w:rPr>
        <w:t xml:space="preserve"> and security of tenure </w:t>
      </w:r>
      <w:r w:rsidRPr="00EC49F4">
        <w:rPr>
          <w:rFonts w:ascii="Tw Cen MT" w:hAnsi="Tw Cen MT"/>
          <w:b/>
          <w:color w:val="1F497D" w:themeColor="text2"/>
          <w:sz w:val="24"/>
          <w:szCs w:val="24"/>
        </w:rPr>
        <w:t xml:space="preserve"> of private rented accommodation across the country</w:t>
      </w:r>
      <w:r w:rsidRPr="00EC49F4">
        <w:rPr>
          <w:rFonts w:ascii="Tw Cen MT" w:hAnsi="Tw Cen MT"/>
          <w:color w:val="1F497D" w:themeColor="text2"/>
          <w:sz w:val="24"/>
          <w:szCs w:val="24"/>
        </w:rPr>
        <w:t xml:space="preserve"> </w:t>
      </w:r>
      <w:r w:rsidRPr="00EC49F4">
        <w:rPr>
          <w:rFonts w:ascii="Tw Cen MT" w:hAnsi="Tw Cen MT"/>
          <w:sz w:val="24"/>
          <w:szCs w:val="24"/>
        </w:rPr>
        <w:t xml:space="preserve">– </w:t>
      </w:r>
      <w:r w:rsidR="00B04185" w:rsidRPr="00EC49F4">
        <w:rPr>
          <w:rFonts w:ascii="Tw Cen MT" w:hAnsi="Tw Cen MT"/>
          <w:sz w:val="24"/>
          <w:szCs w:val="24"/>
        </w:rPr>
        <w:t xml:space="preserve">with </w:t>
      </w:r>
      <w:r w:rsidRPr="00EC49F4">
        <w:rPr>
          <w:rFonts w:ascii="Tw Cen MT" w:hAnsi="Tw Cen MT"/>
          <w:sz w:val="24"/>
          <w:szCs w:val="24"/>
        </w:rPr>
        <w:t xml:space="preserve">the key issues reported by services </w:t>
      </w:r>
      <w:r w:rsidR="00B04185" w:rsidRPr="00EC49F4">
        <w:rPr>
          <w:rFonts w:ascii="Tw Cen MT" w:hAnsi="Tw Cen MT"/>
          <w:sz w:val="24"/>
          <w:szCs w:val="24"/>
        </w:rPr>
        <w:t>being</w:t>
      </w:r>
      <w:r w:rsidRPr="00EC49F4">
        <w:rPr>
          <w:rFonts w:ascii="Tw Cen MT" w:hAnsi="Tw Cen MT"/>
          <w:sz w:val="24"/>
          <w:szCs w:val="24"/>
        </w:rPr>
        <w:t xml:space="preserve"> rental costs, rental support limits and the lack of suitable accommodation within those limits</w:t>
      </w:r>
      <w:r w:rsidR="00B04185" w:rsidRPr="00EC49F4">
        <w:rPr>
          <w:rFonts w:ascii="Tw Cen MT" w:hAnsi="Tw Cen MT"/>
          <w:sz w:val="24"/>
          <w:szCs w:val="24"/>
        </w:rPr>
        <w:t xml:space="preserve">. In this </w:t>
      </w:r>
      <w:r w:rsidR="00B04185" w:rsidRPr="00EC49F4">
        <w:rPr>
          <w:rFonts w:ascii="Tw Cen MT" w:hAnsi="Tw Cen MT"/>
          <w:sz w:val="24"/>
          <w:szCs w:val="24"/>
        </w:rPr>
        <w:lastRenderedPageBreak/>
        <w:t xml:space="preserve">context, it would seem that the designation of Rent Pressure Zones in many areas is </w:t>
      </w:r>
      <w:r w:rsidR="00725872" w:rsidRPr="00EC49F4">
        <w:rPr>
          <w:rFonts w:ascii="Tw Cen MT" w:hAnsi="Tw Cen MT"/>
          <w:sz w:val="24"/>
          <w:szCs w:val="24"/>
        </w:rPr>
        <w:t>limited in its ability to moderate rent increases, with reports suggesting that the key difficulty is with the enforcement of these rent predictability measures</w:t>
      </w:r>
      <w:r w:rsidRPr="00EC49F4">
        <w:rPr>
          <w:rFonts w:ascii="Tw Cen MT" w:hAnsi="Tw Cen MT"/>
          <w:sz w:val="24"/>
          <w:szCs w:val="24"/>
        </w:rPr>
        <w:t>;</w:t>
      </w:r>
    </w:p>
    <w:p w:rsidR="00F27D27" w:rsidRPr="00EC49F4" w:rsidRDefault="00B44A3C" w:rsidP="00EC49F4">
      <w:pPr>
        <w:pStyle w:val="ListParagraph"/>
        <w:numPr>
          <w:ilvl w:val="0"/>
          <w:numId w:val="3"/>
        </w:numPr>
        <w:spacing w:line="360" w:lineRule="auto"/>
        <w:rPr>
          <w:rFonts w:ascii="Tw Cen MT" w:hAnsi="Tw Cen MT"/>
          <w:sz w:val="24"/>
          <w:szCs w:val="24"/>
        </w:rPr>
      </w:pPr>
      <w:r w:rsidRPr="00EC49F4">
        <w:rPr>
          <w:rFonts w:ascii="Tw Cen MT" w:hAnsi="Tw Cen MT"/>
          <w:sz w:val="24"/>
          <w:szCs w:val="24"/>
        </w:rPr>
        <w:t xml:space="preserve">The real </w:t>
      </w:r>
      <w:r w:rsidRPr="00EC49F4">
        <w:rPr>
          <w:rFonts w:ascii="Tw Cen MT" w:hAnsi="Tw Cen MT"/>
          <w:b/>
          <w:color w:val="1F497D" w:themeColor="text2"/>
          <w:sz w:val="24"/>
          <w:szCs w:val="24"/>
        </w:rPr>
        <w:t>threat of homelessness</w:t>
      </w:r>
      <w:r w:rsidRPr="00EC49F4">
        <w:rPr>
          <w:rFonts w:ascii="Tw Cen MT" w:hAnsi="Tw Cen MT"/>
          <w:color w:val="1F497D" w:themeColor="text2"/>
          <w:sz w:val="24"/>
          <w:szCs w:val="24"/>
        </w:rPr>
        <w:t xml:space="preserve"> </w:t>
      </w:r>
      <w:r w:rsidRPr="00EC49F4">
        <w:rPr>
          <w:rFonts w:ascii="Tw Cen MT" w:hAnsi="Tw Cen MT"/>
          <w:sz w:val="24"/>
          <w:szCs w:val="24"/>
        </w:rPr>
        <w:t xml:space="preserve">and the adequacy and responsiveness of homeless supports (with services referencing, in particular, youth homelessness and hidden homelessness). </w:t>
      </w:r>
    </w:p>
    <w:p w:rsidR="00B44A3C"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The Rebuilding Ireland Action Plan firmly locates the Housing Assistance Payment (HAP) scheme as “the Government’s long-term approach for assisting households living in the rental sector requiring support” and the countrywide roll-out of the scheme in 2017 generated a </w:t>
      </w:r>
      <w:r w:rsidRPr="00EC49F4">
        <w:rPr>
          <w:rFonts w:ascii="Tw Cen MT" w:hAnsi="Tw Cen MT"/>
          <w:b/>
          <w:color w:val="1F497D" w:themeColor="text2"/>
          <w:sz w:val="24"/>
          <w:szCs w:val="24"/>
        </w:rPr>
        <w:t>significant increase in HAP-related queries in CISs throughout the country</w:t>
      </w:r>
      <w:r w:rsidRPr="00EC49F4">
        <w:rPr>
          <w:rFonts w:ascii="Tw Cen MT" w:hAnsi="Tw Cen MT"/>
          <w:color w:val="1F497D" w:themeColor="text2"/>
          <w:sz w:val="24"/>
          <w:szCs w:val="24"/>
        </w:rPr>
        <w:t xml:space="preserve"> </w:t>
      </w:r>
      <w:r w:rsidRPr="00EC49F4">
        <w:rPr>
          <w:rFonts w:ascii="Tw Cen MT" w:hAnsi="Tw Cen MT"/>
          <w:sz w:val="24"/>
          <w:szCs w:val="24"/>
        </w:rPr>
        <w:t xml:space="preserve">over the past 18 months. As claimants can take up full-time employment without losing their payment, the reported incidences of </w:t>
      </w:r>
      <w:r w:rsidR="00596963" w:rsidRPr="00EC49F4">
        <w:rPr>
          <w:rFonts w:ascii="Tw Cen MT" w:hAnsi="Tw Cen MT"/>
          <w:sz w:val="24"/>
          <w:szCs w:val="24"/>
        </w:rPr>
        <w:t xml:space="preserve">the </w:t>
      </w:r>
      <w:r w:rsidRPr="00EC49F4">
        <w:rPr>
          <w:rFonts w:ascii="Tw Cen MT" w:hAnsi="Tw Cen MT"/>
          <w:sz w:val="24"/>
          <w:szCs w:val="24"/>
        </w:rPr>
        <w:t>employment disincentive</w:t>
      </w:r>
      <w:r w:rsidR="00596963" w:rsidRPr="00EC49F4">
        <w:rPr>
          <w:rFonts w:ascii="Tw Cen MT" w:hAnsi="Tw Cen MT"/>
          <w:sz w:val="24"/>
          <w:szCs w:val="24"/>
        </w:rPr>
        <w:t xml:space="preserve"> effect</w:t>
      </w:r>
      <w:r w:rsidRPr="00EC49F4">
        <w:rPr>
          <w:rFonts w:ascii="Tw Cen MT" w:hAnsi="Tw Cen MT"/>
          <w:sz w:val="24"/>
          <w:szCs w:val="24"/>
        </w:rPr>
        <w:t xml:space="preserve"> (which had been associated with Rent Supplement) have decreased significantly. But the issues that are presenting for clients seeking HAP assistance remain significant and have been widely reported by information services during 2017 (with over 18,000 HAP-related queries </w:t>
      </w:r>
      <w:r w:rsidR="00A43F9A" w:rsidRPr="00EC49F4">
        <w:rPr>
          <w:rFonts w:ascii="Tw Cen MT" w:hAnsi="Tw Cen MT"/>
          <w:sz w:val="24"/>
          <w:szCs w:val="24"/>
        </w:rPr>
        <w:t>to</w:t>
      </w:r>
      <w:r w:rsidRPr="00EC49F4">
        <w:rPr>
          <w:rFonts w:ascii="Tw Cen MT" w:hAnsi="Tw Cen MT"/>
          <w:sz w:val="24"/>
          <w:szCs w:val="24"/>
        </w:rPr>
        <w:t xml:space="preserve"> CISs). Many of these difficulties are also reflected in the CIB </w:t>
      </w:r>
      <w:r w:rsidR="00102041" w:rsidRPr="00EC49F4">
        <w:rPr>
          <w:rFonts w:ascii="Tw Cen MT" w:hAnsi="Tw Cen MT"/>
          <w:sz w:val="24"/>
          <w:szCs w:val="24"/>
        </w:rPr>
        <w:t xml:space="preserve">social policy </w:t>
      </w:r>
      <w:r w:rsidRPr="00EC49F4">
        <w:rPr>
          <w:rFonts w:ascii="Tw Cen MT" w:hAnsi="Tw Cen MT"/>
          <w:sz w:val="24"/>
          <w:szCs w:val="24"/>
        </w:rPr>
        <w:t xml:space="preserve">report </w:t>
      </w:r>
      <w:r w:rsidRPr="00EC49F4">
        <w:rPr>
          <w:rFonts w:ascii="Tw Cen MT" w:hAnsi="Tw Cen MT"/>
          <w:i/>
          <w:sz w:val="24"/>
          <w:szCs w:val="24"/>
        </w:rPr>
        <w:t>Housing Assistance Payment; The Experience of Citizens Information Services.</w:t>
      </w:r>
      <w:r w:rsidR="00596963" w:rsidRPr="00EC49F4">
        <w:rPr>
          <w:rStyle w:val="FootnoteReference"/>
          <w:rFonts w:ascii="Tw Cen MT" w:hAnsi="Tw Cen MT"/>
          <w:sz w:val="24"/>
          <w:szCs w:val="24"/>
        </w:rPr>
        <w:footnoteReference w:id="8"/>
      </w:r>
      <w:r w:rsidRPr="00EC49F4">
        <w:rPr>
          <w:rFonts w:ascii="Tw Cen MT" w:hAnsi="Tw Cen MT"/>
          <w:sz w:val="24"/>
          <w:szCs w:val="24"/>
        </w:rPr>
        <w:t xml:space="preserve"> </w:t>
      </w:r>
    </w:p>
    <w:p w:rsidR="00B44A3C" w:rsidRPr="00EC49F4" w:rsidRDefault="00B44A3C" w:rsidP="00EC49F4">
      <w:pPr>
        <w:spacing w:line="360" w:lineRule="auto"/>
        <w:rPr>
          <w:rFonts w:ascii="Tw Cen MT" w:hAnsi="Tw Cen MT"/>
          <w:sz w:val="24"/>
          <w:szCs w:val="24"/>
        </w:rPr>
      </w:pPr>
      <w:r w:rsidRPr="00EC49F4">
        <w:rPr>
          <w:rFonts w:ascii="Tw Cen MT" w:hAnsi="Tw Cen MT"/>
          <w:sz w:val="24"/>
          <w:szCs w:val="24"/>
        </w:rPr>
        <w:t xml:space="preserve">The key issues that are reported for clients in relation to the HAP scheme relate to the nature of the private rental market and also their interactions with local authorities in the application and assessment process. Specifically, the issues highlighted include: </w:t>
      </w:r>
    </w:p>
    <w:p w:rsidR="00B44A3C" w:rsidRPr="00EC49F4" w:rsidRDefault="00B44A3C" w:rsidP="00EC49F4">
      <w:pPr>
        <w:pStyle w:val="ListParagraph"/>
        <w:numPr>
          <w:ilvl w:val="0"/>
          <w:numId w:val="4"/>
        </w:numPr>
        <w:spacing w:line="360" w:lineRule="auto"/>
        <w:rPr>
          <w:rFonts w:ascii="Tw Cen MT" w:hAnsi="Tw Cen MT"/>
          <w:sz w:val="24"/>
          <w:szCs w:val="24"/>
        </w:rPr>
      </w:pPr>
      <w:r w:rsidRPr="00EC49F4">
        <w:rPr>
          <w:rFonts w:ascii="Tw Cen MT" w:hAnsi="Tw Cen MT"/>
          <w:sz w:val="24"/>
          <w:szCs w:val="24"/>
        </w:rPr>
        <w:t>The limited stock of affordable, private rented accommodation for HAP tenants (</w:t>
      </w:r>
      <w:r w:rsidR="00D35D12" w:rsidRPr="00EC49F4">
        <w:rPr>
          <w:rFonts w:ascii="Tw Cen MT" w:hAnsi="Tw Cen MT"/>
          <w:sz w:val="24"/>
          <w:szCs w:val="24"/>
        </w:rPr>
        <w:t xml:space="preserve">notwithstanding </w:t>
      </w:r>
      <w:r w:rsidRPr="00EC49F4">
        <w:rPr>
          <w:rFonts w:ascii="Tw Cen MT" w:hAnsi="Tw Cen MT"/>
          <w:sz w:val="24"/>
          <w:szCs w:val="24"/>
        </w:rPr>
        <w:t>the additional 20% flexibility provided for above RS maximum rent limits and compounded by ever-increasing rents);</w:t>
      </w:r>
    </w:p>
    <w:p w:rsidR="00B44A3C" w:rsidRPr="00EC49F4" w:rsidRDefault="00BA026D" w:rsidP="00EC49F4">
      <w:pPr>
        <w:pStyle w:val="ListParagraph"/>
        <w:numPr>
          <w:ilvl w:val="0"/>
          <w:numId w:val="4"/>
        </w:numPr>
        <w:spacing w:line="360" w:lineRule="auto"/>
        <w:rPr>
          <w:rFonts w:ascii="Tw Cen MT" w:hAnsi="Tw Cen MT"/>
          <w:sz w:val="24"/>
          <w:szCs w:val="24"/>
        </w:rPr>
      </w:pPr>
      <w:r w:rsidRPr="00EC49F4">
        <w:rPr>
          <w:rFonts w:ascii="Tw Cen MT" w:hAnsi="Tw Cen MT"/>
          <w:sz w:val="24"/>
          <w:szCs w:val="24"/>
        </w:rPr>
        <w:t xml:space="preserve">Standards of </w:t>
      </w:r>
      <w:r w:rsidR="00B44A3C" w:rsidRPr="00EC49F4">
        <w:rPr>
          <w:rFonts w:ascii="Tw Cen MT" w:hAnsi="Tw Cen MT"/>
          <w:sz w:val="24"/>
          <w:szCs w:val="24"/>
        </w:rPr>
        <w:t>accommodation and repairs and the ability (and capacity) of local authorities to monitor and enforce standards;</w:t>
      </w:r>
    </w:p>
    <w:p w:rsidR="00B44A3C" w:rsidRPr="00EC49F4" w:rsidRDefault="00B44A3C" w:rsidP="00EC49F4">
      <w:pPr>
        <w:pStyle w:val="ListParagraph"/>
        <w:numPr>
          <w:ilvl w:val="0"/>
          <w:numId w:val="4"/>
        </w:numPr>
        <w:spacing w:line="360" w:lineRule="auto"/>
        <w:rPr>
          <w:rFonts w:ascii="Tw Cen MT" w:hAnsi="Tw Cen MT"/>
          <w:sz w:val="24"/>
          <w:szCs w:val="24"/>
        </w:rPr>
      </w:pPr>
      <w:r w:rsidRPr="00EC49F4">
        <w:rPr>
          <w:rFonts w:ascii="Tw Cen MT" w:hAnsi="Tw Cen MT"/>
          <w:sz w:val="24"/>
          <w:szCs w:val="24"/>
        </w:rPr>
        <w:t>Lack of clarity for clients who are unsure of the effect of taking up a HAP tenancy with regard to their place on the social housing waiting list;</w:t>
      </w:r>
    </w:p>
    <w:p w:rsidR="00B44A3C" w:rsidRPr="00EC49F4" w:rsidRDefault="00B44A3C" w:rsidP="00EC49F4">
      <w:pPr>
        <w:pStyle w:val="ListParagraph"/>
        <w:numPr>
          <w:ilvl w:val="0"/>
          <w:numId w:val="4"/>
        </w:numPr>
        <w:spacing w:line="360" w:lineRule="auto"/>
        <w:rPr>
          <w:rFonts w:ascii="Tw Cen MT" w:hAnsi="Tw Cen MT"/>
          <w:sz w:val="24"/>
          <w:szCs w:val="24"/>
        </w:rPr>
      </w:pPr>
      <w:r w:rsidRPr="00EC49F4">
        <w:rPr>
          <w:rFonts w:ascii="Tw Cen MT" w:hAnsi="Tw Cen MT"/>
          <w:sz w:val="24"/>
          <w:szCs w:val="24"/>
        </w:rPr>
        <w:t>The reluctance of some landlords to participate in the HAP scheme;</w:t>
      </w:r>
    </w:p>
    <w:p w:rsidR="00B44A3C" w:rsidRPr="00EC49F4" w:rsidRDefault="00B44A3C" w:rsidP="00EC49F4">
      <w:pPr>
        <w:pStyle w:val="ListParagraph"/>
        <w:numPr>
          <w:ilvl w:val="0"/>
          <w:numId w:val="4"/>
        </w:numPr>
        <w:spacing w:line="360" w:lineRule="auto"/>
        <w:rPr>
          <w:rFonts w:ascii="Tw Cen MT" w:hAnsi="Tw Cen MT"/>
          <w:sz w:val="24"/>
          <w:szCs w:val="24"/>
        </w:rPr>
      </w:pPr>
      <w:r w:rsidRPr="00EC49F4">
        <w:rPr>
          <w:rFonts w:ascii="Tw Cen MT" w:hAnsi="Tw Cen MT"/>
          <w:sz w:val="24"/>
          <w:szCs w:val="24"/>
        </w:rPr>
        <w:t>Confusion and uncertainty for tenants with the issue of landlords requiring top-up payments;</w:t>
      </w:r>
    </w:p>
    <w:p w:rsidR="00B44A3C" w:rsidRPr="00EC49F4" w:rsidRDefault="00B44A3C" w:rsidP="00EC49F4">
      <w:pPr>
        <w:pStyle w:val="ListParagraph"/>
        <w:numPr>
          <w:ilvl w:val="0"/>
          <w:numId w:val="4"/>
        </w:numPr>
        <w:spacing w:line="360" w:lineRule="auto"/>
        <w:rPr>
          <w:rFonts w:ascii="Tw Cen MT" w:hAnsi="Tw Cen MT"/>
          <w:sz w:val="24"/>
          <w:szCs w:val="24"/>
        </w:rPr>
      </w:pPr>
      <w:r w:rsidRPr="00EC49F4">
        <w:rPr>
          <w:rFonts w:ascii="Tw Cen MT" w:hAnsi="Tw Cen MT"/>
          <w:sz w:val="24"/>
          <w:szCs w:val="24"/>
        </w:rPr>
        <w:t>Difficulties for people in accessing HAP information and forms from local authorities, due in the main, to the limited resources allocated to the administration of the scheme;</w:t>
      </w:r>
    </w:p>
    <w:p w:rsidR="00B44A3C" w:rsidRPr="00EC49F4" w:rsidRDefault="00B44A3C" w:rsidP="00EC49F4">
      <w:pPr>
        <w:pStyle w:val="ListParagraph"/>
        <w:numPr>
          <w:ilvl w:val="0"/>
          <w:numId w:val="4"/>
        </w:numPr>
        <w:spacing w:line="360" w:lineRule="auto"/>
        <w:rPr>
          <w:rFonts w:ascii="Tw Cen MT" w:hAnsi="Tw Cen MT"/>
          <w:sz w:val="24"/>
          <w:szCs w:val="24"/>
        </w:rPr>
      </w:pPr>
      <w:r w:rsidRPr="00EC49F4">
        <w:rPr>
          <w:rFonts w:ascii="Tw Cen MT" w:hAnsi="Tw Cen MT"/>
          <w:sz w:val="24"/>
          <w:szCs w:val="24"/>
        </w:rPr>
        <w:t>The lengthy processing period in many areas (up to</w:t>
      </w:r>
      <w:r w:rsidR="00BA026D" w:rsidRPr="00EC49F4">
        <w:rPr>
          <w:rFonts w:ascii="Tw Cen MT" w:hAnsi="Tw Cen MT"/>
          <w:sz w:val="24"/>
          <w:szCs w:val="24"/>
        </w:rPr>
        <w:t xml:space="preserve"> </w:t>
      </w:r>
      <w:r w:rsidRPr="00EC49F4">
        <w:rPr>
          <w:rFonts w:ascii="Tw Cen MT" w:hAnsi="Tw Cen MT"/>
          <w:sz w:val="24"/>
          <w:szCs w:val="24"/>
        </w:rPr>
        <w:t>12-14 weeks cited regularly in reports) and the associated difficulties that these delays cause for applicants who are trying to secure a HAP rental property;</w:t>
      </w:r>
    </w:p>
    <w:p w:rsidR="00B44A3C" w:rsidRDefault="00B44A3C" w:rsidP="00EC49F4">
      <w:pPr>
        <w:pStyle w:val="ListParagraph"/>
        <w:numPr>
          <w:ilvl w:val="0"/>
          <w:numId w:val="4"/>
        </w:numPr>
        <w:spacing w:line="360" w:lineRule="auto"/>
        <w:rPr>
          <w:rFonts w:ascii="Tw Cen MT" w:hAnsi="Tw Cen MT"/>
          <w:sz w:val="24"/>
          <w:szCs w:val="24"/>
        </w:rPr>
      </w:pPr>
      <w:r w:rsidRPr="00EC49F4">
        <w:rPr>
          <w:rFonts w:ascii="Tw Cen MT" w:hAnsi="Tw Cen MT"/>
          <w:sz w:val="24"/>
          <w:szCs w:val="24"/>
        </w:rPr>
        <w:lastRenderedPageBreak/>
        <w:t xml:space="preserve">Difficulties for particular </w:t>
      </w:r>
      <w:r w:rsidR="00A43F9A" w:rsidRPr="00EC49F4">
        <w:rPr>
          <w:rFonts w:ascii="Tw Cen MT" w:hAnsi="Tw Cen MT"/>
          <w:sz w:val="24"/>
          <w:szCs w:val="24"/>
        </w:rPr>
        <w:t xml:space="preserve">vulnerable </w:t>
      </w:r>
      <w:r w:rsidRPr="00EC49F4">
        <w:rPr>
          <w:rFonts w:ascii="Tw Cen MT" w:hAnsi="Tw Cen MT"/>
          <w:sz w:val="24"/>
          <w:szCs w:val="24"/>
        </w:rPr>
        <w:t>clients who require significant levels of support in making HAP applications.</w:t>
      </w:r>
    </w:p>
    <w:p w:rsidR="00C5007F" w:rsidRPr="00AB5B37" w:rsidRDefault="00C5007F" w:rsidP="00EC49F4">
      <w:pPr>
        <w:pStyle w:val="Heading3"/>
        <w:spacing w:line="360" w:lineRule="auto"/>
        <w:rPr>
          <w:rFonts w:ascii="Tw Cen MT" w:hAnsi="Tw Cen MT"/>
          <w:sz w:val="28"/>
          <w:szCs w:val="28"/>
        </w:rPr>
      </w:pPr>
      <w:r w:rsidRPr="00AB5B37">
        <w:rPr>
          <w:rFonts w:ascii="Tw Cen MT" w:hAnsi="Tw Cen MT"/>
          <w:sz w:val="28"/>
          <w:szCs w:val="28"/>
        </w:rPr>
        <w:t>Recommendations – Housing</w:t>
      </w:r>
      <w:r w:rsidR="00A56E11">
        <w:rPr>
          <w:rFonts w:ascii="Tw Cen MT" w:hAnsi="Tw Cen MT"/>
          <w:sz w:val="28"/>
          <w:szCs w:val="28"/>
        </w:rPr>
        <w:t>:</w:t>
      </w:r>
    </w:p>
    <w:p w:rsidR="00B44A3C" w:rsidRPr="00EC49F4" w:rsidRDefault="00B44A3C" w:rsidP="00EC49F4">
      <w:pPr>
        <w:shd w:val="clear" w:color="auto" w:fill="DBE5F1" w:themeFill="accent1" w:themeFillTint="33"/>
        <w:spacing w:line="360" w:lineRule="auto"/>
        <w:rPr>
          <w:rFonts w:ascii="Tw Cen MT" w:hAnsi="Tw Cen MT"/>
          <w:b/>
          <w:color w:val="1F497D" w:themeColor="text2"/>
          <w:sz w:val="24"/>
          <w:szCs w:val="24"/>
        </w:rPr>
      </w:pPr>
      <w:r w:rsidRPr="00EC49F4">
        <w:rPr>
          <w:rFonts w:ascii="Tw Cen MT" w:hAnsi="Tw Cen MT"/>
          <w:sz w:val="24"/>
          <w:szCs w:val="24"/>
        </w:rPr>
        <w:t xml:space="preserve">Based on the evidence provided by our delivery services with regard to the provision of housing and housing supports, CIB recommends the following: </w:t>
      </w:r>
    </w:p>
    <w:p w:rsidR="00DC3CFC" w:rsidRPr="00EC49F4" w:rsidRDefault="00B44A3C" w:rsidP="00EC49F4">
      <w:pPr>
        <w:pStyle w:val="ListParagraph"/>
        <w:numPr>
          <w:ilvl w:val="0"/>
          <w:numId w:val="10"/>
        </w:numPr>
        <w:shd w:val="clear" w:color="auto" w:fill="DBE5F1" w:themeFill="accent1" w:themeFillTint="33"/>
        <w:spacing w:line="360" w:lineRule="auto"/>
        <w:ind w:left="360"/>
        <w:rPr>
          <w:rFonts w:ascii="Tw Cen MT" w:hAnsi="Tw Cen MT"/>
          <w:sz w:val="24"/>
          <w:szCs w:val="24"/>
        </w:rPr>
      </w:pPr>
      <w:r w:rsidRPr="00EC49F4">
        <w:rPr>
          <w:rFonts w:ascii="Tw Cen MT" w:hAnsi="Tw Cen MT"/>
          <w:sz w:val="24"/>
          <w:szCs w:val="24"/>
        </w:rPr>
        <w:t>Remove short-term activation incentives from income assessed under the Social Housing Assessment Regulations;</w:t>
      </w:r>
    </w:p>
    <w:p w:rsidR="00DC3CFC" w:rsidRPr="00EC49F4" w:rsidRDefault="00635AC8" w:rsidP="00EC49F4">
      <w:pPr>
        <w:pStyle w:val="ListParagraph"/>
        <w:numPr>
          <w:ilvl w:val="0"/>
          <w:numId w:val="10"/>
        </w:numPr>
        <w:shd w:val="clear" w:color="auto" w:fill="DBE5F1" w:themeFill="accent1" w:themeFillTint="33"/>
        <w:spacing w:line="360" w:lineRule="auto"/>
        <w:ind w:left="360"/>
        <w:rPr>
          <w:rFonts w:ascii="Tw Cen MT" w:hAnsi="Tw Cen MT"/>
          <w:sz w:val="24"/>
          <w:szCs w:val="24"/>
        </w:rPr>
      </w:pPr>
      <w:r>
        <w:rPr>
          <w:rFonts w:ascii="Tw Cen MT" w:hAnsi="Tw Cen MT"/>
          <w:sz w:val="24"/>
          <w:szCs w:val="24"/>
        </w:rPr>
        <w:t xml:space="preserve">Expand </w:t>
      </w:r>
      <w:r w:rsidR="00B04185" w:rsidRPr="00EC49F4">
        <w:rPr>
          <w:rFonts w:ascii="Tw Cen MT" w:hAnsi="Tw Cen MT"/>
          <w:sz w:val="24"/>
          <w:szCs w:val="24"/>
        </w:rPr>
        <w:t>the Homeless HAP Place Finder Service</w:t>
      </w:r>
      <w:r w:rsidR="00F45F63" w:rsidRPr="00EC49F4">
        <w:rPr>
          <w:rFonts w:ascii="Tw Cen MT" w:hAnsi="Tw Cen MT"/>
          <w:sz w:val="24"/>
          <w:szCs w:val="24"/>
        </w:rPr>
        <w:t xml:space="preserve"> to support other vulnerable households to find suitable accommodation in the private rental sector</w:t>
      </w:r>
      <w:r w:rsidR="00DC3CFC" w:rsidRPr="00EC49F4">
        <w:rPr>
          <w:rFonts w:ascii="Tw Cen MT" w:hAnsi="Tw Cen MT"/>
          <w:sz w:val="24"/>
          <w:szCs w:val="24"/>
        </w:rPr>
        <w:t>;</w:t>
      </w:r>
    </w:p>
    <w:p w:rsidR="00DC3CFC" w:rsidRPr="00EC49F4" w:rsidRDefault="00B44A3C" w:rsidP="00EC49F4">
      <w:pPr>
        <w:pStyle w:val="ListParagraph"/>
        <w:numPr>
          <w:ilvl w:val="0"/>
          <w:numId w:val="10"/>
        </w:numPr>
        <w:shd w:val="clear" w:color="auto" w:fill="DBE5F1" w:themeFill="accent1" w:themeFillTint="33"/>
        <w:spacing w:line="360" w:lineRule="auto"/>
        <w:ind w:left="360"/>
        <w:rPr>
          <w:rFonts w:ascii="Tw Cen MT" w:hAnsi="Tw Cen MT"/>
          <w:sz w:val="24"/>
          <w:szCs w:val="24"/>
        </w:rPr>
      </w:pPr>
      <w:r w:rsidRPr="00EC49F4">
        <w:rPr>
          <w:rFonts w:ascii="Tw Cen MT" w:hAnsi="Tw Cen MT"/>
          <w:sz w:val="24"/>
          <w:szCs w:val="24"/>
        </w:rPr>
        <w:t xml:space="preserve">Introduce </w:t>
      </w:r>
      <w:r w:rsidR="00596963" w:rsidRPr="00EC49F4">
        <w:rPr>
          <w:rFonts w:ascii="Tw Cen MT" w:hAnsi="Tw Cen MT"/>
          <w:sz w:val="24"/>
          <w:szCs w:val="24"/>
        </w:rPr>
        <w:t xml:space="preserve">additional </w:t>
      </w:r>
      <w:r w:rsidRPr="00EC49F4">
        <w:rPr>
          <w:rFonts w:ascii="Tw Cen MT" w:hAnsi="Tw Cen MT"/>
          <w:sz w:val="24"/>
          <w:szCs w:val="24"/>
        </w:rPr>
        <w:t>rent regulation measures (such as linking rent</w:t>
      </w:r>
      <w:r w:rsidR="00DC3CFC" w:rsidRPr="00EC49F4">
        <w:rPr>
          <w:rFonts w:ascii="Tw Cen MT" w:hAnsi="Tw Cen MT"/>
          <w:sz w:val="24"/>
          <w:szCs w:val="24"/>
        </w:rPr>
        <w:t>s to the Consumer Price Index), and a</w:t>
      </w:r>
      <w:r w:rsidRPr="00EC49F4">
        <w:rPr>
          <w:rFonts w:ascii="Tw Cen MT" w:hAnsi="Tw Cen MT"/>
          <w:sz w:val="24"/>
          <w:szCs w:val="24"/>
        </w:rPr>
        <w:t>llow for the continued use of discretion with maximum rent limits in certain cases</w:t>
      </w:r>
      <w:r w:rsidR="00DC3CFC" w:rsidRPr="00EC49F4">
        <w:rPr>
          <w:rFonts w:ascii="Tw Cen MT" w:hAnsi="Tw Cen MT"/>
          <w:sz w:val="24"/>
          <w:szCs w:val="24"/>
        </w:rPr>
        <w:t>;</w:t>
      </w:r>
    </w:p>
    <w:p w:rsidR="00B44A3C" w:rsidRPr="00EC49F4" w:rsidRDefault="00B44A3C" w:rsidP="00EC49F4">
      <w:pPr>
        <w:pStyle w:val="ListParagraph"/>
        <w:numPr>
          <w:ilvl w:val="0"/>
          <w:numId w:val="10"/>
        </w:numPr>
        <w:shd w:val="clear" w:color="auto" w:fill="DBE5F1" w:themeFill="accent1" w:themeFillTint="33"/>
        <w:spacing w:line="360" w:lineRule="auto"/>
        <w:ind w:left="360"/>
        <w:rPr>
          <w:rFonts w:ascii="Tw Cen MT" w:hAnsi="Tw Cen MT"/>
          <w:sz w:val="24"/>
          <w:szCs w:val="24"/>
        </w:rPr>
      </w:pPr>
      <w:r w:rsidRPr="00EC49F4">
        <w:rPr>
          <w:rFonts w:ascii="Tw Cen MT" w:hAnsi="Tw Cen MT"/>
          <w:sz w:val="24"/>
          <w:szCs w:val="24"/>
        </w:rPr>
        <w:t>Provide clear communication and information on the HAP scheme directly to applicants and potential applicants in order to ensure that HAP tenants are fully aware of the specific conditions imposed by HAP;</w:t>
      </w:r>
    </w:p>
    <w:p w:rsidR="00B44A3C" w:rsidRPr="00EC49F4" w:rsidRDefault="00B44A3C" w:rsidP="00EC49F4">
      <w:pPr>
        <w:pStyle w:val="ListParagraph"/>
        <w:numPr>
          <w:ilvl w:val="0"/>
          <w:numId w:val="5"/>
        </w:numPr>
        <w:shd w:val="clear" w:color="auto" w:fill="DBE5F1" w:themeFill="accent1" w:themeFillTint="33"/>
        <w:spacing w:line="360" w:lineRule="auto"/>
        <w:ind w:left="360"/>
        <w:rPr>
          <w:rFonts w:ascii="Tw Cen MT" w:hAnsi="Tw Cen MT"/>
          <w:sz w:val="24"/>
          <w:szCs w:val="24"/>
        </w:rPr>
      </w:pPr>
      <w:r w:rsidRPr="00EC49F4">
        <w:rPr>
          <w:rFonts w:ascii="Tw Cen MT" w:hAnsi="Tw Cen MT"/>
          <w:sz w:val="24"/>
          <w:szCs w:val="24"/>
        </w:rPr>
        <w:t>Further incentivi</w:t>
      </w:r>
      <w:r w:rsidR="00F45F63" w:rsidRPr="00EC49F4">
        <w:rPr>
          <w:rFonts w:ascii="Tw Cen MT" w:hAnsi="Tw Cen MT"/>
          <w:sz w:val="24"/>
          <w:szCs w:val="24"/>
        </w:rPr>
        <w:t>s</w:t>
      </w:r>
      <w:r w:rsidRPr="00EC49F4">
        <w:rPr>
          <w:rFonts w:ascii="Tw Cen MT" w:hAnsi="Tw Cen MT"/>
          <w:sz w:val="24"/>
          <w:szCs w:val="24"/>
        </w:rPr>
        <w:t>e landlords to let their properties through schemes such as HAP and publicise the potential benefits of HAP for landlords;</w:t>
      </w:r>
    </w:p>
    <w:p w:rsidR="009F7A7E" w:rsidRPr="00EC49F4" w:rsidRDefault="00B44A3C" w:rsidP="00EC49F4">
      <w:pPr>
        <w:pStyle w:val="ListParagraph"/>
        <w:numPr>
          <w:ilvl w:val="0"/>
          <w:numId w:val="5"/>
        </w:numPr>
        <w:shd w:val="clear" w:color="auto" w:fill="DBE5F1" w:themeFill="accent1" w:themeFillTint="33"/>
        <w:spacing w:line="360" w:lineRule="auto"/>
        <w:ind w:left="360"/>
        <w:rPr>
          <w:rFonts w:ascii="Tw Cen MT" w:hAnsi="Tw Cen MT"/>
          <w:sz w:val="24"/>
          <w:szCs w:val="24"/>
        </w:rPr>
      </w:pPr>
      <w:r w:rsidRPr="00EC49F4">
        <w:rPr>
          <w:rFonts w:ascii="Tw Cen MT" w:hAnsi="Tw Cen MT"/>
          <w:sz w:val="24"/>
          <w:szCs w:val="24"/>
        </w:rPr>
        <w:t>Provide adequate resources to local authorities for the administration of the HAP scheme and also for the monitoring and enforcement of minimum standards in relation to HAP properties.</w:t>
      </w:r>
    </w:p>
    <w:p w:rsidR="00FA2B28" w:rsidRDefault="00FA2B28" w:rsidP="00EC49F4">
      <w:pPr>
        <w:pStyle w:val="Heading2"/>
        <w:spacing w:line="360" w:lineRule="auto"/>
        <w:rPr>
          <w:rFonts w:ascii="Tw Cen MT" w:hAnsi="Tw Cen MT"/>
        </w:rPr>
      </w:pPr>
    </w:p>
    <w:p w:rsidR="00B44A3C" w:rsidRPr="00EC49F4" w:rsidRDefault="00B44A3C" w:rsidP="00EC49F4">
      <w:pPr>
        <w:pStyle w:val="Heading2"/>
        <w:spacing w:line="360" w:lineRule="auto"/>
        <w:rPr>
          <w:rFonts w:ascii="Tw Cen MT" w:hAnsi="Tw Cen MT"/>
        </w:rPr>
      </w:pPr>
      <w:r w:rsidRPr="00EC49F4">
        <w:rPr>
          <w:rFonts w:ascii="Tw Cen MT" w:hAnsi="Tw Cen MT"/>
        </w:rPr>
        <w:t xml:space="preserve">Debt and </w:t>
      </w:r>
      <w:r w:rsidR="00B62370" w:rsidRPr="00EC49F4">
        <w:rPr>
          <w:rFonts w:ascii="Tw Cen MT" w:hAnsi="Tw Cen MT"/>
        </w:rPr>
        <w:t>financial issues impacting on MABS clients</w:t>
      </w:r>
    </w:p>
    <w:p w:rsidR="00712D68" w:rsidRPr="00EC49F4" w:rsidRDefault="00712D68" w:rsidP="00EC49F4">
      <w:pPr>
        <w:spacing w:line="360" w:lineRule="auto"/>
        <w:rPr>
          <w:rFonts w:ascii="Tw Cen MT" w:hAnsi="Tw Cen MT"/>
          <w:sz w:val="24"/>
          <w:szCs w:val="24"/>
        </w:rPr>
      </w:pPr>
      <w:r w:rsidRPr="00EC49F4">
        <w:rPr>
          <w:rFonts w:ascii="Tw Cen MT" w:hAnsi="Tw Cen MT"/>
          <w:sz w:val="24"/>
          <w:szCs w:val="24"/>
        </w:rPr>
        <w:t xml:space="preserve">In 2017, there were </w:t>
      </w:r>
      <w:r w:rsidR="000B1584" w:rsidRPr="00EC49F4">
        <w:rPr>
          <w:rFonts w:ascii="Tw Cen MT" w:hAnsi="Tw Cen MT"/>
          <w:sz w:val="24"/>
          <w:szCs w:val="24"/>
        </w:rPr>
        <w:t>16,740</w:t>
      </w:r>
      <w:r w:rsidR="00E07E7D" w:rsidRPr="00EC49F4">
        <w:rPr>
          <w:rFonts w:ascii="Tw Cen MT" w:hAnsi="Tw Cen MT"/>
          <w:sz w:val="24"/>
          <w:szCs w:val="24"/>
        </w:rPr>
        <w:t xml:space="preserve"> </w:t>
      </w:r>
      <w:r w:rsidRPr="00EC49F4">
        <w:rPr>
          <w:rFonts w:ascii="Tw Cen MT" w:hAnsi="Tw Cen MT"/>
          <w:sz w:val="24"/>
          <w:szCs w:val="24"/>
        </w:rPr>
        <w:t>new clients in MABS</w:t>
      </w:r>
      <w:r w:rsidR="000B1584" w:rsidRPr="00EC49F4">
        <w:rPr>
          <w:rFonts w:ascii="Tw Cen MT" w:hAnsi="Tw Cen MT"/>
          <w:sz w:val="24"/>
          <w:szCs w:val="24"/>
        </w:rPr>
        <w:t xml:space="preserve"> and </w:t>
      </w:r>
      <w:r w:rsidR="00A43F9A" w:rsidRPr="00EC49F4">
        <w:rPr>
          <w:rFonts w:ascii="Tw Cen MT" w:hAnsi="Tw Cen MT"/>
          <w:sz w:val="24"/>
          <w:szCs w:val="24"/>
        </w:rPr>
        <w:t xml:space="preserve">a further </w:t>
      </w:r>
      <w:r w:rsidR="000B1584" w:rsidRPr="00EC49F4">
        <w:rPr>
          <w:rFonts w:ascii="Tw Cen MT" w:hAnsi="Tw Cen MT"/>
          <w:sz w:val="24"/>
          <w:szCs w:val="24"/>
        </w:rPr>
        <w:t>2,552 sought information about budgeting and money management.</w:t>
      </w:r>
      <w:r w:rsidR="00E07E7D" w:rsidRPr="00EC49F4">
        <w:rPr>
          <w:rFonts w:ascii="Tw Cen MT" w:hAnsi="Tw Cen MT"/>
          <w:sz w:val="24"/>
          <w:szCs w:val="24"/>
        </w:rPr>
        <w:t xml:space="preserve"> </w:t>
      </w:r>
      <w:r w:rsidR="000B1584" w:rsidRPr="00EC49F4">
        <w:rPr>
          <w:rFonts w:ascii="Tw Cen MT" w:hAnsi="Tw Cen MT"/>
          <w:sz w:val="24"/>
          <w:szCs w:val="24"/>
        </w:rPr>
        <w:t>T</w:t>
      </w:r>
      <w:r w:rsidRPr="00EC49F4">
        <w:rPr>
          <w:rFonts w:ascii="Tw Cen MT" w:hAnsi="Tw Cen MT"/>
          <w:sz w:val="24"/>
          <w:szCs w:val="24"/>
        </w:rPr>
        <w:t xml:space="preserve">he MABS National Helpline dealt with 24,659 callers.  There were a further 4,922 new clients in the first quarter of 2018 and 6,999 callers to the MABS National Helpline during the same period.  The Dedicated Mortgage Arrears MABS Service has supported </w:t>
      </w:r>
      <w:r w:rsidR="002F350F" w:rsidRPr="00EC49F4">
        <w:rPr>
          <w:rFonts w:ascii="Tw Cen MT" w:hAnsi="Tw Cen MT"/>
          <w:sz w:val="24"/>
          <w:szCs w:val="24"/>
        </w:rPr>
        <w:t>5,500</w:t>
      </w:r>
      <w:r w:rsidRPr="00EC49F4">
        <w:rPr>
          <w:rFonts w:ascii="Tw Cen MT" w:hAnsi="Tw Cen MT"/>
          <w:sz w:val="24"/>
          <w:szCs w:val="24"/>
        </w:rPr>
        <w:t xml:space="preserve"> clients over the course of </w:t>
      </w:r>
      <w:r w:rsidR="002F350F" w:rsidRPr="00EC49F4">
        <w:rPr>
          <w:rFonts w:ascii="Tw Cen MT" w:hAnsi="Tw Cen MT"/>
          <w:sz w:val="24"/>
          <w:szCs w:val="24"/>
        </w:rPr>
        <w:t xml:space="preserve">the last three years </w:t>
      </w:r>
      <w:r w:rsidRPr="00EC49F4">
        <w:rPr>
          <w:rFonts w:ascii="Tw Cen MT" w:hAnsi="Tw Cen MT"/>
          <w:sz w:val="24"/>
          <w:szCs w:val="24"/>
        </w:rPr>
        <w:t>and since 2013,</w:t>
      </w:r>
      <w:r w:rsidRPr="00EC49F4">
        <w:rPr>
          <w:rFonts w:ascii="Tw Cen MT" w:hAnsi="Tw Cen MT"/>
          <w:bCs/>
          <w:color w:val="FF0000"/>
          <w:sz w:val="24"/>
          <w:szCs w:val="24"/>
        </w:rPr>
        <w:t xml:space="preserve"> </w:t>
      </w:r>
      <w:r w:rsidRPr="00EC49F4">
        <w:rPr>
          <w:rFonts w:ascii="Tw Cen MT" w:hAnsi="Tw Cen MT"/>
          <w:bCs/>
          <w:sz w:val="24"/>
          <w:szCs w:val="24"/>
        </w:rPr>
        <w:t>over 1,200</w:t>
      </w:r>
      <w:r w:rsidRPr="00EC49F4">
        <w:rPr>
          <w:rFonts w:ascii="Tw Cen MT" w:hAnsi="Tw Cen MT"/>
          <w:sz w:val="24"/>
          <w:szCs w:val="24"/>
        </w:rPr>
        <w:t xml:space="preserve"> Debt Relief Notice’s, processed with the support of MABS, have been approved.</w:t>
      </w:r>
      <w:r w:rsidR="00AB5B37">
        <w:rPr>
          <w:rFonts w:ascii="Tw Cen MT" w:hAnsi="Tw Cen MT"/>
          <w:sz w:val="24"/>
          <w:szCs w:val="24"/>
        </w:rPr>
        <w:t xml:space="preserve"> </w:t>
      </w:r>
      <w:r w:rsidRPr="00EC49F4">
        <w:rPr>
          <w:rFonts w:ascii="Tw Cen MT" w:hAnsi="Tw Cen MT"/>
          <w:sz w:val="24"/>
          <w:szCs w:val="24"/>
        </w:rPr>
        <w:t>The demographic profile of MABS clients has remained relatively stable over many years but the numbers of mortgaged clients has steadily increased since the recession began</w:t>
      </w:r>
      <w:r w:rsidR="00A43F9A" w:rsidRPr="00EC49F4">
        <w:rPr>
          <w:rFonts w:ascii="Tw Cen MT" w:hAnsi="Tw Cen MT"/>
          <w:sz w:val="24"/>
          <w:szCs w:val="24"/>
        </w:rPr>
        <w:t>,</w:t>
      </w:r>
      <w:r w:rsidRPr="00EC49F4">
        <w:rPr>
          <w:rFonts w:ascii="Tw Cen MT" w:hAnsi="Tw Cen MT"/>
          <w:sz w:val="24"/>
          <w:szCs w:val="24"/>
        </w:rPr>
        <w:t xml:space="preserve"> up from 36% at the end of 2009 to 45% in 2018</w:t>
      </w:r>
      <w:r w:rsidR="002F350F" w:rsidRPr="00EC49F4">
        <w:rPr>
          <w:rFonts w:ascii="Tw Cen MT" w:hAnsi="Tw Cen MT"/>
          <w:sz w:val="24"/>
          <w:szCs w:val="24"/>
        </w:rPr>
        <w:t>.</w:t>
      </w:r>
      <w:r w:rsidRPr="00EC49F4">
        <w:rPr>
          <w:rFonts w:ascii="Tw Cen MT" w:hAnsi="Tw Cen MT"/>
          <w:sz w:val="24"/>
          <w:szCs w:val="24"/>
        </w:rPr>
        <w:t xml:space="preserve">   MABS clients are heavily concentrated in the 40-65 year age bracket, but the number of clients aged 65+ has been growing gradually for the last number of years</w:t>
      </w:r>
      <w:r w:rsidRPr="00EC49F4">
        <w:rPr>
          <w:rStyle w:val="FootnoteReference"/>
          <w:rFonts w:ascii="Tw Cen MT" w:hAnsi="Tw Cen MT"/>
          <w:sz w:val="24"/>
          <w:szCs w:val="24"/>
        </w:rPr>
        <w:footnoteReference w:id="9"/>
      </w:r>
      <w:r w:rsidR="00A43F9A" w:rsidRPr="00EC49F4">
        <w:rPr>
          <w:rFonts w:ascii="Tw Cen MT" w:hAnsi="Tw Cen MT"/>
          <w:sz w:val="24"/>
          <w:szCs w:val="24"/>
        </w:rPr>
        <w:t>.</w:t>
      </w:r>
    </w:p>
    <w:p w:rsidR="001B78B2" w:rsidRDefault="001B78B2" w:rsidP="00EC49F4">
      <w:pPr>
        <w:pStyle w:val="Heading1"/>
        <w:spacing w:line="360" w:lineRule="auto"/>
        <w:jc w:val="left"/>
        <w:rPr>
          <w:rFonts w:ascii="Tw Cen MT" w:hAnsi="Tw Cen MT"/>
          <w:sz w:val="24"/>
          <w:szCs w:val="24"/>
        </w:rPr>
      </w:pPr>
    </w:p>
    <w:p w:rsidR="00712D68" w:rsidRPr="00EC49F4" w:rsidRDefault="000B1584" w:rsidP="00EC49F4">
      <w:pPr>
        <w:pStyle w:val="Heading1"/>
        <w:spacing w:line="360" w:lineRule="auto"/>
        <w:jc w:val="left"/>
        <w:rPr>
          <w:rFonts w:ascii="Tw Cen MT" w:hAnsi="Tw Cen MT"/>
          <w:sz w:val="24"/>
          <w:szCs w:val="24"/>
        </w:rPr>
      </w:pPr>
      <w:r w:rsidRPr="00EC49F4">
        <w:rPr>
          <w:rFonts w:ascii="Tw Cen MT" w:hAnsi="Tw Cen MT"/>
          <w:sz w:val="24"/>
          <w:szCs w:val="24"/>
        </w:rPr>
        <w:lastRenderedPageBreak/>
        <w:t>L</w:t>
      </w:r>
      <w:r w:rsidR="00712D68" w:rsidRPr="00EC49F4">
        <w:rPr>
          <w:rFonts w:ascii="Tw Cen MT" w:hAnsi="Tw Cen MT"/>
          <w:sz w:val="24"/>
          <w:szCs w:val="24"/>
        </w:rPr>
        <w:t xml:space="preserve">egacy debt and too little affordable credit </w:t>
      </w:r>
    </w:p>
    <w:p w:rsidR="00E07E7D" w:rsidRDefault="000B1584" w:rsidP="00EC49F4">
      <w:pPr>
        <w:spacing w:line="360" w:lineRule="auto"/>
        <w:rPr>
          <w:rFonts w:ascii="Tw Cen MT" w:hAnsi="Tw Cen MT"/>
          <w:sz w:val="24"/>
          <w:szCs w:val="24"/>
        </w:rPr>
      </w:pPr>
      <w:r w:rsidRPr="00EC49F4">
        <w:rPr>
          <w:rFonts w:ascii="Tw Cen MT" w:hAnsi="Tw Cen MT"/>
          <w:sz w:val="24"/>
          <w:szCs w:val="24"/>
        </w:rPr>
        <w:t>A</w:t>
      </w:r>
      <w:r w:rsidR="00712D68" w:rsidRPr="00EC49F4">
        <w:rPr>
          <w:rFonts w:ascii="Tw Cen MT" w:hAnsi="Tw Cen MT"/>
          <w:sz w:val="24"/>
          <w:szCs w:val="24"/>
        </w:rPr>
        <w:t xml:space="preserve"> significant cohort of clients</w:t>
      </w:r>
      <w:r w:rsidRPr="00EC49F4">
        <w:rPr>
          <w:rFonts w:ascii="Tw Cen MT" w:hAnsi="Tw Cen MT"/>
          <w:sz w:val="24"/>
          <w:szCs w:val="24"/>
        </w:rPr>
        <w:t xml:space="preserve"> of MABS </w:t>
      </w:r>
      <w:r w:rsidR="00712D68" w:rsidRPr="00EC49F4">
        <w:rPr>
          <w:rFonts w:ascii="Tw Cen MT" w:hAnsi="Tw Cen MT"/>
          <w:sz w:val="24"/>
          <w:szCs w:val="24"/>
        </w:rPr>
        <w:t xml:space="preserve"> are burdened with unsustainable legacy debts and remain excluded from access to affordable credit and are consequently locked-out from the wider economic recovery. </w:t>
      </w:r>
      <w:r w:rsidRPr="00EC49F4">
        <w:rPr>
          <w:rFonts w:ascii="Tw Cen MT" w:hAnsi="Tw Cen MT"/>
          <w:b/>
          <w:color w:val="1F497D" w:themeColor="text2"/>
          <w:sz w:val="24"/>
          <w:szCs w:val="24"/>
        </w:rPr>
        <w:t>Improved accessibility to personal insolvency and personal credit</w:t>
      </w:r>
      <w:r w:rsidRPr="00EC49F4">
        <w:rPr>
          <w:rFonts w:ascii="Tw Cen MT" w:hAnsi="Tw Cen MT"/>
          <w:color w:val="1F497D" w:themeColor="text2"/>
          <w:sz w:val="24"/>
          <w:szCs w:val="24"/>
        </w:rPr>
        <w:t xml:space="preserve"> </w:t>
      </w:r>
      <w:r w:rsidRPr="00EC49F4">
        <w:rPr>
          <w:rFonts w:ascii="Tw Cen MT" w:hAnsi="Tw Cen MT"/>
          <w:sz w:val="24"/>
          <w:szCs w:val="24"/>
        </w:rPr>
        <w:t xml:space="preserve">are among the issues which need to be dealt with </w:t>
      </w:r>
      <w:r w:rsidR="00BD7690" w:rsidRPr="00EC49F4">
        <w:rPr>
          <w:rFonts w:ascii="Tw Cen MT" w:hAnsi="Tw Cen MT"/>
          <w:sz w:val="24"/>
          <w:szCs w:val="24"/>
        </w:rPr>
        <w:t>for MABS clients.</w:t>
      </w:r>
    </w:p>
    <w:p w:rsidR="00712D68" w:rsidRPr="00EC49F4" w:rsidRDefault="00134C81" w:rsidP="00EC49F4">
      <w:pPr>
        <w:pStyle w:val="Heading2"/>
        <w:spacing w:line="360" w:lineRule="auto"/>
        <w:rPr>
          <w:rFonts w:ascii="Tw Cen MT" w:hAnsi="Tw Cen MT"/>
          <w:i/>
          <w:sz w:val="24"/>
          <w:szCs w:val="24"/>
        </w:rPr>
      </w:pPr>
      <w:r w:rsidRPr="00EC49F4">
        <w:rPr>
          <w:rFonts w:ascii="Tw Cen MT" w:hAnsi="Tw Cen MT"/>
          <w:i/>
          <w:sz w:val="24"/>
          <w:szCs w:val="24"/>
        </w:rPr>
        <w:t xml:space="preserve">Financial </w:t>
      </w:r>
      <w:r w:rsidR="008B1BB7" w:rsidRPr="00EC49F4">
        <w:rPr>
          <w:rFonts w:ascii="Tw Cen MT" w:hAnsi="Tw Cen MT"/>
          <w:i/>
          <w:sz w:val="24"/>
          <w:szCs w:val="24"/>
        </w:rPr>
        <w:t>i</w:t>
      </w:r>
      <w:r w:rsidRPr="00EC49F4">
        <w:rPr>
          <w:rFonts w:ascii="Tw Cen MT" w:hAnsi="Tw Cen MT"/>
          <w:i/>
          <w:sz w:val="24"/>
          <w:szCs w:val="24"/>
        </w:rPr>
        <w:t>nclusion and</w:t>
      </w:r>
      <w:r w:rsidR="008B1BB7" w:rsidRPr="00EC49F4">
        <w:rPr>
          <w:rFonts w:ascii="Tw Cen MT" w:hAnsi="Tw Cen MT"/>
          <w:i/>
          <w:sz w:val="24"/>
          <w:szCs w:val="24"/>
        </w:rPr>
        <w:t xml:space="preserve"> a</w:t>
      </w:r>
      <w:r w:rsidR="00712D68" w:rsidRPr="00EC49F4">
        <w:rPr>
          <w:rFonts w:ascii="Tw Cen MT" w:hAnsi="Tw Cen MT"/>
          <w:i/>
          <w:sz w:val="24"/>
          <w:szCs w:val="24"/>
        </w:rPr>
        <w:t xml:space="preserve">ccess to </w:t>
      </w:r>
      <w:r w:rsidR="008B1BB7" w:rsidRPr="00EC49F4">
        <w:rPr>
          <w:rFonts w:ascii="Tw Cen MT" w:hAnsi="Tw Cen MT"/>
          <w:i/>
          <w:sz w:val="24"/>
          <w:szCs w:val="24"/>
        </w:rPr>
        <w:t>a</w:t>
      </w:r>
      <w:r w:rsidR="00712D68" w:rsidRPr="00EC49F4">
        <w:rPr>
          <w:rFonts w:ascii="Tw Cen MT" w:hAnsi="Tw Cen MT"/>
          <w:i/>
          <w:sz w:val="24"/>
          <w:szCs w:val="24"/>
        </w:rPr>
        <w:t xml:space="preserve">ffordable </w:t>
      </w:r>
      <w:r w:rsidR="008B1BB7" w:rsidRPr="00EC49F4">
        <w:rPr>
          <w:rFonts w:ascii="Tw Cen MT" w:hAnsi="Tw Cen MT"/>
          <w:i/>
          <w:sz w:val="24"/>
          <w:szCs w:val="24"/>
        </w:rPr>
        <w:t>c</w:t>
      </w:r>
      <w:r w:rsidR="00712D68" w:rsidRPr="00EC49F4">
        <w:rPr>
          <w:rFonts w:ascii="Tw Cen MT" w:hAnsi="Tw Cen MT"/>
          <w:i/>
          <w:sz w:val="24"/>
          <w:szCs w:val="24"/>
        </w:rPr>
        <w:t>redit</w:t>
      </w:r>
    </w:p>
    <w:p w:rsidR="00AB5B37" w:rsidRDefault="00712D68" w:rsidP="00AB5B37">
      <w:pPr>
        <w:spacing w:line="360" w:lineRule="auto"/>
        <w:rPr>
          <w:rFonts w:ascii="Tw Cen MT" w:hAnsi="Tw Cen MT"/>
          <w:sz w:val="24"/>
          <w:szCs w:val="24"/>
        </w:rPr>
      </w:pPr>
      <w:r w:rsidRPr="00EC49F4">
        <w:rPr>
          <w:rFonts w:ascii="Tw Cen MT" w:hAnsi="Tw Cen MT"/>
          <w:sz w:val="24"/>
          <w:szCs w:val="24"/>
        </w:rPr>
        <w:t>A 2011 ESRI report</w:t>
      </w:r>
      <w:r w:rsidRPr="00EC49F4">
        <w:rPr>
          <w:rStyle w:val="FootnoteReference"/>
          <w:rFonts w:ascii="Tw Cen MT" w:hAnsi="Tw Cen MT"/>
          <w:sz w:val="24"/>
          <w:szCs w:val="24"/>
        </w:rPr>
        <w:footnoteReference w:id="10"/>
      </w:r>
      <w:r w:rsidRPr="00EC49F4">
        <w:rPr>
          <w:rFonts w:ascii="Tw Cen MT" w:hAnsi="Tw Cen MT"/>
          <w:sz w:val="24"/>
          <w:szCs w:val="24"/>
        </w:rPr>
        <w:t xml:space="preserve">  considered the ‘liquidity’ of a household by asking “Can your household afford an unexpected expen</w:t>
      </w:r>
      <w:r w:rsidR="00A43F9A" w:rsidRPr="00EC49F4">
        <w:rPr>
          <w:rFonts w:ascii="Tw Cen MT" w:hAnsi="Tw Cen MT"/>
          <w:sz w:val="24"/>
          <w:szCs w:val="24"/>
        </w:rPr>
        <w:t>se of €985 without borrowing?”.</w:t>
      </w:r>
      <w:r w:rsidRPr="00EC49F4">
        <w:rPr>
          <w:rFonts w:ascii="Tw Cen MT" w:hAnsi="Tw Cen MT"/>
          <w:sz w:val="24"/>
          <w:szCs w:val="24"/>
        </w:rPr>
        <w:t xml:space="preserve">  </w:t>
      </w:r>
      <w:r w:rsidR="00BD7690" w:rsidRPr="00EC49F4">
        <w:rPr>
          <w:rFonts w:ascii="Tw Cen MT" w:hAnsi="Tw Cen MT"/>
          <w:sz w:val="24"/>
          <w:szCs w:val="24"/>
        </w:rPr>
        <w:t xml:space="preserve">A large cohort </w:t>
      </w:r>
      <w:r w:rsidRPr="00EC49F4">
        <w:rPr>
          <w:rFonts w:ascii="Tw Cen MT" w:hAnsi="Tw Cen MT"/>
          <w:sz w:val="24"/>
          <w:szCs w:val="24"/>
        </w:rPr>
        <w:t>in the bottom quintile responded ‘no’ to this question.  Furthermore, there was found to be a high overlap (97%) between those in persistent arrears and those unable to raise such contingency funds. MABS has advocated to ensure that low-income households are not barred from obtaining emergency credit from reputable sources and forced to seek high-cost loans from moneylenders</w:t>
      </w:r>
      <w:r w:rsidRPr="00EC49F4">
        <w:rPr>
          <w:rStyle w:val="FootnoteReference"/>
          <w:rFonts w:ascii="Tw Cen MT" w:hAnsi="Tw Cen MT"/>
          <w:sz w:val="24"/>
          <w:szCs w:val="24"/>
        </w:rPr>
        <w:footnoteReference w:id="11"/>
      </w:r>
      <w:r w:rsidRPr="00EC49F4">
        <w:rPr>
          <w:rFonts w:ascii="Tw Cen MT" w:hAnsi="Tw Cen MT"/>
          <w:sz w:val="24"/>
          <w:szCs w:val="24"/>
        </w:rPr>
        <w:t>.    In this regard, the report of</w:t>
      </w:r>
      <w:r w:rsidR="00A43F9A" w:rsidRPr="00EC49F4">
        <w:rPr>
          <w:rFonts w:ascii="Tw Cen MT" w:hAnsi="Tw Cen MT"/>
          <w:sz w:val="24"/>
          <w:szCs w:val="24"/>
        </w:rPr>
        <w:t xml:space="preserve"> the </w:t>
      </w:r>
      <w:r w:rsidRPr="00EC49F4">
        <w:rPr>
          <w:rFonts w:ascii="Tw Cen MT" w:hAnsi="Tw Cen MT"/>
          <w:sz w:val="24"/>
          <w:szCs w:val="24"/>
        </w:rPr>
        <w:t xml:space="preserve"> Joint Committee on Finance, Public Expenditu</w:t>
      </w:r>
      <w:r w:rsidR="00740694" w:rsidRPr="00EC49F4">
        <w:rPr>
          <w:rFonts w:ascii="Tw Cen MT" w:hAnsi="Tw Cen MT"/>
          <w:sz w:val="24"/>
          <w:szCs w:val="24"/>
        </w:rPr>
        <w:t xml:space="preserve">re and Reform, and Taoiseach on </w:t>
      </w:r>
      <w:r w:rsidRPr="00EC49F4">
        <w:rPr>
          <w:rFonts w:ascii="Tw Cen MT" w:hAnsi="Tw Cen MT"/>
          <w:sz w:val="24"/>
          <w:szCs w:val="24"/>
        </w:rPr>
        <w:t>its review of the credit union sector</w:t>
      </w:r>
      <w:r w:rsidRPr="00EC49F4">
        <w:rPr>
          <w:rStyle w:val="FootnoteReference"/>
          <w:rFonts w:ascii="Tw Cen MT" w:hAnsi="Tw Cen MT"/>
          <w:sz w:val="24"/>
          <w:szCs w:val="24"/>
        </w:rPr>
        <w:footnoteReference w:id="12"/>
      </w:r>
      <w:r w:rsidR="00740694" w:rsidRPr="00EC49F4">
        <w:rPr>
          <w:rFonts w:ascii="Tw Cen MT" w:hAnsi="Tw Cen MT"/>
          <w:sz w:val="24"/>
          <w:szCs w:val="24"/>
        </w:rPr>
        <w:t xml:space="preserve"> </w:t>
      </w:r>
      <w:r w:rsidRPr="00EC49F4">
        <w:rPr>
          <w:rFonts w:ascii="Tw Cen MT" w:hAnsi="Tw Cen MT"/>
          <w:sz w:val="24"/>
          <w:szCs w:val="24"/>
        </w:rPr>
        <w:t xml:space="preserve">is welcome </w:t>
      </w:r>
      <w:r w:rsidR="00122EF5" w:rsidRPr="00EC49F4">
        <w:rPr>
          <w:rFonts w:ascii="Tw Cen MT" w:hAnsi="Tw Cen MT"/>
          <w:sz w:val="24"/>
          <w:szCs w:val="24"/>
        </w:rPr>
        <w:t xml:space="preserve">along with </w:t>
      </w:r>
      <w:r w:rsidRPr="00EC49F4">
        <w:rPr>
          <w:rFonts w:ascii="Tw Cen MT" w:hAnsi="Tw Cen MT"/>
          <w:sz w:val="24"/>
          <w:szCs w:val="24"/>
        </w:rPr>
        <w:t xml:space="preserve">its recommendations in respect of the development of that sector and </w:t>
      </w:r>
      <w:r w:rsidR="00740694" w:rsidRPr="00EC49F4">
        <w:rPr>
          <w:rFonts w:ascii="Tw Cen MT" w:hAnsi="Tw Cen MT"/>
          <w:sz w:val="24"/>
          <w:szCs w:val="24"/>
        </w:rPr>
        <w:t xml:space="preserve">the need for </w:t>
      </w:r>
      <w:r w:rsidRPr="00EC49F4">
        <w:rPr>
          <w:rFonts w:ascii="Tw Cen MT" w:hAnsi="Tw Cen MT"/>
          <w:sz w:val="24"/>
          <w:szCs w:val="24"/>
        </w:rPr>
        <w:t xml:space="preserve">a renewed focus within the sector on ‘financial inclusion’. </w:t>
      </w:r>
      <w:r w:rsidR="00BD7690" w:rsidRPr="00EC49F4">
        <w:rPr>
          <w:rFonts w:ascii="Tw Cen MT" w:hAnsi="Tw Cen MT"/>
          <w:sz w:val="24"/>
          <w:szCs w:val="24"/>
        </w:rPr>
        <w:t xml:space="preserve">In addition </w:t>
      </w:r>
      <w:r w:rsidR="0065517C" w:rsidRPr="00EC49F4">
        <w:rPr>
          <w:rFonts w:ascii="Tw Cen MT" w:hAnsi="Tw Cen MT"/>
          <w:sz w:val="24"/>
          <w:szCs w:val="24"/>
        </w:rPr>
        <w:t xml:space="preserve">we hope </w:t>
      </w:r>
      <w:r w:rsidRPr="00EC49F4">
        <w:rPr>
          <w:rFonts w:ascii="Tw Cen MT" w:hAnsi="Tw Cen MT"/>
          <w:sz w:val="24"/>
          <w:szCs w:val="24"/>
        </w:rPr>
        <w:t>that the mandatory provision by all banks of a ‘Basic Payment Account’</w:t>
      </w:r>
      <w:r w:rsidRPr="00EC49F4">
        <w:rPr>
          <w:rStyle w:val="FootnoteReference"/>
          <w:rFonts w:ascii="Tw Cen MT" w:hAnsi="Tw Cen MT"/>
          <w:sz w:val="24"/>
          <w:szCs w:val="24"/>
        </w:rPr>
        <w:footnoteReference w:id="13"/>
      </w:r>
      <w:r w:rsidRPr="00EC49F4">
        <w:rPr>
          <w:rFonts w:ascii="Tw Cen MT" w:hAnsi="Tw Cen MT"/>
          <w:sz w:val="24"/>
          <w:szCs w:val="24"/>
        </w:rPr>
        <w:t xml:space="preserve"> might create and sustain access to banking and credit options</w:t>
      </w:r>
      <w:r w:rsidR="0065517C" w:rsidRPr="00EC49F4">
        <w:rPr>
          <w:rFonts w:ascii="Tw Cen MT" w:hAnsi="Tw Cen MT"/>
          <w:sz w:val="24"/>
          <w:szCs w:val="24"/>
        </w:rPr>
        <w:t xml:space="preserve"> </w:t>
      </w:r>
      <w:r w:rsidR="00BD7690" w:rsidRPr="00EC49F4">
        <w:rPr>
          <w:rFonts w:ascii="Tw Cen MT" w:hAnsi="Tw Cen MT"/>
          <w:sz w:val="24"/>
          <w:szCs w:val="24"/>
        </w:rPr>
        <w:t>for citizens</w:t>
      </w:r>
      <w:r w:rsidRPr="00EC49F4">
        <w:rPr>
          <w:rFonts w:ascii="Tw Cen MT" w:hAnsi="Tw Cen MT"/>
          <w:sz w:val="24"/>
          <w:szCs w:val="24"/>
        </w:rPr>
        <w:t>.</w:t>
      </w:r>
    </w:p>
    <w:p w:rsidR="008701F7" w:rsidRPr="00AB5B37" w:rsidRDefault="008701F7" w:rsidP="00AB5B37">
      <w:pPr>
        <w:spacing w:line="360" w:lineRule="auto"/>
        <w:rPr>
          <w:rFonts w:ascii="Tw Cen MT" w:hAnsi="Tw Cen MT"/>
          <w:b/>
          <w:i/>
          <w:color w:val="1F497D" w:themeColor="text2"/>
          <w:sz w:val="24"/>
          <w:szCs w:val="24"/>
        </w:rPr>
      </w:pPr>
      <w:r w:rsidRPr="00AB5B37">
        <w:rPr>
          <w:rFonts w:ascii="Tw Cen MT" w:hAnsi="Tw Cen MT"/>
          <w:b/>
          <w:i/>
          <w:color w:val="1F497D" w:themeColor="text2"/>
          <w:sz w:val="24"/>
          <w:szCs w:val="24"/>
        </w:rPr>
        <w:t>Personal Micro Credit</w:t>
      </w:r>
    </w:p>
    <w:p w:rsidR="008701F7" w:rsidRPr="00EC49F4" w:rsidRDefault="008701F7" w:rsidP="00EC49F4">
      <w:pPr>
        <w:spacing w:line="360" w:lineRule="auto"/>
        <w:rPr>
          <w:rFonts w:ascii="Tw Cen MT" w:hAnsi="Tw Cen MT"/>
          <w:sz w:val="24"/>
          <w:szCs w:val="24"/>
        </w:rPr>
      </w:pPr>
      <w:r w:rsidRPr="00EC49F4">
        <w:rPr>
          <w:rFonts w:ascii="Tw Cen MT" w:hAnsi="Tw Cen MT"/>
          <w:sz w:val="24"/>
          <w:szCs w:val="24"/>
        </w:rPr>
        <w:t>Since 2015 there has been a personal micro credit (PMC) initiative</w:t>
      </w:r>
      <w:r w:rsidR="008B1BB7" w:rsidRPr="00EC49F4">
        <w:rPr>
          <w:rFonts w:ascii="Tw Cen MT" w:hAnsi="Tw Cen MT"/>
          <w:sz w:val="24"/>
          <w:szCs w:val="24"/>
        </w:rPr>
        <w:t xml:space="preserve"> - </w:t>
      </w:r>
      <w:r w:rsidRPr="00EC49F4">
        <w:rPr>
          <w:rFonts w:ascii="Tw Cen MT" w:hAnsi="Tw Cen MT"/>
          <w:i/>
          <w:sz w:val="24"/>
          <w:szCs w:val="24"/>
        </w:rPr>
        <w:t>‘It Makes Sense Loans’</w:t>
      </w:r>
      <w:r w:rsidR="00740694" w:rsidRPr="00EC49F4">
        <w:rPr>
          <w:rStyle w:val="FootnoteReference"/>
          <w:rFonts w:ascii="Tw Cen MT" w:hAnsi="Tw Cen MT"/>
          <w:i/>
          <w:sz w:val="24"/>
          <w:szCs w:val="24"/>
        </w:rPr>
        <w:footnoteReference w:id="14"/>
      </w:r>
      <w:r w:rsidR="008B1BB7" w:rsidRPr="00EC49F4">
        <w:rPr>
          <w:rFonts w:ascii="Tw Cen MT" w:hAnsi="Tw Cen MT"/>
          <w:i/>
          <w:sz w:val="24"/>
          <w:szCs w:val="24"/>
        </w:rPr>
        <w:t>-</w:t>
      </w:r>
      <w:r w:rsidRPr="00EC49F4">
        <w:rPr>
          <w:rFonts w:ascii="Tw Cen MT" w:hAnsi="Tw Cen MT"/>
          <w:i/>
          <w:sz w:val="24"/>
          <w:szCs w:val="24"/>
        </w:rPr>
        <w:t xml:space="preserve"> </w:t>
      </w:r>
      <w:r w:rsidRPr="00EC49F4">
        <w:rPr>
          <w:rFonts w:ascii="Tw Cen MT" w:hAnsi="Tw Cen MT"/>
          <w:sz w:val="24"/>
          <w:szCs w:val="24"/>
        </w:rPr>
        <w:t>designed to facilitate access to affordable credit for low-income borrowers.  MABS staff know</w:t>
      </w:r>
      <w:r w:rsidR="00122EF5" w:rsidRPr="00EC49F4">
        <w:rPr>
          <w:rFonts w:ascii="Tw Cen MT" w:hAnsi="Tw Cen MT"/>
          <w:sz w:val="24"/>
          <w:szCs w:val="24"/>
        </w:rPr>
        <w:t>,</w:t>
      </w:r>
      <w:r w:rsidR="00740694" w:rsidRPr="00EC49F4">
        <w:rPr>
          <w:rFonts w:ascii="Tw Cen MT" w:hAnsi="Tw Cen MT"/>
          <w:sz w:val="24"/>
          <w:szCs w:val="24"/>
        </w:rPr>
        <w:t xml:space="preserve"> from practical experience</w:t>
      </w:r>
      <w:r w:rsidRPr="00EC49F4">
        <w:rPr>
          <w:rFonts w:ascii="Tw Cen MT" w:hAnsi="Tw Cen MT"/>
          <w:sz w:val="24"/>
          <w:szCs w:val="24"/>
        </w:rPr>
        <w:t xml:space="preserve"> of assisting their clients to access personal insolvency solutions</w:t>
      </w:r>
      <w:r w:rsidR="00740694" w:rsidRPr="00EC49F4">
        <w:rPr>
          <w:rFonts w:ascii="Tw Cen MT" w:hAnsi="Tw Cen MT"/>
          <w:sz w:val="24"/>
          <w:szCs w:val="24"/>
        </w:rPr>
        <w:t>,</w:t>
      </w:r>
      <w:r w:rsidRPr="00EC49F4">
        <w:rPr>
          <w:rFonts w:ascii="Tw Cen MT" w:hAnsi="Tw Cen MT"/>
          <w:sz w:val="24"/>
          <w:szCs w:val="24"/>
        </w:rPr>
        <w:t xml:space="preserve"> as well as the </w:t>
      </w:r>
      <w:r w:rsidRPr="00EC49F4">
        <w:rPr>
          <w:rFonts w:ascii="Tw Cen MT" w:hAnsi="Tw Cen MT"/>
          <w:i/>
          <w:sz w:val="24"/>
          <w:szCs w:val="24"/>
        </w:rPr>
        <w:t>‘It Makes Sense’</w:t>
      </w:r>
      <w:r w:rsidR="00740694" w:rsidRPr="00EC49F4">
        <w:rPr>
          <w:rFonts w:ascii="Tw Cen MT" w:hAnsi="Tw Cen MT"/>
          <w:i/>
          <w:sz w:val="24"/>
          <w:szCs w:val="24"/>
        </w:rPr>
        <w:t xml:space="preserve"> </w:t>
      </w:r>
      <w:r w:rsidR="00740694" w:rsidRPr="00EC49F4">
        <w:rPr>
          <w:rFonts w:ascii="Tw Cen MT" w:hAnsi="Tw Cen MT"/>
          <w:sz w:val="24"/>
          <w:szCs w:val="24"/>
        </w:rPr>
        <w:t>mi</w:t>
      </w:r>
      <w:r w:rsidRPr="00EC49F4">
        <w:rPr>
          <w:rFonts w:ascii="Tw Cen MT" w:hAnsi="Tw Cen MT"/>
          <w:sz w:val="24"/>
          <w:szCs w:val="24"/>
        </w:rPr>
        <w:t>cro credit</w:t>
      </w:r>
      <w:r w:rsidRPr="00EC49F4">
        <w:rPr>
          <w:rFonts w:ascii="Tw Cen MT" w:hAnsi="Tw Cen MT"/>
          <w:i/>
          <w:sz w:val="24"/>
          <w:szCs w:val="24"/>
        </w:rPr>
        <w:t xml:space="preserve">  </w:t>
      </w:r>
      <w:r w:rsidRPr="00EC49F4">
        <w:rPr>
          <w:rFonts w:ascii="Tw Cen MT" w:hAnsi="Tw Cen MT"/>
          <w:sz w:val="24"/>
          <w:szCs w:val="24"/>
        </w:rPr>
        <w:t>loans</w:t>
      </w:r>
      <w:r w:rsidR="00740694" w:rsidRPr="00EC49F4">
        <w:rPr>
          <w:rFonts w:ascii="Tw Cen MT" w:hAnsi="Tw Cen MT"/>
          <w:sz w:val="24"/>
          <w:szCs w:val="24"/>
        </w:rPr>
        <w:t>,</w:t>
      </w:r>
      <w:r w:rsidRPr="00EC49F4">
        <w:rPr>
          <w:rFonts w:ascii="Tw Cen MT" w:hAnsi="Tw Cen MT"/>
          <w:sz w:val="24"/>
          <w:szCs w:val="24"/>
        </w:rPr>
        <w:t xml:space="preserve"> that these can be transformative for their client group. </w:t>
      </w:r>
      <w:r w:rsidR="002F350F" w:rsidRPr="00EC49F4">
        <w:rPr>
          <w:rFonts w:ascii="Tw Cen MT" w:hAnsi="Tw Cen MT"/>
          <w:sz w:val="24"/>
          <w:szCs w:val="24"/>
        </w:rPr>
        <w:t xml:space="preserve">MABS staff </w:t>
      </w:r>
      <w:r w:rsidR="00740694" w:rsidRPr="00EC49F4">
        <w:rPr>
          <w:rFonts w:ascii="Tw Cen MT" w:hAnsi="Tw Cen MT"/>
          <w:sz w:val="24"/>
          <w:szCs w:val="24"/>
        </w:rPr>
        <w:t xml:space="preserve">are aware </w:t>
      </w:r>
      <w:r w:rsidRPr="00EC49F4">
        <w:rPr>
          <w:rFonts w:ascii="Tw Cen MT" w:hAnsi="Tw Cen MT"/>
          <w:sz w:val="24"/>
          <w:szCs w:val="24"/>
        </w:rPr>
        <w:t>from casework that</w:t>
      </w:r>
      <w:r w:rsidR="008B1BB7" w:rsidRPr="00EC49F4">
        <w:rPr>
          <w:rFonts w:ascii="Tw Cen MT" w:hAnsi="Tw Cen MT"/>
          <w:sz w:val="24"/>
          <w:szCs w:val="24"/>
        </w:rPr>
        <w:t>,</w:t>
      </w:r>
      <w:r w:rsidRPr="00EC49F4">
        <w:rPr>
          <w:rFonts w:ascii="Tw Cen MT" w:hAnsi="Tw Cen MT"/>
          <w:sz w:val="24"/>
          <w:szCs w:val="24"/>
        </w:rPr>
        <w:t xml:space="preserve"> </w:t>
      </w:r>
      <w:r w:rsidR="00122EF5" w:rsidRPr="00EC49F4">
        <w:rPr>
          <w:rFonts w:ascii="Tw Cen MT" w:hAnsi="Tw Cen MT"/>
          <w:sz w:val="24"/>
          <w:szCs w:val="24"/>
        </w:rPr>
        <w:t xml:space="preserve">in </w:t>
      </w:r>
      <w:r w:rsidRPr="00EC49F4">
        <w:rPr>
          <w:rFonts w:ascii="Tw Cen MT" w:hAnsi="Tw Cen MT"/>
          <w:sz w:val="24"/>
          <w:szCs w:val="24"/>
        </w:rPr>
        <w:t>facing constraints on their capac</w:t>
      </w:r>
      <w:r w:rsidR="00122EF5" w:rsidRPr="00EC49F4">
        <w:rPr>
          <w:rFonts w:ascii="Tw Cen MT" w:hAnsi="Tw Cen MT"/>
          <w:sz w:val="24"/>
          <w:szCs w:val="24"/>
        </w:rPr>
        <w:t xml:space="preserve">ity to access affordable credit, </w:t>
      </w:r>
      <w:r w:rsidRPr="00EC49F4">
        <w:rPr>
          <w:rFonts w:ascii="Tw Cen MT" w:hAnsi="Tw Cen MT"/>
          <w:sz w:val="24"/>
          <w:szCs w:val="24"/>
        </w:rPr>
        <w:t>some MABS clients will invariably go into rent or mortgage arrears to finance essential goods</w:t>
      </w:r>
      <w:r w:rsidR="002F350F" w:rsidRPr="00EC49F4">
        <w:rPr>
          <w:rFonts w:ascii="Tw Cen MT" w:hAnsi="Tw Cen MT"/>
          <w:sz w:val="24"/>
          <w:szCs w:val="24"/>
        </w:rPr>
        <w:t xml:space="preserve">, such as </w:t>
      </w:r>
      <w:r w:rsidRPr="00EC49F4">
        <w:rPr>
          <w:rFonts w:ascii="Tw Cen MT" w:hAnsi="Tw Cen MT"/>
          <w:sz w:val="24"/>
          <w:szCs w:val="24"/>
        </w:rPr>
        <w:t>a new cooker.</w:t>
      </w:r>
    </w:p>
    <w:p w:rsidR="008701F7" w:rsidRPr="00EC49F4" w:rsidRDefault="008701F7" w:rsidP="00EC49F4">
      <w:pPr>
        <w:shd w:val="clear" w:color="auto" w:fill="FFFFFF"/>
        <w:spacing w:line="360" w:lineRule="auto"/>
        <w:rPr>
          <w:rFonts w:ascii="Tw Cen MT" w:hAnsi="Tw Cen MT" w:cs="Arial"/>
          <w:color w:val="000000"/>
          <w:sz w:val="24"/>
          <w:szCs w:val="24"/>
        </w:rPr>
      </w:pPr>
      <w:r w:rsidRPr="00EC49F4">
        <w:rPr>
          <w:rFonts w:ascii="Tw Cen MT" w:hAnsi="Tw Cen MT" w:cs="Arial"/>
          <w:color w:val="000000"/>
          <w:sz w:val="24"/>
          <w:szCs w:val="24"/>
        </w:rPr>
        <w:t xml:space="preserve">The PMC initiative has two objectives. Firstly, to provide affordable credit via the credit union movement to financially vulnerable individuals who currently access credit from licensed money </w:t>
      </w:r>
      <w:r w:rsidRPr="00EC49F4">
        <w:rPr>
          <w:rFonts w:ascii="Tw Cen MT" w:hAnsi="Tw Cen MT" w:cs="Arial"/>
          <w:color w:val="000000"/>
          <w:sz w:val="24"/>
          <w:szCs w:val="24"/>
        </w:rPr>
        <w:lastRenderedPageBreak/>
        <w:t>lending organisations at extremely high interest rates. Secondly, over time to build a credit history, develop a savings habit and become a “normal” credit union member. The PMC project has already proven that this is achievable with 111 credit unions and 263 locations in tota</w:t>
      </w:r>
      <w:r w:rsidR="00122EF5" w:rsidRPr="00EC49F4">
        <w:rPr>
          <w:rFonts w:ascii="Tw Cen MT" w:hAnsi="Tw Cen MT" w:cs="Arial"/>
          <w:color w:val="000000"/>
          <w:sz w:val="24"/>
          <w:szCs w:val="24"/>
        </w:rPr>
        <w:t>l offering the “</w:t>
      </w:r>
      <w:r w:rsidR="00122EF5" w:rsidRPr="00EC49F4">
        <w:rPr>
          <w:rFonts w:ascii="Tw Cen MT" w:hAnsi="Tw Cen MT" w:cs="Arial"/>
          <w:i/>
          <w:color w:val="000000"/>
          <w:sz w:val="24"/>
          <w:szCs w:val="24"/>
        </w:rPr>
        <w:t>It Makes Sense</w:t>
      </w:r>
      <w:r w:rsidR="00122EF5" w:rsidRPr="00EC49F4">
        <w:rPr>
          <w:rFonts w:ascii="Tw Cen MT" w:hAnsi="Tw Cen MT" w:cs="Arial"/>
          <w:color w:val="000000"/>
          <w:sz w:val="24"/>
          <w:szCs w:val="24"/>
        </w:rPr>
        <w:t xml:space="preserve">” </w:t>
      </w:r>
      <w:r w:rsidRPr="00EC49F4">
        <w:rPr>
          <w:rFonts w:ascii="Tw Cen MT" w:hAnsi="Tw Cen MT" w:cs="Arial"/>
          <w:color w:val="000000"/>
          <w:sz w:val="24"/>
          <w:szCs w:val="24"/>
        </w:rPr>
        <w:t xml:space="preserve">product. The legitimacy of extremely high interest rates </w:t>
      </w:r>
      <w:r w:rsidR="00740694" w:rsidRPr="00EC49F4">
        <w:rPr>
          <w:rFonts w:ascii="Tw Cen MT" w:hAnsi="Tw Cen MT" w:cs="Arial"/>
          <w:color w:val="000000"/>
          <w:sz w:val="24"/>
          <w:szCs w:val="24"/>
        </w:rPr>
        <w:t>being charged by licensed money</w:t>
      </w:r>
      <w:r w:rsidRPr="00EC49F4">
        <w:rPr>
          <w:rFonts w:ascii="Tw Cen MT" w:hAnsi="Tw Cen MT" w:cs="Arial"/>
          <w:color w:val="000000"/>
          <w:sz w:val="24"/>
          <w:szCs w:val="24"/>
        </w:rPr>
        <w:t>lending organisations in Ireland now comes into question if an alternative through the credit union movement is available at normal interest rates, subject always to individual creditworthiness.</w:t>
      </w:r>
      <w:r w:rsidR="00093269">
        <w:rPr>
          <w:rFonts w:ascii="Tw Cen MT" w:hAnsi="Tw Cen MT" w:cs="Arial"/>
          <w:color w:val="000000"/>
          <w:sz w:val="24"/>
          <w:szCs w:val="24"/>
        </w:rPr>
        <w:t xml:space="preserve"> </w:t>
      </w:r>
      <w:r w:rsidRPr="00EC49F4">
        <w:rPr>
          <w:rFonts w:ascii="Tw Cen MT" w:hAnsi="Tw Cen MT"/>
          <w:sz w:val="24"/>
          <w:szCs w:val="24"/>
        </w:rPr>
        <w:t>CIB regards the personal micro credit loans as the first step of many which could change how credit for low income borrowers is administered in the Irish market.  Helpful initiatives such as</w:t>
      </w:r>
      <w:r w:rsidRPr="00EC49F4">
        <w:rPr>
          <w:rFonts w:ascii="Tw Cen MT" w:hAnsi="Tw Cen MT"/>
          <w:b/>
          <w:sz w:val="24"/>
          <w:szCs w:val="24"/>
        </w:rPr>
        <w:t xml:space="preserve"> </w:t>
      </w:r>
      <w:r w:rsidRPr="00EC49F4">
        <w:rPr>
          <w:rFonts w:ascii="Tw Cen MT" w:hAnsi="Tw Cen MT"/>
          <w:b/>
          <w:color w:val="1F497D" w:themeColor="text2"/>
          <w:sz w:val="24"/>
          <w:szCs w:val="24"/>
        </w:rPr>
        <w:t xml:space="preserve">interest rate adjustments </w:t>
      </w:r>
      <w:r w:rsidRPr="00AB5B37">
        <w:rPr>
          <w:rFonts w:ascii="Tw Cen MT" w:hAnsi="Tw Cen MT"/>
          <w:sz w:val="24"/>
          <w:szCs w:val="24"/>
        </w:rPr>
        <w:t>to make micro credit attractive to social-oriented lending institutions, as well as</w:t>
      </w:r>
      <w:r w:rsidRPr="00EC49F4">
        <w:rPr>
          <w:rFonts w:ascii="Tw Cen MT" w:hAnsi="Tw Cen MT"/>
          <w:b/>
          <w:color w:val="1F497D" w:themeColor="text2"/>
          <w:sz w:val="24"/>
          <w:szCs w:val="24"/>
        </w:rPr>
        <w:t xml:space="preserve"> interest rate thresholds </w:t>
      </w:r>
      <w:r w:rsidRPr="00AB5B37">
        <w:rPr>
          <w:rFonts w:ascii="Tw Cen MT" w:hAnsi="Tw Cen MT"/>
          <w:sz w:val="24"/>
          <w:szCs w:val="24"/>
        </w:rPr>
        <w:t>to deter high cost moneylenders</w:t>
      </w:r>
      <w:r w:rsidRPr="00EC49F4">
        <w:rPr>
          <w:rFonts w:ascii="Tw Cen MT" w:hAnsi="Tw Cen MT"/>
          <w:b/>
          <w:color w:val="1F497D" w:themeColor="text2"/>
          <w:sz w:val="24"/>
          <w:szCs w:val="24"/>
        </w:rPr>
        <w:t>,</w:t>
      </w:r>
      <w:r w:rsidRPr="00EC49F4">
        <w:rPr>
          <w:rFonts w:ascii="Tw Cen MT" w:hAnsi="Tw Cen MT"/>
          <w:color w:val="1F497D" w:themeColor="text2"/>
          <w:sz w:val="24"/>
          <w:szCs w:val="24"/>
        </w:rPr>
        <w:t xml:space="preserve"> </w:t>
      </w:r>
      <w:r w:rsidRPr="00EC49F4">
        <w:rPr>
          <w:rFonts w:ascii="Tw Cen MT" w:hAnsi="Tw Cen MT"/>
          <w:sz w:val="24"/>
          <w:szCs w:val="24"/>
        </w:rPr>
        <w:t>would significantly benefit those who need support</w:t>
      </w:r>
      <w:r w:rsidR="002F350F" w:rsidRPr="00EC49F4">
        <w:rPr>
          <w:rFonts w:ascii="Tw Cen MT" w:hAnsi="Tw Cen MT"/>
          <w:sz w:val="24"/>
          <w:szCs w:val="24"/>
        </w:rPr>
        <w:t>.</w:t>
      </w:r>
    </w:p>
    <w:p w:rsidR="00BD7690" w:rsidRPr="00EC49F4" w:rsidRDefault="00BD7690" w:rsidP="00EC49F4">
      <w:pPr>
        <w:pStyle w:val="Heading2"/>
        <w:spacing w:line="360" w:lineRule="auto"/>
        <w:rPr>
          <w:rFonts w:ascii="Tw Cen MT" w:hAnsi="Tw Cen MT"/>
          <w:i/>
          <w:sz w:val="24"/>
          <w:szCs w:val="24"/>
        </w:rPr>
      </w:pPr>
      <w:r w:rsidRPr="00EC49F4">
        <w:rPr>
          <w:rFonts w:ascii="Tw Cen MT" w:hAnsi="Tw Cen MT"/>
          <w:i/>
          <w:sz w:val="24"/>
          <w:szCs w:val="24"/>
        </w:rPr>
        <w:t xml:space="preserve">Credit </w:t>
      </w:r>
      <w:r w:rsidR="00E07E7D" w:rsidRPr="00EC49F4">
        <w:rPr>
          <w:rFonts w:ascii="Tw Cen MT" w:hAnsi="Tw Cen MT"/>
          <w:i/>
          <w:sz w:val="24"/>
          <w:szCs w:val="24"/>
        </w:rPr>
        <w:t>Scoring</w:t>
      </w:r>
    </w:p>
    <w:p w:rsidR="00712D68" w:rsidRPr="00EC49F4" w:rsidRDefault="00BD7690" w:rsidP="00EC49F4">
      <w:pPr>
        <w:spacing w:line="360" w:lineRule="auto"/>
        <w:rPr>
          <w:rFonts w:ascii="Tw Cen MT" w:hAnsi="Tw Cen MT"/>
          <w:sz w:val="24"/>
          <w:szCs w:val="24"/>
        </w:rPr>
      </w:pPr>
      <w:r w:rsidRPr="00EC49F4">
        <w:rPr>
          <w:rFonts w:ascii="Tw Cen MT" w:hAnsi="Tw Cen MT"/>
          <w:sz w:val="24"/>
          <w:szCs w:val="24"/>
        </w:rPr>
        <w:t>We</w:t>
      </w:r>
      <w:r w:rsidR="00E07E7D" w:rsidRPr="00EC49F4">
        <w:rPr>
          <w:rFonts w:ascii="Tw Cen MT" w:hAnsi="Tw Cen MT"/>
          <w:sz w:val="24"/>
          <w:szCs w:val="24"/>
        </w:rPr>
        <w:t xml:space="preserve"> </w:t>
      </w:r>
      <w:r w:rsidR="00712D68" w:rsidRPr="00EC49F4">
        <w:rPr>
          <w:rFonts w:ascii="Tw Cen MT" w:hAnsi="Tw Cen MT"/>
          <w:sz w:val="24"/>
          <w:szCs w:val="24"/>
        </w:rPr>
        <w:t xml:space="preserve">welcome the new credit register </w:t>
      </w:r>
      <w:r w:rsidRPr="00EC49F4">
        <w:rPr>
          <w:rFonts w:ascii="Tw Cen MT" w:hAnsi="Tw Cen MT"/>
          <w:sz w:val="24"/>
          <w:szCs w:val="24"/>
        </w:rPr>
        <w:t xml:space="preserve">and look forward to </w:t>
      </w:r>
      <w:r w:rsidR="00C61DAB" w:rsidRPr="00EC49F4">
        <w:rPr>
          <w:rFonts w:ascii="Tw Cen MT" w:hAnsi="Tw Cen MT"/>
          <w:sz w:val="24"/>
          <w:szCs w:val="24"/>
          <w:lang w:val="en-GB"/>
        </w:rPr>
        <w:t>Personal Contract Plans (PCPs) being recorded on it. Without PCPs there</w:t>
      </w:r>
      <w:r w:rsidR="002F350F" w:rsidRPr="00EC49F4">
        <w:rPr>
          <w:rFonts w:ascii="Tw Cen MT" w:hAnsi="Tw Cen MT"/>
          <w:sz w:val="24"/>
          <w:szCs w:val="24"/>
          <w:lang w:val="en-GB"/>
        </w:rPr>
        <w:t xml:space="preserve"> is</w:t>
      </w:r>
      <w:r w:rsidR="00740694" w:rsidRPr="00EC49F4">
        <w:rPr>
          <w:rFonts w:ascii="Tw Cen MT" w:hAnsi="Tw Cen MT"/>
          <w:sz w:val="24"/>
          <w:szCs w:val="24"/>
          <w:lang w:val="en-GB"/>
        </w:rPr>
        <w:t xml:space="preserve"> a</w:t>
      </w:r>
      <w:r w:rsidR="002F350F" w:rsidRPr="00EC49F4">
        <w:rPr>
          <w:rFonts w:ascii="Tw Cen MT" w:hAnsi="Tw Cen MT"/>
          <w:sz w:val="24"/>
          <w:szCs w:val="24"/>
        </w:rPr>
        <w:t xml:space="preserve"> </w:t>
      </w:r>
      <w:r w:rsidR="00712D68" w:rsidRPr="00EC49F4">
        <w:rPr>
          <w:rFonts w:ascii="Tw Cen MT" w:hAnsi="Tw Cen MT"/>
          <w:sz w:val="24"/>
          <w:szCs w:val="24"/>
        </w:rPr>
        <w:t xml:space="preserve">‘lag’ in having a fully comprehensive record of consumer liabilities and the consequent potential for consumers to be over-exposed to this type of credit.  </w:t>
      </w:r>
    </w:p>
    <w:p w:rsidR="00712D68" w:rsidRPr="00EC49F4" w:rsidRDefault="00712D68" w:rsidP="00EC49F4">
      <w:pPr>
        <w:pStyle w:val="Heading2"/>
        <w:spacing w:line="360" w:lineRule="auto"/>
        <w:rPr>
          <w:rFonts w:ascii="Tw Cen MT" w:hAnsi="Tw Cen MT"/>
          <w:i/>
          <w:sz w:val="24"/>
          <w:szCs w:val="24"/>
        </w:rPr>
      </w:pPr>
      <w:r w:rsidRPr="00EC49F4">
        <w:rPr>
          <w:rFonts w:ascii="Tw Cen MT" w:hAnsi="Tw Cen MT"/>
          <w:i/>
          <w:sz w:val="24"/>
          <w:szCs w:val="24"/>
        </w:rPr>
        <w:t>Insolvency</w:t>
      </w:r>
    </w:p>
    <w:p w:rsidR="00712D68" w:rsidRPr="00EC49F4" w:rsidRDefault="00712D68" w:rsidP="00EC49F4">
      <w:pPr>
        <w:spacing w:line="360" w:lineRule="auto"/>
        <w:rPr>
          <w:rFonts w:ascii="Tw Cen MT" w:hAnsi="Tw Cen MT"/>
          <w:sz w:val="24"/>
          <w:szCs w:val="24"/>
        </w:rPr>
      </w:pPr>
      <w:r w:rsidRPr="00EC49F4">
        <w:rPr>
          <w:rFonts w:ascii="Tw Cen MT" w:hAnsi="Tw Cen MT"/>
          <w:sz w:val="24"/>
          <w:szCs w:val="24"/>
        </w:rPr>
        <w:t xml:space="preserve">While noting, from the ISI’s statistical releases, the increased level of activity in applications for PIA and DSA, the throughput to all arrangement types remains relatively low. </w:t>
      </w:r>
      <w:r w:rsidR="00122EF5" w:rsidRPr="00EC49F4">
        <w:rPr>
          <w:rFonts w:ascii="Tw Cen MT" w:hAnsi="Tw Cen MT"/>
          <w:sz w:val="24"/>
          <w:szCs w:val="24"/>
        </w:rPr>
        <w:t xml:space="preserve">CIB, through </w:t>
      </w:r>
      <w:r w:rsidRPr="00EC49F4">
        <w:rPr>
          <w:rFonts w:ascii="Tw Cen MT" w:hAnsi="Tw Cen MT"/>
          <w:sz w:val="24"/>
          <w:szCs w:val="24"/>
        </w:rPr>
        <w:t>MABS</w:t>
      </w:r>
      <w:r w:rsidR="00122EF5" w:rsidRPr="00EC49F4">
        <w:rPr>
          <w:rFonts w:ascii="Tw Cen MT" w:hAnsi="Tw Cen MT"/>
          <w:sz w:val="24"/>
          <w:szCs w:val="24"/>
        </w:rPr>
        <w:t>,</w:t>
      </w:r>
      <w:r w:rsidRPr="00EC49F4">
        <w:rPr>
          <w:rFonts w:ascii="Tw Cen MT" w:hAnsi="Tw Cen MT"/>
          <w:sz w:val="24"/>
          <w:szCs w:val="24"/>
        </w:rPr>
        <w:t xml:space="preserve"> has identified </w:t>
      </w:r>
      <w:r w:rsidR="00122EF5" w:rsidRPr="00EC49F4">
        <w:rPr>
          <w:rFonts w:ascii="Tw Cen MT" w:hAnsi="Tw Cen MT"/>
          <w:sz w:val="24"/>
          <w:szCs w:val="24"/>
        </w:rPr>
        <w:t xml:space="preserve">the following </w:t>
      </w:r>
      <w:r w:rsidR="00B70327" w:rsidRPr="00EC49F4">
        <w:rPr>
          <w:rFonts w:ascii="Tw Cen MT" w:hAnsi="Tw Cen MT"/>
          <w:sz w:val="24"/>
          <w:szCs w:val="24"/>
        </w:rPr>
        <w:t xml:space="preserve">issues </w:t>
      </w:r>
      <w:r w:rsidRPr="00EC49F4">
        <w:rPr>
          <w:rFonts w:ascii="Tw Cen MT" w:hAnsi="Tw Cen MT"/>
          <w:sz w:val="24"/>
          <w:szCs w:val="24"/>
        </w:rPr>
        <w:t>in the insolvency legislation provisions  as they apply to the MABS client group</w:t>
      </w:r>
      <w:r w:rsidR="006844CD" w:rsidRPr="00EC49F4">
        <w:rPr>
          <w:rFonts w:ascii="Tw Cen MT" w:hAnsi="Tw Cen MT"/>
          <w:sz w:val="24"/>
          <w:szCs w:val="24"/>
        </w:rPr>
        <w:t xml:space="preserve"> (</w:t>
      </w:r>
      <w:r w:rsidR="00740694" w:rsidRPr="00EC49F4">
        <w:rPr>
          <w:rFonts w:ascii="Tw Cen MT" w:hAnsi="Tw Cen MT"/>
          <w:sz w:val="24"/>
          <w:szCs w:val="24"/>
        </w:rPr>
        <w:t>most recently in a submission</w:t>
      </w:r>
      <w:r w:rsidRPr="00EC49F4">
        <w:rPr>
          <w:rFonts w:ascii="Tw Cen MT" w:hAnsi="Tw Cen MT"/>
          <w:sz w:val="24"/>
          <w:szCs w:val="24"/>
        </w:rPr>
        <w:t xml:space="preserve"> made to the Depa</w:t>
      </w:r>
      <w:r w:rsidR="00122EF5" w:rsidRPr="00EC49F4">
        <w:rPr>
          <w:rFonts w:ascii="Tw Cen MT" w:hAnsi="Tw Cen MT"/>
          <w:sz w:val="24"/>
          <w:szCs w:val="24"/>
        </w:rPr>
        <w:t>rtment of Justice and Equality o</w:t>
      </w:r>
      <w:r w:rsidRPr="00EC49F4">
        <w:rPr>
          <w:rFonts w:ascii="Tw Cen MT" w:hAnsi="Tw Cen MT"/>
          <w:sz w:val="24"/>
          <w:szCs w:val="24"/>
        </w:rPr>
        <w:t>n its consultation on part 3 of the Personal Insolvency Act</w:t>
      </w:r>
      <w:r w:rsidRPr="00EC49F4">
        <w:rPr>
          <w:rStyle w:val="FootnoteReference"/>
          <w:rFonts w:ascii="Tw Cen MT" w:hAnsi="Tw Cen MT"/>
          <w:sz w:val="24"/>
          <w:szCs w:val="24"/>
        </w:rPr>
        <w:footnoteReference w:id="15"/>
      </w:r>
      <w:r w:rsidR="00B70327" w:rsidRPr="00EC49F4">
        <w:rPr>
          <w:rFonts w:ascii="Tw Cen MT" w:hAnsi="Tw Cen MT"/>
          <w:sz w:val="24"/>
          <w:szCs w:val="24"/>
        </w:rPr>
        <w:t>).</w:t>
      </w:r>
      <w:r w:rsidRPr="00EC49F4">
        <w:rPr>
          <w:rFonts w:ascii="Tw Cen MT" w:hAnsi="Tw Cen MT"/>
          <w:sz w:val="24"/>
          <w:szCs w:val="24"/>
        </w:rPr>
        <w:t xml:space="preserve"> </w:t>
      </w:r>
    </w:p>
    <w:p w:rsidR="00712D68" w:rsidRPr="00EC49F4" w:rsidRDefault="00712D68" w:rsidP="00EC49F4">
      <w:pPr>
        <w:pStyle w:val="Heading2"/>
        <w:spacing w:line="360" w:lineRule="auto"/>
        <w:rPr>
          <w:rFonts w:ascii="Tw Cen MT" w:hAnsi="Tw Cen MT"/>
          <w:i/>
          <w:sz w:val="24"/>
          <w:szCs w:val="24"/>
        </w:rPr>
      </w:pPr>
      <w:r w:rsidRPr="00EC49F4">
        <w:rPr>
          <w:rFonts w:ascii="Tw Cen MT" w:hAnsi="Tw Cen MT"/>
          <w:i/>
          <w:sz w:val="24"/>
          <w:szCs w:val="24"/>
        </w:rPr>
        <w:t xml:space="preserve">Debt relief notices (DRN) </w:t>
      </w:r>
    </w:p>
    <w:p w:rsidR="009E4544" w:rsidRPr="00EC49F4" w:rsidRDefault="009E4544" w:rsidP="00EC49F4">
      <w:pPr>
        <w:pStyle w:val="Heading3"/>
        <w:numPr>
          <w:ilvl w:val="0"/>
          <w:numId w:val="29"/>
        </w:numPr>
        <w:shd w:val="clear" w:color="auto" w:fill="FFFFFF" w:themeFill="background1"/>
        <w:spacing w:line="360" w:lineRule="auto"/>
        <w:rPr>
          <w:rFonts w:ascii="Tw Cen MT" w:hAnsi="Tw Cen MT"/>
          <w:i/>
        </w:rPr>
      </w:pPr>
      <w:r w:rsidRPr="00EC49F4">
        <w:rPr>
          <w:rFonts w:ascii="Tw Cen MT" w:hAnsi="Tw Cen MT"/>
          <w:i/>
        </w:rPr>
        <w:t>Three year supervision period</w:t>
      </w:r>
    </w:p>
    <w:p w:rsidR="0008129F" w:rsidRDefault="00712D68" w:rsidP="00EC49F4">
      <w:pPr>
        <w:pStyle w:val="Heading3"/>
        <w:shd w:val="clear" w:color="auto" w:fill="FFFFFF" w:themeFill="background1"/>
        <w:spacing w:line="360" w:lineRule="auto"/>
        <w:rPr>
          <w:rFonts w:ascii="Tw Cen MT" w:hAnsi="Tw Cen MT"/>
          <w:b w:val="0"/>
          <w:color w:val="auto"/>
        </w:rPr>
      </w:pPr>
      <w:r w:rsidRPr="00EC49F4">
        <w:rPr>
          <w:rFonts w:ascii="Tw Cen MT" w:hAnsi="Tw Cen MT"/>
          <w:b w:val="0"/>
          <w:color w:val="auto"/>
        </w:rPr>
        <w:t>Since 2012, feedback from MABS staff has overwhelmingly been that the</w:t>
      </w:r>
      <w:r w:rsidR="009E4544" w:rsidRPr="00EC49F4">
        <w:rPr>
          <w:rFonts w:ascii="Tw Cen MT" w:hAnsi="Tw Cen MT"/>
          <w:b w:val="0"/>
          <w:color w:val="auto"/>
        </w:rPr>
        <w:t xml:space="preserve"> supervision period for a DRN (three</w:t>
      </w:r>
      <w:r w:rsidRPr="00EC49F4">
        <w:rPr>
          <w:rFonts w:ascii="Tw Cen MT" w:hAnsi="Tw Cen MT"/>
          <w:b w:val="0"/>
          <w:color w:val="auto"/>
        </w:rPr>
        <w:t xml:space="preserve"> years) is too long and should be reduced to </w:t>
      </w:r>
      <w:r w:rsidR="004E3103" w:rsidRPr="00EC49F4">
        <w:rPr>
          <w:rFonts w:ascii="Tw Cen MT" w:hAnsi="Tw Cen MT"/>
          <w:b w:val="0"/>
          <w:color w:val="auto"/>
        </w:rPr>
        <w:t>one</w:t>
      </w:r>
      <w:r w:rsidRPr="00EC49F4">
        <w:rPr>
          <w:rFonts w:ascii="Tw Cen MT" w:hAnsi="Tw Cen MT"/>
          <w:b w:val="0"/>
          <w:color w:val="auto"/>
        </w:rPr>
        <w:t xml:space="preserve"> year.  </w:t>
      </w:r>
      <w:r w:rsidR="00B70327" w:rsidRPr="00EC49F4">
        <w:rPr>
          <w:rFonts w:ascii="Tw Cen MT" w:hAnsi="Tw Cen MT"/>
          <w:b w:val="0"/>
          <w:color w:val="auto"/>
        </w:rPr>
        <w:t xml:space="preserve">As the </w:t>
      </w:r>
      <w:r w:rsidRPr="00EC49F4">
        <w:rPr>
          <w:rFonts w:ascii="Tw Cen MT" w:hAnsi="Tw Cen MT"/>
          <w:b w:val="0"/>
          <w:color w:val="auto"/>
        </w:rPr>
        <w:t xml:space="preserve">supervision period of </w:t>
      </w:r>
      <w:r w:rsidR="004E3103" w:rsidRPr="00EC49F4">
        <w:rPr>
          <w:rFonts w:ascii="Tw Cen MT" w:hAnsi="Tw Cen MT"/>
          <w:b w:val="0"/>
          <w:color w:val="auto"/>
        </w:rPr>
        <w:t>three</w:t>
      </w:r>
      <w:r w:rsidRPr="00EC49F4">
        <w:rPr>
          <w:rFonts w:ascii="Tw Cen MT" w:hAnsi="Tw Cen MT"/>
          <w:b w:val="0"/>
          <w:color w:val="auto"/>
        </w:rPr>
        <w:t xml:space="preserve"> years mirrored the period proposed in the bankruptcy legislation,</w:t>
      </w:r>
      <w:r w:rsidR="00B70327" w:rsidRPr="00EC49F4">
        <w:rPr>
          <w:rFonts w:ascii="Tw Cen MT" w:hAnsi="Tw Cen MT"/>
          <w:b w:val="0"/>
          <w:color w:val="auto"/>
        </w:rPr>
        <w:t xml:space="preserve"> it should now be changed to reflect the </w:t>
      </w:r>
      <w:r w:rsidR="004E3103" w:rsidRPr="00EC49F4">
        <w:rPr>
          <w:rFonts w:ascii="Tw Cen MT" w:hAnsi="Tw Cen MT"/>
          <w:b w:val="0"/>
          <w:color w:val="auto"/>
        </w:rPr>
        <w:t>one</w:t>
      </w:r>
      <w:r w:rsidR="00B70327" w:rsidRPr="00EC49F4">
        <w:rPr>
          <w:rFonts w:ascii="Tw Cen MT" w:hAnsi="Tw Cen MT"/>
          <w:b w:val="0"/>
          <w:color w:val="auto"/>
        </w:rPr>
        <w:t xml:space="preserve"> year regime</w:t>
      </w:r>
      <w:r w:rsidRPr="00EC49F4">
        <w:rPr>
          <w:rFonts w:ascii="Tw Cen MT" w:hAnsi="Tw Cen MT"/>
          <w:b w:val="0"/>
          <w:color w:val="auto"/>
        </w:rPr>
        <w:t xml:space="preserve">.  </w:t>
      </w:r>
    </w:p>
    <w:p w:rsidR="004E3103" w:rsidRPr="00EC49F4" w:rsidRDefault="004E3103" w:rsidP="00EC49F4">
      <w:pPr>
        <w:spacing w:line="360" w:lineRule="auto"/>
        <w:ind w:left="720"/>
        <w:rPr>
          <w:rFonts w:ascii="Tw Cen MT" w:hAnsi="Tw Cen MT"/>
          <w:b/>
          <w:i/>
          <w:color w:val="1F497D" w:themeColor="text2"/>
          <w:sz w:val="24"/>
          <w:szCs w:val="24"/>
        </w:rPr>
      </w:pPr>
      <w:r w:rsidRPr="00EC49F4">
        <w:rPr>
          <w:rFonts w:ascii="Tw Cen MT" w:hAnsi="Tw Cen MT"/>
          <w:b/>
          <w:i/>
          <w:color w:val="1F497D" w:themeColor="text2"/>
          <w:sz w:val="24"/>
          <w:szCs w:val="24"/>
        </w:rPr>
        <w:t>2. Local Authority rent arrears and other excludable debts</w:t>
      </w:r>
    </w:p>
    <w:p w:rsidR="00712D68" w:rsidRPr="00EC49F4" w:rsidRDefault="00712D68" w:rsidP="00EC49F4">
      <w:pPr>
        <w:spacing w:line="360" w:lineRule="auto"/>
        <w:rPr>
          <w:rFonts w:ascii="Tw Cen MT" w:hAnsi="Tw Cen MT"/>
          <w:sz w:val="24"/>
          <w:szCs w:val="24"/>
        </w:rPr>
      </w:pPr>
      <w:r w:rsidRPr="00EC49F4">
        <w:rPr>
          <w:rFonts w:ascii="Tw Cen MT" w:hAnsi="Tw Cen MT"/>
          <w:sz w:val="24"/>
          <w:szCs w:val="24"/>
        </w:rPr>
        <w:t>MABS experience is that many clients remain hesitant about the DRN process where they have local</w:t>
      </w:r>
      <w:r w:rsidR="007334CC" w:rsidRPr="00EC49F4">
        <w:rPr>
          <w:rFonts w:ascii="Tw Cen MT" w:hAnsi="Tw Cen MT"/>
          <w:sz w:val="24"/>
          <w:szCs w:val="24"/>
        </w:rPr>
        <w:t xml:space="preserve"> authority rent arrears.  While</w:t>
      </w:r>
      <w:r w:rsidRPr="00EC49F4">
        <w:rPr>
          <w:rFonts w:ascii="Tw Cen MT" w:hAnsi="Tw Cen MT"/>
          <w:sz w:val="24"/>
          <w:szCs w:val="24"/>
        </w:rPr>
        <w:t xml:space="preserve"> the ISI have engaged with the County and City Managers Association on this issue</w:t>
      </w:r>
      <w:r w:rsidR="007334CC" w:rsidRPr="00EC49F4">
        <w:rPr>
          <w:rFonts w:ascii="Tw Cen MT" w:hAnsi="Tw Cen MT"/>
          <w:sz w:val="24"/>
          <w:szCs w:val="24"/>
        </w:rPr>
        <w:t>,</w:t>
      </w:r>
      <w:r w:rsidRPr="00EC49F4">
        <w:rPr>
          <w:rFonts w:ascii="Tw Cen MT" w:hAnsi="Tw Cen MT"/>
          <w:sz w:val="24"/>
          <w:szCs w:val="24"/>
        </w:rPr>
        <w:t xml:space="preserve"> greater certainty is needed </w:t>
      </w:r>
      <w:r w:rsidR="007334CC" w:rsidRPr="00EC49F4">
        <w:rPr>
          <w:rFonts w:ascii="Tw Cen MT" w:hAnsi="Tw Cen MT"/>
          <w:sz w:val="24"/>
          <w:szCs w:val="24"/>
        </w:rPr>
        <w:t xml:space="preserve">for </w:t>
      </w:r>
      <w:r w:rsidRPr="00EC49F4">
        <w:rPr>
          <w:rFonts w:ascii="Tw Cen MT" w:hAnsi="Tw Cen MT"/>
          <w:sz w:val="24"/>
          <w:szCs w:val="24"/>
        </w:rPr>
        <w:t xml:space="preserve">clients/debtors in respect of local authority rent arrears.  </w:t>
      </w:r>
      <w:r w:rsidRPr="00EC49F4">
        <w:rPr>
          <w:rFonts w:ascii="Tw Cen MT" w:hAnsi="Tw Cen MT"/>
          <w:sz w:val="24"/>
          <w:szCs w:val="24"/>
        </w:rPr>
        <w:lastRenderedPageBreak/>
        <w:t>Issues have been raised also in respect of other ‘excludable debts’</w:t>
      </w:r>
      <w:r w:rsidR="009E4544" w:rsidRPr="00EC49F4">
        <w:rPr>
          <w:rFonts w:ascii="Tw Cen MT" w:hAnsi="Tw Cen MT"/>
          <w:sz w:val="24"/>
          <w:szCs w:val="24"/>
        </w:rPr>
        <w:t>,</w:t>
      </w:r>
      <w:r w:rsidRPr="00EC49F4">
        <w:rPr>
          <w:rFonts w:ascii="Tw Cen MT" w:hAnsi="Tw Cen MT"/>
          <w:sz w:val="24"/>
          <w:szCs w:val="24"/>
        </w:rPr>
        <w:t xml:space="preserve"> in particular</w:t>
      </w:r>
      <w:r w:rsidR="009E4544" w:rsidRPr="00EC49F4">
        <w:rPr>
          <w:rFonts w:ascii="Tw Cen MT" w:hAnsi="Tw Cen MT"/>
          <w:sz w:val="24"/>
          <w:szCs w:val="24"/>
        </w:rPr>
        <w:t>,</w:t>
      </w:r>
      <w:r w:rsidRPr="00EC49F4">
        <w:rPr>
          <w:rFonts w:ascii="Tw Cen MT" w:hAnsi="Tw Cen MT"/>
          <w:sz w:val="24"/>
          <w:szCs w:val="24"/>
        </w:rPr>
        <w:t xml:space="preserve"> social welfare payments and their impact on attitudes to</w:t>
      </w:r>
      <w:r w:rsidR="007334CC" w:rsidRPr="00EC49F4">
        <w:rPr>
          <w:rFonts w:ascii="Tw Cen MT" w:hAnsi="Tw Cen MT"/>
          <w:sz w:val="24"/>
          <w:szCs w:val="24"/>
        </w:rPr>
        <w:t>,</w:t>
      </w:r>
      <w:r w:rsidRPr="00EC49F4">
        <w:rPr>
          <w:rFonts w:ascii="Tw Cen MT" w:hAnsi="Tw Cen MT"/>
          <w:sz w:val="24"/>
          <w:szCs w:val="24"/>
        </w:rPr>
        <w:t xml:space="preserve"> and uptake</w:t>
      </w:r>
      <w:r w:rsidR="007334CC" w:rsidRPr="00EC49F4">
        <w:rPr>
          <w:rFonts w:ascii="Tw Cen MT" w:hAnsi="Tw Cen MT"/>
          <w:sz w:val="24"/>
          <w:szCs w:val="24"/>
        </w:rPr>
        <w:t>,</w:t>
      </w:r>
      <w:r w:rsidRPr="00EC49F4">
        <w:rPr>
          <w:rFonts w:ascii="Tw Cen MT" w:hAnsi="Tw Cen MT"/>
          <w:sz w:val="24"/>
          <w:szCs w:val="24"/>
        </w:rPr>
        <w:t xml:space="preserve"> of DRN.</w:t>
      </w:r>
    </w:p>
    <w:p w:rsidR="009E4544" w:rsidRPr="00EC49F4" w:rsidRDefault="009E4544" w:rsidP="00EC49F4">
      <w:pPr>
        <w:spacing w:line="360" w:lineRule="auto"/>
        <w:ind w:left="720"/>
        <w:rPr>
          <w:rFonts w:ascii="Tw Cen MT" w:hAnsi="Tw Cen MT"/>
          <w:b/>
          <w:i/>
          <w:color w:val="1F497D" w:themeColor="text2"/>
          <w:sz w:val="24"/>
          <w:szCs w:val="24"/>
        </w:rPr>
      </w:pPr>
      <w:r w:rsidRPr="00EC49F4">
        <w:rPr>
          <w:rFonts w:ascii="Tw Cen MT" w:hAnsi="Tw Cen MT"/>
          <w:b/>
          <w:i/>
          <w:color w:val="1F497D" w:themeColor="text2"/>
          <w:sz w:val="24"/>
          <w:szCs w:val="24"/>
        </w:rPr>
        <w:t>3. Preference as an eligibility criterion</w:t>
      </w:r>
    </w:p>
    <w:p w:rsidR="00712D68" w:rsidRPr="00EC49F4" w:rsidRDefault="00AA50F3" w:rsidP="00EC49F4">
      <w:pPr>
        <w:spacing w:line="360" w:lineRule="auto"/>
        <w:rPr>
          <w:rFonts w:ascii="Tw Cen MT" w:hAnsi="Tw Cen MT"/>
          <w:sz w:val="24"/>
          <w:szCs w:val="24"/>
        </w:rPr>
      </w:pPr>
      <w:r w:rsidRPr="00EC49F4">
        <w:rPr>
          <w:rFonts w:ascii="Tw Cen MT" w:hAnsi="Tw Cen MT"/>
          <w:sz w:val="24"/>
          <w:szCs w:val="24"/>
        </w:rPr>
        <w:t>T</w:t>
      </w:r>
      <w:r w:rsidR="00712D68" w:rsidRPr="00EC49F4">
        <w:rPr>
          <w:rFonts w:ascii="Tw Cen MT" w:hAnsi="Tw Cen MT"/>
          <w:sz w:val="24"/>
          <w:szCs w:val="24"/>
        </w:rPr>
        <w:t>he inclusion of preferences as an eligibility criterion for DRN</w:t>
      </w:r>
      <w:r w:rsidR="009E4544" w:rsidRPr="00EC49F4">
        <w:rPr>
          <w:rFonts w:ascii="Tw Cen MT" w:hAnsi="Tw Cen MT"/>
          <w:sz w:val="24"/>
          <w:szCs w:val="24"/>
        </w:rPr>
        <w:t>s</w:t>
      </w:r>
      <w:r w:rsidR="006844CD" w:rsidRPr="00EC49F4">
        <w:rPr>
          <w:rFonts w:ascii="Tw Cen MT" w:hAnsi="Tw Cen MT"/>
          <w:sz w:val="24"/>
          <w:szCs w:val="24"/>
        </w:rPr>
        <w:t xml:space="preserve"> has bein</w:t>
      </w:r>
      <w:r w:rsidRPr="00EC49F4">
        <w:rPr>
          <w:rFonts w:ascii="Tw Cen MT" w:hAnsi="Tw Cen MT"/>
          <w:sz w:val="24"/>
          <w:szCs w:val="24"/>
        </w:rPr>
        <w:t>g</w:t>
      </w:r>
      <w:r w:rsidR="006844CD" w:rsidRPr="00EC49F4">
        <w:rPr>
          <w:rFonts w:ascii="Tw Cen MT" w:hAnsi="Tw Cen MT"/>
          <w:sz w:val="24"/>
          <w:szCs w:val="24"/>
        </w:rPr>
        <w:t xml:space="preserve"> </w:t>
      </w:r>
      <w:r w:rsidRPr="00EC49F4">
        <w:rPr>
          <w:rFonts w:ascii="Tw Cen MT" w:hAnsi="Tw Cen MT"/>
          <w:sz w:val="24"/>
          <w:szCs w:val="24"/>
        </w:rPr>
        <w:t>an ongoing concern amongst MABS client groups.</w:t>
      </w:r>
      <w:r w:rsidR="00712D68" w:rsidRPr="00EC49F4">
        <w:rPr>
          <w:rFonts w:ascii="Tw Cen MT" w:hAnsi="Tw Cen MT"/>
          <w:sz w:val="24"/>
          <w:szCs w:val="24"/>
        </w:rPr>
        <w:t xml:space="preserve">  </w:t>
      </w:r>
    </w:p>
    <w:p w:rsidR="00712D68" w:rsidRPr="00EC49F4" w:rsidRDefault="00712D68" w:rsidP="00EC49F4">
      <w:pPr>
        <w:pStyle w:val="NoSpacing"/>
        <w:shd w:val="clear" w:color="auto" w:fill="FFFFFF" w:themeFill="background1"/>
        <w:spacing w:line="360" w:lineRule="auto"/>
        <w:ind w:left="720"/>
        <w:rPr>
          <w:rFonts w:ascii="Tw Cen MT" w:hAnsi="Tw Cen MT"/>
          <w:b/>
          <w:i/>
          <w:color w:val="1F497D" w:themeColor="text2"/>
          <w:sz w:val="24"/>
          <w:szCs w:val="24"/>
        </w:rPr>
      </w:pPr>
      <w:r w:rsidRPr="00EC49F4">
        <w:rPr>
          <w:rFonts w:ascii="Tw Cen MT" w:hAnsi="Tw Cen MT"/>
          <w:b/>
          <w:i/>
          <w:color w:val="1F497D" w:themeColor="text2"/>
          <w:sz w:val="24"/>
          <w:szCs w:val="24"/>
        </w:rPr>
        <w:t xml:space="preserve"> </w:t>
      </w:r>
      <w:r w:rsidR="009E4544" w:rsidRPr="00EC49F4">
        <w:rPr>
          <w:rFonts w:ascii="Tw Cen MT" w:hAnsi="Tw Cen MT"/>
          <w:b/>
          <w:i/>
          <w:color w:val="1F497D" w:themeColor="text2"/>
          <w:sz w:val="24"/>
          <w:szCs w:val="24"/>
        </w:rPr>
        <w:t>4. Reasonable Living Expenses (RLE) and the legislation</w:t>
      </w:r>
    </w:p>
    <w:p w:rsidR="00712D68" w:rsidRPr="00EC49F4" w:rsidRDefault="00712D68" w:rsidP="00EC49F4">
      <w:pPr>
        <w:pStyle w:val="NoSpacing"/>
        <w:spacing w:line="360" w:lineRule="auto"/>
        <w:rPr>
          <w:rFonts w:ascii="Tw Cen MT" w:hAnsi="Tw Cen MT"/>
          <w:sz w:val="24"/>
          <w:szCs w:val="24"/>
        </w:rPr>
      </w:pPr>
      <w:r w:rsidRPr="00EC49F4">
        <w:rPr>
          <w:rFonts w:ascii="Tw Cen MT" w:hAnsi="Tw Cen MT"/>
          <w:sz w:val="24"/>
          <w:szCs w:val="24"/>
        </w:rPr>
        <w:t xml:space="preserve">Section 65(2) (c) and Section 99 (2)(e) specifically state that any arrangement shall not contain any terms that would make it </w:t>
      </w:r>
      <w:r w:rsidR="00AA50F3" w:rsidRPr="00EC49F4">
        <w:rPr>
          <w:rFonts w:ascii="Tw Cen MT" w:hAnsi="Tw Cen MT"/>
          <w:sz w:val="24"/>
          <w:szCs w:val="24"/>
        </w:rPr>
        <w:t xml:space="preserve">mandatory </w:t>
      </w:r>
      <w:r w:rsidRPr="00EC49F4">
        <w:rPr>
          <w:rFonts w:ascii="Tw Cen MT" w:hAnsi="Tw Cen MT"/>
          <w:sz w:val="24"/>
          <w:szCs w:val="24"/>
        </w:rPr>
        <w:t>for a Debtor to live below the reasonable living expenses</w:t>
      </w:r>
      <w:r w:rsidR="009E4544" w:rsidRPr="00EC49F4">
        <w:rPr>
          <w:rFonts w:ascii="Tw Cen MT" w:hAnsi="Tw Cen MT"/>
          <w:sz w:val="24"/>
          <w:szCs w:val="24"/>
        </w:rPr>
        <w:t xml:space="preserve"> (RLE)</w:t>
      </w:r>
      <w:r w:rsidRPr="00EC49F4">
        <w:rPr>
          <w:rFonts w:ascii="Tw Cen MT" w:hAnsi="Tw Cen MT"/>
          <w:sz w:val="24"/>
          <w:szCs w:val="24"/>
        </w:rPr>
        <w:t xml:space="preserve">.  The reality is that many MABS clients live below the relevant RLE and are therefore being excluded from personal insolvency although it can be a solution for them. </w:t>
      </w:r>
    </w:p>
    <w:p w:rsidR="00EE2558" w:rsidRPr="00EC49F4" w:rsidRDefault="00EE2558" w:rsidP="00EC49F4">
      <w:pPr>
        <w:pStyle w:val="NoSpacing"/>
        <w:spacing w:line="360" w:lineRule="auto"/>
        <w:rPr>
          <w:rFonts w:ascii="Tw Cen MT" w:hAnsi="Tw Cen MT"/>
          <w:sz w:val="24"/>
          <w:szCs w:val="24"/>
        </w:rPr>
      </w:pPr>
    </w:p>
    <w:p w:rsidR="00712D68" w:rsidRPr="00EC49F4" w:rsidRDefault="00712D68" w:rsidP="00EC49F4">
      <w:pPr>
        <w:pStyle w:val="Heading2"/>
        <w:spacing w:line="360" w:lineRule="auto"/>
        <w:rPr>
          <w:rFonts w:ascii="Tw Cen MT" w:hAnsi="Tw Cen MT"/>
          <w:i/>
          <w:sz w:val="24"/>
          <w:szCs w:val="24"/>
        </w:rPr>
      </w:pPr>
      <w:r w:rsidRPr="00EC49F4">
        <w:rPr>
          <w:rFonts w:ascii="Tw Cen MT" w:hAnsi="Tw Cen MT"/>
          <w:i/>
          <w:sz w:val="24"/>
          <w:szCs w:val="24"/>
        </w:rPr>
        <w:t xml:space="preserve">A Publicly Funded Insolvency Practitioner </w:t>
      </w:r>
    </w:p>
    <w:p w:rsidR="00712D68" w:rsidRPr="00EC49F4" w:rsidRDefault="00712D68" w:rsidP="00EC49F4">
      <w:pPr>
        <w:pStyle w:val="NoSpacing"/>
        <w:spacing w:line="360" w:lineRule="auto"/>
        <w:rPr>
          <w:rFonts w:ascii="Tw Cen MT" w:hAnsi="Tw Cen MT"/>
          <w:sz w:val="24"/>
          <w:szCs w:val="24"/>
        </w:rPr>
      </w:pPr>
      <w:r w:rsidRPr="00EC49F4">
        <w:rPr>
          <w:rFonts w:ascii="Tw Cen MT" w:hAnsi="Tw Cen MT"/>
          <w:sz w:val="24"/>
          <w:szCs w:val="24"/>
        </w:rPr>
        <w:t>Irish personal insolvency legislation offers the following finite debt solutions to struggling debtors:</w:t>
      </w:r>
    </w:p>
    <w:p w:rsidR="00712D68" w:rsidRPr="00EC49F4" w:rsidRDefault="00712D68" w:rsidP="00AB5B37">
      <w:pPr>
        <w:pStyle w:val="NoSpacing"/>
        <w:numPr>
          <w:ilvl w:val="0"/>
          <w:numId w:val="40"/>
        </w:numPr>
        <w:spacing w:line="360" w:lineRule="auto"/>
        <w:rPr>
          <w:rFonts w:ascii="Tw Cen MT" w:hAnsi="Tw Cen MT"/>
          <w:sz w:val="24"/>
          <w:szCs w:val="24"/>
        </w:rPr>
      </w:pPr>
      <w:r w:rsidRPr="00EC49F4">
        <w:rPr>
          <w:rFonts w:ascii="Tw Cen MT" w:hAnsi="Tw Cen MT"/>
          <w:sz w:val="24"/>
          <w:szCs w:val="24"/>
        </w:rPr>
        <w:t xml:space="preserve">Debt Relief Notice (DRN) </w:t>
      </w:r>
    </w:p>
    <w:p w:rsidR="00712D68" w:rsidRPr="00EC49F4" w:rsidRDefault="00712D68" w:rsidP="00AB5B37">
      <w:pPr>
        <w:pStyle w:val="NoSpacing"/>
        <w:numPr>
          <w:ilvl w:val="0"/>
          <w:numId w:val="40"/>
        </w:numPr>
        <w:spacing w:line="360" w:lineRule="auto"/>
        <w:rPr>
          <w:rFonts w:ascii="Tw Cen MT" w:hAnsi="Tw Cen MT"/>
          <w:sz w:val="24"/>
          <w:szCs w:val="24"/>
        </w:rPr>
      </w:pPr>
      <w:r w:rsidRPr="00EC49F4">
        <w:rPr>
          <w:rFonts w:ascii="Tw Cen MT" w:hAnsi="Tw Cen MT"/>
          <w:sz w:val="24"/>
          <w:szCs w:val="24"/>
        </w:rPr>
        <w:t>Debt Settlement Arrangement (DSA)</w:t>
      </w:r>
    </w:p>
    <w:p w:rsidR="00712D68" w:rsidRPr="00EC49F4" w:rsidRDefault="00712D68" w:rsidP="00AB5B37">
      <w:pPr>
        <w:pStyle w:val="NoSpacing"/>
        <w:numPr>
          <w:ilvl w:val="0"/>
          <w:numId w:val="40"/>
        </w:numPr>
        <w:spacing w:line="360" w:lineRule="auto"/>
        <w:rPr>
          <w:rFonts w:ascii="Tw Cen MT" w:hAnsi="Tw Cen MT"/>
          <w:sz w:val="24"/>
          <w:szCs w:val="24"/>
        </w:rPr>
      </w:pPr>
      <w:r w:rsidRPr="00EC49F4">
        <w:rPr>
          <w:rFonts w:ascii="Tw Cen MT" w:hAnsi="Tw Cen MT"/>
          <w:sz w:val="24"/>
          <w:szCs w:val="24"/>
        </w:rPr>
        <w:t>Personal Insolvency Arrangement (PIA)</w:t>
      </w:r>
    </w:p>
    <w:p w:rsidR="00712D68" w:rsidRPr="00EC49F4" w:rsidRDefault="00712D68" w:rsidP="00AB5B37">
      <w:pPr>
        <w:pStyle w:val="NoSpacing"/>
        <w:numPr>
          <w:ilvl w:val="0"/>
          <w:numId w:val="40"/>
        </w:numPr>
        <w:spacing w:line="360" w:lineRule="auto"/>
        <w:rPr>
          <w:rFonts w:ascii="Tw Cen MT" w:hAnsi="Tw Cen MT"/>
          <w:sz w:val="24"/>
          <w:szCs w:val="24"/>
        </w:rPr>
      </w:pPr>
      <w:r w:rsidRPr="00EC49F4">
        <w:rPr>
          <w:rFonts w:ascii="Tw Cen MT" w:hAnsi="Tw Cen MT"/>
          <w:sz w:val="24"/>
          <w:szCs w:val="24"/>
        </w:rPr>
        <w:t>Bankruptcy</w:t>
      </w:r>
    </w:p>
    <w:p w:rsidR="00EE2558" w:rsidRPr="00EC49F4" w:rsidRDefault="00EE2558" w:rsidP="00EC49F4">
      <w:pPr>
        <w:pStyle w:val="NoSpacing"/>
        <w:spacing w:line="360" w:lineRule="auto"/>
        <w:ind w:left="1440"/>
        <w:rPr>
          <w:rFonts w:ascii="Tw Cen MT" w:hAnsi="Tw Cen MT"/>
          <w:sz w:val="24"/>
          <w:szCs w:val="24"/>
        </w:rPr>
      </w:pPr>
    </w:p>
    <w:p w:rsidR="00916F1F" w:rsidRPr="00EC49F4" w:rsidRDefault="00AA50F3" w:rsidP="00EC49F4">
      <w:pPr>
        <w:pStyle w:val="NoSpacing"/>
        <w:spacing w:line="360" w:lineRule="auto"/>
        <w:rPr>
          <w:rFonts w:ascii="Tw Cen MT" w:hAnsi="Tw Cen MT"/>
          <w:sz w:val="24"/>
          <w:szCs w:val="24"/>
        </w:rPr>
      </w:pPr>
      <w:r w:rsidRPr="00EC49F4">
        <w:rPr>
          <w:rFonts w:ascii="Tw Cen MT" w:hAnsi="Tw Cen MT"/>
          <w:sz w:val="24"/>
          <w:szCs w:val="24"/>
        </w:rPr>
        <w:t>The presence</w:t>
      </w:r>
      <w:r w:rsidR="00DF666B" w:rsidRPr="00EC49F4">
        <w:rPr>
          <w:rFonts w:ascii="Tw Cen MT" w:hAnsi="Tw Cen MT"/>
          <w:sz w:val="24"/>
          <w:szCs w:val="24"/>
        </w:rPr>
        <w:t xml:space="preserve"> </w:t>
      </w:r>
      <w:r w:rsidR="00712D68" w:rsidRPr="00EC49F4">
        <w:rPr>
          <w:rFonts w:ascii="Tw Cen MT" w:hAnsi="Tw Cen MT"/>
          <w:sz w:val="24"/>
          <w:szCs w:val="24"/>
        </w:rPr>
        <w:t>of a Personal Insolvency Practitioner operating</w:t>
      </w:r>
      <w:r w:rsidR="006844CD" w:rsidRPr="00EC49F4">
        <w:rPr>
          <w:rFonts w:ascii="Tw Cen MT" w:hAnsi="Tw Cen MT"/>
          <w:sz w:val="24"/>
          <w:szCs w:val="24"/>
        </w:rPr>
        <w:t xml:space="preserve"> on behalf of the MABS client</w:t>
      </w:r>
      <w:r w:rsidRPr="00EC49F4">
        <w:rPr>
          <w:rFonts w:ascii="Tw Cen MT" w:hAnsi="Tw Cen MT"/>
          <w:sz w:val="24"/>
          <w:szCs w:val="24"/>
        </w:rPr>
        <w:t xml:space="preserve"> group</w:t>
      </w:r>
      <w:r w:rsidR="00DF666B" w:rsidRPr="00EC49F4">
        <w:rPr>
          <w:rFonts w:ascii="Tw Cen MT" w:hAnsi="Tw Cen MT"/>
          <w:sz w:val="24"/>
          <w:szCs w:val="24"/>
        </w:rPr>
        <w:t xml:space="preserve"> within MABS </w:t>
      </w:r>
      <w:r w:rsidRPr="00EC49F4">
        <w:rPr>
          <w:rFonts w:ascii="Tw Cen MT" w:hAnsi="Tw Cen MT"/>
          <w:sz w:val="24"/>
          <w:szCs w:val="24"/>
        </w:rPr>
        <w:t>would enhance MABS capacity</w:t>
      </w:r>
      <w:r w:rsidR="00712D68" w:rsidRPr="00EC49F4">
        <w:rPr>
          <w:rFonts w:ascii="Tw Cen MT" w:hAnsi="Tw Cen MT"/>
          <w:sz w:val="24"/>
          <w:szCs w:val="24"/>
        </w:rPr>
        <w:t xml:space="preserve"> </w:t>
      </w:r>
      <w:r w:rsidR="00DF666B" w:rsidRPr="00EC49F4">
        <w:rPr>
          <w:rFonts w:ascii="Tw Cen MT" w:hAnsi="Tw Cen MT"/>
          <w:sz w:val="24"/>
          <w:szCs w:val="24"/>
        </w:rPr>
        <w:t>to reach solutions for clie</w:t>
      </w:r>
      <w:r w:rsidRPr="00EC49F4">
        <w:rPr>
          <w:rFonts w:ascii="Tw Cen MT" w:hAnsi="Tw Cen MT"/>
          <w:sz w:val="24"/>
          <w:szCs w:val="24"/>
        </w:rPr>
        <w:t>n</w:t>
      </w:r>
      <w:r w:rsidR="00DF666B" w:rsidRPr="00EC49F4">
        <w:rPr>
          <w:rFonts w:ascii="Tw Cen MT" w:hAnsi="Tw Cen MT"/>
          <w:sz w:val="24"/>
          <w:szCs w:val="24"/>
        </w:rPr>
        <w:t>t</w:t>
      </w:r>
      <w:r w:rsidRPr="00EC49F4">
        <w:rPr>
          <w:rFonts w:ascii="Tw Cen MT" w:hAnsi="Tw Cen MT"/>
          <w:sz w:val="24"/>
          <w:szCs w:val="24"/>
        </w:rPr>
        <w:t>s in arrears.  It would also complement</w:t>
      </w:r>
      <w:r w:rsidR="006D60BD" w:rsidRPr="00EC49F4">
        <w:rPr>
          <w:rFonts w:ascii="Tw Cen MT" w:hAnsi="Tw Cen MT"/>
          <w:sz w:val="24"/>
          <w:szCs w:val="24"/>
        </w:rPr>
        <w:t xml:space="preserve"> the </w:t>
      </w:r>
      <w:r w:rsidR="00DF666B" w:rsidRPr="00EC49F4">
        <w:rPr>
          <w:rFonts w:ascii="Tw Cen MT" w:hAnsi="Tw Cen MT"/>
          <w:sz w:val="24"/>
          <w:szCs w:val="24"/>
        </w:rPr>
        <w:t>Abhaile Scheme which is designed to provide voucher support for financial and legal advice for debtors.</w:t>
      </w:r>
      <w:r w:rsidRPr="00EC49F4">
        <w:rPr>
          <w:rFonts w:ascii="Tw Cen MT" w:hAnsi="Tw Cen MT"/>
          <w:sz w:val="24"/>
          <w:szCs w:val="24"/>
        </w:rPr>
        <w:t xml:space="preserve"> </w:t>
      </w:r>
    </w:p>
    <w:p w:rsidR="00916F1F" w:rsidRPr="00EC49F4" w:rsidRDefault="00916F1F" w:rsidP="00EC49F4">
      <w:pPr>
        <w:pStyle w:val="NoSpacing"/>
        <w:spacing w:line="360" w:lineRule="auto"/>
        <w:rPr>
          <w:rFonts w:ascii="Tw Cen MT" w:hAnsi="Tw Cen MT"/>
          <w:sz w:val="24"/>
          <w:szCs w:val="24"/>
        </w:rPr>
      </w:pPr>
    </w:p>
    <w:p w:rsidR="004E3103" w:rsidRPr="00A56E11" w:rsidRDefault="004E3103" w:rsidP="00EC49F4">
      <w:pPr>
        <w:pStyle w:val="Heading3"/>
        <w:spacing w:line="360" w:lineRule="auto"/>
        <w:rPr>
          <w:rFonts w:ascii="Tw Cen MT" w:hAnsi="Tw Cen MT"/>
          <w:sz w:val="28"/>
          <w:szCs w:val="28"/>
        </w:rPr>
      </w:pPr>
      <w:r w:rsidRPr="00A56E11">
        <w:rPr>
          <w:rFonts w:ascii="Tw Cen MT" w:hAnsi="Tw Cen MT"/>
          <w:sz w:val="28"/>
          <w:szCs w:val="28"/>
        </w:rPr>
        <w:t xml:space="preserve">Recommendations </w:t>
      </w:r>
      <w:r w:rsidR="00A56E11" w:rsidRPr="00A56E11">
        <w:rPr>
          <w:rFonts w:ascii="Tw Cen MT" w:hAnsi="Tw Cen MT"/>
          <w:sz w:val="28"/>
          <w:szCs w:val="28"/>
        </w:rPr>
        <w:t>– I</w:t>
      </w:r>
      <w:r w:rsidR="009C1F76" w:rsidRPr="00A56E11">
        <w:rPr>
          <w:rFonts w:ascii="Tw Cen MT" w:hAnsi="Tw Cen MT"/>
          <w:sz w:val="28"/>
          <w:szCs w:val="28"/>
        </w:rPr>
        <w:t>ndebtedness</w:t>
      </w:r>
      <w:r w:rsidR="00A56E11">
        <w:rPr>
          <w:rFonts w:ascii="Tw Cen MT" w:hAnsi="Tw Cen MT"/>
          <w:sz w:val="28"/>
          <w:szCs w:val="28"/>
        </w:rPr>
        <w:t>:</w:t>
      </w:r>
    </w:p>
    <w:p w:rsidR="009C1F76" w:rsidRPr="00AB5B37" w:rsidRDefault="009C1F76" w:rsidP="00EC49F4">
      <w:pPr>
        <w:pStyle w:val="Heading3"/>
        <w:spacing w:line="360" w:lineRule="auto"/>
        <w:rPr>
          <w:rFonts w:ascii="Tw Cen MT" w:hAnsi="Tw Cen MT"/>
          <w:b w:val="0"/>
          <w:color w:val="auto"/>
        </w:rPr>
      </w:pPr>
      <w:r w:rsidRPr="00AB5B37">
        <w:rPr>
          <w:rFonts w:ascii="Tw Cen MT" w:hAnsi="Tw Cen MT"/>
          <w:b w:val="0"/>
          <w:color w:val="auto"/>
        </w:rPr>
        <w:t xml:space="preserve">Based on the evidence provided by MABS with regard to indebtedness and on the impact of mortgage arrears and household debt burdens on low income clients, CIB makes the following recommendations:- </w:t>
      </w:r>
    </w:p>
    <w:p w:rsidR="009C1F76" w:rsidRPr="00AB5B37" w:rsidRDefault="009C1F76" w:rsidP="00EC49F4">
      <w:pPr>
        <w:pStyle w:val="Heading3"/>
        <w:numPr>
          <w:ilvl w:val="0"/>
          <w:numId w:val="38"/>
        </w:numPr>
        <w:spacing w:line="360" w:lineRule="auto"/>
        <w:ind w:left="360"/>
        <w:rPr>
          <w:rFonts w:ascii="Tw Cen MT" w:hAnsi="Tw Cen MT"/>
          <w:b w:val="0"/>
          <w:color w:val="auto"/>
        </w:rPr>
      </w:pPr>
      <w:r w:rsidRPr="00AB5B37">
        <w:rPr>
          <w:rFonts w:ascii="Tw Cen MT" w:hAnsi="Tw Cen MT"/>
          <w:b w:val="0"/>
          <w:color w:val="auto"/>
        </w:rPr>
        <w:t xml:space="preserve">Place greater emphasis on the issue of financial inclusion in line with the Joint Oireachtas Committee on Finance, Public Expenditure and Reform and Taoiseach recommendations; </w:t>
      </w:r>
    </w:p>
    <w:p w:rsidR="009C1F76" w:rsidRPr="00AB5B37" w:rsidRDefault="009C1F76" w:rsidP="00EC49F4">
      <w:pPr>
        <w:pStyle w:val="Heading3"/>
        <w:numPr>
          <w:ilvl w:val="0"/>
          <w:numId w:val="38"/>
        </w:numPr>
        <w:spacing w:line="360" w:lineRule="auto"/>
        <w:ind w:left="360"/>
        <w:rPr>
          <w:rFonts w:ascii="Tw Cen MT" w:hAnsi="Tw Cen MT"/>
          <w:b w:val="0"/>
          <w:color w:val="auto"/>
        </w:rPr>
      </w:pPr>
      <w:r w:rsidRPr="00AB5B37">
        <w:rPr>
          <w:rFonts w:ascii="Tw Cen MT" w:hAnsi="Tw Cen MT"/>
          <w:b w:val="0"/>
          <w:color w:val="auto"/>
        </w:rPr>
        <w:t xml:space="preserve">Provide funding for consumer education on sustainable credit, with a particular emphasis on low income groups; </w:t>
      </w:r>
    </w:p>
    <w:p w:rsidR="009C1F76" w:rsidRPr="00AB5B37" w:rsidRDefault="009C1F76" w:rsidP="00EC49F4">
      <w:pPr>
        <w:pStyle w:val="Heading3"/>
        <w:numPr>
          <w:ilvl w:val="0"/>
          <w:numId w:val="38"/>
        </w:numPr>
        <w:spacing w:line="360" w:lineRule="auto"/>
        <w:ind w:left="360"/>
        <w:rPr>
          <w:rFonts w:ascii="Tw Cen MT" w:hAnsi="Tw Cen MT"/>
          <w:b w:val="0"/>
          <w:color w:val="auto"/>
        </w:rPr>
      </w:pPr>
      <w:r w:rsidRPr="00AB5B37">
        <w:rPr>
          <w:rFonts w:ascii="Tw Cen MT" w:hAnsi="Tw Cen MT"/>
          <w:b w:val="0"/>
          <w:color w:val="auto"/>
        </w:rPr>
        <w:t xml:space="preserve">Reduce the three year supervision period for Debt Relief Notices from three years to one year;  </w:t>
      </w:r>
    </w:p>
    <w:p w:rsidR="00712D68" w:rsidRPr="00AB5B37" w:rsidRDefault="009E4544" w:rsidP="00EC49F4">
      <w:pPr>
        <w:pStyle w:val="Heading3"/>
        <w:numPr>
          <w:ilvl w:val="0"/>
          <w:numId w:val="38"/>
        </w:numPr>
        <w:spacing w:line="360" w:lineRule="auto"/>
        <w:ind w:left="360"/>
        <w:rPr>
          <w:rFonts w:ascii="Tw Cen MT" w:hAnsi="Tw Cen MT"/>
          <w:b w:val="0"/>
          <w:color w:val="auto"/>
        </w:rPr>
      </w:pPr>
      <w:r w:rsidRPr="00AB5B37">
        <w:rPr>
          <w:rFonts w:ascii="Tw Cen MT" w:hAnsi="Tw Cen MT"/>
          <w:b w:val="0"/>
          <w:color w:val="auto"/>
        </w:rPr>
        <w:lastRenderedPageBreak/>
        <w:t>Review the concept of ‘excludable debts’ in D</w:t>
      </w:r>
      <w:r w:rsidR="009C1F76" w:rsidRPr="00AB5B37">
        <w:rPr>
          <w:rFonts w:ascii="Tw Cen MT" w:hAnsi="Tw Cen MT"/>
          <w:b w:val="0"/>
          <w:color w:val="auto"/>
        </w:rPr>
        <w:t xml:space="preserve">ebt </w:t>
      </w:r>
      <w:r w:rsidRPr="00AB5B37">
        <w:rPr>
          <w:rFonts w:ascii="Tw Cen MT" w:hAnsi="Tw Cen MT"/>
          <w:b w:val="0"/>
          <w:color w:val="auto"/>
        </w:rPr>
        <w:t>R</w:t>
      </w:r>
      <w:r w:rsidR="009C1F76" w:rsidRPr="00AB5B37">
        <w:rPr>
          <w:rFonts w:ascii="Tw Cen MT" w:hAnsi="Tw Cen MT"/>
          <w:b w:val="0"/>
          <w:color w:val="auto"/>
        </w:rPr>
        <w:t xml:space="preserve">elief </w:t>
      </w:r>
      <w:r w:rsidRPr="00AB5B37">
        <w:rPr>
          <w:rFonts w:ascii="Tw Cen MT" w:hAnsi="Tw Cen MT"/>
          <w:b w:val="0"/>
          <w:color w:val="auto"/>
        </w:rPr>
        <w:t>N</w:t>
      </w:r>
      <w:r w:rsidR="009C1F76" w:rsidRPr="00AB5B37">
        <w:rPr>
          <w:rFonts w:ascii="Tw Cen MT" w:hAnsi="Tw Cen MT"/>
          <w:b w:val="0"/>
          <w:color w:val="auto"/>
        </w:rPr>
        <w:t>otices;</w:t>
      </w:r>
    </w:p>
    <w:p w:rsidR="009E4544" w:rsidRPr="00AB5B37" w:rsidRDefault="009C1F76" w:rsidP="00EC49F4">
      <w:pPr>
        <w:pStyle w:val="Heading3"/>
        <w:numPr>
          <w:ilvl w:val="0"/>
          <w:numId w:val="38"/>
        </w:numPr>
        <w:spacing w:line="360" w:lineRule="auto"/>
        <w:ind w:left="360"/>
        <w:rPr>
          <w:rFonts w:ascii="Tw Cen MT" w:hAnsi="Tw Cen MT"/>
          <w:b w:val="0"/>
          <w:color w:val="auto"/>
        </w:rPr>
      </w:pPr>
      <w:r w:rsidRPr="00AB5B37">
        <w:rPr>
          <w:rFonts w:ascii="Tw Cen MT" w:hAnsi="Tw Cen MT"/>
          <w:b w:val="0"/>
          <w:color w:val="auto"/>
        </w:rPr>
        <w:t>R</w:t>
      </w:r>
      <w:r w:rsidR="009E4544" w:rsidRPr="00AB5B37">
        <w:rPr>
          <w:rFonts w:ascii="Tw Cen MT" w:hAnsi="Tw Cen MT"/>
          <w:b w:val="0"/>
          <w:noProof w:val="0"/>
          <w:color w:val="auto"/>
          <w:lang w:val="en-IE"/>
        </w:rPr>
        <w:t>emove</w:t>
      </w:r>
      <w:r w:rsidR="00AB5B37">
        <w:rPr>
          <w:rFonts w:ascii="Tw Cen MT" w:hAnsi="Tw Cen MT"/>
          <w:b w:val="0"/>
          <w:noProof w:val="0"/>
          <w:color w:val="auto"/>
          <w:lang w:val="en-IE"/>
        </w:rPr>
        <w:t xml:space="preserve"> </w:t>
      </w:r>
      <w:r w:rsidR="009E4544" w:rsidRPr="00AB5B37">
        <w:rPr>
          <w:rFonts w:ascii="Tw Cen MT" w:hAnsi="Tw Cen MT"/>
          <w:b w:val="0"/>
          <w:noProof w:val="0"/>
          <w:color w:val="auto"/>
          <w:lang w:val="en-IE"/>
        </w:rPr>
        <w:t>‘preference’ from the eligibility criteria for DRNs, or only retain as a ground for a creditor objection si</w:t>
      </w:r>
      <w:r w:rsidRPr="00AB5B37">
        <w:rPr>
          <w:rFonts w:ascii="Tw Cen MT" w:hAnsi="Tw Cen MT"/>
          <w:b w:val="0"/>
          <w:color w:val="auto"/>
        </w:rPr>
        <w:t>milar to DSA and PIA or</w:t>
      </w:r>
      <w:r w:rsidR="000E0ACA" w:rsidRPr="00AB5B37">
        <w:rPr>
          <w:rFonts w:ascii="Tw Cen MT" w:hAnsi="Tw Cen MT"/>
          <w:b w:val="0"/>
          <w:color w:val="auto"/>
        </w:rPr>
        <w:t xml:space="preserve"> alternatively</w:t>
      </w:r>
      <w:r w:rsidRPr="00AB5B37">
        <w:rPr>
          <w:rFonts w:ascii="Tw Cen MT" w:hAnsi="Tw Cen MT"/>
          <w:b w:val="0"/>
          <w:color w:val="auto"/>
        </w:rPr>
        <w:t>, r</w:t>
      </w:r>
      <w:r w:rsidR="009E4544" w:rsidRPr="00AB5B37">
        <w:rPr>
          <w:rFonts w:ascii="Tw Cen MT" w:hAnsi="Tw Cen MT"/>
          <w:b w:val="0"/>
          <w:noProof w:val="0"/>
          <w:color w:val="auto"/>
          <w:lang w:val="en-IE"/>
        </w:rPr>
        <w:t>emove from the preference test ‘priority’ payments such as housing, utilities etc.</w:t>
      </w:r>
      <w:r w:rsidRPr="00AB5B37">
        <w:rPr>
          <w:rFonts w:ascii="Tw Cen MT" w:hAnsi="Tw Cen MT"/>
          <w:b w:val="0"/>
          <w:color w:val="auto"/>
        </w:rPr>
        <w:t>;</w:t>
      </w:r>
    </w:p>
    <w:p w:rsidR="009E4544" w:rsidRPr="00AB5B37" w:rsidRDefault="009C1F76" w:rsidP="00EC49F4">
      <w:pPr>
        <w:pStyle w:val="Heading3"/>
        <w:numPr>
          <w:ilvl w:val="0"/>
          <w:numId w:val="38"/>
        </w:numPr>
        <w:spacing w:line="360" w:lineRule="auto"/>
        <w:ind w:left="360"/>
        <w:rPr>
          <w:rFonts w:ascii="Tw Cen MT" w:hAnsi="Tw Cen MT"/>
          <w:b w:val="0"/>
          <w:color w:val="auto"/>
        </w:rPr>
      </w:pPr>
      <w:r w:rsidRPr="00AB5B37">
        <w:rPr>
          <w:rFonts w:ascii="Tw Cen MT" w:hAnsi="Tw Cen MT"/>
          <w:b w:val="0"/>
          <w:color w:val="auto"/>
        </w:rPr>
        <w:t>With regard to Reasonable Living Expenses, c</w:t>
      </w:r>
      <w:r w:rsidR="009E4544" w:rsidRPr="00AB5B37">
        <w:rPr>
          <w:rFonts w:ascii="Tw Cen MT" w:hAnsi="Tw Cen MT"/>
          <w:b w:val="0"/>
          <w:color w:val="auto"/>
        </w:rPr>
        <w:t xml:space="preserve">hange the wording </w:t>
      </w:r>
      <w:r w:rsidRPr="00AB5B37">
        <w:rPr>
          <w:rFonts w:ascii="Tw Cen MT" w:hAnsi="Tw Cen MT"/>
          <w:b w:val="0"/>
          <w:color w:val="auto"/>
        </w:rPr>
        <w:t>of the DRN legislation - Section 65(2)(c) and Section (2)(e) - to “may” as opposed to “shall”;</w:t>
      </w:r>
      <w:r w:rsidR="009E4544" w:rsidRPr="00AB5B37">
        <w:rPr>
          <w:rFonts w:ascii="Tw Cen MT" w:hAnsi="Tw Cen MT"/>
          <w:b w:val="0"/>
          <w:color w:val="auto"/>
        </w:rPr>
        <w:t xml:space="preserve">  </w:t>
      </w:r>
    </w:p>
    <w:p w:rsidR="009C1F76" w:rsidRPr="00AB5B37" w:rsidRDefault="009C1F76" w:rsidP="00EC49F4">
      <w:pPr>
        <w:pStyle w:val="Heading3"/>
        <w:numPr>
          <w:ilvl w:val="0"/>
          <w:numId w:val="38"/>
        </w:numPr>
        <w:spacing w:line="360" w:lineRule="auto"/>
        <w:ind w:left="360"/>
        <w:rPr>
          <w:rFonts w:ascii="Tw Cen MT" w:hAnsi="Tw Cen MT"/>
          <w:b w:val="0"/>
          <w:noProof w:val="0"/>
          <w:color w:val="auto"/>
        </w:rPr>
      </w:pPr>
      <w:r w:rsidRPr="00AB5B37">
        <w:rPr>
          <w:rFonts w:ascii="Tw Cen MT" w:hAnsi="Tw Cen MT"/>
          <w:b w:val="0"/>
          <w:noProof w:val="0"/>
          <w:color w:val="auto"/>
        </w:rPr>
        <w:t>Provide broader access to insolvenc</w:t>
      </w:r>
      <w:r w:rsidR="001B78B2">
        <w:rPr>
          <w:rFonts w:ascii="Tw Cen MT" w:hAnsi="Tw Cen MT"/>
          <w:b w:val="0"/>
          <w:noProof w:val="0"/>
          <w:color w:val="auto"/>
        </w:rPr>
        <w:t xml:space="preserve">y solutions by funding a Public </w:t>
      </w:r>
      <w:r w:rsidRPr="00AB5B37">
        <w:rPr>
          <w:rFonts w:ascii="Tw Cen MT" w:hAnsi="Tw Cen MT"/>
          <w:b w:val="0"/>
          <w:noProof w:val="0"/>
          <w:color w:val="auto"/>
        </w:rPr>
        <w:t>Personal Insolvency Service</w:t>
      </w:r>
      <w:r w:rsidR="00C705BD" w:rsidRPr="00AB5B37">
        <w:rPr>
          <w:rFonts w:ascii="Tw Cen MT" w:hAnsi="Tw Cen MT"/>
          <w:b w:val="0"/>
          <w:color w:val="auto"/>
        </w:rPr>
        <w:t xml:space="preserve"> and e</w:t>
      </w:r>
      <w:r w:rsidRPr="00AB5B37">
        <w:rPr>
          <w:rFonts w:ascii="Tw Cen MT" w:hAnsi="Tw Cen MT"/>
          <w:b w:val="0"/>
          <w:noProof w:val="0"/>
          <w:color w:val="auto"/>
        </w:rPr>
        <w:t>nhance MABS to include PIP services on a means</w:t>
      </w:r>
      <w:r w:rsidRPr="00AB5B37">
        <w:rPr>
          <w:rFonts w:ascii="Tw Cen MT" w:hAnsi="Tw Cen MT"/>
          <w:b w:val="0"/>
          <w:color w:val="auto"/>
        </w:rPr>
        <w:t>-</w:t>
      </w:r>
      <w:r w:rsidRPr="00AB5B37">
        <w:rPr>
          <w:rFonts w:ascii="Tw Cen MT" w:hAnsi="Tw Cen MT"/>
          <w:b w:val="0"/>
          <w:noProof w:val="0"/>
          <w:color w:val="auto"/>
        </w:rPr>
        <w:t xml:space="preserve">tested basis. </w:t>
      </w:r>
    </w:p>
    <w:p w:rsidR="009E4544" w:rsidRPr="00EC49F4" w:rsidRDefault="009E4544" w:rsidP="00EC49F4">
      <w:pPr>
        <w:pStyle w:val="NoSpacing"/>
        <w:spacing w:line="360" w:lineRule="auto"/>
        <w:rPr>
          <w:rFonts w:ascii="Tw Cen MT" w:hAnsi="Tw Cen MT"/>
          <w:sz w:val="24"/>
          <w:szCs w:val="24"/>
        </w:rPr>
      </w:pPr>
    </w:p>
    <w:sectPr w:rsidR="009E4544" w:rsidRPr="00EC49F4" w:rsidSect="00FA2B2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59" w:rsidRDefault="00EF3D59" w:rsidP="00C9615E">
      <w:pPr>
        <w:spacing w:after="0" w:line="240" w:lineRule="auto"/>
      </w:pPr>
      <w:r>
        <w:separator/>
      </w:r>
    </w:p>
  </w:endnote>
  <w:endnote w:type="continuationSeparator" w:id="0">
    <w:p w:rsidR="00EF3D59" w:rsidRDefault="00EF3D59" w:rsidP="00C9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liss-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B" w:rsidRDefault="00890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1542615"/>
      <w:docPartObj>
        <w:docPartGallery w:val="Page Numbers (Bottom of Page)"/>
        <w:docPartUnique/>
      </w:docPartObj>
    </w:sdtPr>
    <w:sdtEndPr>
      <w:rPr>
        <w:noProof/>
      </w:rPr>
    </w:sdtEndPr>
    <w:sdtContent>
      <w:p w:rsidR="00093269" w:rsidRDefault="00093269">
        <w:pPr>
          <w:pStyle w:val="Footer"/>
          <w:jc w:val="right"/>
        </w:pPr>
        <w:r>
          <w:rPr>
            <w:noProof w:val="0"/>
          </w:rPr>
          <w:fldChar w:fldCharType="begin"/>
        </w:r>
        <w:r>
          <w:instrText xml:space="preserve"> PAGE   \* MERGEFORMAT </w:instrText>
        </w:r>
        <w:r>
          <w:rPr>
            <w:noProof w:val="0"/>
          </w:rPr>
          <w:fldChar w:fldCharType="separate"/>
        </w:r>
        <w:r w:rsidR="0089002B">
          <w:t>4</w:t>
        </w:r>
        <w:r>
          <w:fldChar w:fldCharType="end"/>
        </w:r>
      </w:p>
    </w:sdtContent>
  </w:sdt>
  <w:p w:rsidR="0095253C" w:rsidRDefault="009525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B" w:rsidRDefault="00890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59" w:rsidRDefault="00EF3D59" w:rsidP="00C9615E">
      <w:pPr>
        <w:spacing w:after="0" w:line="240" w:lineRule="auto"/>
      </w:pPr>
      <w:r>
        <w:separator/>
      </w:r>
    </w:p>
  </w:footnote>
  <w:footnote w:type="continuationSeparator" w:id="0">
    <w:p w:rsidR="00EF3D59" w:rsidRDefault="00EF3D59" w:rsidP="00C9615E">
      <w:pPr>
        <w:spacing w:after="0" w:line="240" w:lineRule="auto"/>
      </w:pPr>
      <w:r>
        <w:continuationSeparator/>
      </w:r>
    </w:p>
  </w:footnote>
  <w:footnote w:id="1">
    <w:p w:rsidR="00703591" w:rsidRPr="00A70A2C" w:rsidRDefault="00703591" w:rsidP="00A70A2C">
      <w:pPr>
        <w:spacing w:after="0" w:line="240" w:lineRule="auto"/>
        <w:jc w:val="both"/>
        <w:rPr>
          <w:sz w:val="18"/>
          <w:szCs w:val="18"/>
        </w:rPr>
      </w:pPr>
      <w:r w:rsidRPr="00A70A2C">
        <w:rPr>
          <w:rStyle w:val="FootnoteReference"/>
          <w:sz w:val="18"/>
          <w:szCs w:val="18"/>
        </w:rPr>
        <w:footnoteRef/>
      </w:r>
      <w:r w:rsidRPr="00A70A2C">
        <w:rPr>
          <w:sz w:val="18"/>
          <w:szCs w:val="18"/>
        </w:rPr>
        <w:t xml:space="preserve"> </w:t>
      </w:r>
      <w:r w:rsidR="00A70A2C" w:rsidRPr="00A70A2C">
        <w:rPr>
          <w:i/>
          <w:sz w:val="18"/>
          <w:szCs w:val="18"/>
        </w:rPr>
        <w:t>NAS provided representative advocacy to 850 people in 2017, and supported 2,426 people with information, advice, and other advocacy supports</w:t>
      </w:r>
      <w:r w:rsidR="00A70A2C" w:rsidRPr="00A70A2C">
        <w:rPr>
          <w:sz w:val="18"/>
          <w:szCs w:val="18"/>
        </w:rPr>
        <w:t>.</w:t>
      </w:r>
    </w:p>
  </w:footnote>
  <w:footnote w:id="2">
    <w:p w:rsidR="00C9615E" w:rsidRPr="00DC16C1" w:rsidRDefault="00C9615E">
      <w:pPr>
        <w:pStyle w:val="FootnoteText"/>
        <w:rPr>
          <w:i/>
          <w:sz w:val="18"/>
          <w:szCs w:val="18"/>
          <w:lang w:val="en-IE"/>
        </w:rPr>
      </w:pPr>
      <w:r w:rsidRPr="00DC16C1">
        <w:rPr>
          <w:rStyle w:val="FootnoteReference"/>
          <w:i/>
          <w:sz w:val="18"/>
          <w:szCs w:val="18"/>
        </w:rPr>
        <w:footnoteRef/>
      </w:r>
      <w:r w:rsidRPr="00DC16C1">
        <w:rPr>
          <w:i/>
          <w:sz w:val="18"/>
          <w:szCs w:val="18"/>
        </w:rPr>
        <w:t xml:space="preserve"> </w:t>
      </w:r>
      <w:r w:rsidR="00DC73B5" w:rsidRPr="00DC16C1">
        <w:rPr>
          <w:i/>
          <w:sz w:val="18"/>
          <w:szCs w:val="18"/>
        </w:rPr>
        <w:t xml:space="preserve">CISs </w:t>
      </w:r>
      <w:r w:rsidR="00DC73B5" w:rsidRPr="00DC16C1">
        <w:rPr>
          <w:i/>
          <w:sz w:val="18"/>
          <w:szCs w:val="18"/>
          <w:lang w:val="en-IE"/>
        </w:rPr>
        <w:t xml:space="preserve">dealt with </w:t>
      </w:r>
      <w:r w:rsidRPr="00DC16C1">
        <w:rPr>
          <w:i/>
          <w:sz w:val="18"/>
          <w:szCs w:val="18"/>
          <w:lang w:val="en-IE"/>
        </w:rPr>
        <w:t xml:space="preserve">over </w:t>
      </w:r>
      <w:r w:rsidR="00834F58" w:rsidRPr="00DC16C1">
        <w:rPr>
          <w:i/>
          <w:sz w:val="18"/>
          <w:szCs w:val="18"/>
          <w:lang w:val="en-IE"/>
        </w:rPr>
        <w:t>one</w:t>
      </w:r>
      <w:r w:rsidRPr="00DC16C1">
        <w:rPr>
          <w:i/>
          <w:sz w:val="18"/>
          <w:szCs w:val="18"/>
          <w:lang w:val="en-IE"/>
        </w:rPr>
        <w:t xml:space="preserve"> million queries in 2017 on all aspects of rights and entitlements to public services.</w:t>
      </w:r>
    </w:p>
  </w:footnote>
  <w:footnote w:id="3">
    <w:p w:rsidR="00301B27" w:rsidRPr="00DC16C1" w:rsidRDefault="00301B27">
      <w:pPr>
        <w:pStyle w:val="FootnoteText"/>
        <w:rPr>
          <w:i/>
          <w:sz w:val="18"/>
          <w:szCs w:val="18"/>
          <w:lang w:val="en-IE"/>
        </w:rPr>
      </w:pPr>
      <w:r w:rsidRPr="00DC16C1">
        <w:rPr>
          <w:rStyle w:val="FootnoteReference"/>
          <w:i/>
          <w:sz w:val="18"/>
          <w:szCs w:val="18"/>
        </w:rPr>
        <w:footnoteRef/>
      </w:r>
      <w:r w:rsidRPr="00DC16C1">
        <w:rPr>
          <w:i/>
          <w:sz w:val="18"/>
          <w:szCs w:val="18"/>
        </w:rPr>
        <w:t xml:space="preserve"> </w:t>
      </w:r>
      <w:r w:rsidRPr="00DC16C1">
        <w:rPr>
          <w:i/>
          <w:sz w:val="18"/>
          <w:szCs w:val="18"/>
          <w:lang w:val="en-IE"/>
        </w:rPr>
        <w:t>Includes 2</w:t>
      </w:r>
      <w:r w:rsidR="00A70A2C">
        <w:rPr>
          <w:i/>
          <w:sz w:val="18"/>
          <w:szCs w:val="18"/>
          <w:lang w:val="en-IE"/>
        </w:rPr>
        <w:t xml:space="preserve">4,659 </w:t>
      </w:r>
      <w:r w:rsidRPr="00DC16C1">
        <w:rPr>
          <w:i/>
          <w:sz w:val="18"/>
          <w:szCs w:val="18"/>
          <w:lang w:val="en-IE"/>
        </w:rPr>
        <w:t>callers to the MABS Helpline</w:t>
      </w:r>
      <w:r w:rsidR="00A70A2C">
        <w:rPr>
          <w:i/>
          <w:sz w:val="18"/>
          <w:szCs w:val="18"/>
          <w:lang w:val="en-IE"/>
        </w:rPr>
        <w:t>.</w:t>
      </w:r>
    </w:p>
  </w:footnote>
  <w:footnote w:id="4">
    <w:p w:rsidR="004C256D" w:rsidRPr="00AB5B37" w:rsidRDefault="004C256D">
      <w:pPr>
        <w:pStyle w:val="FootnoteText"/>
        <w:rPr>
          <w:i/>
          <w:sz w:val="18"/>
          <w:szCs w:val="18"/>
          <w:lang w:val="en-IE"/>
        </w:rPr>
      </w:pPr>
      <w:r w:rsidRPr="00AB5B37">
        <w:rPr>
          <w:rStyle w:val="FootnoteReference"/>
          <w:i/>
          <w:sz w:val="18"/>
          <w:szCs w:val="18"/>
        </w:rPr>
        <w:footnoteRef/>
      </w:r>
      <w:r w:rsidRPr="00AB5B37">
        <w:rPr>
          <w:i/>
          <w:sz w:val="18"/>
          <w:szCs w:val="18"/>
        </w:rPr>
        <w:t xml:space="preserve"> </w:t>
      </w:r>
      <w:r w:rsidRPr="00AB5B37">
        <w:rPr>
          <w:i/>
          <w:sz w:val="18"/>
          <w:szCs w:val="18"/>
          <w:lang w:val="en-IE"/>
        </w:rPr>
        <w:t>Social Welfare Appeals Office Annual Report 2017</w:t>
      </w:r>
      <w:r w:rsidR="008D3B8C" w:rsidRPr="00AB5B37">
        <w:rPr>
          <w:i/>
          <w:sz w:val="18"/>
          <w:szCs w:val="18"/>
          <w:lang w:val="en-IE"/>
        </w:rPr>
        <w:t xml:space="preserve"> </w:t>
      </w:r>
      <w:r w:rsidRPr="00AB5B37">
        <w:rPr>
          <w:i/>
          <w:sz w:val="18"/>
          <w:szCs w:val="18"/>
          <w:lang w:val="en-IE"/>
        </w:rPr>
        <w:t>reported that 73% of Disability Allowance appeals were allowed, partially allowed or received a revised DO decision</w:t>
      </w:r>
      <w:r w:rsidR="008D3B8C" w:rsidRPr="00AB5B37">
        <w:rPr>
          <w:i/>
          <w:sz w:val="18"/>
          <w:szCs w:val="18"/>
          <w:lang w:val="en-IE"/>
        </w:rPr>
        <w:t xml:space="preserve">. This figure stood at 63% for Carer’s Allowance appeals, 81% for </w:t>
      </w:r>
      <w:r w:rsidR="00956104" w:rsidRPr="00AB5B37">
        <w:rPr>
          <w:i/>
          <w:sz w:val="18"/>
          <w:szCs w:val="18"/>
          <w:lang w:val="en-IE"/>
        </w:rPr>
        <w:t>Domiciliary Care Allowance (</w:t>
      </w:r>
      <w:r w:rsidR="008D3B8C" w:rsidRPr="00AB5B37">
        <w:rPr>
          <w:i/>
          <w:sz w:val="18"/>
          <w:szCs w:val="18"/>
          <w:lang w:val="en-IE"/>
        </w:rPr>
        <w:t>DCA</w:t>
      </w:r>
      <w:r w:rsidR="00956104" w:rsidRPr="00AB5B37">
        <w:rPr>
          <w:i/>
          <w:sz w:val="18"/>
          <w:szCs w:val="18"/>
          <w:lang w:val="en-IE"/>
        </w:rPr>
        <w:t>)</w:t>
      </w:r>
      <w:r w:rsidR="008D3B8C" w:rsidRPr="00AB5B37">
        <w:rPr>
          <w:i/>
          <w:sz w:val="18"/>
          <w:szCs w:val="18"/>
          <w:lang w:val="en-IE"/>
        </w:rPr>
        <w:t xml:space="preserve"> appeals, and 79% for Invalidity Pension appeals.</w:t>
      </w:r>
    </w:p>
  </w:footnote>
  <w:footnote w:id="5">
    <w:p w:rsidR="005F6282" w:rsidRPr="00AB5B37" w:rsidRDefault="005F6282" w:rsidP="005F6282">
      <w:pPr>
        <w:pStyle w:val="FootnoteText"/>
        <w:rPr>
          <w:i/>
          <w:sz w:val="18"/>
          <w:szCs w:val="18"/>
          <w:lang w:val="en-IE"/>
        </w:rPr>
      </w:pPr>
      <w:r w:rsidRPr="00AB5B37">
        <w:rPr>
          <w:rStyle w:val="FootnoteReference"/>
          <w:i/>
          <w:sz w:val="18"/>
          <w:szCs w:val="18"/>
        </w:rPr>
        <w:footnoteRef/>
      </w:r>
      <w:r w:rsidRPr="00AB5B37">
        <w:rPr>
          <w:i/>
          <w:sz w:val="18"/>
          <w:szCs w:val="18"/>
        </w:rPr>
        <w:t xml:space="preserve">See </w:t>
      </w:r>
      <w:r w:rsidR="00122EF5" w:rsidRPr="00AB5B37">
        <w:rPr>
          <w:i/>
          <w:sz w:val="18"/>
          <w:szCs w:val="18"/>
        </w:rPr>
        <w:t xml:space="preserve"> also </w:t>
      </w:r>
      <w:r w:rsidR="00C73A93">
        <w:rPr>
          <w:i/>
          <w:sz w:val="18"/>
          <w:szCs w:val="18"/>
        </w:rPr>
        <w:t>‘</w:t>
      </w:r>
      <w:r w:rsidRPr="00AB5B37">
        <w:rPr>
          <w:i/>
          <w:sz w:val="18"/>
          <w:szCs w:val="18"/>
          <w:lang w:val="en-IE"/>
        </w:rPr>
        <w:t>Hard Times for the Self-employed – Citizens Information and MABS experience</w:t>
      </w:r>
      <w:r w:rsidR="00C73A93">
        <w:rPr>
          <w:i/>
          <w:sz w:val="18"/>
          <w:szCs w:val="18"/>
          <w:lang w:val="en-IE"/>
        </w:rPr>
        <w:t>’</w:t>
      </w:r>
      <w:r w:rsidRPr="00AB5B37">
        <w:rPr>
          <w:i/>
          <w:sz w:val="18"/>
          <w:szCs w:val="18"/>
          <w:lang w:val="en-IE"/>
        </w:rPr>
        <w:t>: A Citizens Information Board Social</w:t>
      </w:r>
      <w:r w:rsidR="0095647D" w:rsidRPr="00AB5B37">
        <w:rPr>
          <w:i/>
          <w:sz w:val="18"/>
          <w:szCs w:val="18"/>
          <w:lang w:val="en-IE"/>
        </w:rPr>
        <w:t xml:space="preserve"> </w:t>
      </w:r>
      <w:r w:rsidRPr="00AB5B37">
        <w:rPr>
          <w:i/>
          <w:sz w:val="18"/>
          <w:szCs w:val="18"/>
          <w:lang w:val="en-IE"/>
        </w:rPr>
        <w:t>Policy Report (2012)</w:t>
      </w:r>
      <w:r w:rsidR="0095647D" w:rsidRPr="00AB5B37">
        <w:rPr>
          <w:i/>
          <w:sz w:val="18"/>
          <w:szCs w:val="18"/>
          <w:lang w:val="en-IE"/>
        </w:rPr>
        <w:t xml:space="preserve"> </w:t>
      </w:r>
      <w:hyperlink r:id="rId1" w:history="1">
        <w:r w:rsidR="0095647D" w:rsidRPr="00AB5B37">
          <w:rPr>
            <w:rStyle w:val="Hyperlink"/>
            <w:i/>
            <w:sz w:val="18"/>
            <w:szCs w:val="18"/>
            <w:lang w:val="en-IE"/>
          </w:rPr>
          <w:t>http://www.citizensinformationboard.ie/downloads/social_policy/Hard_Times_for_Selfemployed_2012.pdf</w:t>
        </w:r>
      </w:hyperlink>
    </w:p>
    <w:p w:rsidR="0095647D" w:rsidRPr="00893D74" w:rsidRDefault="0095647D" w:rsidP="005F6282">
      <w:pPr>
        <w:pStyle w:val="FootnoteText"/>
        <w:rPr>
          <w:sz w:val="18"/>
          <w:szCs w:val="18"/>
          <w:lang w:val="en-IE"/>
        </w:rPr>
      </w:pPr>
    </w:p>
  </w:footnote>
  <w:footnote w:id="6">
    <w:p w:rsidR="003A23A2" w:rsidRPr="005326FF" w:rsidRDefault="003A23A2">
      <w:pPr>
        <w:pStyle w:val="FootnoteText"/>
        <w:rPr>
          <w:lang w:val="en-IE"/>
        </w:rPr>
      </w:pPr>
      <w:r>
        <w:rPr>
          <w:rStyle w:val="FootnoteReference"/>
        </w:rPr>
        <w:footnoteRef/>
      </w:r>
      <w:r>
        <w:t xml:space="preserve"> </w:t>
      </w:r>
      <w:r w:rsidRPr="005326FF">
        <w:rPr>
          <w:i/>
          <w:sz w:val="18"/>
          <w:szCs w:val="18"/>
          <w:lang w:val="en-IE"/>
        </w:rPr>
        <w:t xml:space="preserve">‘Left behind in the cold: Fuel povery, money management and financial difficulty amongst Dublin 10 and 20 MABS clients’, 2017; </w:t>
      </w:r>
      <w:hyperlink r:id="rId2" w:history="1">
        <w:r w:rsidRPr="005326FF">
          <w:rPr>
            <w:rStyle w:val="Hyperlink"/>
            <w:i/>
            <w:sz w:val="18"/>
            <w:szCs w:val="18"/>
            <w:lang w:val="en-IE"/>
          </w:rPr>
          <w:t>https://www.mabs.ie/downloads/reports_submissions/Left_Behind_in_the_Cold_Dublin_10_and_20_MABS_Report.pdf</w:t>
        </w:r>
      </w:hyperlink>
      <w:r>
        <w:rPr>
          <w:lang w:val="en-IE"/>
        </w:rPr>
        <w:t xml:space="preserve"> </w:t>
      </w:r>
    </w:p>
  </w:footnote>
  <w:footnote w:id="7">
    <w:p w:rsidR="005C0798" w:rsidRPr="00370A29" w:rsidRDefault="005C0798">
      <w:pPr>
        <w:pStyle w:val="FootnoteText"/>
        <w:rPr>
          <w:i/>
          <w:sz w:val="18"/>
          <w:szCs w:val="18"/>
          <w:lang w:val="en-IE"/>
        </w:rPr>
      </w:pPr>
      <w:r>
        <w:rPr>
          <w:rStyle w:val="FootnoteReference"/>
        </w:rPr>
        <w:footnoteRef/>
      </w:r>
      <w:r>
        <w:t xml:space="preserve"> </w:t>
      </w:r>
      <w:r w:rsidRPr="00370A29">
        <w:rPr>
          <w:i/>
          <w:sz w:val="18"/>
          <w:szCs w:val="18"/>
        </w:rPr>
        <w:t>Projections of demand for healthcare in Ireland, 2015-2030: First report from the Hippocrates Model, ESRI, 2018</w:t>
      </w:r>
    </w:p>
  </w:footnote>
  <w:footnote w:id="8">
    <w:p w:rsidR="00596963" w:rsidRDefault="00596963">
      <w:pPr>
        <w:pStyle w:val="FootnoteText"/>
        <w:rPr>
          <w:i/>
          <w:sz w:val="18"/>
          <w:szCs w:val="18"/>
        </w:rPr>
      </w:pPr>
      <w:r w:rsidRPr="008B1BB7">
        <w:rPr>
          <w:rStyle w:val="FootnoteReference"/>
          <w:i/>
          <w:sz w:val="18"/>
          <w:szCs w:val="18"/>
        </w:rPr>
        <w:footnoteRef/>
      </w:r>
      <w:r w:rsidRPr="008B1BB7">
        <w:rPr>
          <w:i/>
          <w:sz w:val="18"/>
          <w:szCs w:val="18"/>
        </w:rPr>
        <w:t xml:space="preserve"> </w:t>
      </w:r>
      <w:hyperlink r:id="rId3" w:history="1">
        <w:r w:rsidR="00BF49EB" w:rsidRPr="00F44EE7">
          <w:rPr>
            <w:rStyle w:val="Hyperlink"/>
            <w:i/>
            <w:sz w:val="18"/>
            <w:szCs w:val="18"/>
          </w:rPr>
          <w:t>http://www.citizensinformationboard.ie/downloads/social_policy/HAP_Report_CIB_2017.pdf</w:t>
        </w:r>
      </w:hyperlink>
    </w:p>
    <w:p w:rsidR="00BF49EB" w:rsidRPr="008B1BB7" w:rsidRDefault="00BF49EB">
      <w:pPr>
        <w:pStyle w:val="FootnoteText"/>
        <w:rPr>
          <w:i/>
          <w:sz w:val="18"/>
          <w:szCs w:val="18"/>
          <w:lang w:val="en-IE"/>
        </w:rPr>
      </w:pPr>
    </w:p>
  </w:footnote>
  <w:footnote w:id="9">
    <w:p w:rsidR="00712D68" w:rsidRPr="00AB5B37" w:rsidRDefault="00712D68" w:rsidP="00712D68">
      <w:pPr>
        <w:pStyle w:val="FootnoteText"/>
        <w:rPr>
          <w:sz w:val="18"/>
          <w:szCs w:val="18"/>
        </w:rPr>
      </w:pPr>
      <w:r w:rsidRPr="00AB5B37">
        <w:rPr>
          <w:rStyle w:val="FootnoteReference"/>
          <w:i/>
          <w:sz w:val="18"/>
          <w:szCs w:val="18"/>
        </w:rPr>
        <w:footnoteRef/>
      </w:r>
      <w:r w:rsidRPr="00AB5B37">
        <w:rPr>
          <w:i/>
          <w:sz w:val="18"/>
          <w:szCs w:val="18"/>
        </w:rPr>
        <w:t xml:space="preserve"> See </w:t>
      </w:r>
      <w:hyperlink r:id="rId4" w:history="1">
        <w:r w:rsidRPr="00AB5B37">
          <w:rPr>
            <w:i/>
            <w:color w:val="0000FF" w:themeColor="hyperlink"/>
            <w:sz w:val="18"/>
            <w:szCs w:val="18"/>
            <w:u w:val="single"/>
          </w:rPr>
          <w:t>https://www.mabs.ie/en/about_us/mabs_statistics.html</w:t>
        </w:r>
      </w:hyperlink>
      <w:r w:rsidRPr="00AB5B37">
        <w:rPr>
          <w:i/>
          <w:sz w:val="18"/>
          <w:szCs w:val="18"/>
        </w:rPr>
        <w:t xml:space="preserve">, </w:t>
      </w:r>
    </w:p>
  </w:footnote>
  <w:footnote w:id="10">
    <w:p w:rsidR="00712D68" w:rsidRPr="00AB5B37" w:rsidRDefault="00712D68" w:rsidP="00712D68">
      <w:pPr>
        <w:pStyle w:val="FootnoteText"/>
        <w:rPr>
          <w:i/>
          <w:sz w:val="18"/>
          <w:szCs w:val="18"/>
        </w:rPr>
      </w:pPr>
      <w:r w:rsidRPr="00AB5B37">
        <w:rPr>
          <w:rStyle w:val="FootnoteReference"/>
          <w:i/>
          <w:sz w:val="18"/>
          <w:szCs w:val="18"/>
        </w:rPr>
        <w:footnoteRef/>
      </w:r>
      <w:r w:rsidRPr="00AB5B37">
        <w:rPr>
          <w:i/>
          <w:sz w:val="18"/>
          <w:szCs w:val="18"/>
        </w:rPr>
        <w:t xml:space="preserve"> Financial Exclusion and Over-indebtedness in Irish Households, Helen Russell, Bertrand Maitre and Nora Donnelly, ESRI, 2011</w:t>
      </w:r>
    </w:p>
  </w:footnote>
  <w:footnote w:id="11">
    <w:p w:rsidR="00712D68" w:rsidRPr="00AB5B37" w:rsidRDefault="00712D68" w:rsidP="00712D68">
      <w:pPr>
        <w:pStyle w:val="FootnoteText"/>
        <w:rPr>
          <w:i/>
          <w:sz w:val="18"/>
          <w:szCs w:val="18"/>
        </w:rPr>
      </w:pPr>
      <w:r w:rsidRPr="00AB5B37">
        <w:rPr>
          <w:rStyle w:val="FootnoteReference"/>
          <w:i/>
          <w:sz w:val="18"/>
          <w:szCs w:val="18"/>
        </w:rPr>
        <w:footnoteRef/>
      </w:r>
      <w:r w:rsidRPr="00AB5B37">
        <w:rPr>
          <w:i/>
          <w:sz w:val="18"/>
          <w:szCs w:val="18"/>
        </w:rPr>
        <w:t xml:space="preserve"> Most recently CIB/MABS has made a submission to the Central Bank of Ireland on its Consultation on the Review of the Consumer Protection Code for Licensed Money Lenders.  (CP118). </w:t>
      </w:r>
    </w:p>
  </w:footnote>
  <w:footnote w:id="12">
    <w:p w:rsidR="00A43F9A" w:rsidRPr="00AB5B37" w:rsidRDefault="00712D68" w:rsidP="00712D68">
      <w:pPr>
        <w:pStyle w:val="FootnoteText"/>
        <w:rPr>
          <w:i/>
          <w:sz w:val="18"/>
          <w:szCs w:val="18"/>
        </w:rPr>
      </w:pPr>
      <w:r w:rsidRPr="00AB5B37">
        <w:rPr>
          <w:rStyle w:val="FootnoteReference"/>
          <w:i/>
          <w:sz w:val="18"/>
          <w:szCs w:val="18"/>
        </w:rPr>
        <w:footnoteRef/>
      </w:r>
      <w:hyperlink r:id="rId5" w:history="1">
        <w:r w:rsidR="00A43F9A" w:rsidRPr="00AB5B37">
          <w:rPr>
            <w:rStyle w:val="Hyperlink"/>
            <w:i/>
            <w:sz w:val="18"/>
            <w:szCs w:val="18"/>
          </w:rPr>
          <w:t>https://data.oireachtas.ie/ie/oireachtas/committee/dail/32/joint_committee_on_finance_public_expenditure_and_reform_and_taoiseach/reports/2017/2017-11-06_report-on-the-review-of-the-credit-union-sector_en.pdf</w:t>
        </w:r>
      </w:hyperlink>
    </w:p>
  </w:footnote>
  <w:footnote w:id="13">
    <w:p w:rsidR="00712D68" w:rsidRPr="008B1BB7" w:rsidRDefault="00712D68" w:rsidP="00712D68">
      <w:pPr>
        <w:pStyle w:val="FootnoteText"/>
        <w:rPr>
          <w:i/>
        </w:rPr>
      </w:pPr>
      <w:r w:rsidRPr="00AB5B37">
        <w:rPr>
          <w:rStyle w:val="FootnoteReference"/>
          <w:i/>
          <w:sz w:val="18"/>
          <w:szCs w:val="18"/>
        </w:rPr>
        <w:footnoteRef/>
      </w:r>
      <w:r w:rsidRPr="00AB5B37">
        <w:rPr>
          <w:i/>
          <w:sz w:val="18"/>
          <w:szCs w:val="18"/>
        </w:rPr>
        <w:t xml:space="preserve"> http://www.irishstatutebook.ie/eli/2016/si/482/made/en/print</w:t>
      </w:r>
    </w:p>
  </w:footnote>
  <w:footnote w:id="14">
    <w:p w:rsidR="00740694" w:rsidRPr="008B1BB7" w:rsidRDefault="00740694" w:rsidP="00740694">
      <w:pPr>
        <w:pStyle w:val="FootnoteText"/>
        <w:rPr>
          <w:i/>
        </w:rPr>
      </w:pPr>
      <w:r w:rsidRPr="008B1BB7">
        <w:rPr>
          <w:rStyle w:val="FootnoteReference"/>
          <w:i/>
        </w:rPr>
        <w:footnoteRef/>
      </w:r>
      <w:r w:rsidRPr="008B1BB7">
        <w:rPr>
          <w:i/>
        </w:rPr>
        <w:t xml:space="preserve"> </w:t>
      </w:r>
      <w:r w:rsidRPr="008B1BB7">
        <w:rPr>
          <w:i/>
          <w:lang w:val="en-IE"/>
        </w:rPr>
        <w:t xml:space="preserve">CIB was instrumental in the setting up of these loans and is a member of a key stakeholder group </w:t>
      </w:r>
      <w:r w:rsidRPr="008B1BB7">
        <w:rPr>
          <w:rFonts w:cs="Arial"/>
          <w:i/>
          <w:color w:val="000000"/>
        </w:rPr>
        <w:t>which includes</w:t>
      </w:r>
      <w:r w:rsidR="007B6921">
        <w:rPr>
          <w:rFonts w:cs="Arial"/>
          <w:i/>
          <w:color w:val="000000"/>
        </w:rPr>
        <w:t xml:space="preserve"> </w:t>
      </w:r>
      <w:r w:rsidRPr="008B1BB7">
        <w:rPr>
          <w:rFonts w:cs="Arial"/>
          <w:i/>
          <w:color w:val="000000"/>
        </w:rPr>
        <w:t xml:space="preserve">the  Department of Finance, Central Bank of Ireland, Credit Unions, DEASP, An Post and the Social Finance Foundation. </w:t>
      </w:r>
      <w:hyperlink r:id="rId6" w:history="1">
        <w:r w:rsidRPr="008B1BB7">
          <w:rPr>
            <w:rStyle w:val="Hyperlink"/>
            <w:i/>
          </w:rPr>
          <w:t>http://itmakessenseloan.ie/</w:t>
        </w:r>
      </w:hyperlink>
    </w:p>
    <w:p w:rsidR="00740694" w:rsidRPr="002F350F" w:rsidRDefault="00740694" w:rsidP="00740694">
      <w:pPr>
        <w:pStyle w:val="FootnoteText"/>
        <w:rPr>
          <w:lang w:val="en-IE"/>
        </w:rPr>
      </w:pPr>
    </w:p>
  </w:footnote>
  <w:footnote w:id="15">
    <w:p w:rsidR="00712D68" w:rsidRPr="004E3103" w:rsidRDefault="00712D68" w:rsidP="00712D68">
      <w:pPr>
        <w:pStyle w:val="FootnoteText"/>
        <w:rPr>
          <w:i/>
          <w:sz w:val="18"/>
          <w:szCs w:val="18"/>
        </w:rPr>
      </w:pPr>
      <w:r w:rsidRPr="004E3103">
        <w:rPr>
          <w:rStyle w:val="FootnoteReference"/>
          <w:i/>
          <w:sz w:val="18"/>
          <w:szCs w:val="18"/>
        </w:rPr>
        <w:footnoteRef/>
      </w:r>
      <w:r w:rsidRPr="004E3103">
        <w:rPr>
          <w:i/>
          <w:sz w:val="18"/>
          <w:szCs w:val="18"/>
        </w:rPr>
        <w:t xml:space="preserve"> </w:t>
      </w:r>
      <w:hyperlink r:id="rId7" w:history="1">
        <w:r w:rsidRPr="004E3103">
          <w:rPr>
            <w:rStyle w:val="Hyperlink"/>
            <w:i/>
            <w:sz w:val="18"/>
            <w:szCs w:val="18"/>
          </w:rPr>
          <w:t>http://www.justice.ie/en/JELR/MABS%20Submission.pdf/Files/MABS%20Submission.pdf</w:t>
        </w:r>
      </w:hyperlink>
    </w:p>
    <w:p w:rsidR="00712D68" w:rsidRDefault="00712D68" w:rsidP="00712D6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B" w:rsidRDefault="00890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B" w:rsidRDefault="00890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B" w:rsidRDefault="00890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A2E"/>
    <w:multiLevelType w:val="hybridMultilevel"/>
    <w:tmpl w:val="5D5CF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FD610C"/>
    <w:multiLevelType w:val="hybridMultilevel"/>
    <w:tmpl w:val="9EFA871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4CF332F"/>
    <w:multiLevelType w:val="hybridMultilevel"/>
    <w:tmpl w:val="8B8CF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336574"/>
    <w:multiLevelType w:val="hybridMultilevel"/>
    <w:tmpl w:val="A0880B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642104"/>
    <w:multiLevelType w:val="hybridMultilevel"/>
    <w:tmpl w:val="9F68E8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EF2013B"/>
    <w:multiLevelType w:val="hybridMultilevel"/>
    <w:tmpl w:val="D2B05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B03DCB"/>
    <w:multiLevelType w:val="hybridMultilevel"/>
    <w:tmpl w:val="88DE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743DFB"/>
    <w:multiLevelType w:val="hybridMultilevel"/>
    <w:tmpl w:val="19869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4A0C8D"/>
    <w:multiLevelType w:val="hybridMultilevel"/>
    <w:tmpl w:val="3FD68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B7767D"/>
    <w:multiLevelType w:val="hybridMultilevel"/>
    <w:tmpl w:val="C3F4E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70349"/>
    <w:multiLevelType w:val="hybridMultilevel"/>
    <w:tmpl w:val="5A5CD4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1671BD8"/>
    <w:multiLevelType w:val="hybridMultilevel"/>
    <w:tmpl w:val="B44076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BC400A"/>
    <w:multiLevelType w:val="hybridMultilevel"/>
    <w:tmpl w:val="0E226B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4A45ECA"/>
    <w:multiLevelType w:val="hybridMultilevel"/>
    <w:tmpl w:val="58E4B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56548A0"/>
    <w:multiLevelType w:val="hybridMultilevel"/>
    <w:tmpl w:val="D1A66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6D2741"/>
    <w:multiLevelType w:val="hybridMultilevel"/>
    <w:tmpl w:val="249AB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5E6FA6"/>
    <w:multiLevelType w:val="hybridMultilevel"/>
    <w:tmpl w:val="1C845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07A06B5"/>
    <w:multiLevelType w:val="hybridMultilevel"/>
    <w:tmpl w:val="11ECD4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1861B1E"/>
    <w:multiLevelType w:val="hybridMultilevel"/>
    <w:tmpl w:val="055CD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F94743"/>
    <w:multiLevelType w:val="hybridMultilevel"/>
    <w:tmpl w:val="140E9966"/>
    <w:lvl w:ilvl="0" w:tplc="18090001">
      <w:start w:val="1"/>
      <w:numFmt w:val="bullet"/>
      <w:lvlText w:val=""/>
      <w:lvlJc w:val="left"/>
      <w:pPr>
        <w:ind w:left="720" w:hanging="360"/>
      </w:pPr>
      <w:rPr>
        <w:rFonts w:ascii="Symbol" w:hAnsi="Symbol" w:hint="default"/>
      </w:rPr>
    </w:lvl>
    <w:lvl w:ilvl="1" w:tplc="66CC333A">
      <w:numFmt w:val="bullet"/>
      <w:lvlText w:val="•"/>
      <w:lvlJc w:val="left"/>
      <w:pPr>
        <w:ind w:left="1440" w:hanging="360"/>
      </w:pPr>
      <w:rPr>
        <w:rFonts w:ascii="Calibri" w:eastAsiaTheme="minorHAnsi" w:hAnsi="Calibri"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5C729C"/>
    <w:multiLevelType w:val="hybridMultilevel"/>
    <w:tmpl w:val="3DC88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7D41C5"/>
    <w:multiLevelType w:val="hybridMultilevel"/>
    <w:tmpl w:val="AB0EB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DC38FA"/>
    <w:multiLevelType w:val="hybridMultilevel"/>
    <w:tmpl w:val="413AA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386479"/>
    <w:multiLevelType w:val="hybridMultilevel"/>
    <w:tmpl w:val="70B6939C"/>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A611FB6"/>
    <w:multiLevelType w:val="hybridMultilevel"/>
    <w:tmpl w:val="9656D7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B1B1B6E"/>
    <w:multiLevelType w:val="hybridMultilevel"/>
    <w:tmpl w:val="16FE6ADA"/>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B24392"/>
    <w:multiLevelType w:val="hybridMultilevel"/>
    <w:tmpl w:val="D4DCAF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50BF6A62"/>
    <w:multiLevelType w:val="hybridMultilevel"/>
    <w:tmpl w:val="ED42B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2F7ECD"/>
    <w:multiLevelType w:val="hybridMultilevel"/>
    <w:tmpl w:val="93DE3D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8E51200"/>
    <w:multiLevelType w:val="hybridMultilevel"/>
    <w:tmpl w:val="7A5C923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B324ED5"/>
    <w:multiLevelType w:val="hybridMultilevel"/>
    <w:tmpl w:val="CD303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9C164F"/>
    <w:multiLevelType w:val="hybridMultilevel"/>
    <w:tmpl w:val="3000D9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CF3888"/>
    <w:multiLevelType w:val="hybridMultilevel"/>
    <w:tmpl w:val="EC8A19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1901FA4"/>
    <w:multiLevelType w:val="hybridMultilevel"/>
    <w:tmpl w:val="39829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A108DA"/>
    <w:multiLevelType w:val="hybridMultilevel"/>
    <w:tmpl w:val="AA9A5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FC503A"/>
    <w:multiLevelType w:val="hybridMultilevel"/>
    <w:tmpl w:val="2FA67E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391A4D"/>
    <w:multiLevelType w:val="hybridMultilevel"/>
    <w:tmpl w:val="6C021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F93387D"/>
    <w:multiLevelType w:val="hybridMultilevel"/>
    <w:tmpl w:val="9A565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15A50AC"/>
    <w:multiLevelType w:val="hybridMultilevel"/>
    <w:tmpl w:val="1B1C8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242EC7"/>
    <w:multiLevelType w:val="hybridMultilevel"/>
    <w:tmpl w:val="6CEC3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16402B"/>
    <w:multiLevelType w:val="hybridMultilevel"/>
    <w:tmpl w:val="EB221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39"/>
  </w:num>
  <w:num w:numId="4">
    <w:abstractNumId w:val="5"/>
  </w:num>
  <w:num w:numId="5">
    <w:abstractNumId w:val="34"/>
  </w:num>
  <w:num w:numId="6">
    <w:abstractNumId w:val="31"/>
  </w:num>
  <w:num w:numId="7">
    <w:abstractNumId w:val="32"/>
  </w:num>
  <w:num w:numId="8">
    <w:abstractNumId w:val="13"/>
  </w:num>
  <w:num w:numId="9">
    <w:abstractNumId w:val="0"/>
  </w:num>
  <w:num w:numId="10">
    <w:abstractNumId w:val="40"/>
  </w:num>
  <w:num w:numId="11">
    <w:abstractNumId w:val="17"/>
  </w:num>
  <w:num w:numId="12">
    <w:abstractNumId w:val="3"/>
  </w:num>
  <w:num w:numId="13">
    <w:abstractNumId w:val="1"/>
  </w:num>
  <w:num w:numId="14">
    <w:abstractNumId w:val="25"/>
  </w:num>
  <w:num w:numId="15">
    <w:abstractNumId w:val="11"/>
  </w:num>
  <w:num w:numId="16">
    <w:abstractNumId w:val="38"/>
  </w:num>
  <w:num w:numId="17">
    <w:abstractNumId w:val="21"/>
  </w:num>
  <w:num w:numId="18">
    <w:abstractNumId w:val="37"/>
  </w:num>
  <w:num w:numId="19">
    <w:abstractNumId w:val="20"/>
  </w:num>
  <w:num w:numId="20">
    <w:abstractNumId w:val="2"/>
  </w:num>
  <w:num w:numId="21">
    <w:abstractNumId w:val="9"/>
  </w:num>
  <w:num w:numId="22">
    <w:abstractNumId w:val="7"/>
  </w:num>
  <w:num w:numId="23">
    <w:abstractNumId w:val="8"/>
  </w:num>
  <w:num w:numId="24">
    <w:abstractNumId w:val="15"/>
  </w:num>
  <w:num w:numId="25">
    <w:abstractNumId w:val="6"/>
  </w:num>
  <w:num w:numId="26">
    <w:abstractNumId w:val="27"/>
  </w:num>
  <w:num w:numId="27">
    <w:abstractNumId w:val="16"/>
  </w:num>
  <w:num w:numId="28">
    <w:abstractNumId w:val="35"/>
  </w:num>
  <w:num w:numId="29">
    <w:abstractNumId w:val="29"/>
  </w:num>
  <w:num w:numId="30">
    <w:abstractNumId w:val="33"/>
  </w:num>
  <w:num w:numId="31">
    <w:abstractNumId w:val="36"/>
  </w:num>
  <w:num w:numId="32">
    <w:abstractNumId w:val="19"/>
  </w:num>
  <w:num w:numId="33">
    <w:abstractNumId w:val="18"/>
  </w:num>
  <w:num w:numId="34">
    <w:abstractNumId w:val="23"/>
  </w:num>
  <w:num w:numId="35">
    <w:abstractNumId w:val="10"/>
  </w:num>
  <w:num w:numId="36">
    <w:abstractNumId w:val="4"/>
  </w:num>
  <w:num w:numId="37">
    <w:abstractNumId w:val="24"/>
  </w:num>
  <w:num w:numId="38">
    <w:abstractNumId w:val="22"/>
  </w:num>
  <w:num w:numId="39">
    <w:abstractNumId w:val="28"/>
  </w:num>
  <w:num w:numId="40">
    <w:abstractNumId w:val="2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3C"/>
    <w:rsid w:val="00011E7E"/>
    <w:rsid w:val="000130DA"/>
    <w:rsid w:val="00015DAD"/>
    <w:rsid w:val="00046E55"/>
    <w:rsid w:val="00054DBA"/>
    <w:rsid w:val="00071E38"/>
    <w:rsid w:val="0008129F"/>
    <w:rsid w:val="00086D59"/>
    <w:rsid w:val="00093269"/>
    <w:rsid w:val="000B1584"/>
    <w:rsid w:val="000E0ACA"/>
    <w:rsid w:val="00102041"/>
    <w:rsid w:val="00122EF5"/>
    <w:rsid w:val="00123AA9"/>
    <w:rsid w:val="00134C81"/>
    <w:rsid w:val="001522F7"/>
    <w:rsid w:val="0015774D"/>
    <w:rsid w:val="00175D9E"/>
    <w:rsid w:val="001B78B2"/>
    <w:rsid w:val="001F3CDC"/>
    <w:rsid w:val="001F450A"/>
    <w:rsid w:val="002155FA"/>
    <w:rsid w:val="00226725"/>
    <w:rsid w:val="00242E07"/>
    <w:rsid w:val="00245BAC"/>
    <w:rsid w:val="002518F5"/>
    <w:rsid w:val="002942E3"/>
    <w:rsid w:val="0029794A"/>
    <w:rsid w:val="002A60DB"/>
    <w:rsid w:val="002B58F4"/>
    <w:rsid w:val="002C7AD9"/>
    <w:rsid w:val="002F350F"/>
    <w:rsid w:val="003003F8"/>
    <w:rsid w:val="00301B27"/>
    <w:rsid w:val="003271D8"/>
    <w:rsid w:val="003362F2"/>
    <w:rsid w:val="00340D7C"/>
    <w:rsid w:val="00345214"/>
    <w:rsid w:val="00370A29"/>
    <w:rsid w:val="00372977"/>
    <w:rsid w:val="003A23A2"/>
    <w:rsid w:val="003A3CB1"/>
    <w:rsid w:val="003B0DAA"/>
    <w:rsid w:val="003B6AD3"/>
    <w:rsid w:val="003D2E09"/>
    <w:rsid w:val="003D4852"/>
    <w:rsid w:val="003E0216"/>
    <w:rsid w:val="00425C99"/>
    <w:rsid w:val="0043558A"/>
    <w:rsid w:val="00436190"/>
    <w:rsid w:val="00461A40"/>
    <w:rsid w:val="004717FE"/>
    <w:rsid w:val="004C256D"/>
    <w:rsid w:val="004D145A"/>
    <w:rsid w:val="004E3103"/>
    <w:rsid w:val="004E7C9A"/>
    <w:rsid w:val="00513A0B"/>
    <w:rsid w:val="00526E74"/>
    <w:rsid w:val="005326FF"/>
    <w:rsid w:val="00582BAF"/>
    <w:rsid w:val="005837AB"/>
    <w:rsid w:val="00587790"/>
    <w:rsid w:val="00596963"/>
    <w:rsid w:val="005B3A8E"/>
    <w:rsid w:val="005C0798"/>
    <w:rsid w:val="005F6282"/>
    <w:rsid w:val="00615215"/>
    <w:rsid w:val="00635AC8"/>
    <w:rsid w:val="00644922"/>
    <w:rsid w:val="0065450A"/>
    <w:rsid w:val="0065517C"/>
    <w:rsid w:val="0066371A"/>
    <w:rsid w:val="0066749B"/>
    <w:rsid w:val="006844CD"/>
    <w:rsid w:val="00684E86"/>
    <w:rsid w:val="006A2654"/>
    <w:rsid w:val="006D60BD"/>
    <w:rsid w:val="006E7CF3"/>
    <w:rsid w:val="00703591"/>
    <w:rsid w:val="00712D68"/>
    <w:rsid w:val="00725872"/>
    <w:rsid w:val="007334CC"/>
    <w:rsid w:val="0073483D"/>
    <w:rsid w:val="00740694"/>
    <w:rsid w:val="00741EA1"/>
    <w:rsid w:val="00752755"/>
    <w:rsid w:val="00757FD7"/>
    <w:rsid w:val="007610FF"/>
    <w:rsid w:val="007779B8"/>
    <w:rsid w:val="007B5048"/>
    <w:rsid w:val="007B6921"/>
    <w:rsid w:val="007E038F"/>
    <w:rsid w:val="007F12F7"/>
    <w:rsid w:val="008161D6"/>
    <w:rsid w:val="00834F58"/>
    <w:rsid w:val="00840EE7"/>
    <w:rsid w:val="00844185"/>
    <w:rsid w:val="00853CDD"/>
    <w:rsid w:val="00855D0F"/>
    <w:rsid w:val="00863E36"/>
    <w:rsid w:val="008701F7"/>
    <w:rsid w:val="0089002B"/>
    <w:rsid w:val="00890E12"/>
    <w:rsid w:val="00893D74"/>
    <w:rsid w:val="008B1BB7"/>
    <w:rsid w:val="008D3B8C"/>
    <w:rsid w:val="008D6166"/>
    <w:rsid w:val="009041EB"/>
    <w:rsid w:val="00916F1F"/>
    <w:rsid w:val="009321C8"/>
    <w:rsid w:val="0093777D"/>
    <w:rsid w:val="0095253C"/>
    <w:rsid w:val="00956104"/>
    <w:rsid w:val="0095647D"/>
    <w:rsid w:val="009628E5"/>
    <w:rsid w:val="00975292"/>
    <w:rsid w:val="00985CEF"/>
    <w:rsid w:val="009A6DE9"/>
    <w:rsid w:val="009C1F76"/>
    <w:rsid w:val="009D5608"/>
    <w:rsid w:val="009E0519"/>
    <w:rsid w:val="009E4544"/>
    <w:rsid w:val="009F40CC"/>
    <w:rsid w:val="009F7A7E"/>
    <w:rsid w:val="00A01B0C"/>
    <w:rsid w:val="00A1381D"/>
    <w:rsid w:val="00A16900"/>
    <w:rsid w:val="00A253BA"/>
    <w:rsid w:val="00A3595C"/>
    <w:rsid w:val="00A43F9A"/>
    <w:rsid w:val="00A56E11"/>
    <w:rsid w:val="00A70A2C"/>
    <w:rsid w:val="00A934E9"/>
    <w:rsid w:val="00A9436C"/>
    <w:rsid w:val="00AA50F3"/>
    <w:rsid w:val="00AB5B37"/>
    <w:rsid w:val="00B04185"/>
    <w:rsid w:val="00B22B9C"/>
    <w:rsid w:val="00B44A3C"/>
    <w:rsid w:val="00B60AB6"/>
    <w:rsid w:val="00B62370"/>
    <w:rsid w:val="00B70327"/>
    <w:rsid w:val="00B7320C"/>
    <w:rsid w:val="00B7668B"/>
    <w:rsid w:val="00BA026D"/>
    <w:rsid w:val="00BD7690"/>
    <w:rsid w:val="00BF49EB"/>
    <w:rsid w:val="00C06FE0"/>
    <w:rsid w:val="00C256EF"/>
    <w:rsid w:val="00C5007F"/>
    <w:rsid w:val="00C5320F"/>
    <w:rsid w:val="00C61DAB"/>
    <w:rsid w:val="00C6779E"/>
    <w:rsid w:val="00C705BD"/>
    <w:rsid w:val="00C73A93"/>
    <w:rsid w:val="00C76858"/>
    <w:rsid w:val="00C82075"/>
    <w:rsid w:val="00C83E08"/>
    <w:rsid w:val="00C9148B"/>
    <w:rsid w:val="00C9615E"/>
    <w:rsid w:val="00D357B3"/>
    <w:rsid w:val="00D35D12"/>
    <w:rsid w:val="00D44EBE"/>
    <w:rsid w:val="00D674FA"/>
    <w:rsid w:val="00D72609"/>
    <w:rsid w:val="00DA6EBC"/>
    <w:rsid w:val="00DB07D8"/>
    <w:rsid w:val="00DC16C1"/>
    <w:rsid w:val="00DC35E6"/>
    <w:rsid w:val="00DC3CFC"/>
    <w:rsid w:val="00DC4144"/>
    <w:rsid w:val="00DC6E0D"/>
    <w:rsid w:val="00DC73B5"/>
    <w:rsid w:val="00DD3C66"/>
    <w:rsid w:val="00DF666B"/>
    <w:rsid w:val="00DF78AC"/>
    <w:rsid w:val="00E07E7D"/>
    <w:rsid w:val="00E200D9"/>
    <w:rsid w:val="00E72C29"/>
    <w:rsid w:val="00E8559D"/>
    <w:rsid w:val="00EB3B8C"/>
    <w:rsid w:val="00EB72B5"/>
    <w:rsid w:val="00EC49F4"/>
    <w:rsid w:val="00ED595D"/>
    <w:rsid w:val="00EE2558"/>
    <w:rsid w:val="00EF3D59"/>
    <w:rsid w:val="00F22EC8"/>
    <w:rsid w:val="00F27D27"/>
    <w:rsid w:val="00F45F63"/>
    <w:rsid w:val="00F5125D"/>
    <w:rsid w:val="00F72CEA"/>
    <w:rsid w:val="00F93F85"/>
    <w:rsid w:val="00FA2B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paragraph" w:styleId="Heading1">
    <w:name w:val="heading 1"/>
    <w:basedOn w:val="Normal"/>
    <w:next w:val="Normal"/>
    <w:link w:val="Heading1Char"/>
    <w:uiPriority w:val="9"/>
    <w:qFormat/>
    <w:rsid w:val="00245BAC"/>
    <w:pPr>
      <w:jc w:val="center"/>
      <w:outlineLvl w:val="0"/>
    </w:pPr>
    <w:rPr>
      <w:b/>
      <w:i/>
      <w:color w:val="365F91" w:themeColor="accent1" w:themeShade="BF"/>
      <w:sz w:val="36"/>
      <w:szCs w:val="36"/>
    </w:rPr>
  </w:style>
  <w:style w:type="paragraph" w:styleId="Heading2">
    <w:name w:val="heading 2"/>
    <w:basedOn w:val="Normal"/>
    <w:next w:val="Normal"/>
    <w:link w:val="Heading2Char"/>
    <w:uiPriority w:val="9"/>
    <w:unhideWhenUsed/>
    <w:qFormat/>
    <w:rsid w:val="00245BAC"/>
    <w:pPr>
      <w:outlineLvl w:val="1"/>
    </w:pPr>
    <w:rPr>
      <w:b/>
      <w:color w:val="1F497D" w:themeColor="text2"/>
      <w:sz w:val="28"/>
      <w:szCs w:val="28"/>
    </w:rPr>
  </w:style>
  <w:style w:type="paragraph" w:styleId="Heading3">
    <w:name w:val="heading 3"/>
    <w:basedOn w:val="Normal"/>
    <w:next w:val="Normal"/>
    <w:link w:val="Heading3Char"/>
    <w:uiPriority w:val="9"/>
    <w:unhideWhenUsed/>
    <w:qFormat/>
    <w:rsid w:val="00245BAC"/>
    <w:pPr>
      <w:shd w:val="clear" w:color="auto" w:fill="DBE5F1" w:themeFill="accent1" w:themeFillTint="33"/>
      <w:outlineLvl w:val="2"/>
    </w:pPr>
    <w:rPr>
      <w:b/>
      <w:color w:val="1F497D" w:themeColor="text2"/>
      <w:sz w:val="24"/>
      <w:szCs w:val="24"/>
    </w:rPr>
  </w:style>
  <w:style w:type="paragraph" w:styleId="Heading4">
    <w:name w:val="heading 4"/>
    <w:basedOn w:val="Normal"/>
    <w:next w:val="Normal"/>
    <w:link w:val="Heading4Char"/>
    <w:uiPriority w:val="9"/>
    <w:unhideWhenUsed/>
    <w:qFormat/>
    <w:rsid w:val="00245BAC"/>
    <w:pPr>
      <w:outlineLvl w:val="3"/>
    </w:pPr>
    <w:rPr>
      <w:b/>
      <w:i/>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A3C"/>
    <w:pPr>
      <w:ind w:left="720"/>
      <w:contextualSpacing/>
    </w:pPr>
  </w:style>
  <w:style w:type="paragraph" w:styleId="BalloonText">
    <w:name w:val="Balloon Text"/>
    <w:basedOn w:val="Normal"/>
    <w:link w:val="BalloonTextChar"/>
    <w:uiPriority w:val="99"/>
    <w:semiHidden/>
    <w:unhideWhenUsed/>
    <w:rsid w:val="004D1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45A"/>
    <w:rPr>
      <w:rFonts w:ascii="Tahoma" w:hAnsi="Tahoma" w:cs="Tahoma"/>
      <w:noProof/>
      <w:sz w:val="16"/>
      <w:szCs w:val="16"/>
      <w:lang w:val="en-US"/>
    </w:rPr>
  </w:style>
  <w:style w:type="character" w:styleId="CommentReference">
    <w:name w:val="annotation reference"/>
    <w:basedOn w:val="DefaultParagraphFont"/>
    <w:uiPriority w:val="99"/>
    <w:semiHidden/>
    <w:unhideWhenUsed/>
    <w:rsid w:val="00C9615E"/>
    <w:rPr>
      <w:sz w:val="16"/>
      <w:szCs w:val="16"/>
    </w:rPr>
  </w:style>
  <w:style w:type="paragraph" w:styleId="CommentText">
    <w:name w:val="annotation text"/>
    <w:basedOn w:val="Normal"/>
    <w:link w:val="CommentTextChar"/>
    <w:uiPriority w:val="99"/>
    <w:semiHidden/>
    <w:unhideWhenUsed/>
    <w:rsid w:val="00C9615E"/>
    <w:pPr>
      <w:spacing w:line="240" w:lineRule="auto"/>
    </w:pPr>
    <w:rPr>
      <w:sz w:val="20"/>
      <w:szCs w:val="20"/>
    </w:rPr>
  </w:style>
  <w:style w:type="character" w:customStyle="1" w:styleId="CommentTextChar">
    <w:name w:val="Comment Text Char"/>
    <w:basedOn w:val="DefaultParagraphFont"/>
    <w:link w:val="CommentText"/>
    <w:uiPriority w:val="99"/>
    <w:semiHidden/>
    <w:rsid w:val="00C9615E"/>
    <w:rPr>
      <w:noProof/>
      <w:sz w:val="20"/>
      <w:szCs w:val="20"/>
      <w:lang w:val="en-US"/>
    </w:rPr>
  </w:style>
  <w:style w:type="paragraph" w:styleId="CommentSubject">
    <w:name w:val="annotation subject"/>
    <w:basedOn w:val="CommentText"/>
    <w:next w:val="CommentText"/>
    <w:link w:val="CommentSubjectChar"/>
    <w:uiPriority w:val="99"/>
    <w:semiHidden/>
    <w:unhideWhenUsed/>
    <w:rsid w:val="00C9615E"/>
    <w:rPr>
      <w:b/>
      <w:bCs/>
    </w:rPr>
  </w:style>
  <w:style w:type="character" w:customStyle="1" w:styleId="CommentSubjectChar">
    <w:name w:val="Comment Subject Char"/>
    <w:basedOn w:val="CommentTextChar"/>
    <w:link w:val="CommentSubject"/>
    <w:uiPriority w:val="99"/>
    <w:semiHidden/>
    <w:rsid w:val="00C9615E"/>
    <w:rPr>
      <w:b/>
      <w:bCs/>
      <w:noProof/>
      <w:sz w:val="20"/>
      <w:szCs w:val="20"/>
      <w:lang w:val="en-US"/>
    </w:rPr>
  </w:style>
  <w:style w:type="paragraph" w:styleId="FootnoteText">
    <w:name w:val="footnote text"/>
    <w:basedOn w:val="Normal"/>
    <w:link w:val="FootnoteTextChar"/>
    <w:uiPriority w:val="99"/>
    <w:semiHidden/>
    <w:unhideWhenUsed/>
    <w:rsid w:val="00C961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15E"/>
    <w:rPr>
      <w:noProof/>
      <w:sz w:val="20"/>
      <w:szCs w:val="20"/>
      <w:lang w:val="en-US"/>
    </w:rPr>
  </w:style>
  <w:style w:type="character" w:styleId="FootnoteReference">
    <w:name w:val="footnote reference"/>
    <w:basedOn w:val="DefaultParagraphFont"/>
    <w:uiPriority w:val="99"/>
    <w:semiHidden/>
    <w:unhideWhenUsed/>
    <w:rsid w:val="00C9615E"/>
    <w:rPr>
      <w:vertAlign w:val="superscript"/>
    </w:rPr>
  </w:style>
  <w:style w:type="paragraph" w:styleId="Header">
    <w:name w:val="header"/>
    <w:basedOn w:val="Normal"/>
    <w:link w:val="HeaderChar"/>
    <w:uiPriority w:val="99"/>
    <w:unhideWhenUsed/>
    <w:rsid w:val="00952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53C"/>
    <w:rPr>
      <w:noProof/>
      <w:lang w:val="en-US"/>
    </w:rPr>
  </w:style>
  <w:style w:type="paragraph" w:styleId="Footer">
    <w:name w:val="footer"/>
    <w:basedOn w:val="Normal"/>
    <w:link w:val="FooterChar"/>
    <w:uiPriority w:val="99"/>
    <w:unhideWhenUsed/>
    <w:rsid w:val="00952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53C"/>
    <w:rPr>
      <w:noProof/>
      <w:lang w:val="en-US"/>
    </w:rPr>
  </w:style>
  <w:style w:type="character" w:styleId="Hyperlink">
    <w:name w:val="Hyperlink"/>
    <w:basedOn w:val="DefaultParagraphFont"/>
    <w:uiPriority w:val="99"/>
    <w:unhideWhenUsed/>
    <w:rsid w:val="0095647D"/>
    <w:rPr>
      <w:color w:val="0000FF" w:themeColor="hyperlink"/>
      <w:u w:val="single"/>
    </w:rPr>
  </w:style>
  <w:style w:type="character" w:customStyle="1" w:styleId="Heading1Char">
    <w:name w:val="Heading 1 Char"/>
    <w:basedOn w:val="DefaultParagraphFont"/>
    <w:link w:val="Heading1"/>
    <w:uiPriority w:val="9"/>
    <w:rsid w:val="00245BAC"/>
    <w:rPr>
      <w:b/>
      <w:i/>
      <w:noProof/>
      <w:color w:val="365F91" w:themeColor="accent1" w:themeShade="BF"/>
      <w:sz w:val="36"/>
      <w:szCs w:val="36"/>
      <w:lang w:val="en-US"/>
    </w:rPr>
  </w:style>
  <w:style w:type="character" w:customStyle="1" w:styleId="Heading2Char">
    <w:name w:val="Heading 2 Char"/>
    <w:basedOn w:val="DefaultParagraphFont"/>
    <w:link w:val="Heading2"/>
    <w:uiPriority w:val="9"/>
    <w:rsid w:val="00245BAC"/>
    <w:rPr>
      <w:b/>
      <w:noProof/>
      <w:color w:val="1F497D" w:themeColor="text2"/>
      <w:sz w:val="28"/>
      <w:szCs w:val="28"/>
      <w:lang w:val="en-US"/>
    </w:rPr>
  </w:style>
  <w:style w:type="character" w:customStyle="1" w:styleId="Heading3Char">
    <w:name w:val="Heading 3 Char"/>
    <w:basedOn w:val="DefaultParagraphFont"/>
    <w:link w:val="Heading3"/>
    <w:uiPriority w:val="9"/>
    <w:rsid w:val="00245BAC"/>
    <w:rPr>
      <w:b/>
      <w:noProof/>
      <w:color w:val="1F497D" w:themeColor="text2"/>
      <w:sz w:val="24"/>
      <w:szCs w:val="24"/>
      <w:shd w:val="clear" w:color="auto" w:fill="DBE5F1" w:themeFill="accent1" w:themeFillTint="33"/>
      <w:lang w:val="en-US"/>
    </w:rPr>
  </w:style>
  <w:style w:type="paragraph" w:styleId="NoSpacing">
    <w:name w:val="No Spacing"/>
    <w:uiPriority w:val="1"/>
    <w:qFormat/>
    <w:rsid w:val="00712D68"/>
    <w:pPr>
      <w:spacing w:after="0" w:line="240" w:lineRule="auto"/>
    </w:pPr>
  </w:style>
  <w:style w:type="paragraph" w:styleId="PlainText">
    <w:name w:val="Plain Text"/>
    <w:basedOn w:val="Normal"/>
    <w:link w:val="PlainTextChar"/>
    <w:uiPriority w:val="99"/>
    <w:unhideWhenUsed/>
    <w:rsid w:val="00712D68"/>
    <w:pPr>
      <w:spacing w:after="0" w:line="240" w:lineRule="auto"/>
    </w:pPr>
    <w:rPr>
      <w:rFonts w:ascii="Calibri" w:hAnsi="Calibri"/>
      <w:noProof w:val="0"/>
      <w:szCs w:val="21"/>
      <w:lang w:val="en-IE"/>
    </w:rPr>
  </w:style>
  <w:style w:type="character" w:customStyle="1" w:styleId="PlainTextChar">
    <w:name w:val="Plain Text Char"/>
    <w:basedOn w:val="DefaultParagraphFont"/>
    <w:link w:val="PlainText"/>
    <w:uiPriority w:val="99"/>
    <w:rsid w:val="00712D68"/>
    <w:rPr>
      <w:rFonts w:ascii="Calibri" w:hAnsi="Calibri"/>
      <w:szCs w:val="21"/>
    </w:rPr>
  </w:style>
  <w:style w:type="table" w:styleId="LightList-Accent1">
    <w:name w:val="Light List Accent 1"/>
    <w:basedOn w:val="TableNormal"/>
    <w:uiPriority w:val="61"/>
    <w:rsid w:val="00712D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712D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712D68"/>
    <w:rPr>
      <w:color w:val="800080" w:themeColor="followedHyperlink"/>
      <w:u w:val="single"/>
    </w:rPr>
  </w:style>
  <w:style w:type="character" w:customStyle="1" w:styleId="Heading4Char">
    <w:name w:val="Heading 4 Char"/>
    <w:basedOn w:val="DefaultParagraphFont"/>
    <w:link w:val="Heading4"/>
    <w:uiPriority w:val="9"/>
    <w:rsid w:val="00245BAC"/>
    <w:rPr>
      <w:b/>
      <w:i/>
      <w:noProof/>
      <w:color w:val="1F497D" w:themeColor="text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66937">
      <w:bodyDiv w:val="1"/>
      <w:marLeft w:val="0"/>
      <w:marRight w:val="0"/>
      <w:marTop w:val="0"/>
      <w:marBottom w:val="0"/>
      <w:divBdr>
        <w:top w:val="none" w:sz="0" w:space="0" w:color="auto"/>
        <w:left w:val="none" w:sz="0" w:space="0" w:color="auto"/>
        <w:bottom w:val="none" w:sz="0" w:space="0" w:color="auto"/>
        <w:right w:val="none" w:sz="0" w:space="0" w:color="auto"/>
      </w:divBdr>
    </w:div>
    <w:div w:id="14025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citizensinformationboard.ie/downloads/social_policy/HAP_Report_CIB_2017.pdf" TargetMode="External"/><Relationship Id="rId7" Type="http://schemas.openxmlformats.org/officeDocument/2006/relationships/hyperlink" Target="http://www.justice.ie/en/JELR/MABS%20Submission.pdf/Files/MABS%20Submission.pdf" TargetMode="External"/><Relationship Id="rId2" Type="http://schemas.openxmlformats.org/officeDocument/2006/relationships/hyperlink" Target="https://www.mabs.ie/downloads/reports_submissions/Left_Behind_in_the_Cold_Dublin_10_and_20_MABS_Report.pdf" TargetMode="External"/><Relationship Id="rId1" Type="http://schemas.openxmlformats.org/officeDocument/2006/relationships/hyperlink" Target="http://www.citizensinformationboard.ie/downloads/social_policy/Hard_Times_for_Selfemployed_2012.pdf" TargetMode="External"/><Relationship Id="rId6" Type="http://schemas.openxmlformats.org/officeDocument/2006/relationships/hyperlink" Target="http://itmakessenseloan.ie/" TargetMode="External"/><Relationship Id="rId5" Type="http://schemas.openxmlformats.org/officeDocument/2006/relationships/hyperlink" Target="https://data.oireachtas.ie/ie/oireachtas/committee/dail/32/joint_committee_on_finance_public_expenditure_and_reform_and_taoiseach/reports/2017/2017-11-06_report-on-the-review-of-the-credit-union-sector_en.pdf" TargetMode="External"/><Relationship Id="rId4" Type="http://schemas.openxmlformats.org/officeDocument/2006/relationships/hyperlink" Target="https://www.mabs.ie/en/about_us/mabs_statis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873D-CDDD-40E3-97A8-E5E94D5D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5933</Words>
  <Characters>33823</Characters>
  <Application>Microsoft Office Word</Application>
  <DocSecurity>0</DocSecurity>
  <Lines>281</Lines>
  <Paragraphs>79</Paragraphs>
  <ScaleCrop>false</ScaleCrop>
  <Company/>
  <LinksUpToDate>false</LinksUpToDate>
  <CharactersWithSpaces>39677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2018-09-11T15:57:00Z</dcterms:created>
  <dcterms:modified xsi:type="dcterms:W3CDTF">2018-09-11T15:57:00Z</dcterms:modified>
</cp:coreProperties>
</file>