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E9" w:rsidRDefault="005439E9" w:rsidP="001A6FA9">
      <w:pPr>
        <w:pStyle w:val="Title"/>
        <w:jc w:val="both"/>
        <w:rPr>
          <w:noProof/>
          <w:lang w:eastAsia="en-IE"/>
        </w:rPr>
      </w:pPr>
      <w:bookmarkStart w:id="0" w:name="_GoBack"/>
      <w:bookmarkEnd w:id="0"/>
    </w:p>
    <w:p w:rsidR="0089045B" w:rsidRDefault="00641E0F" w:rsidP="001A6FA9">
      <w:pPr>
        <w:pStyle w:val="Title"/>
        <w:jc w:val="center"/>
      </w:pPr>
      <w:r>
        <w:rPr>
          <w:noProof/>
          <w:lang w:eastAsia="en-IE"/>
        </w:rPr>
        <w:drawing>
          <wp:inline distT="0" distB="0" distL="0" distR="0" wp14:anchorId="00DFB2F7" wp14:editId="20E151C6">
            <wp:extent cx="3002280" cy="1371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2280" cy="1371600"/>
                    </a:xfrm>
                    <a:prstGeom prst="rect">
                      <a:avLst/>
                    </a:prstGeom>
                  </pic:spPr>
                </pic:pic>
              </a:graphicData>
            </a:graphic>
          </wp:inline>
        </w:drawing>
      </w:r>
    </w:p>
    <w:p w:rsidR="005439E9" w:rsidRDefault="005439E9" w:rsidP="001A6FA9">
      <w:pPr>
        <w:pStyle w:val="Title"/>
        <w:jc w:val="both"/>
        <w:rPr>
          <w:b/>
          <w:color w:val="548DD4" w:themeColor="text2" w:themeTint="99"/>
        </w:rPr>
      </w:pPr>
    </w:p>
    <w:p w:rsidR="005439E9" w:rsidRPr="00314C85" w:rsidRDefault="0089045B" w:rsidP="001A6FA9">
      <w:pPr>
        <w:pStyle w:val="Title"/>
        <w:jc w:val="center"/>
        <w:rPr>
          <w:b/>
          <w:i/>
          <w:color w:val="548DD4" w:themeColor="text2" w:themeTint="99"/>
        </w:rPr>
      </w:pPr>
      <w:r w:rsidRPr="00314C85">
        <w:rPr>
          <w:b/>
          <w:i/>
          <w:color w:val="548DD4" w:themeColor="text2" w:themeTint="99"/>
        </w:rPr>
        <w:t>Supporting people in transition</w:t>
      </w:r>
    </w:p>
    <w:p w:rsidR="009943F8" w:rsidRPr="004E2E66" w:rsidRDefault="0089045B" w:rsidP="001A6FA9">
      <w:pPr>
        <w:spacing w:line="240" w:lineRule="auto"/>
        <w:jc w:val="center"/>
        <w:rPr>
          <w:rFonts w:asciiTheme="majorHAnsi" w:hAnsiTheme="majorHAnsi"/>
          <w:b/>
          <w:color w:val="92D050"/>
          <w:sz w:val="52"/>
          <w:szCs w:val="52"/>
        </w:rPr>
      </w:pPr>
      <w:r w:rsidRPr="004E2E66">
        <w:rPr>
          <w:rFonts w:asciiTheme="majorHAnsi" w:hAnsiTheme="majorHAnsi"/>
          <w:b/>
          <w:color w:val="92D050"/>
          <w:sz w:val="52"/>
          <w:szCs w:val="52"/>
        </w:rPr>
        <w:t>Citizens Information Board</w:t>
      </w:r>
    </w:p>
    <w:p w:rsidR="0089045B" w:rsidRPr="004E2E66" w:rsidRDefault="0089045B" w:rsidP="001A6FA9">
      <w:pPr>
        <w:spacing w:line="240" w:lineRule="auto"/>
        <w:jc w:val="center"/>
        <w:rPr>
          <w:rFonts w:asciiTheme="majorHAnsi" w:hAnsiTheme="majorHAnsi"/>
          <w:b/>
          <w:color w:val="92D050"/>
          <w:sz w:val="52"/>
          <w:szCs w:val="52"/>
        </w:rPr>
      </w:pPr>
      <w:r w:rsidRPr="004E2E66">
        <w:rPr>
          <w:rFonts w:asciiTheme="majorHAnsi" w:hAnsiTheme="majorHAnsi"/>
          <w:b/>
          <w:color w:val="92D050"/>
          <w:sz w:val="52"/>
          <w:szCs w:val="52"/>
        </w:rPr>
        <w:t>Pre-Budget Submission 2018</w:t>
      </w:r>
    </w:p>
    <w:p w:rsidR="00641E0F" w:rsidRPr="004E2E66" w:rsidRDefault="00641E0F" w:rsidP="001A6FA9">
      <w:pPr>
        <w:spacing w:line="240" w:lineRule="auto"/>
        <w:jc w:val="center"/>
        <w:rPr>
          <w:rFonts w:asciiTheme="majorHAnsi" w:hAnsiTheme="majorHAnsi"/>
          <w:b/>
          <w:color w:val="92D050"/>
          <w:sz w:val="52"/>
          <w:szCs w:val="52"/>
        </w:rPr>
      </w:pPr>
    </w:p>
    <w:p w:rsidR="00641E0F" w:rsidRDefault="00641E0F" w:rsidP="001A6FA9">
      <w:pPr>
        <w:spacing w:line="240" w:lineRule="auto"/>
        <w:jc w:val="both"/>
        <w:rPr>
          <w:rFonts w:asciiTheme="majorHAnsi" w:hAnsiTheme="majorHAnsi"/>
          <w:b/>
          <w:color w:val="92D050"/>
          <w:sz w:val="52"/>
          <w:szCs w:val="52"/>
        </w:rPr>
      </w:pPr>
    </w:p>
    <w:p w:rsidR="00641E0F" w:rsidRPr="00641E0F" w:rsidRDefault="00641E0F" w:rsidP="001A6FA9">
      <w:pPr>
        <w:spacing w:line="240" w:lineRule="auto"/>
        <w:jc w:val="both"/>
        <w:rPr>
          <w:rFonts w:asciiTheme="majorHAnsi" w:hAnsiTheme="majorHAnsi"/>
          <w:b/>
          <w:color w:val="92D050"/>
          <w:sz w:val="52"/>
          <w:szCs w:val="52"/>
        </w:rPr>
      </w:pPr>
    </w:p>
    <w:p w:rsidR="0089045B" w:rsidRDefault="0089045B" w:rsidP="001A6FA9">
      <w:pPr>
        <w:spacing w:line="240" w:lineRule="auto"/>
        <w:jc w:val="both"/>
        <w:rPr>
          <w:b/>
          <w:sz w:val="24"/>
          <w:szCs w:val="24"/>
        </w:rPr>
      </w:pPr>
    </w:p>
    <w:p w:rsidR="0089045B" w:rsidRDefault="0089045B" w:rsidP="001A6FA9">
      <w:pPr>
        <w:spacing w:line="240" w:lineRule="auto"/>
        <w:jc w:val="both"/>
        <w:rPr>
          <w:b/>
          <w:sz w:val="24"/>
          <w:szCs w:val="24"/>
        </w:rPr>
      </w:pPr>
    </w:p>
    <w:p w:rsidR="0089045B" w:rsidRDefault="0089045B" w:rsidP="001A6FA9">
      <w:pPr>
        <w:spacing w:line="240" w:lineRule="auto"/>
        <w:jc w:val="both"/>
        <w:rPr>
          <w:b/>
          <w:sz w:val="24"/>
          <w:szCs w:val="24"/>
        </w:rPr>
      </w:pPr>
    </w:p>
    <w:p w:rsidR="0089045B" w:rsidRDefault="0089045B" w:rsidP="001A6FA9">
      <w:pPr>
        <w:spacing w:line="240" w:lineRule="auto"/>
        <w:jc w:val="both"/>
        <w:rPr>
          <w:b/>
          <w:sz w:val="24"/>
          <w:szCs w:val="24"/>
        </w:rPr>
      </w:pPr>
    </w:p>
    <w:p w:rsidR="0089045B" w:rsidRDefault="0089045B" w:rsidP="001A6FA9">
      <w:pPr>
        <w:spacing w:line="240" w:lineRule="auto"/>
        <w:jc w:val="both"/>
        <w:rPr>
          <w:b/>
          <w:sz w:val="24"/>
          <w:szCs w:val="24"/>
        </w:rPr>
      </w:pPr>
    </w:p>
    <w:p w:rsidR="0089045B" w:rsidRDefault="0089045B" w:rsidP="001A6FA9">
      <w:pPr>
        <w:spacing w:line="240" w:lineRule="auto"/>
        <w:jc w:val="both"/>
        <w:rPr>
          <w:b/>
          <w:sz w:val="24"/>
          <w:szCs w:val="24"/>
        </w:rPr>
      </w:pPr>
    </w:p>
    <w:p w:rsidR="00121F31" w:rsidRDefault="00121F31"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36"/>
          <w:szCs w:val="36"/>
        </w:rPr>
      </w:pPr>
    </w:p>
    <w:p w:rsidR="00883108" w:rsidRDefault="00883108" w:rsidP="001A6FA9">
      <w:pPr>
        <w:pBdr>
          <w:bottom w:val="single" w:sz="8" w:space="4" w:color="4F81BD" w:themeColor="accent1"/>
        </w:pBdr>
        <w:spacing w:after="300" w:line="240" w:lineRule="auto"/>
        <w:contextualSpacing/>
        <w:jc w:val="both"/>
        <w:rPr>
          <w:rFonts w:eastAsiaTheme="majorEastAsia" w:cstheme="majorBidi"/>
          <w:b/>
          <w:color w:val="17365D" w:themeColor="text2" w:themeShade="BF"/>
          <w:spacing w:val="5"/>
          <w:kern w:val="28"/>
        </w:rPr>
      </w:pPr>
    </w:p>
    <w:p w:rsidR="004D5017" w:rsidRDefault="004D5017"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26"/>
          <w:szCs w:val="26"/>
        </w:rPr>
      </w:pPr>
    </w:p>
    <w:p w:rsidR="004D5017" w:rsidRDefault="004D5017"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26"/>
          <w:szCs w:val="26"/>
        </w:rPr>
      </w:pPr>
    </w:p>
    <w:p w:rsidR="004D5017" w:rsidRDefault="004D5017"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26"/>
          <w:szCs w:val="26"/>
        </w:rPr>
      </w:pPr>
    </w:p>
    <w:p w:rsidR="001A6FA9" w:rsidRDefault="001A6FA9"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26"/>
          <w:szCs w:val="26"/>
        </w:rPr>
      </w:pPr>
    </w:p>
    <w:p w:rsidR="001A6FA9" w:rsidRDefault="001A6FA9" w:rsidP="001A6FA9">
      <w:pPr>
        <w:pBdr>
          <w:bottom w:val="single" w:sz="8" w:space="4" w:color="4F81BD" w:themeColor="accent1"/>
        </w:pBdr>
        <w:spacing w:after="300" w:line="240" w:lineRule="auto"/>
        <w:contextualSpacing/>
        <w:jc w:val="both"/>
        <w:rPr>
          <w:rFonts w:asciiTheme="majorHAnsi" w:eastAsiaTheme="majorEastAsia" w:hAnsiTheme="majorHAnsi" w:cstheme="majorBidi"/>
          <w:b/>
          <w:color w:val="17365D" w:themeColor="text2" w:themeShade="BF"/>
          <w:spacing w:val="5"/>
          <w:kern w:val="28"/>
          <w:sz w:val="26"/>
          <w:szCs w:val="26"/>
        </w:rPr>
      </w:pPr>
    </w:p>
    <w:p w:rsidR="00641E0F" w:rsidRPr="00126356" w:rsidRDefault="00641E0F" w:rsidP="002E54E2">
      <w:pPr>
        <w:pStyle w:val="Heading1"/>
        <w:rPr>
          <w:rFonts w:eastAsiaTheme="majorEastAsia"/>
        </w:rPr>
      </w:pPr>
      <w:r w:rsidRPr="00126356">
        <w:rPr>
          <w:rFonts w:eastAsiaTheme="majorEastAsia"/>
        </w:rPr>
        <w:lastRenderedPageBreak/>
        <w:t>Introduction</w:t>
      </w:r>
    </w:p>
    <w:p w:rsidR="002E54E2" w:rsidRDefault="002E54E2" w:rsidP="002E54E2">
      <w:pPr>
        <w:spacing w:after="0" w:line="240" w:lineRule="auto"/>
        <w:jc w:val="both"/>
      </w:pPr>
    </w:p>
    <w:p w:rsidR="00BC68D2" w:rsidRDefault="006E6783" w:rsidP="004E2E66">
      <w:pPr>
        <w:spacing w:after="0" w:line="240" w:lineRule="auto"/>
        <w:jc w:val="both"/>
      </w:pPr>
      <w:r w:rsidRPr="00883108">
        <w:t>T</w:t>
      </w:r>
      <w:r w:rsidR="00D760E0" w:rsidRPr="00883108">
        <w:t>he Citizens Information Board</w:t>
      </w:r>
      <w:r w:rsidR="003E77FE" w:rsidRPr="00883108">
        <w:t xml:space="preserve"> </w:t>
      </w:r>
      <w:r w:rsidR="00314C85" w:rsidRPr="00883108">
        <w:t>(CIB)</w:t>
      </w:r>
      <w:r w:rsidR="00D760E0" w:rsidRPr="00883108">
        <w:t xml:space="preserve"> supports the provision of information, advice and advocacy to people on a wide range of social and public services</w:t>
      </w:r>
      <w:r w:rsidR="005033A0">
        <w:t xml:space="preserve"> by providing direct funding and a variety of supports </w:t>
      </w:r>
      <w:r w:rsidR="00D760E0" w:rsidRPr="00883108">
        <w:t xml:space="preserve">to </w:t>
      </w:r>
      <w:r w:rsidR="00EC04A6" w:rsidRPr="00883108">
        <w:t xml:space="preserve">the </w:t>
      </w:r>
      <w:r w:rsidR="00314C85" w:rsidRPr="00883108">
        <w:t xml:space="preserve">national </w:t>
      </w:r>
      <w:r w:rsidR="00EC04A6" w:rsidRPr="00883108">
        <w:t>network</w:t>
      </w:r>
      <w:r w:rsidR="00296F69" w:rsidRPr="00883108">
        <w:t xml:space="preserve"> </w:t>
      </w:r>
      <w:r w:rsidR="00D760E0" w:rsidRPr="00883108">
        <w:t>of information, money advice and advocacy services</w:t>
      </w:r>
      <w:r w:rsidR="009A4767" w:rsidRPr="00883108">
        <w:t>. These services</w:t>
      </w:r>
      <w:r w:rsidR="00D760E0" w:rsidRPr="00883108">
        <w:t>, in turn, enabl</w:t>
      </w:r>
      <w:r w:rsidR="00296F69" w:rsidRPr="00883108">
        <w:t>e</w:t>
      </w:r>
      <w:r w:rsidR="00D760E0" w:rsidRPr="00883108">
        <w:t xml:space="preserve"> citizens to access clear</w:t>
      </w:r>
      <w:r w:rsidR="00296F69" w:rsidRPr="00883108">
        <w:t>,</w:t>
      </w:r>
      <w:r w:rsidR="00EB2CCA" w:rsidRPr="00883108">
        <w:t xml:space="preserve"> </w:t>
      </w:r>
      <w:r w:rsidR="00584E34" w:rsidRPr="00883108">
        <w:t xml:space="preserve">independent </w:t>
      </w:r>
      <w:r w:rsidR="00D760E0" w:rsidRPr="00883108">
        <w:t>and accurate information</w:t>
      </w:r>
      <w:r w:rsidR="00296F69" w:rsidRPr="00883108">
        <w:t xml:space="preserve"> and advocacy support </w:t>
      </w:r>
      <w:r w:rsidR="00D760E0" w:rsidRPr="00883108">
        <w:t>relating to state and public services</w:t>
      </w:r>
      <w:r w:rsidR="00AB7BF8" w:rsidRPr="00883108">
        <w:t xml:space="preserve">. </w:t>
      </w:r>
      <w:r w:rsidR="002B06EB" w:rsidRPr="00883108">
        <w:t>During 2016, CIB-supported delivery services (online, telephone and face-to-face services) were accessed by a significant proportion of the Irish population –</w:t>
      </w:r>
      <w:r w:rsidRPr="00883108">
        <w:t xml:space="preserve"> </w:t>
      </w:r>
      <w:r w:rsidR="002B06EB" w:rsidRPr="00883108">
        <w:t>over 60</w:t>
      </w:r>
      <w:r w:rsidR="00920EA6" w:rsidRPr="00883108">
        <w:t xml:space="preserve">0,000 people contacted Citizens </w:t>
      </w:r>
      <w:r w:rsidR="002B06EB" w:rsidRPr="00883108">
        <w:t>Information Services</w:t>
      </w:r>
      <w:r w:rsidR="004B66A0" w:rsidRPr="00883108">
        <w:t xml:space="preserve"> (CISs)</w:t>
      </w:r>
      <w:r w:rsidR="00920EA6" w:rsidRPr="00883108">
        <w:t xml:space="preserve">, there </w:t>
      </w:r>
      <w:r w:rsidR="006077DF" w:rsidRPr="00883108">
        <w:t>were 1</w:t>
      </w:r>
      <w:r w:rsidR="00296F69" w:rsidRPr="00883108">
        <w:t>9</w:t>
      </w:r>
      <w:r w:rsidR="006077DF" w:rsidRPr="00883108">
        <w:t xml:space="preserve"> million </w:t>
      </w:r>
      <w:r w:rsidR="002B06EB" w:rsidRPr="00883108">
        <w:t xml:space="preserve">visits to </w:t>
      </w:r>
      <w:hyperlink r:id="rId9" w:history="1">
        <w:r w:rsidR="002B06EB" w:rsidRPr="00883108">
          <w:rPr>
            <w:rStyle w:val="Hyperlink"/>
          </w:rPr>
          <w:t>www.citizensinformation.ie</w:t>
        </w:r>
      </w:hyperlink>
      <w:r w:rsidR="002B06EB" w:rsidRPr="00883108">
        <w:t xml:space="preserve">, </w:t>
      </w:r>
      <w:r w:rsidR="00296F69" w:rsidRPr="00883108">
        <w:t>over 40,000</w:t>
      </w:r>
      <w:r w:rsidRPr="00883108">
        <w:t xml:space="preserve"> </w:t>
      </w:r>
      <w:r w:rsidR="002B06EB" w:rsidRPr="00883108">
        <w:t xml:space="preserve">people were assisted with problem debt by MABS services and </w:t>
      </w:r>
      <w:r w:rsidR="00296F69" w:rsidRPr="00883108">
        <w:t xml:space="preserve">some </w:t>
      </w:r>
      <w:r w:rsidR="002B06EB" w:rsidRPr="00883108">
        <w:t>1</w:t>
      </w:r>
      <w:r w:rsidR="0077583F" w:rsidRPr="00883108">
        <w:t>40</w:t>
      </w:r>
      <w:r w:rsidR="002B06EB" w:rsidRPr="00883108">
        <w:t>,000 people called the national Citizens Information Phone Service</w:t>
      </w:r>
      <w:r w:rsidR="00F5406F">
        <w:t xml:space="preserve"> (CIPS)</w:t>
      </w:r>
      <w:r w:rsidR="002B06EB" w:rsidRPr="00883108">
        <w:t xml:space="preserve"> seeking information. </w:t>
      </w:r>
    </w:p>
    <w:p w:rsidR="004E2E66" w:rsidRDefault="004E2E66" w:rsidP="004E2E66">
      <w:pPr>
        <w:spacing w:after="0" w:line="240" w:lineRule="auto"/>
        <w:jc w:val="both"/>
      </w:pPr>
    </w:p>
    <w:p w:rsidR="00D760E0" w:rsidRPr="00883108" w:rsidRDefault="00FB0862" w:rsidP="001A6FA9">
      <w:pPr>
        <w:spacing w:line="240" w:lineRule="auto"/>
        <w:jc w:val="both"/>
      </w:pPr>
      <w:r w:rsidRPr="00883108">
        <w:t>Given the scale and reach of the</w:t>
      </w:r>
      <w:r w:rsidR="00296F69" w:rsidRPr="00883108">
        <w:t xml:space="preserve">se services and the extent of </w:t>
      </w:r>
      <w:r w:rsidRPr="00883108">
        <w:t xml:space="preserve">interactions with individuals and families as they seek access to </w:t>
      </w:r>
      <w:r w:rsidR="001569BE" w:rsidRPr="00883108">
        <w:t xml:space="preserve">a range of supports and services, CIB </w:t>
      </w:r>
      <w:r w:rsidR="00296F69" w:rsidRPr="00883108">
        <w:t>draws on</w:t>
      </w:r>
      <w:r w:rsidR="001569BE" w:rsidRPr="00883108">
        <w:t xml:space="preserve"> a significant </w:t>
      </w:r>
      <w:r w:rsidR="00296F69" w:rsidRPr="00883108">
        <w:t xml:space="preserve">body of </w:t>
      </w:r>
      <w:r w:rsidR="001569BE" w:rsidRPr="00883108">
        <w:t xml:space="preserve">data which evidences the particular difficulties that people encounter in trying to access public services </w:t>
      </w:r>
      <w:r w:rsidR="001350F4" w:rsidRPr="00883108">
        <w:t>–</w:t>
      </w:r>
      <w:r w:rsidR="001569BE" w:rsidRPr="00883108">
        <w:t xml:space="preserve"> </w:t>
      </w:r>
      <w:r w:rsidR="001350F4" w:rsidRPr="00883108">
        <w:t>such as socia</w:t>
      </w:r>
      <w:r w:rsidR="00314C85" w:rsidRPr="00883108">
        <w:t xml:space="preserve">l welfare, housing, education and </w:t>
      </w:r>
      <w:r w:rsidR="001350F4" w:rsidRPr="00883108">
        <w:t xml:space="preserve">health. </w:t>
      </w:r>
      <w:r w:rsidR="006077DF" w:rsidRPr="00883108">
        <w:t xml:space="preserve">The data and insights that are supplied to CIB by its frontline services provide the basis for this </w:t>
      </w:r>
      <w:r w:rsidR="00451864" w:rsidRPr="00883108">
        <w:t>submission.</w:t>
      </w:r>
    </w:p>
    <w:p w:rsidR="00001410" w:rsidRPr="00883108" w:rsidRDefault="00451864" w:rsidP="001A6FA9">
      <w:pPr>
        <w:spacing w:line="240" w:lineRule="auto"/>
        <w:jc w:val="both"/>
      </w:pPr>
      <w:r w:rsidRPr="00883108">
        <w:t>The focus of th</w:t>
      </w:r>
      <w:r w:rsidR="009A4767" w:rsidRPr="00883108">
        <w:t>is</w:t>
      </w:r>
      <w:r w:rsidRPr="00883108">
        <w:t xml:space="preserve"> Pre-Budget Submission 2018</w:t>
      </w:r>
      <w:r w:rsidR="009A4767" w:rsidRPr="00883108">
        <w:t xml:space="preserve"> is on </w:t>
      </w:r>
      <w:r w:rsidRPr="00883108">
        <w:rPr>
          <w:b/>
          <w:i/>
        </w:rPr>
        <w:t>transitions</w:t>
      </w:r>
      <w:r w:rsidRPr="00883108">
        <w:t>, with a particular emphasis on the issues that are reported by staff within delivery services as they seek to assist their</w:t>
      </w:r>
      <w:r w:rsidR="00E15E47">
        <w:t xml:space="preserve"> clients</w:t>
      </w:r>
      <w:r w:rsidRPr="00883108">
        <w:t xml:space="preserve"> at key transition times in their lives</w:t>
      </w:r>
      <w:r w:rsidR="00BE5CAE" w:rsidRPr="00883108">
        <w:t>.</w:t>
      </w:r>
      <w:r w:rsidRPr="00883108">
        <w:t xml:space="preserve"> Some of these transitions will </w:t>
      </w:r>
      <w:r w:rsidR="005033A0">
        <w:t xml:space="preserve">be expected, but many will not. </w:t>
      </w:r>
      <w:r w:rsidR="009D150B">
        <w:t xml:space="preserve">In the first section of </w:t>
      </w:r>
      <w:r w:rsidR="00BE5CAE" w:rsidRPr="00883108">
        <w:t>this submission,</w:t>
      </w:r>
      <w:r w:rsidR="009D150B">
        <w:t xml:space="preserve"> we identify</w:t>
      </w:r>
      <w:r w:rsidR="00BE5CAE" w:rsidRPr="00883108">
        <w:t xml:space="preserve"> the main shifts or transitions in </w:t>
      </w:r>
      <w:r w:rsidR="005033A0">
        <w:t xml:space="preserve">service </w:t>
      </w:r>
      <w:r w:rsidR="00EC04A6" w:rsidRPr="00883108">
        <w:t>users</w:t>
      </w:r>
      <w:r w:rsidR="006E6783" w:rsidRPr="00883108">
        <w:t>’</w:t>
      </w:r>
      <w:r w:rsidR="00EC04A6" w:rsidRPr="00883108">
        <w:t xml:space="preserve"> </w:t>
      </w:r>
      <w:r w:rsidR="006E6783" w:rsidRPr="00883108">
        <w:t xml:space="preserve">lives </w:t>
      </w:r>
      <w:r w:rsidR="00BE5CAE" w:rsidRPr="00883108">
        <w:t xml:space="preserve">or circumstances as </w:t>
      </w:r>
      <w:r w:rsidR="009943F8" w:rsidRPr="00883108">
        <w:t xml:space="preserve">becoming unemployed and </w:t>
      </w:r>
      <w:r w:rsidR="00BE5CAE" w:rsidRPr="00883108">
        <w:t xml:space="preserve">moving from welfare to work, </w:t>
      </w:r>
      <w:r w:rsidR="0031709F" w:rsidRPr="00883108">
        <w:t xml:space="preserve">retiring or ageing, </w:t>
      </w:r>
      <w:r w:rsidR="005033A0">
        <w:t>becoming ill or</w:t>
      </w:r>
      <w:r w:rsidR="0031709F" w:rsidRPr="00883108">
        <w:t xml:space="preserve"> </w:t>
      </w:r>
      <w:r w:rsidR="005033A0">
        <w:t xml:space="preserve">acquiring a disability </w:t>
      </w:r>
      <w:r w:rsidR="0031709F" w:rsidRPr="00883108">
        <w:t xml:space="preserve">or taking on </w:t>
      </w:r>
      <w:r w:rsidR="00424B42" w:rsidRPr="00883108">
        <w:t xml:space="preserve">a </w:t>
      </w:r>
      <w:r w:rsidR="0031709F" w:rsidRPr="00883108">
        <w:t xml:space="preserve">caring role. The submission also looks at the underlying issue of housing in the context of these transitions, and </w:t>
      </w:r>
      <w:r w:rsidR="00013BDA" w:rsidRPr="00883108">
        <w:t xml:space="preserve">at </w:t>
      </w:r>
      <w:r w:rsidR="0031709F" w:rsidRPr="00883108">
        <w:t xml:space="preserve">the role that </w:t>
      </w:r>
      <w:r w:rsidR="00D71194" w:rsidRPr="00883108">
        <w:t>suitable, affordable housing</w:t>
      </w:r>
      <w:r w:rsidR="0031709F" w:rsidRPr="00883108">
        <w:t xml:space="preserve"> can play in either exacerbating or </w:t>
      </w:r>
      <w:r w:rsidR="00D71194" w:rsidRPr="00883108">
        <w:t>alleviating</w:t>
      </w:r>
      <w:r w:rsidR="0031709F" w:rsidRPr="00883108">
        <w:t xml:space="preserve"> </w:t>
      </w:r>
      <w:r w:rsidR="00D71194" w:rsidRPr="00883108">
        <w:t>the challenges that individuals and families face when the</w:t>
      </w:r>
      <w:r w:rsidR="00013BDA" w:rsidRPr="00883108">
        <w:t xml:space="preserve">ir life circumstances change. </w:t>
      </w:r>
    </w:p>
    <w:p w:rsidR="00A7263B" w:rsidRPr="00883108" w:rsidRDefault="00EC04A6" w:rsidP="001A6FA9">
      <w:pPr>
        <w:spacing w:line="240" w:lineRule="auto"/>
        <w:jc w:val="both"/>
      </w:pPr>
      <w:r w:rsidRPr="00883108">
        <w:t xml:space="preserve">In </w:t>
      </w:r>
      <w:r w:rsidR="004D5017">
        <w:t xml:space="preserve">the second </w:t>
      </w:r>
      <w:r w:rsidR="004E2E66">
        <w:t xml:space="preserve">part </w:t>
      </w:r>
      <w:r w:rsidR="004D5017">
        <w:t xml:space="preserve">of this </w:t>
      </w:r>
      <w:r w:rsidRPr="00883108">
        <w:t xml:space="preserve">submission, issues relating to key transitions arising from </w:t>
      </w:r>
      <w:r w:rsidR="006E6783" w:rsidRPr="00883108">
        <w:t xml:space="preserve">the </w:t>
      </w:r>
      <w:r w:rsidRPr="00883108">
        <w:t xml:space="preserve">engagement </w:t>
      </w:r>
      <w:r w:rsidR="006E6783" w:rsidRPr="00883108">
        <w:t xml:space="preserve">of </w:t>
      </w:r>
      <w:r w:rsidR="004E2E66">
        <w:t>MABS</w:t>
      </w:r>
      <w:r w:rsidR="006E6783" w:rsidRPr="00883108">
        <w:t xml:space="preserve"> </w:t>
      </w:r>
      <w:r w:rsidRPr="00883108">
        <w:t xml:space="preserve">with its </w:t>
      </w:r>
      <w:r w:rsidR="00A7263B" w:rsidRPr="00883108">
        <w:t xml:space="preserve">primarily low income </w:t>
      </w:r>
      <w:r w:rsidRPr="00883108">
        <w:t>client</w:t>
      </w:r>
      <w:r w:rsidR="00A7263B" w:rsidRPr="00883108">
        <w:t xml:space="preserve"> group</w:t>
      </w:r>
      <w:r w:rsidRPr="00883108">
        <w:t xml:space="preserve"> </w:t>
      </w:r>
      <w:r w:rsidR="00A7263B" w:rsidRPr="00883108">
        <w:t>are highlighted</w:t>
      </w:r>
      <w:r w:rsidR="00121F31" w:rsidRPr="00883108">
        <w:t>. Through the money advice process</w:t>
      </w:r>
      <w:r w:rsidR="00DE0AA7" w:rsidRPr="00883108">
        <w:t xml:space="preserve"> </w:t>
      </w:r>
      <w:r w:rsidR="00920EA6" w:rsidRPr="00883108">
        <w:t xml:space="preserve">MABS </w:t>
      </w:r>
      <w:r w:rsidR="00DE0AA7" w:rsidRPr="00883108">
        <w:t>deal</w:t>
      </w:r>
      <w:r w:rsidR="00A7263B" w:rsidRPr="00883108">
        <w:t xml:space="preserve"> with people in late stage mortgage arrears</w:t>
      </w:r>
      <w:r w:rsidR="00F5406F">
        <w:t xml:space="preserve">, </w:t>
      </w:r>
      <w:r w:rsidR="00DE0AA7" w:rsidRPr="00883108">
        <w:t>try to keep</w:t>
      </w:r>
      <w:r w:rsidR="00A7263B" w:rsidRPr="00883108">
        <w:t xml:space="preserve"> people in their homes</w:t>
      </w:r>
      <w:r w:rsidR="00771C0E" w:rsidRPr="00883108">
        <w:t xml:space="preserve">, </w:t>
      </w:r>
      <w:r w:rsidR="00DE0AA7" w:rsidRPr="00883108">
        <w:t>assist</w:t>
      </w:r>
      <w:r w:rsidR="00A7263B" w:rsidRPr="00883108">
        <w:t xml:space="preserve"> people in negotiating their debts with creditors </w:t>
      </w:r>
      <w:r w:rsidR="00DE0AA7" w:rsidRPr="00883108">
        <w:t xml:space="preserve">and </w:t>
      </w:r>
      <w:r w:rsidR="00920EA6" w:rsidRPr="00883108">
        <w:t xml:space="preserve">in </w:t>
      </w:r>
      <w:r w:rsidR="00DE0AA7" w:rsidRPr="00883108">
        <w:t>transition</w:t>
      </w:r>
      <w:r w:rsidR="00920EA6" w:rsidRPr="00883108">
        <w:t xml:space="preserve">ing </w:t>
      </w:r>
      <w:r w:rsidR="00A7263B" w:rsidRPr="00883108">
        <w:t xml:space="preserve">out of </w:t>
      </w:r>
      <w:r w:rsidR="00121F31" w:rsidRPr="00883108">
        <w:t xml:space="preserve">indebtedness and </w:t>
      </w:r>
      <w:r w:rsidR="00A7263B" w:rsidRPr="00883108">
        <w:t>insolvency.  Many of the underlying concerns are similar across the various client gr</w:t>
      </w:r>
      <w:r w:rsidR="005033A0">
        <w:t>oups of CIB supported services</w:t>
      </w:r>
      <w:r w:rsidR="00A7263B" w:rsidRPr="00883108">
        <w:t xml:space="preserve">. </w:t>
      </w:r>
    </w:p>
    <w:p w:rsidR="004D5017" w:rsidRPr="004D5017" w:rsidRDefault="00EC04A6" w:rsidP="00126356">
      <w:pPr>
        <w:pStyle w:val="Heading2"/>
      </w:pPr>
      <w:r w:rsidRPr="004D5017">
        <w:t xml:space="preserve"> </w:t>
      </w:r>
    </w:p>
    <w:p w:rsidR="00734A16" w:rsidRPr="00126356" w:rsidRDefault="004D5017" w:rsidP="00126356">
      <w:pPr>
        <w:pStyle w:val="Heading1"/>
      </w:pPr>
      <w:r w:rsidRPr="00126356">
        <w:t xml:space="preserve">Section 1: </w:t>
      </w:r>
      <w:r w:rsidR="00771C0E" w:rsidRPr="00126356">
        <w:t>I</w:t>
      </w:r>
      <w:r w:rsidRPr="00126356">
        <w:t>ncome S</w:t>
      </w:r>
      <w:r w:rsidR="00734A16" w:rsidRPr="00126356">
        <w:t>upport and Welfare Measures</w:t>
      </w:r>
    </w:p>
    <w:p w:rsidR="002E54E2" w:rsidRDefault="002E54E2" w:rsidP="002E54E2">
      <w:pPr>
        <w:spacing w:after="0" w:line="240" w:lineRule="auto"/>
        <w:jc w:val="both"/>
      </w:pPr>
    </w:p>
    <w:p w:rsidR="00DC0E79" w:rsidRDefault="00013BDA" w:rsidP="005033A0">
      <w:pPr>
        <w:spacing w:after="0" w:line="240" w:lineRule="auto"/>
        <w:jc w:val="both"/>
      </w:pPr>
      <w:r w:rsidRPr="00883108">
        <w:t xml:space="preserve">The provision of information advice and advocacy on social welfare related matters continues to be the focus of much of the work </w:t>
      </w:r>
      <w:r w:rsidR="00DD725F" w:rsidRPr="00883108">
        <w:t>of the 4</w:t>
      </w:r>
      <w:r w:rsidR="00314C85" w:rsidRPr="00883108">
        <w:t xml:space="preserve">2 CISs </w:t>
      </w:r>
      <w:r w:rsidR="00DD725F" w:rsidRPr="00883108">
        <w:t xml:space="preserve">around the country and also of the national Phone Service. </w:t>
      </w:r>
      <w:r w:rsidR="00E272D2" w:rsidRPr="00883108">
        <w:t xml:space="preserve">This </w:t>
      </w:r>
      <w:r w:rsidR="00EB2CCA" w:rsidRPr="00883108">
        <w:t xml:space="preserve">is reflective of </w:t>
      </w:r>
      <w:r w:rsidR="00E272D2" w:rsidRPr="00883108">
        <w:t xml:space="preserve">the level of </w:t>
      </w:r>
      <w:r w:rsidR="00DE0AA7" w:rsidRPr="00883108">
        <w:t xml:space="preserve">reliance on social transfers and </w:t>
      </w:r>
      <w:r w:rsidR="00E272D2" w:rsidRPr="00883108">
        <w:t xml:space="preserve">the </w:t>
      </w:r>
      <w:r w:rsidR="002A187C" w:rsidRPr="00883108">
        <w:t xml:space="preserve">extent of the </w:t>
      </w:r>
      <w:r w:rsidR="004B66A0" w:rsidRPr="00883108">
        <w:t>s</w:t>
      </w:r>
      <w:r w:rsidR="00E272D2" w:rsidRPr="00883108">
        <w:t xml:space="preserve">ocial </w:t>
      </w:r>
      <w:r w:rsidR="004B66A0" w:rsidRPr="00883108">
        <w:t>p</w:t>
      </w:r>
      <w:r w:rsidR="00E272D2" w:rsidRPr="00883108">
        <w:t>rotection</w:t>
      </w:r>
      <w:r w:rsidR="004B66A0" w:rsidRPr="00883108">
        <w:t xml:space="preserve"> system</w:t>
      </w:r>
      <w:r w:rsidR="00E272D2" w:rsidRPr="00883108">
        <w:t xml:space="preserve"> engage</w:t>
      </w:r>
      <w:r w:rsidR="00CC185E" w:rsidRPr="00883108">
        <w:t xml:space="preserve">ment </w:t>
      </w:r>
      <w:r w:rsidR="00E272D2" w:rsidRPr="00883108">
        <w:t>with welfare applicants and recipients</w:t>
      </w:r>
      <w:r w:rsidR="00CC185E" w:rsidRPr="00883108">
        <w:t xml:space="preserve"> on a daily and weekly basis</w:t>
      </w:r>
      <w:r w:rsidR="00EB2CCA" w:rsidRPr="00883108">
        <w:t xml:space="preserve">. It </w:t>
      </w:r>
      <w:r w:rsidR="00F6246F" w:rsidRPr="00883108">
        <w:t xml:space="preserve">also </w:t>
      </w:r>
      <w:r w:rsidR="00EB2CCA" w:rsidRPr="00883108">
        <w:t xml:space="preserve">reflects </w:t>
      </w:r>
      <w:r w:rsidR="00F6246F" w:rsidRPr="00883108">
        <w:t>the</w:t>
      </w:r>
      <w:r w:rsidR="00EB2CCA" w:rsidRPr="00883108">
        <w:t xml:space="preserve"> </w:t>
      </w:r>
      <w:r w:rsidR="0055169E" w:rsidRPr="00883108">
        <w:t>comple</w:t>
      </w:r>
      <w:r w:rsidR="00E272D2" w:rsidRPr="00883108">
        <w:t xml:space="preserve">mentary role that CISs </w:t>
      </w:r>
      <w:r w:rsidR="00734A16" w:rsidRPr="00883108">
        <w:t xml:space="preserve">and CIPS </w:t>
      </w:r>
      <w:r w:rsidR="00E272D2" w:rsidRPr="00883108">
        <w:t xml:space="preserve">have in relation to </w:t>
      </w:r>
      <w:r w:rsidR="00F6246F" w:rsidRPr="00883108">
        <w:t>informing, advising and advocating for these applicants and claimants</w:t>
      </w:r>
      <w:r w:rsidR="00EB2CCA" w:rsidRPr="00883108">
        <w:t xml:space="preserve"> </w:t>
      </w:r>
      <w:r w:rsidR="0097411C" w:rsidRPr="00883108">
        <w:t xml:space="preserve"> </w:t>
      </w:r>
      <w:r w:rsidR="00EB2CCA" w:rsidRPr="00883108">
        <w:t xml:space="preserve">– </w:t>
      </w:r>
      <w:r w:rsidR="00734A16" w:rsidRPr="00883108">
        <w:t xml:space="preserve">of the </w:t>
      </w:r>
      <w:r w:rsidR="00BC68D2">
        <w:rPr>
          <w:b/>
        </w:rPr>
        <w:t xml:space="preserve">1.01 million </w:t>
      </w:r>
      <w:r w:rsidR="00BC68D2" w:rsidRPr="004A77B1">
        <w:rPr>
          <w:b/>
          <w:color w:val="244061" w:themeColor="accent1" w:themeShade="80"/>
        </w:rPr>
        <w:t xml:space="preserve">queries </w:t>
      </w:r>
      <w:r w:rsidR="00BC68D2" w:rsidRPr="00F5406F">
        <w:t>made to</w:t>
      </w:r>
      <w:r w:rsidR="00734A16" w:rsidRPr="00F5406F">
        <w:t xml:space="preserve"> CISs</w:t>
      </w:r>
      <w:r w:rsidR="00734A16" w:rsidRPr="00883108">
        <w:t xml:space="preserve"> during 2016</w:t>
      </w:r>
      <w:r w:rsidR="008B4BBB" w:rsidRPr="00883108">
        <w:t xml:space="preserve"> </w:t>
      </w:r>
      <w:r w:rsidR="0097411C" w:rsidRPr="00883108">
        <w:t>(from over 600,000 callers)</w:t>
      </w:r>
      <w:r w:rsidR="00734A16" w:rsidRPr="00883108">
        <w:t>, over 460,000 (or 46%) were related to social welfare</w:t>
      </w:r>
      <w:r w:rsidR="005F44CE" w:rsidRPr="00883108">
        <w:t xml:space="preserve"> matters</w:t>
      </w:r>
      <w:r w:rsidR="005C7369" w:rsidRPr="00883108">
        <w:t xml:space="preserve">. Staff in CIPS dealt with an </w:t>
      </w:r>
      <w:r w:rsidR="00EB2CCA" w:rsidRPr="00883108">
        <w:t xml:space="preserve">additional </w:t>
      </w:r>
      <w:r w:rsidR="0077583F" w:rsidRPr="00883108">
        <w:t xml:space="preserve">66,800 </w:t>
      </w:r>
      <w:r w:rsidR="005C7369" w:rsidRPr="00883108">
        <w:t>social welfare queries</w:t>
      </w:r>
      <w:r w:rsidR="00734A16" w:rsidRPr="00883108">
        <w:t xml:space="preserve">. </w:t>
      </w:r>
      <w:r w:rsidR="005C7369" w:rsidRPr="00883108">
        <w:t>S</w:t>
      </w:r>
      <w:r w:rsidR="00734A16" w:rsidRPr="00883108">
        <w:t>ocial welfare</w:t>
      </w:r>
      <w:r w:rsidR="005C7369" w:rsidRPr="00883108">
        <w:t xml:space="preserve">-related </w:t>
      </w:r>
      <w:r w:rsidR="0036250E" w:rsidRPr="00883108">
        <w:t xml:space="preserve">payments and schemes were also the subject of a substantial </w:t>
      </w:r>
      <w:r w:rsidR="004B66A0" w:rsidRPr="00883108">
        <w:t xml:space="preserve">volume </w:t>
      </w:r>
      <w:r w:rsidR="0036250E" w:rsidRPr="00883108">
        <w:t xml:space="preserve">of case evidence submitted to CIB by information staff in the form of ‘Social Policy Returns’ – a process whereby staff in services highlight </w:t>
      </w:r>
      <w:r w:rsidR="0036250E" w:rsidRPr="00883108">
        <w:lastRenderedPageBreak/>
        <w:t xml:space="preserve">a policy issue that they are coming across repeatedly which they consider to be indicative of a broader difficulty amongst clients. </w:t>
      </w:r>
      <w:r w:rsidR="007667EB" w:rsidRPr="00883108">
        <w:t>This feedback could be considered to be broadly representative of the typical spread of issues that affect those who are seeking to access the social welfare system</w:t>
      </w:r>
      <w:r w:rsidR="002A118C" w:rsidRPr="00883108">
        <w:t xml:space="preserve"> for one reason or another</w:t>
      </w:r>
      <w:r w:rsidR="007667EB" w:rsidRPr="00883108">
        <w:t>.</w:t>
      </w:r>
      <w:r w:rsidR="00D10D2D" w:rsidRPr="00883108">
        <w:t xml:space="preserve"> </w:t>
      </w:r>
      <w:r w:rsidR="005F44CE" w:rsidRPr="00883108">
        <w:t>M</w:t>
      </w:r>
      <w:r w:rsidR="00D10D2D" w:rsidRPr="00883108">
        <w:t xml:space="preserve">ore than half of the cases have been deemed by the information providers to be indicative of </w:t>
      </w:r>
      <w:r w:rsidR="00D10D2D" w:rsidRPr="00883108">
        <w:rPr>
          <w:i/>
        </w:rPr>
        <w:t>concerns with the administration of services or policy on the</w:t>
      </w:r>
      <w:r w:rsidR="00D10D2D" w:rsidRPr="00883108">
        <w:t xml:space="preserve"> </w:t>
      </w:r>
      <w:r w:rsidR="00D10D2D" w:rsidRPr="00883108">
        <w:rPr>
          <w:i/>
        </w:rPr>
        <w:t>ground.</w:t>
      </w:r>
      <w:r w:rsidR="00D10D2D" w:rsidRPr="00883108">
        <w:t xml:space="preserve">  The remainder are focussed on difficulties caused for clients by </w:t>
      </w:r>
      <w:r w:rsidR="00FA1C5A" w:rsidRPr="00883108">
        <w:t xml:space="preserve">specific </w:t>
      </w:r>
      <w:r w:rsidR="00D10D2D" w:rsidRPr="00883108">
        <w:t>policies, legislation or guidelines that underpin the provision of schemes, benefits or services.</w:t>
      </w:r>
      <w:r w:rsidR="00307591" w:rsidRPr="00883108">
        <w:t xml:space="preserve"> </w:t>
      </w:r>
    </w:p>
    <w:p w:rsidR="005033A0" w:rsidRDefault="005033A0" w:rsidP="005033A0">
      <w:pPr>
        <w:spacing w:after="0" w:line="240" w:lineRule="auto"/>
        <w:jc w:val="both"/>
      </w:pPr>
    </w:p>
    <w:p w:rsidR="008B4BBB" w:rsidRPr="00883108" w:rsidRDefault="00D10D2D" w:rsidP="001A6FA9">
      <w:pPr>
        <w:spacing w:line="240" w:lineRule="auto"/>
        <w:jc w:val="both"/>
      </w:pPr>
      <w:r w:rsidRPr="00883108">
        <w:t xml:space="preserve">Given the size and reach of the operations of the </w:t>
      </w:r>
      <w:r w:rsidR="00DE0AA7" w:rsidRPr="00883108">
        <w:t>s</w:t>
      </w:r>
      <w:r w:rsidRPr="00883108">
        <w:t xml:space="preserve">ocial </w:t>
      </w:r>
      <w:r w:rsidR="002A187C" w:rsidRPr="00883108">
        <w:t xml:space="preserve">welfare </w:t>
      </w:r>
      <w:r w:rsidR="00DE0AA7" w:rsidRPr="00883108">
        <w:t>system</w:t>
      </w:r>
      <w:r w:rsidRPr="00883108">
        <w:t xml:space="preserve"> (and </w:t>
      </w:r>
      <w:r w:rsidR="0072550E" w:rsidRPr="00883108">
        <w:t xml:space="preserve">its </w:t>
      </w:r>
      <w:r w:rsidRPr="00883108">
        <w:t>complexity</w:t>
      </w:r>
      <w:r w:rsidR="0072550E" w:rsidRPr="00883108">
        <w:t>)</w:t>
      </w:r>
      <w:r w:rsidRPr="00883108">
        <w:t xml:space="preserve">, it is not surprising that applicants and recipients of benefits will encounter difficulties in their interactions </w:t>
      </w:r>
      <w:r w:rsidR="004D6B9E" w:rsidRPr="00883108">
        <w:t xml:space="preserve">with </w:t>
      </w:r>
      <w:r w:rsidR="0072550E" w:rsidRPr="00883108">
        <w:t>such a</w:t>
      </w:r>
      <w:r w:rsidR="00001410" w:rsidRPr="00883108">
        <w:t xml:space="preserve"> large public administration system</w:t>
      </w:r>
      <w:r w:rsidR="0072550E" w:rsidRPr="00883108">
        <w:t>. I</w:t>
      </w:r>
      <w:r w:rsidR="004D6B9E" w:rsidRPr="00883108">
        <w:t>n particular, the end-user experience of accessing payments and schemes</w:t>
      </w:r>
      <w:r w:rsidR="00307591" w:rsidRPr="00883108">
        <w:t xml:space="preserve"> </w:t>
      </w:r>
      <w:r w:rsidR="004B66A0" w:rsidRPr="00883108">
        <w:t xml:space="preserve">generates </w:t>
      </w:r>
      <w:r w:rsidR="00307591" w:rsidRPr="00883108">
        <w:t>a considerable amount</w:t>
      </w:r>
      <w:r w:rsidR="003E77FE" w:rsidRPr="00883108">
        <w:t xml:space="preserve"> of delivery service feedback - </w:t>
      </w:r>
      <w:r w:rsidR="00307591" w:rsidRPr="00883108">
        <w:t xml:space="preserve">which suggests that the </w:t>
      </w:r>
      <w:r w:rsidR="00D80054" w:rsidRPr="00883108">
        <w:t xml:space="preserve">challenging </w:t>
      </w:r>
      <w:r w:rsidR="00307591" w:rsidRPr="00883108">
        <w:t>administrative processes that many people struggle with only add further to the difficulty of the situation</w:t>
      </w:r>
      <w:r w:rsidR="00D80054" w:rsidRPr="00883108">
        <w:t xml:space="preserve"> that they are seeking assistance with</w:t>
      </w:r>
      <w:r w:rsidR="00307591" w:rsidRPr="00883108">
        <w:t xml:space="preserve">. </w:t>
      </w:r>
      <w:r w:rsidR="00791BDA" w:rsidRPr="00883108">
        <w:t xml:space="preserve">The most common concerns that are highlighted in relation to social welfare payments and schemes are </w:t>
      </w:r>
      <w:r w:rsidR="00791BDA" w:rsidRPr="00883108">
        <w:rPr>
          <w:i/>
        </w:rPr>
        <w:t>delays in processing</w:t>
      </w:r>
      <w:r w:rsidR="00791BDA" w:rsidRPr="00883108">
        <w:t xml:space="preserve"> (in terms of applications and appeals)</w:t>
      </w:r>
      <w:r w:rsidR="00791BDA" w:rsidRPr="00883108">
        <w:rPr>
          <w:i/>
        </w:rPr>
        <w:t>,</w:t>
      </w:r>
      <w:r w:rsidR="00791BDA" w:rsidRPr="00883108">
        <w:t xml:space="preserve"> </w:t>
      </w:r>
      <w:r w:rsidR="00791BDA" w:rsidRPr="00883108">
        <w:rPr>
          <w:i/>
        </w:rPr>
        <w:t>information gaps</w:t>
      </w:r>
      <w:r w:rsidR="00D57625" w:rsidRPr="00883108">
        <w:t xml:space="preserve"> </w:t>
      </w:r>
      <w:r w:rsidR="00D57625" w:rsidRPr="00883108">
        <w:rPr>
          <w:i/>
        </w:rPr>
        <w:t>or deficits</w:t>
      </w:r>
      <w:r w:rsidR="00791BDA" w:rsidRPr="00883108">
        <w:t xml:space="preserve"> and </w:t>
      </w:r>
      <w:r w:rsidR="00791BDA" w:rsidRPr="00883108">
        <w:rPr>
          <w:i/>
        </w:rPr>
        <w:t>communicatio</w:t>
      </w:r>
      <w:r w:rsidR="00314C85" w:rsidRPr="00883108">
        <w:rPr>
          <w:i/>
        </w:rPr>
        <w:t>n</w:t>
      </w:r>
      <w:r w:rsidR="00791BDA" w:rsidRPr="00883108">
        <w:rPr>
          <w:i/>
        </w:rPr>
        <w:t xml:space="preserve"> difficulties</w:t>
      </w:r>
      <w:r w:rsidR="008B4BBB" w:rsidRPr="00883108">
        <w:t xml:space="preserve"> with particular sections within the Department</w:t>
      </w:r>
      <w:r w:rsidR="00791BDA" w:rsidRPr="00883108">
        <w:t xml:space="preserve">. </w:t>
      </w:r>
    </w:p>
    <w:p w:rsidR="00D57625" w:rsidRPr="00883108" w:rsidRDefault="00D80054" w:rsidP="001A6FA9">
      <w:pPr>
        <w:spacing w:line="240" w:lineRule="auto"/>
        <w:jc w:val="both"/>
      </w:pPr>
      <w:r w:rsidRPr="00883108">
        <w:t xml:space="preserve">As the economy </w:t>
      </w:r>
      <w:r w:rsidR="00791BDA" w:rsidRPr="00883108">
        <w:t xml:space="preserve">has </w:t>
      </w:r>
      <w:r w:rsidRPr="00883108">
        <w:t>move</w:t>
      </w:r>
      <w:r w:rsidR="00791BDA" w:rsidRPr="00883108">
        <w:t>d</w:t>
      </w:r>
      <w:r w:rsidRPr="00883108">
        <w:t xml:space="preserve"> from recession to growth, and the Government face</w:t>
      </w:r>
      <w:r w:rsidR="00424B42" w:rsidRPr="00883108">
        <w:t>s</w:t>
      </w:r>
      <w:r w:rsidRPr="00883108">
        <w:t xml:space="preserve"> choices about economic and social priorities, feedback from our frontline services would suggest that it is timely to </w:t>
      </w:r>
      <w:r w:rsidR="00791BDA" w:rsidRPr="00883108">
        <w:t xml:space="preserve">provide </w:t>
      </w:r>
      <w:r w:rsidR="008B4BBB" w:rsidRPr="00883108">
        <w:t xml:space="preserve">enhanced </w:t>
      </w:r>
      <w:r w:rsidR="00424B42" w:rsidRPr="00883108">
        <w:t>resourcing, improve</w:t>
      </w:r>
      <w:r w:rsidR="0072550E" w:rsidRPr="00883108">
        <w:t>d</w:t>
      </w:r>
      <w:r w:rsidR="00424B42" w:rsidRPr="00883108">
        <w:t xml:space="preserve"> process</w:t>
      </w:r>
      <w:r w:rsidR="004B66A0" w:rsidRPr="00883108">
        <w:t>ing</w:t>
      </w:r>
      <w:r w:rsidR="00424B42" w:rsidRPr="00883108">
        <w:t xml:space="preserve"> and more effective strategies in </w:t>
      </w:r>
      <w:r w:rsidR="00791BDA" w:rsidRPr="00883108">
        <w:t xml:space="preserve">the administration of public services. </w:t>
      </w:r>
      <w:r w:rsidR="00424B42" w:rsidRPr="00883108">
        <w:t xml:space="preserve">Central to these efforts is the need to </w:t>
      </w:r>
      <w:r w:rsidR="009E2089" w:rsidRPr="00883108">
        <w:t xml:space="preserve">develop a </w:t>
      </w:r>
      <w:r w:rsidR="009E2089" w:rsidRPr="00883108">
        <w:rPr>
          <w:i/>
        </w:rPr>
        <w:t>single, streamlined means test</w:t>
      </w:r>
      <w:r w:rsidR="009E2089" w:rsidRPr="00883108">
        <w:t xml:space="preserve"> </w:t>
      </w:r>
      <w:r w:rsidR="009E2089" w:rsidRPr="00883108">
        <w:rPr>
          <w:i/>
        </w:rPr>
        <w:t>for all DSP-administered schemes and payments</w:t>
      </w:r>
      <w:r w:rsidR="009E2089" w:rsidRPr="00883108">
        <w:t xml:space="preserve"> which would provide a clear pathway for entry into such a complex system of benefits and entitlements and serve to reduce confusion for applicants. </w:t>
      </w:r>
      <w:r w:rsidR="00403658" w:rsidRPr="00883108">
        <w:t xml:space="preserve">CIB-funded services </w:t>
      </w:r>
      <w:r w:rsidR="008B4BBB" w:rsidRPr="00883108">
        <w:t xml:space="preserve">(web-based, face-to-face or telephone) </w:t>
      </w:r>
      <w:r w:rsidR="00403658" w:rsidRPr="00883108">
        <w:t>have a role to play here also</w:t>
      </w:r>
      <w:r w:rsidR="008B4BBB" w:rsidRPr="00883108">
        <w:t xml:space="preserve"> - </w:t>
      </w:r>
      <w:r w:rsidR="00403658" w:rsidRPr="00883108">
        <w:t>in terms of bringing appropriate</w:t>
      </w:r>
      <w:r w:rsidR="00BE5340" w:rsidRPr="00883108">
        <w:t xml:space="preserve">, timely </w:t>
      </w:r>
      <w:r w:rsidR="00403658" w:rsidRPr="00883108">
        <w:t xml:space="preserve">and comprehensive information to applicants </w:t>
      </w:r>
      <w:r w:rsidR="00BE5340" w:rsidRPr="00883108">
        <w:t xml:space="preserve">which </w:t>
      </w:r>
      <w:r w:rsidR="00FA1C5A" w:rsidRPr="00883108">
        <w:t>assist</w:t>
      </w:r>
      <w:r w:rsidR="005439E9" w:rsidRPr="00883108">
        <w:t>s</w:t>
      </w:r>
      <w:r w:rsidR="00BE5340" w:rsidRPr="00883108">
        <w:t xml:space="preserve"> their decision-making at critical times in their lives</w:t>
      </w:r>
      <w:r w:rsidR="0072550E" w:rsidRPr="00883108">
        <w:t>.</w:t>
      </w:r>
      <w:r w:rsidR="00BE5340" w:rsidRPr="00883108">
        <w:t xml:space="preserve"> </w:t>
      </w:r>
    </w:p>
    <w:p w:rsidR="001A6FA9" w:rsidRPr="00CE4FC8" w:rsidRDefault="001A6FA9" w:rsidP="00DC0E79">
      <w:pPr>
        <w:pStyle w:val="Heading3"/>
        <w:rPr>
          <w:b/>
          <w:color w:val="244061" w:themeColor="accent1" w:themeShade="80"/>
        </w:rPr>
      </w:pPr>
      <w:r w:rsidRPr="00CE4FC8">
        <w:rPr>
          <w:b/>
          <w:color w:val="244061" w:themeColor="accent1" w:themeShade="80"/>
        </w:rPr>
        <w:t>Becoming unemployed and moving from welfare to work</w:t>
      </w:r>
    </w:p>
    <w:p w:rsidR="00BB05A7" w:rsidRPr="00883108" w:rsidRDefault="002A118C" w:rsidP="001A6FA9">
      <w:pPr>
        <w:spacing w:line="240" w:lineRule="auto"/>
        <w:jc w:val="both"/>
      </w:pPr>
      <w:r w:rsidRPr="00883108">
        <w:t xml:space="preserve">The broad range of issues that were highlighted by </w:t>
      </w:r>
      <w:r w:rsidR="00D37144" w:rsidRPr="00883108">
        <w:t xml:space="preserve">CISs </w:t>
      </w:r>
      <w:r w:rsidRPr="00883108">
        <w:t xml:space="preserve">during 2016 indicates that </w:t>
      </w:r>
      <w:r w:rsidR="009943F8" w:rsidRPr="00883108">
        <w:t xml:space="preserve">becoming unemployed and the subsequent </w:t>
      </w:r>
      <w:r w:rsidR="00962A9D" w:rsidRPr="00883108">
        <w:t>transition</w:t>
      </w:r>
      <w:r w:rsidRPr="00883108">
        <w:t xml:space="preserve"> from welfare to work </w:t>
      </w:r>
      <w:r w:rsidR="00B827C4" w:rsidRPr="00883108">
        <w:t>co</w:t>
      </w:r>
      <w:r w:rsidR="005033A0">
        <w:t xml:space="preserve">ntinues to be challenging for </w:t>
      </w:r>
      <w:r w:rsidR="00B827C4" w:rsidRPr="00883108">
        <w:t>many people who seek information and advice within the citizens information context</w:t>
      </w:r>
      <w:r w:rsidR="00962A9D" w:rsidRPr="00883108">
        <w:t xml:space="preserve"> –</w:t>
      </w:r>
      <w:r w:rsidR="00F5406F">
        <w:t xml:space="preserve">notwithstanding </w:t>
      </w:r>
      <w:r w:rsidR="00962A9D" w:rsidRPr="00883108">
        <w:t>the promotion of work over welfare and the creation of various work activation and employment support programmes in recent years</w:t>
      </w:r>
      <w:r w:rsidR="00B827C4" w:rsidRPr="00883108">
        <w:t xml:space="preserve">. </w:t>
      </w:r>
      <w:r w:rsidR="005C7369" w:rsidRPr="00883108">
        <w:t xml:space="preserve">During 2016, </w:t>
      </w:r>
      <w:r w:rsidR="00734A16" w:rsidRPr="00883108">
        <w:t xml:space="preserve">there were </w:t>
      </w:r>
      <w:r w:rsidR="00460422" w:rsidRPr="00883108">
        <w:rPr>
          <w:b/>
        </w:rPr>
        <w:t>100,000 queries</w:t>
      </w:r>
      <w:r w:rsidR="00460422" w:rsidRPr="00883108">
        <w:rPr>
          <w:b/>
          <w:i/>
        </w:rPr>
        <w:t xml:space="preserve"> </w:t>
      </w:r>
      <w:r w:rsidR="00823D0F" w:rsidRPr="00883108">
        <w:t xml:space="preserve">relating to this area - </w:t>
      </w:r>
      <w:r w:rsidR="00734A16" w:rsidRPr="00883108">
        <w:t xml:space="preserve">50,000 </w:t>
      </w:r>
      <w:r w:rsidR="005C7369" w:rsidRPr="00883108">
        <w:t xml:space="preserve">queries </w:t>
      </w:r>
      <w:r w:rsidR="00460422" w:rsidRPr="00883108">
        <w:t xml:space="preserve">about </w:t>
      </w:r>
      <w:r w:rsidR="00734A16" w:rsidRPr="00883108">
        <w:t xml:space="preserve">jobseeker payments, 27,000 </w:t>
      </w:r>
      <w:r w:rsidR="00460422" w:rsidRPr="00883108">
        <w:t xml:space="preserve">on </w:t>
      </w:r>
      <w:r w:rsidR="00734A16" w:rsidRPr="00883108">
        <w:t>the Family Income Supplement</w:t>
      </w:r>
      <w:r w:rsidR="0097411C" w:rsidRPr="00883108">
        <w:t>,</w:t>
      </w:r>
      <w:r w:rsidR="00734A16" w:rsidRPr="00883108">
        <w:t xml:space="preserve"> </w:t>
      </w:r>
      <w:r w:rsidR="00DC0E79">
        <w:t xml:space="preserve">and 23,000 </w:t>
      </w:r>
      <w:r w:rsidR="00734A16" w:rsidRPr="00883108">
        <w:t>queries related to activation schemes</w:t>
      </w:r>
      <w:r w:rsidR="0097411C" w:rsidRPr="00883108">
        <w:t xml:space="preserve"> and social welfare payments and work. </w:t>
      </w:r>
    </w:p>
    <w:p w:rsidR="0097411C" w:rsidRPr="00883108" w:rsidRDefault="005F44CE" w:rsidP="001A6FA9">
      <w:pPr>
        <w:spacing w:line="240" w:lineRule="auto"/>
        <w:jc w:val="both"/>
      </w:pPr>
      <w:r w:rsidRPr="00883108">
        <w:t>T</w:t>
      </w:r>
      <w:r w:rsidR="00B827C4" w:rsidRPr="00883108">
        <w:t xml:space="preserve">he </w:t>
      </w:r>
      <w:r w:rsidR="00CA6495" w:rsidRPr="00883108">
        <w:t xml:space="preserve">main </w:t>
      </w:r>
      <w:r w:rsidR="00962A9D" w:rsidRPr="00883108">
        <w:t xml:space="preserve">difficulties facing the </w:t>
      </w:r>
      <w:r w:rsidR="00B827C4" w:rsidRPr="00883108">
        <w:t xml:space="preserve">many </w:t>
      </w:r>
      <w:r w:rsidR="0097411C" w:rsidRPr="00883108">
        <w:t>people</w:t>
      </w:r>
      <w:r w:rsidR="00B827C4" w:rsidRPr="00883108">
        <w:t xml:space="preserve"> </w:t>
      </w:r>
      <w:r w:rsidR="0097411C" w:rsidRPr="00883108">
        <w:t xml:space="preserve">who seek support about unemployment, under-employment and </w:t>
      </w:r>
      <w:r w:rsidR="00CA6495" w:rsidRPr="00883108">
        <w:t>tak</w:t>
      </w:r>
      <w:r w:rsidR="005C7369" w:rsidRPr="00883108">
        <w:t xml:space="preserve">ing </w:t>
      </w:r>
      <w:r w:rsidR="00CA6495" w:rsidRPr="00883108">
        <w:t>up work offers include</w:t>
      </w:r>
      <w:r w:rsidR="0097411C" w:rsidRPr="00883108">
        <w:t>:-</w:t>
      </w:r>
    </w:p>
    <w:p w:rsidR="0097411C" w:rsidRPr="00883108" w:rsidRDefault="00F5406F" w:rsidP="00B05779">
      <w:pPr>
        <w:pStyle w:val="ListParagraph"/>
        <w:numPr>
          <w:ilvl w:val="0"/>
          <w:numId w:val="1"/>
        </w:numPr>
        <w:spacing w:line="240" w:lineRule="auto"/>
        <w:jc w:val="both"/>
      </w:pPr>
      <w:r>
        <w:t>o</w:t>
      </w:r>
      <w:r w:rsidR="00500C91" w:rsidRPr="00883108">
        <w:t>perational or administrative difficulties around the claims process;</w:t>
      </w:r>
    </w:p>
    <w:p w:rsidR="00500C91" w:rsidRPr="00883108" w:rsidRDefault="00F5406F" w:rsidP="00B05779">
      <w:pPr>
        <w:pStyle w:val="ListParagraph"/>
        <w:numPr>
          <w:ilvl w:val="0"/>
          <w:numId w:val="1"/>
        </w:numPr>
        <w:spacing w:line="240" w:lineRule="auto"/>
        <w:jc w:val="both"/>
      </w:pPr>
      <w:r>
        <w:t>c</w:t>
      </w:r>
      <w:r w:rsidR="00500C91" w:rsidRPr="00883108">
        <w:t xml:space="preserve">oncerns about the awareness, availability and </w:t>
      </w:r>
      <w:r w:rsidR="004F7B00" w:rsidRPr="00883108">
        <w:t>adequacy</w:t>
      </w:r>
      <w:r w:rsidR="005033A0">
        <w:t xml:space="preserve"> of </w:t>
      </w:r>
      <w:r w:rsidR="00500C91" w:rsidRPr="00883108">
        <w:t>Supplementary Welfare Allowance</w:t>
      </w:r>
      <w:r w:rsidR="00DC0E79">
        <w:t xml:space="preserve"> (SWA)</w:t>
      </w:r>
      <w:r w:rsidR="00500C91" w:rsidRPr="00883108">
        <w:t>;</w:t>
      </w:r>
    </w:p>
    <w:p w:rsidR="00B4373D" w:rsidRPr="00883108" w:rsidRDefault="00F5406F" w:rsidP="00B05779">
      <w:pPr>
        <w:pStyle w:val="ListParagraph"/>
        <w:numPr>
          <w:ilvl w:val="0"/>
          <w:numId w:val="1"/>
        </w:numPr>
        <w:spacing w:line="240" w:lineRule="auto"/>
        <w:jc w:val="both"/>
      </w:pPr>
      <w:r>
        <w:t>s</w:t>
      </w:r>
      <w:r w:rsidR="00B4373D" w:rsidRPr="00883108">
        <w:t>upports for formerly self-employed workers;</w:t>
      </w:r>
    </w:p>
    <w:p w:rsidR="00500C91" w:rsidRPr="00883108" w:rsidRDefault="00CA6495" w:rsidP="00B05779">
      <w:pPr>
        <w:pStyle w:val="ListParagraph"/>
        <w:numPr>
          <w:ilvl w:val="0"/>
          <w:numId w:val="1"/>
        </w:numPr>
        <w:spacing w:line="240" w:lineRule="auto"/>
        <w:jc w:val="both"/>
      </w:pPr>
      <w:r w:rsidRPr="00883108">
        <w:t>childcare costs and availability</w:t>
      </w:r>
      <w:r w:rsidR="00500C91" w:rsidRPr="00883108">
        <w:t>;</w:t>
      </w:r>
      <w:r w:rsidRPr="00883108">
        <w:t xml:space="preserve"> </w:t>
      </w:r>
    </w:p>
    <w:p w:rsidR="005439E9" w:rsidRPr="00883108" w:rsidRDefault="005439E9" w:rsidP="00B05779">
      <w:pPr>
        <w:pStyle w:val="ListParagraph"/>
        <w:numPr>
          <w:ilvl w:val="0"/>
          <w:numId w:val="1"/>
        </w:numPr>
        <w:spacing w:line="240" w:lineRule="auto"/>
        <w:jc w:val="both"/>
      </w:pPr>
      <w:r w:rsidRPr="00883108">
        <w:t>the extent to which FIS is fit-for-purpose as an in-work support for parents on low income;</w:t>
      </w:r>
    </w:p>
    <w:p w:rsidR="00500C91" w:rsidRPr="00883108" w:rsidRDefault="00CA6495" w:rsidP="00B05779">
      <w:pPr>
        <w:pStyle w:val="ListParagraph"/>
        <w:numPr>
          <w:ilvl w:val="0"/>
          <w:numId w:val="1"/>
        </w:numPr>
        <w:spacing w:line="240" w:lineRule="auto"/>
        <w:jc w:val="both"/>
      </w:pPr>
      <w:r w:rsidRPr="00883108">
        <w:t>the impact of the three-day rule for those on jobseeker</w:t>
      </w:r>
      <w:r w:rsidR="00500C91" w:rsidRPr="00883108">
        <w:t xml:space="preserve"> payments;</w:t>
      </w:r>
    </w:p>
    <w:p w:rsidR="00F32F48" w:rsidRPr="00883108" w:rsidRDefault="00F2018F" w:rsidP="00B05779">
      <w:pPr>
        <w:pStyle w:val="ListParagraph"/>
        <w:numPr>
          <w:ilvl w:val="0"/>
          <w:numId w:val="1"/>
        </w:numPr>
        <w:spacing w:line="240" w:lineRule="auto"/>
        <w:jc w:val="both"/>
      </w:pPr>
      <w:r w:rsidRPr="00883108">
        <w:t>accessin</w:t>
      </w:r>
      <w:r w:rsidR="005439E9" w:rsidRPr="00883108">
        <w:t>g or maintaining secure housing.</w:t>
      </w:r>
    </w:p>
    <w:p w:rsidR="00F32F48" w:rsidRPr="00E32875" w:rsidRDefault="00F2018F" w:rsidP="001A6FA9">
      <w:pPr>
        <w:spacing w:line="240" w:lineRule="auto"/>
        <w:jc w:val="both"/>
      </w:pPr>
      <w:r w:rsidRPr="00883108">
        <w:t xml:space="preserve">The most commonly reported issues in relation to </w:t>
      </w:r>
      <w:r w:rsidRPr="00DC0E79">
        <w:rPr>
          <w:b/>
        </w:rPr>
        <w:t>jobseeker’s payments</w:t>
      </w:r>
      <w:r w:rsidRPr="00883108">
        <w:t xml:space="preserve"> </w:t>
      </w:r>
      <w:r w:rsidR="00314C85" w:rsidRPr="00883108">
        <w:t>include</w:t>
      </w:r>
      <w:r w:rsidR="00745B74" w:rsidRPr="00883108">
        <w:t xml:space="preserve"> processing delays, difficulties making contact with local Intreo offices and insufficient information around </w:t>
      </w:r>
      <w:r w:rsidR="00314C85" w:rsidRPr="00883108">
        <w:t xml:space="preserve">safety net </w:t>
      </w:r>
      <w:r w:rsidR="00745B74" w:rsidRPr="00883108">
        <w:lastRenderedPageBreak/>
        <w:t>payments such as Supplementary Welfare Allowance.</w:t>
      </w:r>
      <w:r w:rsidR="002D3B25" w:rsidRPr="00883108">
        <w:t xml:space="preserve"> </w:t>
      </w:r>
      <w:r w:rsidR="00D040BF" w:rsidRPr="00883108">
        <w:t xml:space="preserve">This end-user experience </w:t>
      </w:r>
      <w:r w:rsidR="00745B74" w:rsidRPr="00883108">
        <w:t xml:space="preserve">in relation to the quality of activation services </w:t>
      </w:r>
      <w:r w:rsidR="00D040BF" w:rsidRPr="00883108">
        <w:t>would seem to be reflected in “Pathways to Work 2016 – 2020”, which noted that despite the organisation</w:t>
      </w:r>
      <w:r w:rsidR="00745B74" w:rsidRPr="00883108">
        <w:t>al</w:t>
      </w:r>
      <w:r w:rsidR="00D040BF" w:rsidRPr="00883108">
        <w:t xml:space="preserve"> and process reforms within DSP to date,</w:t>
      </w:r>
      <w:r w:rsidR="00745B74" w:rsidRPr="00883108">
        <w:t xml:space="preserve"> </w:t>
      </w:r>
      <w:r w:rsidR="00D040BF" w:rsidRPr="00883108">
        <w:t xml:space="preserve">“the quality of engagement between individual case officers and clients (including employers) is not as effective, or as consistent, as it </w:t>
      </w:r>
      <w:r w:rsidR="00D040BF" w:rsidRPr="00E32875">
        <w:t xml:space="preserve">could be”. </w:t>
      </w:r>
    </w:p>
    <w:p w:rsidR="0000297A" w:rsidRPr="00F52EAE" w:rsidRDefault="00333F9B" w:rsidP="001A6FA9">
      <w:pPr>
        <w:numPr>
          <w:ilvl w:val="1"/>
          <w:numId w:val="0"/>
        </w:numPr>
        <w:spacing w:line="240" w:lineRule="auto"/>
        <w:ind w:left="720"/>
        <w:jc w:val="both"/>
        <w:rPr>
          <w:rFonts w:eastAsiaTheme="majorEastAsia" w:cstheme="majorBidi"/>
          <w:b/>
          <w:i/>
          <w:iCs/>
          <w:color w:val="244061" w:themeColor="accent1" w:themeShade="80"/>
          <w:spacing w:val="15"/>
          <w:sz w:val="24"/>
          <w:szCs w:val="24"/>
        </w:rPr>
      </w:pPr>
      <w:r w:rsidRPr="00F52EAE">
        <w:rPr>
          <w:rFonts w:eastAsiaTheme="majorEastAsia" w:cstheme="majorBidi"/>
          <w:b/>
          <w:i/>
          <w:iCs/>
          <w:color w:val="244061" w:themeColor="accent1" w:themeShade="80"/>
          <w:spacing w:val="15"/>
          <w:sz w:val="24"/>
          <w:szCs w:val="24"/>
        </w:rPr>
        <w:t>Recommendation</w:t>
      </w:r>
      <w:r w:rsidR="0000297A" w:rsidRPr="00F52EAE">
        <w:rPr>
          <w:rFonts w:eastAsiaTheme="majorEastAsia" w:cstheme="majorBidi"/>
          <w:b/>
          <w:i/>
          <w:iCs/>
          <w:color w:val="244061" w:themeColor="accent1" w:themeShade="80"/>
          <w:spacing w:val="15"/>
          <w:sz w:val="24"/>
          <w:szCs w:val="24"/>
        </w:rPr>
        <w:t>s</w:t>
      </w:r>
      <w:r w:rsidRPr="00F52EAE">
        <w:rPr>
          <w:rFonts w:eastAsiaTheme="majorEastAsia" w:cstheme="majorBidi"/>
          <w:b/>
          <w:i/>
          <w:iCs/>
          <w:color w:val="244061" w:themeColor="accent1" w:themeShade="80"/>
          <w:spacing w:val="15"/>
          <w:sz w:val="24"/>
          <w:szCs w:val="24"/>
        </w:rPr>
        <w:t xml:space="preserve">: </w:t>
      </w:r>
    </w:p>
    <w:p w:rsidR="00333F9B" w:rsidRPr="004B0A31" w:rsidRDefault="00333F9B" w:rsidP="004A77B1">
      <w:pPr>
        <w:shd w:val="clear" w:color="auto" w:fill="EAF1DD" w:themeFill="accent3" w:themeFillTint="33"/>
        <w:spacing w:line="240" w:lineRule="auto"/>
        <w:ind w:left="720"/>
        <w:jc w:val="both"/>
      </w:pPr>
      <w:r w:rsidRPr="004B0A31">
        <w:t>Provide for further investment in resources through the network of local Intreo centres in order to enable staff to provide an appropriate and timely response to the needs of clients</w:t>
      </w:r>
      <w:r w:rsidR="00823D0F" w:rsidRPr="004B0A31">
        <w:t>;</w:t>
      </w:r>
    </w:p>
    <w:p w:rsidR="002A187C" w:rsidRPr="004B0A31" w:rsidRDefault="00B817F6" w:rsidP="004A77B1">
      <w:pPr>
        <w:shd w:val="clear" w:color="auto" w:fill="EAF1DD" w:themeFill="accent3" w:themeFillTint="33"/>
        <w:spacing w:line="240" w:lineRule="auto"/>
        <w:ind w:left="720"/>
        <w:jc w:val="both"/>
      </w:pPr>
      <w:r w:rsidRPr="004B0A31">
        <w:t>Proactively promote the availability of in-work supports</w:t>
      </w:r>
      <w:r w:rsidR="002338F6" w:rsidRPr="004B0A31">
        <w:t xml:space="preserve">, programmes and schemes </w:t>
      </w:r>
      <w:r w:rsidR="0000297A" w:rsidRPr="004B0A31">
        <w:t xml:space="preserve">amongst jobseekers through </w:t>
      </w:r>
      <w:r w:rsidR="002338F6" w:rsidRPr="004B0A31">
        <w:t xml:space="preserve">the </w:t>
      </w:r>
      <w:r w:rsidR="0000297A" w:rsidRPr="004B0A31">
        <w:t>increased use of on-line channels and engagement with</w:t>
      </w:r>
      <w:r w:rsidR="002338F6" w:rsidRPr="004B0A31">
        <w:t xml:space="preserve"> commun</w:t>
      </w:r>
      <w:r w:rsidR="004A77B1">
        <w:t>ity-based support organisations.</w:t>
      </w:r>
      <w:r w:rsidR="0000297A" w:rsidRPr="004B0A31">
        <w:t xml:space="preserve"> </w:t>
      </w:r>
    </w:p>
    <w:p w:rsidR="004F7B00" w:rsidRPr="00883108" w:rsidRDefault="00BA1628" w:rsidP="001A6FA9">
      <w:pPr>
        <w:spacing w:line="240" w:lineRule="auto"/>
        <w:jc w:val="both"/>
      </w:pPr>
      <w:r w:rsidRPr="00883108">
        <w:t xml:space="preserve">Much of the </w:t>
      </w:r>
      <w:r w:rsidR="00182575" w:rsidRPr="00883108">
        <w:t xml:space="preserve">feedback </w:t>
      </w:r>
      <w:r w:rsidR="005439E9" w:rsidRPr="00883108">
        <w:t xml:space="preserve">relating to </w:t>
      </w:r>
      <w:r w:rsidR="005439E9" w:rsidRPr="00DC0E79">
        <w:rPr>
          <w:b/>
        </w:rPr>
        <w:t>SWA payments</w:t>
      </w:r>
      <w:r w:rsidR="005439E9" w:rsidRPr="00883108">
        <w:t xml:space="preserve"> </w:t>
      </w:r>
      <w:r w:rsidR="00182575" w:rsidRPr="00883108">
        <w:t xml:space="preserve">is </w:t>
      </w:r>
      <w:r w:rsidRPr="00883108">
        <w:t xml:space="preserve">concerned </w:t>
      </w:r>
      <w:r w:rsidR="00182575" w:rsidRPr="00883108">
        <w:t xml:space="preserve">with </w:t>
      </w:r>
      <w:r w:rsidRPr="00883108">
        <w:t xml:space="preserve">difficulties for clients who could not access the </w:t>
      </w:r>
      <w:r w:rsidR="00182575" w:rsidRPr="00883108">
        <w:t xml:space="preserve">service </w:t>
      </w:r>
      <w:r w:rsidR="00001410" w:rsidRPr="00883108">
        <w:t>due to the closure o</w:t>
      </w:r>
      <w:r w:rsidR="00182575" w:rsidRPr="00883108">
        <w:t>f loca</w:t>
      </w:r>
      <w:r w:rsidR="00DF2E30">
        <w:t xml:space="preserve">l Community Welfare Service (CWS) </w:t>
      </w:r>
      <w:r w:rsidR="00182575" w:rsidRPr="00883108">
        <w:t>clinics in recent years</w:t>
      </w:r>
      <w:r w:rsidRPr="00883108">
        <w:t xml:space="preserve">. </w:t>
      </w:r>
      <w:r w:rsidR="0070315D">
        <w:t xml:space="preserve">Similar concerns were raised by MABS in respect of </w:t>
      </w:r>
      <w:r w:rsidR="00994136">
        <w:t xml:space="preserve">their </w:t>
      </w:r>
      <w:r w:rsidR="0070315D">
        <w:t xml:space="preserve">clients in financial difficulty. </w:t>
      </w:r>
      <w:r w:rsidRPr="00883108">
        <w:t xml:space="preserve">A significant number of these reports illustrated </w:t>
      </w:r>
      <w:r w:rsidR="00182575" w:rsidRPr="00883108">
        <w:t xml:space="preserve">cases </w:t>
      </w:r>
      <w:r w:rsidRPr="00883108">
        <w:t xml:space="preserve">where vulnerable applicants had to either travel some distance to the nearest office, or of clients who could not make contact with the office by telephone in order to meet with a DSP representative to make an appointment to discuss their situation. Services also reported on a lack of awareness of the payment amongst clients and potential applicants who seek information </w:t>
      </w:r>
      <w:r w:rsidR="00090DD6" w:rsidRPr="00883108">
        <w:t xml:space="preserve">about other </w:t>
      </w:r>
      <w:r w:rsidR="005439E9" w:rsidRPr="00883108">
        <w:t>income supports</w:t>
      </w:r>
      <w:r w:rsidR="00090DD6" w:rsidRPr="00883108">
        <w:t xml:space="preserve"> </w:t>
      </w:r>
      <w:r w:rsidRPr="00883108">
        <w:t>within CISs.</w:t>
      </w:r>
      <w:r w:rsidR="004F7B00" w:rsidRPr="00883108">
        <w:t xml:space="preserve"> </w:t>
      </w:r>
      <w:r w:rsidR="005439E9" w:rsidRPr="00883108">
        <w:t>These</w:t>
      </w:r>
      <w:r w:rsidR="004F7B00" w:rsidRPr="00883108">
        <w:t xml:space="preserve"> broad access issues </w:t>
      </w:r>
      <w:r w:rsidR="00090DD6" w:rsidRPr="00883108">
        <w:t xml:space="preserve">would </w:t>
      </w:r>
      <w:r w:rsidR="004F7B00" w:rsidRPr="00883108">
        <w:t xml:space="preserve">seem to </w:t>
      </w:r>
      <w:r w:rsidR="009D6A0A" w:rsidRPr="00883108">
        <w:t>work to</w:t>
      </w:r>
      <w:r w:rsidR="004F7B00" w:rsidRPr="00883108">
        <w:t xml:space="preserve"> reduce the stated aims and effectiveness of such a</w:t>
      </w:r>
      <w:r w:rsidR="00D927A3" w:rsidRPr="00883108">
        <w:t xml:space="preserve"> ‘safety net’ payment to those most in need</w:t>
      </w:r>
      <w:r w:rsidR="004F7B00" w:rsidRPr="00883108">
        <w:t xml:space="preserve">. </w:t>
      </w:r>
    </w:p>
    <w:p w:rsidR="00F10B67" w:rsidRPr="00F52EAE" w:rsidRDefault="005E0092" w:rsidP="001A6FA9">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Recommendations</w:t>
      </w:r>
      <w:r w:rsidR="00F52EAE">
        <w:rPr>
          <w:rFonts w:asciiTheme="minorHAnsi" w:hAnsiTheme="minorHAnsi"/>
          <w:b/>
          <w:color w:val="244061" w:themeColor="accent1" w:themeShade="80"/>
        </w:rPr>
        <w:t>:</w:t>
      </w:r>
    </w:p>
    <w:p w:rsidR="00A46147" w:rsidRPr="004B0A31" w:rsidRDefault="00A46147" w:rsidP="002D2A01">
      <w:pPr>
        <w:shd w:val="clear" w:color="auto" w:fill="EAF1DD" w:themeFill="accent3" w:themeFillTint="33"/>
        <w:spacing w:line="240" w:lineRule="auto"/>
        <w:ind w:left="720"/>
        <w:jc w:val="both"/>
      </w:pPr>
      <w:r w:rsidRPr="004B0A31">
        <w:t xml:space="preserve">Examine the impact, expenditure and take-up of SWA payments, within the context of current implementation and how this compares to its intended role as a safety net; </w:t>
      </w:r>
    </w:p>
    <w:p w:rsidR="00D927A3" w:rsidRPr="004B0A31" w:rsidRDefault="00001410" w:rsidP="002D2A01">
      <w:pPr>
        <w:shd w:val="clear" w:color="auto" w:fill="EAF1DD" w:themeFill="accent3" w:themeFillTint="33"/>
        <w:spacing w:line="240" w:lineRule="auto"/>
        <w:ind w:left="720"/>
        <w:jc w:val="both"/>
      </w:pPr>
      <w:r w:rsidRPr="004B0A31">
        <w:t>Proactively promote the scope and availability of SW</w:t>
      </w:r>
      <w:r w:rsidR="00182575" w:rsidRPr="004B0A31">
        <w:t>A</w:t>
      </w:r>
      <w:r w:rsidR="008306EF" w:rsidRPr="004B0A31">
        <w:t xml:space="preserve"> - </w:t>
      </w:r>
      <w:r w:rsidRPr="004B0A31">
        <w:t>as a flexible and reactive support measure to those in urgent need</w:t>
      </w:r>
      <w:r w:rsidR="008306EF" w:rsidRPr="004B0A31">
        <w:t xml:space="preserve"> </w:t>
      </w:r>
      <w:r w:rsidR="00D927A3" w:rsidRPr="004B0A31">
        <w:t>– through the provision of online and hard-copy information on the payments;</w:t>
      </w:r>
    </w:p>
    <w:p w:rsidR="001A6FA9" w:rsidRPr="004B0A31" w:rsidRDefault="00D927A3" w:rsidP="002D2A01">
      <w:pPr>
        <w:shd w:val="clear" w:color="auto" w:fill="EAF1DD" w:themeFill="accent3" w:themeFillTint="33"/>
        <w:spacing w:line="240" w:lineRule="auto"/>
        <w:ind w:left="720"/>
        <w:jc w:val="both"/>
      </w:pPr>
      <w:r w:rsidRPr="004B0A31">
        <w:t>Enhance the accessibility of Basic SWA (and related SWS payments), with particular regard for physical access and user-friendliness</w:t>
      </w:r>
      <w:r w:rsidR="004B0A31">
        <w:t>.</w:t>
      </w:r>
    </w:p>
    <w:p w:rsidR="00182575" w:rsidRPr="004D5017" w:rsidRDefault="005142E6" w:rsidP="00DC0E79">
      <w:pPr>
        <w:spacing w:line="240" w:lineRule="auto"/>
        <w:jc w:val="both"/>
        <w:rPr>
          <w:i/>
        </w:rPr>
      </w:pPr>
      <w:r w:rsidRPr="001A6FA9">
        <w:t xml:space="preserve">The difficulties caused by the gaps in social insurance cover for </w:t>
      </w:r>
      <w:r w:rsidRPr="001A6FA9">
        <w:rPr>
          <w:b/>
        </w:rPr>
        <w:t>self-employed people</w:t>
      </w:r>
      <w:r w:rsidRPr="001A6FA9">
        <w:t xml:space="preserve"> have long been witnessed in information services</w:t>
      </w:r>
      <w:r w:rsidR="000506FD" w:rsidRPr="001A6FA9">
        <w:rPr>
          <w:rStyle w:val="FootnoteReference"/>
        </w:rPr>
        <w:footnoteReference w:id="1"/>
      </w:r>
      <w:r w:rsidRPr="001A6FA9">
        <w:t xml:space="preserve"> and t</w:t>
      </w:r>
      <w:r w:rsidR="009D6A0A" w:rsidRPr="001A6FA9">
        <w:t xml:space="preserve">he </w:t>
      </w:r>
      <w:r w:rsidR="00B4373D" w:rsidRPr="001A6FA9">
        <w:t xml:space="preserve">announcement of the </w:t>
      </w:r>
      <w:r w:rsidR="009D6A0A" w:rsidRPr="001A6FA9">
        <w:t xml:space="preserve">extension of social insurance provision to the self-employed with regard to </w:t>
      </w:r>
      <w:r w:rsidR="00B4373D" w:rsidRPr="001A6FA9">
        <w:t>certain</w:t>
      </w:r>
      <w:r w:rsidR="009D6A0A" w:rsidRPr="001A6FA9">
        <w:t xml:space="preserve"> </w:t>
      </w:r>
      <w:r w:rsidR="006C21CE" w:rsidRPr="001A6FA9">
        <w:t>contingencies</w:t>
      </w:r>
      <w:r w:rsidR="009D6A0A" w:rsidRPr="001A6FA9">
        <w:t xml:space="preserve"> in Budget</w:t>
      </w:r>
      <w:r w:rsidR="009D6A0A" w:rsidRPr="004D5017">
        <w:t xml:space="preserve"> 2017 is </w:t>
      </w:r>
      <w:r w:rsidR="00900E98" w:rsidRPr="004D5017">
        <w:t xml:space="preserve">particularly </w:t>
      </w:r>
      <w:r w:rsidR="009D6A0A" w:rsidRPr="004D5017">
        <w:t>welcome</w:t>
      </w:r>
      <w:r w:rsidRPr="004D5017">
        <w:t xml:space="preserve">. But </w:t>
      </w:r>
      <w:r w:rsidR="00EF29FA" w:rsidRPr="004D5017">
        <w:t xml:space="preserve">information services continue to highlight </w:t>
      </w:r>
      <w:r w:rsidR="00900E98" w:rsidRPr="004D5017">
        <w:t>other</w:t>
      </w:r>
      <w:r w:rsidRPr="004D5017">
        <w:t xml:space="preserve"> problems for self-employed </w:t>
      </w:r>
      <w:r w:rsidR="00900E98" w:rsidRPr="004D5017">
        <w:t xml:space="preserve">people </w:t>
      </w:r>
      <w:r w:rsidRPr="004D5017">
        <w:t xml:space="preserve">who find that their business is no longer viable – most notably, </w:t>
      </w:r>
      <w:r w:rsidR="00900E98" w:rsidRPr="004D5017">
        <w:t xml:space="preserve">their knowledge </w:t>
      </w:r>
      <w:r w:rsidR="00B4373D" w:rsidRPr="004D5017">
        <w:t xml:space="preserve">and awareness </w:t>
      </w:r>
      <w:r w:rsidR="00900E98" w:rsidRPr="004D5017">
        <w:t>about the means-test requirements and how their income will be assessed</w:t>
      </w:r>
      <w:r w:rsidR="006C21CE" w:rsidRPr="004D5017">
        <w:t xml:space="preserve"> (w</w:t>
      </w:r>
      <w:r w:rsidR="00823D0F" w:rsidRPr="004D5017">
        <w:t>ith</w:t>
      </w:r>
      <w:r w:rsidR="006C21CE" w:rsidRPr="004D5017">
        <w:t xml:space="preserve"> particular difficulties caused </w:t>
      </w:r>
      <w:r w:rsidR="00422D06" w:rsidRPr="004D5017">
        <w:t xml:space="preserve">in the JA assessment, as </w:t>
      </w:r>
      <w:r w:rsidR="006C21CE" w:rsidRPr="004D5017">
        <w:t>the earnings disregard does not apply to income from self-employment</w:t>
      </w:r>
      <w:r w:rsidR="008236F8" w:rsidRPr="004D5017">
        <w:t xml:space="preserve"> or to spouses’ earnings</w:t>
      </w:r>
      <w:r w:rsidR="006C21CE" w:rsidRPr="004D5017">
        <w:t>)</w:t>
      </w:r>
      <w:r w:rsidR="00900E98" w:rsidRPr="004D5017">
        <w:t xml:space="preserve">, the fact that some may not be eligible for </w:t>
      </w:r>
      <w:r w:rsidRPr="004D5017">
        <w:t>activation or training programmes</w:t>
      </w:r>
      <w:r w:rsidR="00900E98" w:rsidRPr="004D5017">
        <w:t xml:space="preserve"> (if they have not qualified for Jobseeker’s Allowance) and their ineligibility for FIS support </w:t>
      </w:r>
      <w:r w:rsidR="00EF29FA" w:rsidRPr="004D5017">
        <w:t xml:space="preserve">(with eligibility and control </w:t>
      </w:r>
      <w:r w:rsidR="00900E98" w:rsidRPr="004D5017">
        <w:t>measures cited as the main reason for non-inclusion). Underlying all of these issues is a sense amongst information providers that there are significant information deficits amongst this cohort around the provisions</w:t>
      </w:r>
      <w:r w:rsidR="008236F8" w:rsidRPr="004D5017">
        <w:t xml:space="preserve"> and related coverage </w:t>
      </w:r>
      <w:r w:rsidR="00900E98" w:rsidRPr="004D5017">
        <w:t xml:space="preserve">of their PRSI </w:t>
      </w:r>
      <w:r w:rsidR="00900E98" w:rsidRPr="004D5017">
        <w:lastRenderedPageBreak/>
        <w:t>Class S contributions and of the need to maintain their social insurance record by way of voluntary contributions.</w:t>
      </w:r>
      <w:r w:rsidR="009770C9" w:rsidRPr="004D5017">
        <w:t xml:space="preserve"> </w:t>
      </w:r>
    </w:p>
    <w:p w:rsidR="009D6A0A" w:rsidRPr="004D5017" w:rsidRDefault="009770C9" w:rsidP="00DC0E79">
      <w:pPr>
        <w:spacing w:line="240" w:lineRule="auto"/>
        <w:jc w:val="both"/>
        <w:rPr>
          <w:i/>
        </w:rPr>
      </w:pPr>
      <w:r w:rsidRPr="004D5017">
        <w:t>Services also continue to express concern around the situation for self-employed people in terms of establishing eligibility for a Medical Card</w:t>
      </w:r>
      <w:r w:rsidR="00DB5C21" w:rsidRPr="004D5017">
        <w:t xml:space="preserve"> – and also the related issue of the low income threshold for medical card eligibility (which has not been reviewed since 2006).</w:t>
      </w:r>
    </w:p>
    <w:p w:rsidR="00DB5C21" w:rsidRPr="00F52EAE" w:rsidRDefault="00001410" w:rsidP="001A6FA9">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Recommendation</w:t>
      </w:r>
      <w:r w:rsidR="00DB5C21" w:rsidRPr="00F52EAE">
        <w:rPr>
          <w:rFonts w:asciiTheme="minorHAnsi" w:hAnsiTheme="minorHAnsi"/>
          <w:b/>
          <w:color w:val="244061" w:themeColor="accent1" w:themeShade="80"/>
        </w:rPr>
        <w:t>s</w:t>
      </w:r>
      <w:r w:rsidRPr="00F52EAE">
        <w:rPr>
          <w:rFonts w:asciiTheme="minorHAnsi" w:hAnsiTheme="minorHAnsi"/>
          <w:b/>
          <w:color w:val="244061" w:themeColor="accent1" w:themeShade="80"/>
        </w:rPr>
        <w:t>:</w:t>
      </w:r>
    </w:p>
    <w:p w:rsidR="00001410" w:rsidRPr="004B0A31" w:rsidRDefault="00001410" w:rsidP="002D2A01">
      <w:pPr>
        <w:shd w:val="clear" w:color="auto" w:fill="EAF1DD" w:themeFill="accent3" w:themeFillTint="33"/>
        <w:spacing w:line="240" w:lineRule="auto"/>
        <w:ind w:left="720"/>
        <w:jc w:val="both"/>
      </w:pPr>
      <w:r w:rsidRPr="004B0A31">
        <w:t>Build on the commitments made in Budget 2017 to extend social insurance cover to the self-employed, for other contingencies (including the provision of</w:t>
      </w:r>
      <w:r w:rsidR="00DB5C21" w:rsidRPr="004B0A31">
        <w:t xml:space="preserve"> a form of Jobseeker’s Benefit);</w:t>
      </w:r>
      <w:r w:rsidR="007148F6" w:rsidRPr="004B0A31">
        <w:t xml:space="preserve"> </w:t>
      </w:r>
    </w:p>
    <w:p w:rsidR="007148F6" w:rsidRPr="007148F6" w:rsidRDefault="007148F6" w:rsidP="002D2A01">
      <w:pPr>
        <w:shd w:val="clear" w:color="auto" w:fill="EAF1DD" w:themeFill="accent3" w:themeFillTint="33"/>
        <w:spacing w:line="240" w:lineRule="auto"/>
        <w:ind w:left="720"/>
        <w:jc w:val="both"/>
        <w:rPr>
          <w:i/>
        </w:rPr>
      </w:pPr>
      <w:r w:rsidRPr="004B0A31">
        <w:t>Review Medical Card income thresholds and eligibility guidelines</w:t>
      </w:r>
      <w:r w:rsidR="004B0A31">
        <w:t>.</w:t>
      </w:r>
    </w:p>
    <w:p w:rsidR="009D150B" w:rsidRDefault="00422D06" w:rsidP="00F52EAE">
      <w:pPr>
        <w:shd w:val="clear" w:color="auto" w:fill="FFFFFF" w:themeFill="background1"/>
        <w:spacing w:line="240" w:lineRule="auto"/>
        <w:jc w:val="both"/>
      </w:pPr>
      <w:r w:rsidRPr="00883108">
        <w:t>In terms of assisting people to move back into work, the b</w:t>
      </w:r>
      <w:r w:rsidR="000D660A" w:rsidRPr="00883108">
        <w:t xml:space="preserve">road concerns about the inadequacy of current </w:t>
      </w:r>
      <w:r w:rsidR="00095398" w:rsidRPr="00883108">
        <w:rPr>
          <w:b/>
        </w:rPr>
        <w:t>childcare provision</w:t>
      </w:r>
      <w:r w:rsidR="000D660A" w:rsidRPr="00883108">
        <w:t xml:space="preserve"> </w:t>
      </w:r>
      <w:r w:rsidRPr="00883108">
        <w:t>(</w:t>
      </w:r>
      <w:r w:rsidR="000D660A" w:rsidRPr="00883108">
        <w:t>and the extent to which this limits the activation and employment choices of parents</w:t>
      </w:r>
      <w:r w:rsidRPr="00883108">
        <w:t>)</w:t>
      </w:r>
      <w:r w:rsidR="000D660A" w:rsidRPr="00883108">
        <w:t xml:space="preserve">, have </w:t>
      </w:r>
      <w:r w:rsidR="00884BFF" w:rsidRPr="00883108">
        <w:t xml:space="preserve">consistently </w:t>
      </w:r>
      <w:r w:rsidR="000D660A" w:rsidRPr="00883108">
        <w:t>been reported by CIB delivery services. In this context, CIB looks forward to the roll-out of</w:t>
      </w:r>
      <w:r w:rsidR="00715323">
        <w:t xml:space="preserve"> </w:t>
      </w:r>
      <w:r w:rsidR="00715323" w:rsidRPr="00883108">
        <w:t>one of the key elements of Budget 2017 – the</w:t>
      </w:r>
      <w:r w:rsidR="00715323">
        <w:t xml:space="preserve"> More Affordable Childcare Scheme</w:t>
      </w:r>
      <w:r w:rsidR="00715323">
        <w:rPr>
          <w:rStyle w:val="FootnoteReference"/>
        </w:rPr>
        <w:footnoteReference w:id="2"/>
      </w:r>
      <w:r w:rsidR="00715323">
        <w:t xml:space="preserve"> </w:t>
      </w:r>
      <w:r w:rsidR="00715323" w:rsidRPr="00883108">
        <w:t>which allow</w:t>
      </w:r>
      <w:r w:rsidR="00715323">
        <w:t>s</w:t>
      </w:r>
      <w:r w:rsidR="000D660A" w:rsidRPr="00883108">
        <w:t xml:space="preserve"> for both universal and targeted childcare </w:t>
      </w:r>
      <w:r w:rsidR="00095398" w:rsidRPr="00883108">
        <w:t>services</w:t>
      </w:r>
      <w:r w:rsidR="000D660A" w:rsidRPr="00883108">
        <w:t xml:space="preserve"> for low-income families. </w:t>
      </w:r>
      <w:r w:rsidR="00884BFF" w:rsidRPr="00883108">
        <w:t xml:space="preserve">The public consultation on the scheme </w:t>
      </w:r>
      <w:r w:rsidR="00CB1C32" w:rsidRPr="00883108">
        <w:t xml:space="preserve">in late 2016 </w:t>
      </w:r>
      <w:r w:rsidR="00884BFF" w:rsidRPr="00883108">
        <w:t xml:space="preserve">brought this issue into sharp focus for </w:t>
      </w:r>
      <w:r w:rsidR="004F48E4" w:rsidRPr="00883108">
        <w:t xml:space="preserve">information </w:t>
      </w:r>
      <w:r w:rsidR="00884BFF" w:rsidRPr="00883108">
        <w:t>services and the</w:t>
      </w:r>
      <w:r w:rsidR="004F48E4" w:rsidRPr="00883108">
        <w:t>ir</w:t>
      </w:r>
      <w:r w:rsidR="00884BFF" w:rsidRPr="00883108">
        <w:t xml:space="preserve"> </w:t>
      </w:r>
      <w:r w:rsidR="004F48E4" w:rsidRPr="00883108">
        <w:t xml:space="preserve">feedback </w:t>
      </w:r>
      <w:r w:rsidR="00884BFF" w:rsidRPr="00883108">
        <w:t xml:space="preserve">on the </w:t>
      </w:r>
      <w:r w:rsidR="00580927" w:rsidRPr="00883108">
        <w:t>experiences of CIS clients in transitioning to work, activation or education opportunities indicate</w:t>
      </w:r>
      <w:r w:rsidR="00884BFF" w:rsidRPr="00883108">
        <w:t>d</w:t>
      </w:r>
      <w:r w:rsidR="00580927" w:rsidRPr="00883108">
        <w:t xml:space="preserve"> the need for greater investment</w:t>
      </w:r>
      <w:r w:rsidR="00884BFF" w:rsidRPr="00883108">
        <w:t xml:space="preserve"> in childcare </w:t>
      </w:r>
      <w:r w:rsidR="004F48E4" w:rsidRPr="00883108">
        <w:t xml:space="preserve">provision </w:t>
      </w:r>
      <w:r w:rsidR="00884BFF" w:rsidRPr="00883108">
        <w:t xml:space="preserve">to cater for the increased demand that the scheme is likely to bring. </w:t>
      </w:r>
    </w:p>
    <w:p w:rsidR="00500C91" w:rsidRPr="00883108" w:rsidRDefault="00CB1C32" w:rsidP="00F52EAE">
      <w:pPr>
        <w:shd w:val="clear" w:color="auto" w:fill="FFFFFF" w:themeFill="background1"/>
        <w:spacing w:line="240" w:lineRule="auto"/>
        <w:jc w:val="both"/>
      </w:pPr>
      <w:r w:rsidRPr="00883108">
        <w:t>A</w:t>
      </w:r>
      <w:r w:rsidR="004F48E4" w:rsidRPr="00883108">
        <w:t>t</w:t>
      </w:r>
      <w:r w:rsidRPr="00883108">
        <w:t xml:space="preserve"> the time, CIB noted that </w:t>
      </w:r>
      <w:r w:rsidR="00884BFF" w:rsidRPr="00883108">
        <w:t>there should not be an assumption that pri</w:t>
      </w:r>
      <w:r w:rsidRPr="00883108">
        <w:t>vate provider</w:t>
      </w:r>
      <w:r w:rsidR="00884BFF" w:rsidRPr="00883108">
        <w:t>s</w:t>
      </w:r>
      <w:r w:rsidRPr="00883108">
        <w:t xml:space="preserve"> </w:t>
      </w:r>
      <w:r w:rsidR="00884BFF" w:rsidRPr="00883108">
        <w:t xml:space="preserve">will have sufficient places to meet this demand </w:t>
      </w:r>
      <w:r w:rsidRPr="00883108">
        <w:t>– specifically in more sparsely populated areas (or disadvantaged communities) where core funding has been removed from community providers.</w:t>
      </w:r>
      <w:r w:rsidR="004F48E4" w:rsidRPr="00883108">
        <w:t xml:space="preserve"> </w:t>
      </w:r>
      <w:r w:rsidR="00B77E24" w:rsidRPr="00883108">
        <w:t xml:space="preserve">Beyond the provision of places, we would also be wary of the assumption that costs for parents will be reduced – </w:t>
      </w:r>
      <w:r w:rsidR="00751EB3" w:rsidRPr="00883108">
        <w:t xml:space="preserve">the payment of subsidies directly to providers, combined with a likely increased </w:t>
      </w:r>
      <w:r w:rsidR="00B77E24" w:rsidRPr="00883108">
        <w:t xml:space="preserve">focus on best-practice (in terms of quality of childcare, pay and conditions of workers and standards of premises) </w:t>
      </w:r>
      <w:r w:rsidR="00751EB3" w:rsidRPr="00883108">
        <w:t xml:space="preserve">may not necessarily lead to reduced costs or increased choice for parents. </w:t>
      </w:r>
      <w:r w:rsidR="00715323">
        <w:t xml:space="preserve">As some difficulties with the implementation of the scheme are necessitating a phased roll-out, </w:t>
      </w:r>
      <w:r w:rsidR="00751EB3" w:rsidRPr="00883108">
        <w:t>CIB is of the view that</w:t>
      </w:r>
      <w:r w:rsidR="00715323">
        <w:t xml:space="preserve"> any new provisions</w:t>
      </w:r>
      <w:r w:rsidR="00751EB3" w:rsidRPr="00883108">
        <w:t xml:space="preserve"> must be the first step in moving towards a model of service provision that views childcare as a public service that is provided at local level through local authorities, combined with a network of hig</w:t>
      </w:r>
      <w:r w:rsidR="006C2069" w:rsidRPr="00883108">
        <w:t>hly-regulated not</w:t>
      </w:r>
      <w:r w:rsidR="00751EB3" w:rsidRPr="00883108">
        <w:t>-for-profit prov</w:t>
      </w:r>
      <w:r w:rsidR="000506FD" w:rsidRPr="00883108">
        <w:t xml:space="preserve">iders. </w:t>
      </w:r>
    </w:p>
    <w:p w:rsidR="00BE36ED" w:rsidRPr="002D2A01" w:rsidRDefault="00FC0CC5" w:rsidP="002D2A01">
      <w:pPr>
        <w:spacing w:line="240" w:lineRule="auto"/>
        <w:jc w:val="both"/>
      </w:pPr>
      <w:r w:rsidRPr="00883108">
        <w:t>In terms of income support measures, t</w:t>
      </w:r>
      <w:r w:rsidR="007178A1" w:rsidRPr="00883108">
        <w:t xml:space="preserve">he reforms made to the </w:t>
      </w:r>
      <w:r w:rsidR="007178A1" w:rsidRPr="00EE6103">
        <w:rPr>
          <w:b/>
        </w:rPr>
        <w:t>One Parent Family Payment</w:t>
      </w:r>
      <w:r w:rsidR="007178A1" w:rsidRPr="00883108">
        <w:t xml:space="preserve"> in recent years have had a significant impact on lone parents who have had to make the transition, on the basis of the age of their child, to </w:t>
      </w:r>
      <w:r w:rsidR="006E3D28" w:rsidRPr="00883108">
        <w:t xml:space="preserve">a combination of </w:t>
      </w:r>
      <w:r w:rsidR="007178A1" w:rsidRPr="00883108">
        <w:t>other income supports or</w:t>
      </w:r>
      <w:r w:rsidR="006849E8" w:rsidRPr="00883108">
        <w:t xml:space="preserve"> part-time or full-time work</w:t>
      </w:r>
      <w:r w:rsidR="00FC5ADD" w:rsidRPr="00883108">
        <w:t xml:space="preserve">. While the Budget 2017 measure to increase the earnings disregard for OFP and </w:t>
      </w:r>
      <w:r w:rsidR="004A5859" w:rsidRPr="00883108">
        <w:t>Jobseekers Transition payment (</w:t>
      </w:r>
      <w:r w:rsidR="00FC5ADD" w:rsidRPr="00883108">
        <w:t>JST</w:t>
      </w:r>
      <w:r w:rsidR="004A5859" w:rsidRPr="00883108">
        <w:t>)</w:t>
      </w:r>
      <w:r w:rsidR="00FC5ADD" w:rsidRPr="00883108">
        <w:t xml:space="preserve"> recipients</w:t>
      </w:r>
      <w:r w:rsidR="007178A1" w:rsidRPr="00883108">
        <w:t xml:space="preserve"> </w:t>
      </w:r>
      <w:r w:rsidR="00FC5ADD" w:rsidRPr="00883108">
        <w:t xml:space="preserve">has helped to mitigate </w:t>
      </w:r>
      <w:r w:rsidR="006849E8" w:rsidRPr="00883108">
        <w:t xml:space="preserve">some of the negative </w:t>
      </w:r>
      <w:r w:rsidR="00FC5ADD" w:rsidRPr="00883108">
        <w:t xml:space="preserve">financial impact of the changes, </w:t>
      </w:r>
      <w:r w:rsidR="006849E8" w:rsidRPr="00883108">
        <w:t xml:space="preserve">there are additional measures that could </w:t>
      </w:r>
      <w:r w:rsidR="00BF29FB" w:rsidRPr="00883108">
        <w:t xml:space="preserve">be taken in terms of income adequacy that would serve to support lone parents as they </w:t>
      </w:r>
      <w:r w:rsidR="00F0723F" w:rsidRPr="00883108">
        <w:t xml:space="preserve">maintain their children through primary and secondary education – in particular, </w:t>
      </w:r>
      <w:r w:rsidR="00586A55" w:rsidRPr="00883108">
        <w:t>raising the rate of the Qualified Child Increase for teenagers and also t</w:t>
      </w:r>
      <w:r w:rsidR="00F0723F" w:rsidRPr="00883108">
        <w:t>he extension of Child Benefit for 18 and 19 year olds who are in secondary education</w:t>
      </w:r>
      <w:r w:rsidR="00586A55" w:rsidRPr="00883108">
        <w:t xml:space="preserve">. </w:t>
      </w:r>
    </w:p>
    <w:p w:rsidR="006E3D28" w:rsidRPr="00F52EAE" w:rsidRDefault="006E3D28" w:rsidP="001A6FA9">
      <w:pPr>
        <w:spacing w:line="240" w:lineRule="auto"/>
        <w:ind w:left="720"/>
        <w:jc w:val="both"/>
        <w:rPr>
          <w:b/>
          <w:i/>
          <w:color w:val="244061" w:themeColor="accent1" w:themeShade="80"/>
          <w:sz w:val="24"/>
          <w:szCs w:val="24"/>
        </w:rPr>
      </w:pPr>
      <w:r w:rsidRPr="00F52EAE">
        <w:rPr>
          <w:b/>
          <w:i/>
          <w:color w:val="244061" w:themeColor="accent1" w:themeShade="80"/>
          <w:sz w:val="24"/>
          <w:szCs w:val="24"/>
        </w:rPr>
        <w:t xml:space="preserve">Recommendations: </w:t>
      </w:r>
    </w:p>
    <w:p w:rsidR="006E3D28" w:rsidRPr="004B0A31" w:rsidRDefault="006E3D28" w:rsidP="002D2A01">
      <w:pPr>
        <w:shd w:val="clear" w:color="auto" w:fill="EAF1DD" w:themeFill="accent3" w:themeFillTint="33"/>
        <w:spacing w:line="240" w:lineRule="auto"/>
        <w:ind w:left="720"/>
        <w:jc w:val="both"/>
      </w:pPr>
      <w:r w:rsidRPr="004B0A31">
        <w:t>Extend Child Benefit for 18 and 19 year olds who are in secondary education;</w:t>
      </w:r>
    </w:p>
    <w:p w:rsidR="006E3D28" w:rsidRPr="004B0A31" w:rsidRDefault="006E3D28" w:rsidP="002D2A01">
      <w:pPr>
        <w:shd w:val="clear" w:color="auto" w:fill="EAF1DD" w:themeFill="accent3" w:themeFillTint="33"/>
        <w:spacing w:line="240" w:lineRule="auto"/>
        <w:ind w:left="720"/>
        <w:jc w:val="both"/>
      </w:pPr>
      <w:r w:rsidRPr="004B0A31">
        <w:t>Increase the rate of Qualifi</w:t>
      </w:r>
      <w:r w:rsidR="004B0A31">
        <w:t>ed Child Increase for teenagers.</w:t>
      </w:r>
    </w:p>
    <w:p w:rsidR="001539C4" w:rsidRPr="00883108" w:rsidRDefault="00586A55" w:rsidP="001A6FA9">
      <w:pPr>
        <w:spacing w:line="240" w:lineRule="auto"/>
        <w:jc w:val="both"/>
        <w:rPr>
          <w:color w:val="FF0000"/>
        </w:rPr>
      </w:pPr>
      <w:r w:rsidRPr="00883108">
        <w:lastRenderedPageBreak/>
        <w:t xml:space="preserve">Even allowing for the role that enhanced direct social welfare transfers </w:t>
      </w:r>
      <w:r w:rsidR="006E3D28" w:rsidRPr="00883108">
        <w:t xml:space="preserve">will </w:t>
      </w:r>
      <w:r w:rsidRPr="00883108">
        <w:t xml:space="preserve">have in alleviating child poverty and transitioning lone parents back into work, </w:t>
      </w:r>
      <w:r w:rsidR="00FC5ADD" w:rsidRPr="00883108">
        <w:t xml:space="preserve">it remains that </w:t>
      </w:r>
      <w:r w:rsidR="00475726" w:rsidRPr="00883108">
        <w:t xml:space="preserve">the lack of affordable, accessible childcare </w:t>
      </w:r>
      <w:r w:rsidR="006E3D28" w:rsidRPr="00883108">
        <w:t xml:space="preserve">will </w:t>
      </w:r>
      <w:r w:rsidR="00475726" w:rsidRPr="00883108">
        <w:t>serve to dilute the stated aim of the</w:t>
      </w:r>
      <w:r w:rsidR="006E3D28" w:rsidRPr="00883108">
        <w:t xml:space="preserve"> OFP</w:t>
      </w:r>
      <w:r w:rsidR="00475726" w:rsidRPr="00883108">
        <w:t xml:space="preserve"> reform</w:t>
      </w:r>
      <w:r w:rsidR="008640FA" w:rsidRPr="00883108">
        <w:t xml:space="preserve">s </w:t>
      </w:r>
      <w:r w:rsidR="00B76383" w:rsidRPr="00883108">
        <w:t>–</w:t>
      </w:r>
      <w:r w:rsidR="008640FA" w:rsidRPr="00883108">
        <w:t xml:space="preserve"> </w:t>
      </w:r>
      <w:r w:rsidR="00B76383" w:rsidRPr="00883108">
        <w:t>to engage with lone parents</w:t>
      </w:r>
      <w:r w:rsidR="00FC5ADD" w:rsidRPr="00883108">
        <w:t xml:space="preserve"> in order to </w:t>
      </w:r>
      <w:r w:rsidR="00B76383" w:rsidRPr="00883108">
        <w:t xml:space="preserve">assist with the transition from welfare to employment. </w:t>
      </w:r>
      <w:r w:rsidR="00E730F5" w:rsidRPr="00883108">
        <w:t>For</w:t>
      </w:r>
      <w:r w:rsidR="00344571" w:rsidRPr="00883108">
        <w:t xml:space="preserve"> </w:t>
      </w:r>
      <w:r w:rsidR="00E730F5" w:rsidRPr="00883108">
        <w:t xml:space="preserve">those who are transitioning from </w:t>
      </w:r>
      <w:r w:rsidR="00023CDA" w:rsidRPr="00883108">
        <w:t xml:space="preserve">welfare to work (whether on </w:t>
      </w:r>
      <w:r w:rsidR="00E730F5" w:rsidRPr="00883108">
        <w:t xml:space="preserve">jobseekers’ payments </w:t>
      </w:r>
      <w:r w:rsidR="00023CDA" w:rsidRPr="00883108">
        <w:t xml:space="preserve">or OFP) </w:t>
      </w:r>
      <w:r w:rsidR="00E730F5" w:rsidRPr="00883108">
        <w:t xml:space="preserve"> t</w:t>
      </w:r>
      <w:r w:rsidR="004F48E4" w:rsidRPr="00883108">
        <w:t xml:space="preserve">he provision of </w:t>
      </w:r>
      <w:r w:rsidR="00E730F5" w:rsidRPr="00883108">
        <w:t xml:space="preserve">a more streamlined comprehensive system of </w:t>
      </w:r>
      <w:r w:rsidR="004F48E4" w:rsidRPr="00883108">
        <w:t xml:space="preserve">affordable, accessible childcare </w:t>
      </w:r>
      <w:r w:rsidR="0023389B" w:rsidRPr="00883108">
        <w:t xml:space="preserve">services </w:t>
      </w:r>
      <w:r w:rsidR="004F48E4" w:rsidRPr="00883108">
        <w:t xml:space="preserve">will serve to underpin the value of </w:t>
      </w:r>
      <w:r w:rsidR="0023389B" w:rsidRPr="00883108">
        <w:t xml:space="preserve">the variety of </w:t>
      </w:r>
      <w:r w:rsidR="00E730F5" w:rsidRPr="00883108">
        <w:t xml:space="preserve">individual </w:t>
      </w:r>
      <w:r w:rsidR="0023389B" w:rsidRPr="00883108">
        <w:t>i</w:t>
      </w:r>
      <w:r w:rsidR="004F48E4" w:rsidRPr="00883108">
        <w:t>n</w:t>
      </w:r>
      <w:r w:rsidR="0023389B" w:rsidRPr="00883108">
        <w:t>-work s</w:t>
      </w:r>
      <w:r w:rsidR="004F48E4" w:rsidRPr="00883108">
        <w:t xml:space="preserve">upport measures </w:t>
      </w:r>
      <w:r w:rsidR="0023389B" w:rsidRPr="00883108">
        <w:t>that are currently available (</w:t>
      </w:r>
      <w:r w:rsidR="004F48E4" w:rsidRPr="00883108">
        <w:t xml:space="preserve">such as </w:t>
      </w:r>
      <w:r w:rsidR="004A77B1">
        <w:t xml:space="preserve">FIS </w:t>
      </w:r>
      <w:r w:rsidR="00E730F5" w:rsidRPr="00883108">
        <w:t xml:space="preserve">and </w:t>
      </w:r>
      <w:r w:rsidR="0023389B" w:rsidRPr="00883108">
        <w:t xml:space="preserve">the </w:t>
      </w:r>
      <w:r w:rsidR="004F48E4" w:rsidRPr="00883108">
        <w:t>B</w:t>
      </w:r>
      <w:r w:rsidR="0023389B" w:rsidRPr="00883108">
        <w:t xml:space="preserve">ack </w:t>
      </w:r>
      <w:r w:rsidR="004F48E4" w:rsidRPr="00883108">
        <w:t>T</w:t>
      </w:r>
      <w:r w:rsidR="0023389B" w:rsidRPr="00883108">
        <w:t xml:space="preserve">o </w:t>
      </w:r>
      <w:r w:rsidR="004F48E4" w:rsidRPr="00883108">
        <w:t>W</w:t>
      </w:r>
      <w:r w:rsidR="0023389B" w:rsidRPr="00883108">
        <w:t xml:space="preserve">ork </w:t>
      </w:r>
      <w:r w:rsidR="004F48E4" w:rsidRPr="00883108">
        <w:t>F</w:t>
      </w:r>
      <w:r w:rsidR="0023389B" w:rsidRPr="00883108">
        <w:t xml:space="preserve">amily </w:t>
      </w:r>
      <w:r w:rsidR="004F48E4" w:rsidRPr="00883108">
        <w:t>D</w:t>
      </w:r>
      <w:r w:rsidR="0023389B" w:rsidRPr="00883108">
        <w:t>ividend)</w:t>
      </w:r>
      <w:r w:rsidR="00E730F5" w:rsidRPr="00883108">
        <w:t>. In</w:t>
      </w:r>
      <w:r w:rsidR="00B77E24" w:rsidRPr="00883108">
        <w:t xml:space="preserve"> this regard, CIB welcome</w:t>
      </w:r>
      <w:r w:rsidR="00E730F5" w:rsidRPr="00883108">
        <w:t>s</w:t>
      </w:r>
      <w:r w:rsidR="00B77E24" w:rsidRPr="00883108">
        <w:t xml:space="preserve"> the recent DSP consultation </w:t>
      </w:r>
      <w:r w:rsidR="00E730F5" w:rsidRPr="00883108">
        <w:t>on the proposed</w:t>
      </w:r>
      <w:r w:rsidR="00B77E24" w:rsidRPr="00883108">
        <w:t xml:space="preserve"> </w:t>
      </w:r>
      <w:r w:rsidR="00B77E24" w:rsidRPr="00883108">
        <w:rPr>
          <w:b/>
        </w:rPr>
        <w:t>Working Family Payment</w:t>
      </w:r>
      <w:r w:rsidR="00B77E24" w:rsidRPr="00883108">
        <w:t xml:space="preserve">, </w:t>
      </w:r>
      <w:r w:rsidR="00A141BB" w:rsidRPr="00883108">
        <w:t>which was a key commitment in the Programme for Government in 2016. As</w:t>
      </w:r>
      <w:r w:rsidR="00B77E24" w:rsidRPr="00883108">
        <w:t xml:space="preserve"> </w:t>
      </w:r>
      <w:r w:rsidR="00F32F48" w:rsidRPr="00883108">
        <w:t xml:space="preserve">information </w:t>
      </w:r>
      <w:r w:rsidR="00B77E24" w:rsidRPr="00883108">
        <w:t xml:space="preserve">services </w:t>
      </w:r>
      <w:r w:rsidR="00E730F5" w:rsidRPr="00883108">
        <w:t>continue to note</w:t>
      </w:r>
      <w:r w:rsidR="00A141BB" w:rsidRPr="00883108">
        <w:t xml:space="preserve"> a variety of difficulties for their clients in moving from welfare to work (specifically for jobseekers, part-time and casual workers, FIS applicants and activation scheme participants), this feedback emphasises the importance of the rationale, design and administration of any new payment and also, the prerequisite that it is integrated within the overa</w:t>
      </w:r>
      <w:r w:rsidR="00AD5C90" w:rsidRPr="00883108">
        <w:t xml:space="preserve">ll taxation and welfare system (including secondary and in-work benefits). </w:t>
      </w:r>
      <w:r w:rsidR="002A340D" w:rsidRPr="00883108">
        <w:t xml:space="preserve">These measures would help to achieve a balance between incentivising work and the retention of </w:t>
      </w:r>
      <w:r w:rsidR="003E5DBF" w:rsidRPr="00883108">
        <w:t xml:space="preserve">a variety of </w:t>
      </w:r>
      <w:r w:rsidR="002A340D" w:rsidRPr="00883108">
        <w:t>social welfare income supports.</w:t>
      </w:r>
      <w:r w:rsidR="00A44A9D" w:rsidRPr="00883108">
        <w:t xml:space="preserve"> Coupled with this is the requirement that there would be clear information from employment support services regarding the availability and retention of benefits for those taking up w</w:t>
      </w:r>
      <w:r w:rsidR="001539C4" w:rsidRPr="00883108">
        <w:t>ork offers. In this regard, the</w:t>
      </w:r>
      <w:r w:rsidR="00A44A9D" w:rsidRPr="00883108">
        <w:t xml:space="preserve">re is some evidence from information services that there is a low level of </w:t>
      </w:r>
      <w:r w:rsidR="00F32F48" w:rsidRPr="00883108">
        <w:t>awareness</w:t>
      </w:r>
      <w:r w:rsidR="00A44A9D" w:rsidRPr="00883108">
        <w:t xml:space="preserve"> about access to, and availability of, in-work supports</w:t>
      </w:r>
      <w:r w:rsidR="001539C4" w:rsidRPr="00883108">
        <w:t xml:space="preserve"> </w:t>
      </w:r>
      <w:r w:rsidR="00F32F48" w:rsidRPr="00883108">
        <w:t xml:space="preserve">and the retention of secondary benefits </w:t>
      </w:r>
      <w:r w:rsidR="001539C4" w:rsidRPr="00883108">
        <w:t>– and also a good deal of confusion amongst jobseekers about the best course of action for them</w:t>
      </w:r>
      <w:r w:rsidR="00A44A9D" w:rsidRPr="00883108">
        <w:t xml:space="preserve"> </w:t>
      </w:r>
      <w:r w:rsidR="00F32F48" w:rsidRPr="00883108">
        <w:t xml:space="preserve">in their particular circumstances </w:t>
      </w:r>
      <w:r w:rsidR="00A44A9D" w:rsidRPr="00883108">
        <w:t>(</w:t>
      </w:r>
      <w:r w:rsidR="001539C4" w:rsidRPr="00883108">
        <w:t>for instance, should a couple opt for the FIS payment and the Back To Work Family Dividend, or should one partner claim FIS and the other stay on the means-tested JA).</w:t>
      </w:r>
    </w:p>
    <w:p w:rsidR="00AD5C90" w:rsidRPr="00883108" w:rsidRDefault="00AD5C90" w:rsidP="001A6FA9">
      <w:pPr>
        <w:spacing w:line="240" w:lineRule="auto"/>
        <w:jc w:val="both"/>
      </w:pPr>
      <w:r w:rsidRPr="00883108">
        <w:t xml:space="preserve">Of </w:t>
      </w:r>
      <w:r w:rsidR="00A44A9D" w:rsidRPr="00883108">
        <w:t>further</w:t>
      </w:r>
      <w:r w:rsidRPr="00883108">
        <w:t xml:space="preserve"> relevance here is the feedback received from services around the structure and administration of the </w:t>
      </w:r>
      <w:r w:rsidRPr="00883108">
        <w:rPr>
          <w:b/>
        </w:rPr>
        <w:t>Family Income Supplement</w:t>
      </w:r>
      <w:r w:rsidRPr="00883108">
        <w:t xml:space="preserve"> – with </w:t>
      </w:r>
      <w:r w:rsidR="00F32F48" w:rsidRPr="00883108">
        <w:t xml:space="preserve">services consistently noting concerns </w:t>
      </w:r>
      <w:r w:rsidRPr="00883108">
        <w:t>around the income limits and working hours threshold (which affects many potential applicants on low pay, zero hours contracts, “if and when” work and seasonal work patterns), the difficulties caused by the 52-week review period, and the ineligibility of activation scheme participants (and</w:t>
      </w:r>
      <w:r w:rsidR="00EF29FA" w:rsidRPr="00883108">
        <w:t>, as previously noted, the</w:t>
      </w:r>
      <w:r w:rsidR="00854985" w:rsidRPr="00883108">
        <w:t xml:space="preserve"> </w:t>
      </w:r>
      <w:r w:rsidRPr="00883108">
        <w:t xml:space="preserve">self-employed). </w:t>
      </w:r>
      <w:r w:rsidR="00BA0A3D" w:rsidRPr="00883108">
        <w:t>Another key issue that continues to be highlighted by services</w:t>
      </w:r>
      <w:r w:rsidRPr="00883108">
        <w:t xml:space="preserve"> </w:t>
      </w:r>
      <w:r w:rsidR="00BA0A3D" w:rsidRPr="00883108">
        <w:t xml:space="preserve">concerns the administration of FIS, with a significant amount of feedback relating to access issues or information gaps. These reports were predominantly concerned with difficulties that claimants had in making contact with the FIS section either by telephone or email, which has consistently been reported throughout 2016. These difficulties added to </w:t>
      </w:r>
      <w:r w:rsidR="000506FD" w:rsidRPr="00883108">
        <w:t>claimants’</w:t>
      </w:r>
      <w:r w:rsidR="00BA0A3D" w:rsidRPr="00883108">
        <w:t xml:space="preserve"> worries about the eligibility and status of their a</w:t>
      </w:r>
      <w:r w:rsidR="00F32F48" w:rsidRPr="00883108">
        <w:t>pplications and, in some cases servi</w:t>
      </w:r>
      <w:r w:rsidR="00630D75" w:rsidRPr="00883108">
        <w:t xml:space="preserve">ces reported, </w:t>
      </w:r>
      <w:r w:rsidR="00BA0A3D" w:rsidRPr="00883108">
        <w:t xml:space="preserve">delayed their ability to make decisions on work offers based on the limited information available to them about the payment. </w:t>
      </w:r>
    </w:p>
    <w:p w:rsidR="000922DE" w:rsidRPr="00F52EAE" w:rsidRDefault="00001410" w:rsidP="001A6FA9">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 xml:space="preserve">Recommendations: </w:t>
      </w:r>
    </w:p>
    <w:p w:rsidR="0072575D" w:rsidRPr="004B0A31" w:rsidRDefault="0072575D" w:rsidP="004A77B1">
      <w:pPr>
        <w:shd w:val="clear" w:color="auto" w:fill="EAF1DD" w:themeFill="accent3" w:themeFillTint="33"/>
        <w:spacing w:line="240" w:lineRule="auto"/>
        <w:ind w:left="720"/>
        <w:jc w:val="both"/>
      </w:pPr>
      <w:r w:rsidRPr="004B0A31">
        <w:t>Develop an appropriate policy response to the increased casuali</w:t>
      </w:r>
      <w:r w:rsidR="004A5859" w:rsidRPr="004B0A31">
        <w:t>s</w:t>
      </w:r>
      <w:r w:rsidRPr="004B0A31">
        <w:t>ation of work -</w:t>
      </w:r>
      <w:r w:rsidR="002F6FB5" w:rsidRPr="004B0A31">
        <w:t xml:space="preserve"> </w:t>
      </w:r>
      <w:r w:rsidRPr="004B0A31">
        <w:t>whether through the refinement of the FIS payment or the development of the proposed new Working Family Paymen</w:t>
      </w:r>
      <w:r w:rsidR="002F6FB5" w:rsidRPr="004B0A31">
        <w:t>t -</w:t>
      </w:r>
      <w:r w:rsidRPr="004B0A31">
        <w:t xml:space="preserve"> in order to ensure that the targeted assistance is reflective of income thresholds and hours worked (with particular regard for minimum wage, part-time,  casual workers and activation scheme participants); </w:t>
      </w:r>
    </w:p>
    <w:p w:rsidR="009C7A37" w:rsidRPr="004B0A31" w:rsidRDefault="009C7A37" w:rsidP="004A77B1">
      <w:pPr>
        <w:shd w:val="clear" w:color="auto" w:fill="EAF1DD" w:themeFill="accent3" w:themeFillTint="33"/>
        <w:spacing w:line="240" w:lineRule="auto"/>
        <w:ind w:left="720"/>
        <w:jc w:val="both"/>
      </w:pPr>
      <w:r w:rsidRPr="004B0A31">
        <w:t>Pending the development and roll-out of the proposed Working Family Payment, provide additional resources to the FIS section to enable a more appropriate and timely response</w:t>
      </w:r>
      <w:r w:rsidR="0009694A" w:rsidRPr="004B0A31">
        <w:t xml:space="preserve"> to applicants and potential applicants</w:t>
      </w:r>
      <w:r w:rsidR="009619A6" w:rsidRPr="004B0A31">
        <w:t>;</w:t>
      </w:r>
      <w:r w:rsidRPr="004B0A31">
        <w:t xml:space="preserve"> </w:t>
      </w:r>
    </w:p>
    <w:p w:rsidR="004A77B1" w:rsidRPr="004B0A31" w:rsidRDefault="004A77B1" w:rsidP="004A77B1">
      <w:pPr>
        <w:shd w:val="clear" w:color="auto" w:fill="EAF1DD" w:themeFill="accent3" w:themeFillTint="33"/>
        <w:spacing w:line="240" w:lineRule="auto"/>
        <w:ind w:left="720"/>
        <w:jc w:val="both"/>
      </w:pPr>
      <w:r>
        <w:t>C</w:t>
      </w:r>
      <w:r w:rsidR="00001410" w:rsidRPr="004B0A31">
        <w:t xml:space="preserve">onsolidate the variety of existing </w:t>
      </w:r>
      <w:r w:rsidR="009619A6" w:rsidRPr="004B0A31">
        <w:t>payments</w:t>
      </w:r>
      <w:r w:rsidR="00001410" w:rsidRPr="004B0A31">
        <w:t xml:space="preserve"> </w:t>
      </w:r>
      <w:r>
        <w:t xml:space="preserve">to </w:t>
      </w:r>
      <w:r w:rsidR="00001410" w:rsidRPr="004B0A31">
        <w:t>allow for</w:t>
      </w:r>
      <w:r w:rsidR="000922DE" w:rsidRPr="004B0A31">
        <w:t xml:space="preserve"> consistency and security of support for low incom</w:t>
      </w:r>
      <w:r>
        <w:t>e families taking up employment and p</w:t>
      </w:r>
      <w:r w:rsidRPr="004B0A31">
        <w:t>rovide clear and effective administrative pathways b</w:t>
      </w:r>
      <w:r>
        <w:t>y which claimants can access these</w:t>
      </w:r>
      <w:r w:rsidRPr="004B0A31">
        <w:t xml:space="preserve"> scheme</w:t>
      </w:r>
      <w:r>
        <w:t>s.</w:t>
      </w:r>
    </w:p>
    <w:p w:rsidR="0077583F" w:rsidRPr="004D5017" w:rsidRDefault="00A44A9D" w:rsidP="001A6FA9">
      <w:pPr>
        <w:spacing w:line="240" w:lineRule="auto"/>
        <w:jc w:val="both"/>
      </w:pPr>
      <w:r w:rsidRPr="00883108">
        <w:lastRenderedPageBreak/>
        <w:t xml:space="preserve">Other specific issues noted by services </w:t>
      </w:r>
      <w:r w:rsidR="00325D92" w:rsidRPr="00883108">
        <w:t>as impacting on people as they move from welfare to work or activation</w:t>
      </w:r>
      <w:r w:rsidRPr="00883108">
        <w:t xml:space="preserve"> include cases where the three day rule for jobseekers payments is considered to act as a disincentive to take up work (particularly part-time hours),</w:t>
      </w:r>
      <w:r w:rsidR="004A5859" w:rsidRPr="00883108">
        <w:t xml:space="preserve"> </w:t>
      </w:r>
      <w:r w:rsidR="00812CA8" w:rsidRPr="00883108">
        <w:t xml:space="preserve">cases where </w:t>
      </w:r>
      <w:r w:rsidR="004A5859" w:rsidRPr="00883108">
        <w:t xml:space="preserve">the </w:t>
      </w:r>
      <w:r w:rsidR="00812CA8" w:rsidRPr="00883108">
        <w:t xml:space="preserve">reduction in the </w:t>
      </w:r>
      <w:r w:rsidR="00325D92" w:rsidRPr="00883108">
        <w:t>duration of Jobseeker’s Benefit</w:t>
      </w:r>
      <w:r w:rsidR="004A5859" w:rsidRPr="00883108">
        <w:rPr>
          <w:rStyle w:val="FootnoteReference"/>
        </w:rPr>
        <w:footnoteReference w:id="3"/>
      </w:r>
      <w:r w:rsidR="00325D92" w:rsidRPr="00883108">
        <w:t xml:space="preserve"> </w:t>
      </w:r>
      <w:r w:rsidR="00812CA8" w:rsidRPr="00883108">
        <w:t xml:space="preserve">has served to exclude some applicants from employment or activation supports,  particular cases of hardship caused by </w:t>
      </w:r>
      <w:r w:rsidR="0000297A" w:rsidRPr="00883108">
        <w:t xml:space="preserve">the inadequacy of the reduced rate of jobseeker payments for those aged under 26, </w:t>
      </w:r>
      <w:r w:rsidRPr="00883108">
        <w:t xml:space="preserve">delays in the reinstatement of benefits for those engaged in casual work, and </w:t>
      </w:r>
      <w:r w:rsidR="00E304E8" w:rsidRPr="00883108">
        <w:t xml:space="preserve">a </w:t>
      </w:r>
      <w:r w:rsidR="00812CA8" w:rsidRPr="00883108">
        <w:t xml:space="preserve">lack of awareness </w:t>
      </w:r>
      <w:r w:rsidR="00E304E8" w:rsidRPr="00883108">
        <w:t xml:space="preserve">amongst many social welfare recipients of the </w:t>
      </w:r>
      <w:r w:rsidR="00A417CA" w:rsidRPr="00883108">
        <w:t xml:space="preserve">retention of certain benefits on taking up employment. </w:t>
      </w:r>
      <w:r w:rsidR="00E304E8" w:rsidRPr="00883108">
        <w:t xml:space="preserve"> </w:t>
      </w:r>
    </w:p>
    <w:p w:rsidR="000922DE" w:rsidRPr="00F52EAE" w:rsidRDefault="000922DE" w:rsidP="001A6FA9">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 xml:space="preserve">Recommendations: </w:t>
      </w:r>
    </w:p>
    <w:p w:rsidR="0000297A" w:rsidRPr="004B0A31" w:rsidRDefault="000922DE" w:rsidP="002D2A01">
      <w:pPr>
        <w:shd w:val="clear" w:color="auto" w:fill="EAF1DD" w:themeFill="accent3" w:themeFillTint="33"/>
        <w:spacing w:line="240" w:lineRule="auto"/>
        <w:ind w:left="720"/>
        <w:jc w:val="both"/>
      </w:pPr>
      <w:r w:rsidRPr="004B0A31">
        <w:t>Change eligibility for jobseekers payments to criteria based on hours worked, rather than days;</w:t>
      </w:r>
      <w:r w:rsidR="0000297A" w:rsidRPr="004B0A31">
        <w:t xml:space="preserve"> </w:t>
      </w:r>
    </w:p>
    <w:p w:rsidR="007148F6" w:rsidRPr="004B0A31" w:rsidRDefault="007148F6" w:rsidP="002D2A01">
      <w:pPr>
        <w:shd w:val="clear" w:color="auto" w:fill="EAF1DD" w:themeFill="accent3" w:themeFillTint="33"/>
        <w:spacing w:line="240" w:lineRule="auto"/>
        <w:ind w:left="720"/>
        <w:jc w:val="both"/>
      </w:pPr>
      <w:r w:rsidRPr="004B0A31">
        <w:t>Finalise and report on the review undertaken on the impact of the reduced jobseekers payment rates for under-26s;</w:t>
      </w:r>
    </w:p>
    <w:p w:rsidR="007148F6" w:rsidRPr="004B0A31" w:rsidRDefault="007148F6" w:rsidP="002D2A01">
      <w:pPr>
        <w:shd w:val="clear" w:color="auto" w:fill="EAF1DD" w:themeFill="accent3" w:themeFillTint="33"/>
        <w:spacing w:line="240" w:lineRule="auto"/>
        <w:ind w:left="720"/>
        <w:jc w:val="both"/>
      </w:pPr>
      <w:r w:rsidRPr="004B0A31">
        <w:t>Restore the duration of Jobseeker’s Benefit to 12 and 9 months (as relevant to the particular PRSI contributions);</w:t>
      </w:r>
    </w:p>
    <w:p w:rsidR="001318D6" w:rsidRPr="004B0A31" w:rsidRDefault="000922DE" w:rsidP="002D2A01">
      <w:pPr>
        <w:shd w:val="clear" w:color="auto" w:fill="EAF1DD" w:themeFill="accent3" w:themeFillTint="33"/>
        <w:spacing w:line="240" w:lineRule="auto"/>
        <w:ind w:left="720"/>
        <w:jc w:val="both"/>
      </w:pPr>
      <w:r w:rsidRPr="004B0A31">
        <w:t>Promote ‘fast-track’ administrative measures to support people to move between welfare supports and short-term work</w:t>
      </w:r>
      <w:r w:rsidR="00A417CA" w:rsidRPr="004B0A31">
        <w:t xml:space="preserve"> and the proactive promotion of information on the retention of benefits on taking up work or activation</w:t>
      </w:r>
      <w:r w:rsidRPr="004B0A31">
        <w:t>.</w:t>
      </w:r>
      <w:r w:rsidR="000506FD" w:rsidRPr="004B0A31">
        <w:t xml:space="preserve"> </w:t>
      </w:r>
    </w:p>
    <w:p w:rsidR="001A6FA9" w:rsidRPr="002D2A01" w:rsidRDefault="002D2A01" w:rsidP="00F5227E">
      <w:pPr>
        <w:pStyle w:val="Heading3"/>
        <w:spacing w:before="0" w:line="240" w:lineRule="auto"/>
        <w:rPr>
          <w:b/>
          <w:color w:val="244061" w:themeColor="accent1" w:themeShade="80"/>
        </w:rPr>
      </w:pPr>
      <w:r>
        <w:rPr>
          <w:b/>
          <w:color w:val="244061" w:themeColor="accent1" w:themeShade="80"/>
        </w:rPr>
        <w:t xml:space="preserve">Housing </w:t>
      </w:r>
      <w:r w:rsidR="001A6FA9" w:rsidRPr="002D2A01">
        <w:rPr>
          <w:b/>
          <w:color w:val="244061" w:themeColor="accent1" w:themeShade="80"/>
        </w:rPr>
        <w:t>issues</w:t>
      </w:r>
    </w:p>
    <w:p w:rsidR="000742AF" w:rsidRDefault="000742AF" w:rsidP="00F5227E">
      <w:pPr>
        <w:spacing w:after="0" w:line="240" w:lineRule="auto"/>
        <w:jc w:val="both"/>
      </w:pPr>
      <w:r w:rsidRPr="00883108">
        <w:t>In supporting the transition from welfare to work</w:t>
      </w:r>
      <w:r w:rsidR="00854985" w:rsidRPr="00883108">
        <w:t>,</w:t>
      </w:r>
      <w:r w:rsidRPr="00883108">
        <w:t xml:space="preserve"> staff in information services continue to highlight how </w:t>
      </w:r>
      <w:r w:rsidR="00854985" w:rsidRPr="00883108">
        <w:t>t</w:t>
      </w:r>
      <w:r w:rsidRPr="00883108">
        <w:t xml:space="preserve">he ongoing </w:t>
      </w:r>
      <w:r w:rsidR="00854985" w:rsidRPr="00883108">
        <w:t>difficulties</w:t>
      </w:r>
      <w:r w:rsidRPr="00883108">
        <w:t xml:space="preserve"> with the </w:t>
      </w:r>
      <w:r w:rsidRPr="00883108">
        <w:rPr>
          <w:b/>
        </w:rPr>
        <w:t>Irish h</w:t>
      </w:r>
      <w:r w:rsidR="00854985" w:rsidRPr="00883108">
        <w:rPr>
          <w:b/>
        </w:rPr>
        <w:t>ousing market</w:t>
      </w:r>
      <w:r w:rsidR="00854985" w:rsidRPr="00883108">
        <w:t xml:space="preserve"> are acutely felt </w:t>
      </w:r>
      <w:r w:rsidRPr="00883108">
        <w:t>by unemployed people</w:t>
      </w:r>
      <w:r w:rsidR="00992C5E" w:rsidRPr="00883108">
        <w:t>, those on low income</w:t>
      </w:r>
      <w:r w:rsidRPr="00883108">
        <w:t xml:space="preserve"> and </w:t>
      </w:r>
      <w:r w:rsidR="00854985" w:rsidRPr="00883108">
        <w:t>those</w:t>
      </w:r>
      <w:r w:rsidRPr="00883108">
        <w:t xml:space="preserve"> seeking full-time work. During 2016, frontline staff in CISs dealt with over 75,000 queries related to general housing issues</w:t>
      </w:r>
      <w:r w:rsidR="006E3EF6" w:rsidRPr="00883108">
        <w:t xml:space="preserve"> – including over 10,000 Housing Assistance Payment (HAP) queries</w:t>
      </w:r>
      <w:r w:rsidR="000506FD" w:rsidRPr="00883108">
        <w:t xml:space="preserve"> </w:t>
      </w:r>
      <w:r w:rsidRPr="00883108">
        <w:t xml:space="preserve">and a further 20,000 queries specifically concerning Rent Supplement - bringing the total to over 95,000 queries </w:t>
      </w:r>
      <w:r w:rsidR="00854985" w:rsidRPr="00883108">
        <w:t>(</w:t>
      </w:r>
      <w:r w:rsidRPr="00883108">
        <w:t>which represents a 27% increase on 2015 figures</w:t>
      </w:r>
      <w:r w:rsidR="00854985" w:rsidRPr="00883108">
        <w:t>)</w:t>
      </w:r>
      <w:r w:rsidRPr="00883108">
        <w:t>.  The focus of the housing-related concerns is most apparent in three specific areas which reflect the myriad of intertwined issues related to both the private rented market an</w:t>
      </w:r>
      <w:r w:rsidR="00854985" w:rsidRPr="00883108">
        <w:t xml:space="preserve">d the social housing landscape </w:t>
      </w:r>
      <w:r w:rsidRPr="00883108">
        <w:t>- local authority and social housing, re</w:t>
      </w:r>
      <w:r w:rsidR="00854985" w:rsidRPr="00883108">
        <w:t xml:space="preserve">nting a home and homelessness. Over </w:t>
      </w:r>
      <w:r w:rsidRPr="00883108">
        <w:t xml:space="preserve">45% of these </w:t>
      </w:r>
      <w:r w:rsidR="00992C5E" w:rsidRPr="00883108">
        <w:t xml:space="preserve">housing-related </w:t>
      </w:r>
      <w:r w:rsidRPr="00883108">
        <w:t>queries were focused on local autho</w:t>
      </w:r>
      <w:r w:rsidR="00854985" w:rsidRPr="00883108">
        <w:t>rity and social housing. S</w:t>
      </w:r>
      <w:r w:rsidRPr="00883108">
        <w:t>uch a focus</w:t>
      </w:r>
      <w:r w:rsidR="00854985" w:rsidRPr="00883108">
        <w:t>,</w:t>
      </w:r>
      <w:r w:rsidRPr="00883108">
        <w:t xml:space="preserve"> no doubt</w:t>
      </w:r>
      <w:r w:rsidR="00854985" w:rsidRPr="00883108">
        <w:t>,</w:t>
      </w:r>
      <w:r w:rsidRPr="00883108">
        <w:t xml:space="preserve"> reflects the expedited rollout of </w:t>
      </w:r>
      <w:r w:rsidR="006E3EF6" w:rsidRPr="00883108">
        <w:rPr>
          <w:b/>
        </w:rPr>
        <w:t>HAP</w:t>
      </w:r>
      <w:r w:rsidR="006E3EF6" w:rsidRPr="00883108">
        <w:t xml:space="preserve"> </w:t>
      </w:r>
      <w:r w:rsidRPr="00883108">
        <w:t xml:space="preserve">across all local authority areas and the now-changed administrative procedures for people seeking housing supports - as the process shifts from long-term housing support in the form of Rent Supplement to </w:t>
      </w:r>
      <w:r w:rsidR="00854985" w:rsidRPr="00883108">
        <w:t xml:space="preserve">the </w:t>
      </w:r>
      <w:r w:rsidRPr="00883108">
        <w:t>H</w:t>
      </w:r>
      <w:r w:rsidR="00854985" w:rsidRPr="00883108">
        <w:t>AP</w:t>
      </w:r>
      <w:r w:rsidRPr="00883108">
        <w:t xml:space="preserve"> payment. But regardless of what form of housing support that  individuals and families are accessing, the underlying difficulties in relation to housing remain widespread and problematic - </w:t>
      </w:r>
      <w:r w:rsidR="00854985" w:rsidRPr="00883108">
        <w:t>rental costs, r</w:t>
      </w:r>
      <w:r w:rsidRPr="00883108">
        <w:t>ental support limits and the availability (or lack) of suitable and affordable accommodation with</w:t>
      </w:r>
      <w:r w:rsidR="00992C5E" w:rsidRPr="00883108">
        <w:t>in</w:t>
      </w:r>
      <w:r w:rsidRPr="00883108">
        <w:t xml:space="preserve"> those limits. As the HAP scheme </w:t>
      </w:r>
      <w:r w:rsidR="002F6FB5" w:rsidRPr="00883108">
        <w:t>has become</w:t>
      </w:r>
      <w:r w:rsidRPr="00883108">
        <w:t xml:space="preserve"> </w:t>
      </w:r>
      <w:r w:rsidR="006E3EF6" w:rsidRPr="00883108">
        <w:t xml:space="preserve">operational </w:t>
      </w:r>
      <w:r w:rsidRPr="00883108">
        <w:t xml:space="preserve">across the country, many services have also reported an apparent reluctance of landlords to sign up and </w:t>
      </w:r>
      <w:r w:rsidR="00854985" w:rsidRPr="00883108">
        <w:t xml:space="preserve">of the need to </w:t>
      </w:r>
      <w:r w:rsidRPr="00883108">
        <w:t xml:space="preserve">further </w:t>
      </w:r>
      <w:r w:rsidR="00854985" w:rsidRPr="00883108">
        <w:t>in</w:t>
      </w:r>
      <w:r w:rsidRPr="00883108">
        <w:t>centiv</w:t>
      </w:r>
      <w:r w:rsidR="00854985" w:rsidRPr="00883108">
        <w:t>ise landlords to let their properties through the scheme.</w:t>
      </w:r>
    </w:p>
    <w:p w:rsidR="009D150B" w:rsidRPr="00883108" w:rsidRDefault="009D150B" w:rsidP="002E54E2">
      <w:pPr>
        <w:spacing w:after="0" w:line="240" w:lineRule="auto"/>
        <w:jc w:val="both"/>
      </w:pPr>
    </w:p>
    <w:p w:rsidR="000742AF" w:rsidRPr="00883108" w:rsidRDefault="000742AF" w:rsidP="001A6FA9">
      <w:pPr>
        <w:spacing w:line="240" w:lineRule="auto"/>
        <w:jc w:val="both"/>
      </w:pPr>
      <w:r w:rsidRPr="00883108">
        <w:t xml:space="preserve">In terms of </w:t>
      </w:r>
      <w:r w:rsidRPr="00883108">
        <w:rPr>
          <w:b/>
        </w:rPr>
        <w:t>local authority social housing waiting lists</w:t>
      </w:r>
      <w:r w:rsidRPr="00883108">
        <w:t xml:space="preserve">, the key issues that are highlighted relate to the </w:t>
      </w:r>
      <w:r w:rsidRPr="00DC0E79">
        <w:t>application process</w:t>
      </w:r>
      <w:r w:rsidR="00854985" w:rsidRPr="00883108">
        <w:t xml:space="preserve"> </w:t>
      </w:r>
      <w:r w:rsidRPr="00883108">
        <w:t xml:space="preserve">- specifically the lengthy processing period (in many cases stated to be 12 - 14 weeks) and the knock-on effect for many tenants who are seeking HAP rental properties. The broader issue of the low level of social housing stock nationally, and consequently the length of time that tenants can spend on the </w:t>
      </w:r>
      <w:r w:rsidR="00E15E47">
        <w:t xml:space="preserve">waiting </w:t>
      </w:r>
      <w:r w:rsidRPr="00883108">
        <w:t>list before they are offered suitable hous</w:t>
      </w:r>
      <w:r w:rsidR="00992C5E" w:rsidRPr="00883108">
        <w:t>ing was also referenced regularl</w:t>
      </w:r>
      <w:r w:rsidRPr="00883108">
        <w:t xml:space="preserve">y in the feedback from services. There have also been reports of </w:t>
      </w:r>
      <w:r w:rsidR="00854985" w:rsidRPr="00DC0E79">
        <w:t>p</w:t>
      </w:r>
      <w:r w:rsidRPr="00DC0E79">
        <w:t xml:space="preserve">oor standards </w:t>
      </w:r>
      <w:r w:rsidRPr="00DC0E79">
        <w:lastRenderedPageBreak/>
        <w:t>and maintenance</w:t>
      </w:r>
      <w:r w:rsidRPr="009D150B">
        <w:t xml:space="preserve"> </w:t>
      </w:r>
      <w:r w:rsidRPr="00DC0E79">
        <w:t>of accommodation</w:t>
      </w:r>
      <w:r w:rsidRPr="009D150B">
        <w:t xml:space="preserve"> </w:t>
      </w:r>
      <w:r w:rsidRPr="00883108">
        <w:t>- in terms of private rented and also local authority houses, coupled with an apparent lack of en</w:t>
      </w:r>
      <w:r w:rsidR="00854985" w:rsidRPr="00883108">
        <w:t xml:space="preserve">forcement by local authorities. Many services have also highlighted cases where families that are accessing income supports such as FIS, in combination with the Back To Work Family Dividend and income from PAYE employment, are now finding that their new combined income is putting them </w:t>
      </w:r>
      <w:r w:rsidR="00854985" w:rsidRPr="00DC0E79">
        <w:t>above the income eligibility threshold for social housing.</w:t>
      </w:r>
      <w:r w:rsidR="00854985" w:rsidRPr="00883108">
        <w:t xml:space="preserve"> This would suggest the need to exempt such short-term activation incentives from income assessed under the Social Housing Assessment Regulations.</w:t>
      </w:r>
    </w:p>
    <w:p w:rsidR="000742AF" w:rsidRPr="00F52EAE" w:rsidRDefault="000742AF" w:rsidP="001A6FA9">
      <w:pPr>
        <w:spacing w:line="240" w:lineRule="auto"/>
        <w:jc w:val="both"/>
        <w:rPr>
          <w:color w:val="244061" w:themeColor="accent1" w:themeShade="80"/>
        </w:rPr>
      </w:pPr>
      <w:r w:rsidRPr="00883108">
        <w:t xml:space="preserve">During </w:t>
      </w:r>
      <w:r w:rsidR="00F44864" w:rsidRPr="00883108">
        <w:t>recent</w:t>
      </w:r>
      <w:r w:rsidRPr="00883108">
        <w:t xml:space="preserve"> years, a real fear and threat of </w:t>
      </w:r>
      <w:r w:rsidRPr="00883108">
        <w:rPr>
          <w:b/>
        </w:rPr>
        <w:t>homelessness</w:t>
      </w:r>
      <w:r w:rsidRPr="00883108">
        <w:t xml:space="preserve"> has also arisen as an issue for the many services who are supporting people who find themselves unemployed - with much of the focus in </w:t>
      </w:r>
      <w:r w:rsidR="00F44864" w:rsidRPr="00883108">
        <w:t>feedback</w:t>
      </w:r>
      <w:r w:rsidRPr="00883108">
        <w:t xml:space="preserve"> on the difficulty in accessing homeless services nationally and also the problems for families living in unsuitable emergency accommodation or in overcrowded situations with extended family. </w:t>
      </w:r>
    </w:p>
    <w:p w:rsidR="000922DE" w:rsidRPr="00F52EAE" w:rsidRDefault="000922DE" w:rsidP="001A6FA9">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 xml:space="preserve">Recommendations: </w:t>
      </w:r>
    </w:p>
    <w:p w:rsidR="000922DE" w:rsidRPr="004B0A31" w:rsidRDefault="000922DE" w:rsidP="002D2A01">
      <w:pPr>
        <w:shd w:val="clear" w:color="auto" w:fill="EAF1DD" w:themeFill="accent3" w:themeFillTint="33"/>
        <w:spacing w:line="240" w:lineRule="auto"/>
        <w:ind w:left="720"/>
        <w:jc w:val="both"/>
      </w:pPr>
      <w:r w:rsidRPr="004B0A31">
        <w:t>Introduce further rent regulation measures (such as linking rents to the Consumer Price Index) and provide for the extension of the Rent Pressure Zones, in order to protect tenants from the effects of ongoing rent inflation;</w:t>
      </w:r>
    </w:p>
    <w:p w:rsidR="009B753A" w:rsidRPr="004B0A31" w:rsidRDefault="000922DE" w:rsidP="002D2A01">
      <w:pPr>
        <w:shd w:val="clear" w:color="auto" w:fill="EAF1DD" w:themeFill="accent3" w:themeFillTint="33"/>
        <w:spacing w:line="240" w:lineRule="auto"/>
        <w:ind w:left="720"/>
        <w:jc w:val="both"/>
      </w:pPr>
      <w:r w:rsidRPr="004B0A31">
        <w:t>Further incentivise landlords to let their properties through schemes such as RS and HAP;</w:t>
      </w:r>
      <w:r w:rsidR="009B753A" w:rsidRPr="004B0A31">
        <w:t xml:space="preserve"> </w:t>
      </w:r>
    </w:p>
    <w:p w:rsidR="00B8181F" w:rsidRPr="004B0A31" w:rsidRDefault="00B8181F" w:rsidP="002D2A01">
      <w:pPr>
        <w:shd w:val="clear" w:color="auto" w:fill="EAF1DD" w:themeFill="accent3" w:themeFillTint="33"/>
        <w:spacing w:line="240" w:lineRule="auto"/>
        <w:ind w:left="720"/>
        <w:jc w:val="both"/>
      </w:pPr>
      <w:r w:rsidRPr="004B0A31">
        <w:t>Extend Homeless HAP and provision of Place Finder for vulnerable HAP tenants;</w:t>
      </w:r>
    </w:p>
    <w:p w:rsidR="000922DE" w:rsidRPr="004B0A31" w:rsidRDefault="009B753A" w:rsidP="002D2A01">
      <w:pPr>
        <w:shd w:val="clear" w:color="auto" w:fill="EAF1DD" w:themeFill="accent3" w:themeFillTint="33"/>
        <w:spacing w:line="240" w:lineRule="auto"/>
        <w:ind w:left="720"/>
        <w:jc w:val="both"/>
      </w:pPr>
      <w:r w:rsidRPr="004B0A31">
        <w:t>Remove short-term activation incentives from income assessed under Social Housing Assessment Regulations;</w:t>
      </w:r>
    </w:p>
    <w:p w:rsidR="00920EA6" w:rsidRPr="004B0A31" w:rsidRDefault="000922DE" w:rsidP="002D2A01">
      <w:pPr>
        <w:shd w:val="clear" w:color="auto" w:fill="EAF1DD" w:themeFill="accent3" w:themeFillTint="33"/>
        <w:spacing w:line="240" w:lineRule="auto"/>
        <w:ind w:left="720"/>
        <w:jc w:val="both"/>
      </w:pPr>
      <w:r w:rsidRPr="004B0A31">
        <w:t>Allocate adequate resources for the provision of minimum standards in local authority housing, in order to ensure the quality of standards in accommodation for tenants who are reliant on social housing.</w:t>
      </w:r>
      <w:r w:rsidR="009B753A" w:rsidRPr="004B0A31">
        <w:t xml:space="preserve"> </w:t>
      </w:r>
    </w:p>
    <w:p w:rsidR="003E77FE" w:rsidRPr="004B0A31" w:rsidRDefault="003E77FE" w:rsidP="001A6FA9">
      <w:pPr>
        <w:spacing w:line="240" w:lineRule="auto"/>
      </w:pPr>
    </w:p>
    <w:p w:rsidR="00540EC7" w:rsidRPr="00F52EAE" w:rsidRDefault="001318D6" w:rsidP="00BE36ED">
      <w:pPr>
        <w:pStyle w:val="Heading3"/>
        <w:spacing w:before="0" w:line="240" w:lineRule="auto"/>
        <w:rPr>
          <w:rFonts w:eastAsiaTheme="majorEastAsia"/>
          <w:b/>
          <w:color w:val="244061" w:themeColor="accent1" w:themeShade="80"/>
        </w:rPr>
      </w:pPr>
      <w:r w:rsidRPr="00F52EAE">
        <w:rPr>
          <w:rFonts w:eastAsiaTheme="majorEastAsia"/>
          <w:b/>
          <w:color w:val="244061" w:themeColor="accent1" w:themeShade="80"/>
        </w:rPr>
        <w:t>I</w:t>
      </w:r>
      <w:r w:rsidR="00540EC7" w:rsidRPr="00F52EAE">
        <w:rPr>
          <w:rFonts w:eastAsiaTheme="majorEastAsia"/>
          <w:b/>
          <w:color w:val="244061" w:themeColor="accent1" w:themeShade="80"/>
        </w:rPr>
        <w:t>ll</w:t>
      </w:r>
      <w:r w:rsidRPr="00F52EAE">
        <w:rPr>
          <w:rFonts w:eastAsiaTheme="majorEastAsia"/>
          <w:b/>
          <w:color w:val="244061" w:themeColor="accent1" w:themeShade="80"/>
        </w:rPr>
        <w:t>ness, disability</w:t>
      </w:r>
      <w:r w:rsidR="00540EC7" w:rsidRPr="00F52EAE">
        <w:rPr>
          <w:rFonts w:eastAsiaTheme="majorEastAsia"/>
          <w:b/>
          <w:color w:val="244061" w:themeColor="accent1" w:themeShade="80"/>
        </w:rPr>
        <w:t xml:space="preserve"> </w:t>
      </w:r>
      <w:r w:rsidRPr="00F52EAE">
        <w:rPr>
          <w:rFonts w:eastAsiaTheme="majorEastAsia"/>
          <w:b/>
          <w:color w:val="244061" w:themeColor="accent1" w:themeShade="80"/>
        </w:rPr>
        <w:t>and caring</w:t>
      </w:r>
      <w:r w:rsidR="00540EC7" w:rsidRPr="00F52EAE">
        <w:rPr>
          <w:rFonts w:eastAsiaTheme="majorEastAsia"/>
          <w:b/>
          <w:color w:val="244061" w:themeColor="accent1" w:themeShade="80"/>
        </w:rPr>
        <w:t xml:space="preserve"> </w:t>
      </w:r>
    </w:p>
    <w:p w:rsidR="00540EC7" w:rsidRDefault="00540EC7" w:rsidP="00BE36ED">
      <w:pPr>
        <w:spacing w:after="0" w:line="240" w:lineRule="auto"/>
        <w:jc w:val="both"/>
      </w:pPr>
      <w:r w:rsidRPr="00883108">
        <w:t>During 2016, a significant proportion of the social welfare-related queries to information services were focussed on disability, illness and carers – that is, 23% or 107,500 queries. Within this, the specific payments of Carer’s Allowance, Disability Allowance and Illness Benefit logged 30,931, 29,682 and 17,062 queries respectively (to a combined total of 77,675 queries). There was also a good deal of case study evidence regarding these payments from information services and from advocates working for the CIB-funded National Advocacy Service for People with Disabilities (who supported over 4,000</w:t>
      </w:r>
      <w:r w:rsidR="00521708">
        <w:t xml:space="preserve"> people</w:t>
      </w:r>
      <w:r w:rsidRPr="00883108">
        <w:t xml:space="preserve"> with disabilities to access their rights and entitlements during 2016).</w:t>
      </w:r>
    </w:p>
    <w:p w:rsidR="009D150B" w:rsidRPr="00883108" w:rsidRDefault="009D150B" w:rsidP="00BE36ED">
      <w:pPr>
        <w:spacing w:after="0" w:line="240" w:lineRule="auto"/>
        <w:jc w:val="both"/>
      </w:pPr>
    </w:p>
    <w:p w:rsidR="00540EC7" w:rsidRPr="00883108" w:rsidRDefault="00540EC7" w:rsidP="001A6FA9">
      <w:pPr>
        <w:spacing w:line="240" w:lineRule="auto"/>
        <w:jc w:val="both"/>
      </w:pPr>
      <w:r w:rsidRPr="00883108">
        <w:t xml:space="preserve">The most frequently reported issues from services concerning Disability Allowance (DA) and Carer’s Allowance (CA) were operational in nature and typically referred to </w:t>
      </w:r>
      <w:r w:rsidRPr="00883108">
        <w:rPr>
          <w:b/>
        </w:rPr>
        <w:t>delays in applications, reviews and appeals</w:t>
      </w:r>
      <w:r w:rsidRPr="00883108">
        <w:t xml:space="preserve"> (with waiting periods of 5 - 6 months noted in some cases). Services also reported on a high rate of refusal of applications on medical grounds, with some services suggesting the need for clearer guidelines for GPs in providing supporting medical evidence. A significant number of clients (and information staff working on their behalf) also experienced difficulties in making contact with the DA and CA sections of the DSP by telephone – which can further add to delays experienced in applying for, or receiving, a particular payment and may also inhibit an applicant’s ability to make a decision in a timely manner. Whilst the pressures on the administrative processes within the Department are significant in terms of applications for (and recipients of) benefits, it is clear that unreasonable delays in processing add considerably to the stresses being experienced by individuals </w:t>
      </w:r>
      <w:r w:rsidRPr="00883108">
        <w:lastRenderedPageBreak/>
        <w:t>(and their carers) who are dealing with a life-changing diagnosis of illness or disability. Difficulties in accessing SWA payments at this time were also referenced as an issue for people awaiting decisions.</w:t>
      </w:r>
    </w:p>
    <w:p w:rsidR="00540EC7" w:rsidRPr="00F52EAE" w:rsidRDefault="00540EC7" w:rsidP="001A6FA9">
      <w:pPr>
        <w:numPr>
          <w:ilvl w:val="1"/>
          <w:numId w:val="0"/>
        </w:numPr>
        <w:spacing w:line="240" w:lineRule="auto"/>
        <w:ind w:left="720"/>
        <w:jc w:val="both"/>
        <w:rPr>
          <w:rFonts w:eastAsiaTheme="majorEastAsia" w:cstheme="majorBidi"/>
          <w:b/>
          <w:i/>
          <w:iCs/>
          <w:color w:val="244061" w:themeColor="accent1" w:themeShade="80"/>
          <w:spacing w:val="15"/>
          <w:sz w:val="24"/>
          <w:szCs w:val="24"/>
        </w:rPr>
      </w:pPr>
      <w:r w:rsidRPr="00F52EAE">
        <w:rPr>
          <w:rFonts w:eastAsiaTheme="majorEastAsia" w:cstheme="majorBidi"/>
          <w:b/>
          <w:i/>
          <w:iCs/>
          <w:color w:val="244061" w:themeColor="accent1" w:themeShade="80"/>
          <w:spacing w:val="15"/>
          <w:sz w:val="24"/>
          <w:szCs w:val="24"/>
        </w:rPr>
        <w:t>Recommendation</w:t>
      </w:r>
      <w:r w:rsidR="001318D6" w:rsidRPr="00F52EAE">
        <w:rPr>
          <w:rFonts w:eastAsiaTheme="majorEastAsia" w:cstheme="majorBidi"/>
          <w:b/>
          <w:i/>
          <w:iCs/>
          <w:color w:val="244061" w:themeColor="accent1" w:themeShade="80"/>
          <w:spacing w:val="15"/>
          <w:sz w:val="24"/>
          <w:szCs w:val="24"/>
        </w:rPr>
        <w:t>s</w:t>
      </w:r>
      <w:r w:rsidRPr="00F52EAE">
        <w:rPr>
          <w:rFonts w:eastAsiaTheme="majorEastAsia" w:cstheme="majorBidi"/>
          <w:b/>
          <w:i/>
          <w:iCs/>
          <w:color w:val="244061" w:themeColor="accent1" w:themeShade="80"/>
          <w:spacing w:val="15"/>
          <w:sz w:val="24"/>
          <w:szCs w:val="24"/>
        </w:rPr>
        <w:t xml:space="preserve">: </w:t>
      </w:r>
    </w:p>
    <w:p w:rsidR="00540EC7" w:rsidRPr="004B0A31" w:rsidRDefault="00540EC7" w:rsidP="002D2A01">
      <w:pPr>
        <w:shd w:val="clear" w:color="auto" w:fill="EAF1DD" w:themeFill="accent3" w:themeFillTint="33"/>
        <w:spacing w:line="240" w:lineRule="auto"/>
        <w:ind w:left="720"/>
        <w:jc w:val="both"/>
      </w:pPr>
      <w:r w:rsidRPr="004B0A31">
        <w:t>Address the administrative challenges that are encountered by people with disabilities or illnesses in accessing key supports, by providing the necessary resources to the relevant sections within DSP, in order to expedite the processing of applications for claims, reviews and appeals and to enable greater co-ordination between sections;</w:t>
      </w:r>
    </w:p>
    <w:p w:rsidR="009C3096" w:rsidRPr="004B0A31" w:rsidRDefault="002C5C80" w:rsidP="002D2A01">
      <w:pPr>
        <w:shd w:val="clear" w:color="auto" w:fill="EAF1DD" w:themeFill="accent3" w:themeFillTint="33"/>
        <w:spacing w:line="240" w:lineRule="auto"/>
        <w:ind w:left="720"/>
        <w:jc w:val="both"/>
      </w:pPr>
      <w:r>
        <w:t>Develop a single, stream</w:t>
      </w:r>
      <w:r w:rsidR="009C3096" w:rsidRPr="004B0A31">
        <w:t xml:space="preserve">lined means test for all DSP-administered schemes, to allow for a single point of access for applicants. </w:t>
      </w:r>
    </w:p>
    <w:p w:rsidR="00540EC7" w:rsidRPr="00883108" w:rsidRDefault="00540EC7" w:rsidP="001A6FA9">
      <w:pPr>
        <w:spacing w:line="240" w:lineRule="auto"/>
        <w:jc w:val="both"/>
      </w:pPr>
      <w:r w:rsidRPr="00883108">
        <w:t xml:space="preserve">Other particular concerns reported by services during 2016 include the seeming anomaly whereby </w:t>
      </w:r>
      <w:r w:rsidRPr="00883108">
        <w:rPr>
          <w:b/>
        </w:rPr>
        <w:t xml:space="preserve">Free Travel </w:t>
      </w:r>
      <w:r w:rsidRPr="00883108">
        <w:t xml:space="preserve">is provided to the recipients of DCA but not for the child with the disability or illness. Staff in information services continue to report on the difficulties caused for low income workers by the six day wait for </w:t>
      </w:r>
      <w:r w:rsidRPr="00883108">
        <w:rPr>
          <w:b/>
        </w:rPr>
        <w:t>Illness Benefit</w:t>
      </w:r>
      <w:r w:rsidRPr="00883108">
        <w:t xml:space="preserve"> - some three years after the changes were implemented.</w:t>
      </w:r>
    </w:p>
    <w:p w:rsidR="00540EC7" w:rsidRPr="00F52EAE" w:rsidRDefault="00540EC7" w:rsidP="001A6FA9">
      <w:pPr>
        <w:numPr>
          <w:ilvl w:val="1"/>
          <w:numId w:val="0"/>
        </w:numPr>
        <w:spacing w:line="240" w:lineRule="auto"/>
        <w:ind w:left="720"/>
        <w:jc w:val="both"/>
        <w:rPr>
          <w:rFonts w:eastAsiaTheme="majorEastAsia" w:cstheme="majorBidi"/>
          <w:b/>
          <w:bCs/>
          <w:i/>
          <w:iCs/>
          <w:color w:val="244061" w:themeColor="accent1" w:themeShade="80"/>
          <w:spacing w:val="15"/>
          <w:sz w:val="24"/>
          <w:szCs w:val="24"/>
        </w:rPr>
      </w:pPr>
      <w:r w:rsidRPr="00F52EAE">
        <w:rPr>
          <w:rFonts w:eastAsiaTheme="majorEastAsia" w:cstheme="majorBidi"/>
          <w:b/>
          <w:bCs/>
          <w:i/>
          <w:iCs/>
          <w:color w:val="244061" w:themeColor="accent1" w:themeShade="80"/>
          <w:spacing w:val="15"/>
          <w:sz w:val="24"/>
          <w:szCs w:val="24"/>
        </w:rPr>
        <w:t xml:space="preserve">Recommendations: </w:t>
      </w:r>
    </w:p>
    <w:p w:rsidR="00540EC7" w:rsidRPr="004B0A31" w:rsidRDefault="00540EC7" w:rsidP="002D2A01">
      <w:pPr>
        <w:shd w:val="clear" w:color="auto" w:fill="EAF1DD" w:themeFill="accent3" w:themeFillTint="33"/>
        <w:spacing w:line="240" w:lineRule="auto"/>
        <w:ind w:left="720"/>
      </w:pPr>
      <w:r w:rsidRPr="004B0A31">
        <w:t>Decrease the number of waiting days for entitlement to Illness Benefit from six days to three days, as per the criteria prior to 2014.</w:t>
      </w:r>
    </w:p>
    <w:p w:rsidR="00540EC7" w:rsidRPr="004B0A31" w:rsidRDefault="00540EC7" w:rsidP="002D2A01">
      <w:pPr>
        <w:shd w:val="clear" w:color="auto" w:fill="EAF1DD" w:themeFill="accent3" w:themeFillTint="33"/>
        <w:spacing w:line="240" w:lineRule="auto"/>
        <w:ind w:left="720"/>
      </w:pPr>
      <w:r w:rsidRPr="004B0A31">
        <w:t>Extend the Free Travel Scheme to children for whom DCA is paid;</w:t>
      </w:r>
    </w:p>
    <w:p w:rsidR="00540EC7" w:rsidRPr="00883108" w:rsidRDefault="00540EC7" w:rsidP="001A6FA9">
      <w:pPr>
        <w:spacing w:line="240" w:lineRule="auto"/>
        <w:jc w:val="both"/>
      </w:pPr>
      <w:r w:rsidRPr="00883108">
        <w:t xml:space="preserve">Staff in information services also raised a number of difficulties as experienced by people with </w:t>
      </w:r>
      <w:r w:rsidRPr="00DC0E79">
        <w:t>disabilities who were seeking entry into work</w:t>
      </w:r>
      <w:r w:rsidRPr="009D150B">
        <w:t xml:space="preserve"> –</w:t>
      </w:r>
      <w:r w:rsidRPr="00883108">
        <w:t xml:space="preserve"> these included an unease amongst people in taking up </w:t>
      </w:r>
      <w:r w:rsidRPr="00883108">
        <w:rPr>
          <w:b/>
        </w:rPr>
        <w:t>Partial Capacity Benefit</w:t>
      </w:r>
      <w:r w:rsidR="001318D6" w:rsidRPr="00883108">
        <w:rPr>
          <w:b/>
        </w:rPr>
        <w:t xml:space="preserve"> (PCB)</w:t>
      </w:r>
      <w:r w:rsidRPr="00883108">
        <w:t xml:space="preserve"> for fear of losing their long-term payment should employment not work out and also difficulties with the restrictive nature of the qualifying payments for PCB (that is, six months on Illness Benefit or Invalidity Pension). Frontline staff also pointed to the value of </w:t>
      </w:r>
      <w:r w:rsidRPr="00DC0E79">
        <w:t>increasing the earnings disregard</w:t>
      </w:r>
      <w:r w:rsidRPr="00883108">
        <w:t xml:space="preserve"> for Disability Allowance applicants and noted the difficulties caused by the gap in provision created by the </w:t>
      </w:r>
      <w:r w:rsidRPr="00DC0E79">
        <w:t>removal of the Mobility Allowance</w:t>
      </w:r>
      <w:r w:rsidRPr="00883108">
        <w:t xml:space="preserve"> (and the Motorised Transport Grant) - some four years after its suspension.  </w:t>
      </w:r>
    </w:p>
    <w:p w:rsidR="00540EC7" w:rsidRPr="006C7E7C" w:rsidRDefault="00540EC7" w:rsidP="001A6FA9">
      <w:pPr>
        <w:spacing w:line="240" w:lineRule="auto"/>
        <w:jc w:val="both"/>
      </w:pPr>
      <w:r w:rsidRPr="00883108">
        <w:t xml:space="preserve">In the context of enabling people with disabilities to move into work, the recent publication of the Report of the Interdepartmental </w:t>
      </w:r>
      <w:r w:rsidRPr="00883108">
        <w:rPr>
          <w:b/>
        </w:rPr>
        <w:t>‘Make Work Pay’</w:t>
      </w:r>
      <w:r w:rsidRPr="00883108">
        <w:t xml:space="preserve"> Group is welcomed by CIB. The measures contained in the Report – and, in particular, the actions that have been prioritised for immediate implementation – should assist in building confidence amongst people with disabilities who have a</w:t>
      </w:r>
      <w:r w:rsidR="001774E1" w:rsidRPr="00883108">
        <w:t>n interest in, and capacity for,</w:t>
      </w:r>
      <w:r w:rsidRPr="00883108">
        <w:t xml:space="preserve"> work. We in CIB look forward to the full implementation of the 24 recommendations made in the Report – in particular, the measures aimed at reconfiguring the system of payments and supports to ensure that work pays, as many of the issues highlighted by the consultation with people with disabilities have been echoed for many years in the experience of staff in information services. In the medium to long term, CIB also looks forward to developing its role (and that of its delivery services) in helping to clearly and effectively communicate the message that work pays to people with disabilities, their families and their advocates – as recommended in the Report. </w:t>
      </w:r>
    </w:p>
    <w:p w:rsidR="00540EC7" w:rsidRPr="00F52EAE" w:rsidRDefault="00540EC7" w:rsidP="001A6FA9">
      <w:pPr>
        <w:numPr>
          <w:ilvl w:val="1"/>
          <w:numId w:val="0"/>
        </w:numPr>
        <w:spacing w:line="240" w:lineRule="auto"/>
        <w:ind w:left="720"/>
        <w:jc w:val="both"/>
        <w:rPr>
          <w:rFonts w:eastAsiaTheme="majorEastAsia" w:cstheme="majorBidi"/>
          <w:b/>
          <w:i/>
          <w:iCs/>
          <w:color w:val="244061" w:themeColor="accent1" w:themeShade="80"/>
          <w:spacing w:val="15"/>
          <w:sz w:val="24"/>
          <w:szCs w:val="24"/>
        </w:rPr>
      </w:pPr>
      <w:r w:rsidRPr="00F52EAE">
        <w:rPr>
          <w:rFonts w:eastAsiaTheme="majorEastAsia" w:cstheme="majorBidi"/>
          <w:b/>
          <w:i/>
          <w:iCs/>
          <w:color w:val="244061" w:themeColor="accent1" w:themeShade="80"/>
          <w:spacing w:val="15"/>
          <w:sz w:val="24"/>
          <w:szCs w:val="24"/>
        </w:rPr>
        <w:t xml:space="preserve">Recommendations: </w:t>
      </w:r>
    </w:p>
    <w:p w:rsidR="00540EC7" w:rsidRPr="004B0A31" w:rsidRDefault="00540EC7" w:rsidP="002D2A01">
      <w:pPr>
        <w:shd w:val="clear" w:color="auto" w:fill="EAF1DD" w:themeFill="accent3" w:themeFillTint="33"/>
        <w:spacing w:line="240" w:lineRule="auto"/>
        <w:ind w:left="720"/>
        <w:jc w:val="both"/>
      </w:pPr>
      <w:r w:rsidRPr="004B0A31">
        <w:t>Finalise the legislation required for the establishment of a new travel subsidy scheme, to assist in meeting the extra mobility costs incurred for people with disabilities;</w:t>
      </w:r>
    </w:p>
    <w:p w:rsidR="00540EC7" w:rsidRPr="00B764FA" w:rsidRDefault="00540EC7" w:rsidP="00B764FA">
      <w:pPr>
        <w:shd w:val="clear" w:color="auto" w:fill="EAF1DD" w:themeFill="accent3" w:themeFillTint="33"/>
        <w:spacing w:line="240" w:lineRule="auto"/>
        <w:ind w:left="720"/>
        <w:jc w:val="both"/>
      </w:pPr>
      <w:r w:rsidRPr="004B0A31">
        <w:lastRenderedPageBreak/>
        <w:t xml:space="preserve">Fully implement the recommendations of the </w:t>
      </w:r>
      <w:r w:rsidR="001774E1" w:rsidRPr="004B0A31">
        <w:t>‘</w:t>
      </w:r>
      <w:r w:rsidRPr="004B0A31">
        <w:t>Make Work Pa</w:t>
      </w:r>
      <w:r w:rsidR="00C14A9A" w:rsidRPr="004B0A31">
        <w:t>y</w:t>
      </w:r>
      <w:r w:rsidR="001774E1" w:rsidRPr="004B0A31">
        <w:t>’</w:t>
      </w:r>
      <w:r w:rsidRPr="004B0A31">
        <w:t xml:space="preserve"> Interdepartmental Working Group – with its particular reference to reconfiguring income supports, promoting early intervention, and communicating clearly and effectively.</w:t>
      </w:r>
    </w:p>
    <w:p w:rsidR="00540EC7" w:rsidRPr="00F52EAE" w:rsidRDefault="00540EC7" w:rsidP="00BE36ED">
      <w:pPr>
        <w:pStyle w:val="Heading3"/>
        <w:spacing w:line="240" w:lineRule="auto"/>
        <w:rPr>
          <w:rFonts w:eastAsiaTheme="majorEastAsia"/>
          <w:b/>
          <w:color w:val="244061" w:themeColor="accent1" w:themeShade="80"/>
        </w:rPr>
      </w:pPr>
      <w:r w:rsidRPr="00F52EAE">
        <w:rPr>
          <w:rFonts w:eastAsiaTheme="majorEastAsia"/>
          <w:b/>
          <w:color w:val="244061" w:themeColor="accent1" w:themeShade="80"/>
        </w:rPr>
        <w:t xml:space="preserve">Retiring and ageing </w:t>
      </w:r>
    </w:p>
    <w:p w:rsidR="00540EC7" w:rsidRPr="00883108" w:rsidRDefault="00540EC7" w:rsidP="00E47EDE">
      <w:pPr>
        <w:spacing w:line="240" w:lineRule="auto"/>
        <w:jc w:val="both"/>
      </w:pPr>
      <w:r w:rsidRPr="00883108">
        <w:t xml:space="preserve">During 2016, 14% of callers to CISs were recorded as being aged 66 or over. Whilst older people will seek information on accessing the same broad range of social and public services as the general population, information staff have noted keys areas of concern for older people who are seeking information, advice and face-to-face help with their queries. There were over 52,000 queries under the broad category of social welfare and </w:t>
      </w:r>
      <w:r w:rsidR="009C3096" w:rsidRPr="00883108">
        <w:t>o</w:t>
      </w:r>
      <w:r w:rsidRPr="00883108">
        <w:t xml:space="preserve">lder and </w:t>
      </w:r>
      <w:r w:rsidR="009C3096" w:rsidRPr="00883108">
        <w:t>r</w:t>
      </w:r>
      <w:r w:rsidRPr="00883108">
        <w:t xml:space="preserve">etired </w:t>
      </w:r>
      <w:r w:rsidR="009C3096" w:rsidRPr="00883108">
        <w:t>p</w:t>
      </w:r>
      <w:r w:rsidRPr="00883108">
        <w:t xml:space="preserve">eople during 2016, </w:t>
      </w:r>
      <w:r w:rsidR="009C3096" w:rsidRPr="00883108">
        <w:t xml:space="preserve">and </w:t>
      </w:r>
      <w:r w:rsidR="00D45E92">
        <w:t xml:space="preserve">additional concerns </w:t>
      </w:r>
      <w:r w:rsidR="006F2D8E" w:rsidRPr="00883108">
        <w:t xml:space="preserve">related to </w:t>
      </w:r>
      <w:r w:rsidRPr="00883108">
        <w:t>health services f</w:t>
      </w:r>
      <w:r w:rsidR="00056EF2" w:rsidRPr="00883108">
        <w:t xml:space="preserve">or older people. </w:t>
      </w:r>
      <w:r w:rsidRPr="00883108">
        <w:t xml:space="preserve">With recent Census 2016 figures indicating a significant rise in the number of people aged over 65 (which increased by 19% since 2011 and with an accompanying 15% increase in the number of people aged over 85), it is likely that this cohort of people will continue to use our delivery services in increasing numbers, as they navigate the significant life event of retirement, and also as they contend with the variety of challenges involved in the ageing process. </w:t>
      </w:r>
    </w:p>
    <w:p w:rsidR="00540EC7" w:rsidRPr="00883108" w:rsidRDefault="00540EC7" w:rsidP="001A6FA9">
      <w:pPr>
        <w:spacing w:line="240" w:lineRule="auto"/>
        <w:jc w:val="both"/>
      </w:pPr>
      <w:r w:rsidRPr="00883108">
        <w:t xml:space="preserve">The transition to retirement involves a major life change for most workers and a key area of concern that has been regularly highlighted by information services has been their attempt to provide information and assistance to increasing numbers of people as they seek to make informed decisions about their </w:t>
      </w:r>
      <w:r w:rsidRPr="00883108">
        <w:rPr>
          <w:b/>
        </w:rPr>
        <w:t>pensions</w:t>
      </w:r>
      <w:r w:rsidRPr="00883108">
        <w:t xml:space="preserve">. There were 35,000 queries concerning the State Pension (Contributory) in 2016 – which was the second most queried payment during 2016 (next to the Medical Card at 54,000 queries). Over 60% of the associated case study evidence submitted by information services was concerned with </w:t>
      </w:r>
      <w:r w:rsidRPr="00DC0E79">
        <w:t>administrative issues or perceived information gaps</w:t>
      </w:r>
      <w:r w:rsidRPr="009D150B">
        <w:t>.</w:t>
      </w:r>
      <w:r w:rsidRPr="00883108">
        <w:t xml:space="preserve"> The administrative issues that were highlighted were diverse and included </w:t>
      </w:r>
      <w:r w:rsidRPr="00DC0E79">
        <w:t>difficulties</w:t>
      </w:r>
      <w:r w:rsidRPr="009D150B">
        <w:t xml:space="preserve"> </w:t>
      </w:r>
      <w:r w:rsidRPr="00DC0E79">
        <w:t>for pension applicants in</w:t>
      </w:r>
      <w:r w:rsidRPr="009D150B">
        <w:t xml:space="preserve"> </w:t>
      </w:r>
      <w:r w:rsidRPr="00DC0E79">
        <w:t>navigating the online application system</w:t>
      </w:r>
      <w:r w:rsidRPr="009D150B">
        <w:t xml:space="preserve"> </w:t>
      </w:r>
      <w:r w:rsidRPr="00883108">
        <w:t xml:space="preserve">and also cases where those on the reduced rate of payment were not informed that they could have applied for the </w:t>
      </w:r>
      <w:r w:rsidRPr="00DC0E79">
        <w:t>Non-Contributory Pension</w:t>
      </w:r>
      <w:r w:rsidRPr="00883108">
        <w:t xml:space="preserve"> - which may have been more financially beneficial in some cases.</w:t>
      </w:r>
    </w:p>
    <w:p w:rsidR="00540EC7" w:rsidRPr="00883108" w:rsidRDefault="00540EC7" w:rsidP="001A6FA9">
      <w:pPr>
        <w:spacing w:line="240" w:lineRule="auto"/>
        <w:jc w:val="both"/>
      </w:pPr>
      <w:r w:rsidRPr="00883108">
        <w:t xml:space="preserve">Feedback around the general issue of pensions suggests that there is a lack of knowledge amongst many people who are approaching retirement around their entitlements, and the various requirements and conditions surrounding the qualifying criteria for state pensions. Services point to key areas of confusion as being the application of the ‘average’ rule, the 2012 changes to eligibility criteria (which delivered an effective cut in pension income for many pensioners), the limited application of the Homemaker’s Scheme for the current/ upcoming generation of pensioners and also the complexity of various PRSI classes. There are ongoing reports of how these complications are serving to disproportionately affect women who took time out of paid work to care in the home, at various intervals in their working lives and services continue to submit case studies from clients which evidence such a gender gap in pension provision. </w:t>
      </w:r>
    </w:p>
    <w:p w:rsidR="002D2A01" w:rsidRPr="00B764FA" w:rsidRDefault="00540EC7" w:rsidP="00B764FA">
      <w:pPr>
        <w:spacing w:line="240" w:lineRule="auto"/>
        <w:jc w:val="both"/>
      </w:pPr>
      <w:r w:rsidRPr="00883108">
        <w:t>Related to this is a concern expressed by a number of services</w:t>
      </w:r>
      <w:r w:rsidR="00715323">
        <w:t xml:space="preserve"> about changed administrative procedures for people who are seeking to access their PRSI Contribution Statement, combined with the fact</w:t>
      </w:r>
      <w:r w:rsidRPr="00883108">
        <w:t xml:space="preserve"> that the DSP no longer provides </w:t>
      </w:r>
      <w:r w:rsidRPr="00883108">
        <w:rPr>
          <w:i/>
        </w:rPr>
        <w:t>pension forecasts</w:t>
      </w:r>
      <w:r w:rsidRPr="00883108">
        <w:t xml:space="preserve"> for people who are motivated to inform themselves and who are seeking to maximise their pension income in advance. The ant</w:t>
      </w:r>
      <w:r w:rsidR="00056EF2" w:rsidRPr="00883108">
        <w:t>icipated changes to the pension</w:t>
      </w:r>
      <w:r w:rsidRPr="00883108">
        <w:t xml:space="preserve"> system in 2020 (and the lack of in</w:t>
      </w:r>
      <w:r w:rsidR="002302F4">
        <w:t xml:space="preserve">formation about these changes) </w:t>
      </w:r>
      <w:r w:rsidR="00715323">
        <w:t>are</w:t>
      </w:r>
      <w:r w:rsidRPr="00883108">
        <w:t xml:space="preserve"> also noted by many services to be causing confusion for future applicants – and for staff in services who are trying to advise them.</w:t>
      </w:r>
    </w:p>
    <w:p w:rsidR="00540EC7" w:rsidRPr="00F52EAE" w:rsidRDefault="00540EC7" w:rsidP="001A6FA9">
      <w:pPr>
        <w:numPr>
          <w:ilvl w:val="1"/>
          <w:numId w:val="0"/>
        </w:numPr>
        <w:spacing w:line="240" w:lineRule="auto"/>
        <w:ind w:firstLine="720"/>
        <w:jc w:val="both"/>
        <w:rPr>
          <w:rFonts w:eastAsiaTheme="majorEastAsia" w:cstheme="majorBidi"/>
          <w:b/>
          <w:i/>
          <w:iCs/>
          <w:color w:val="244061" w:themeColor="accent1" w:themeShade="80"/>
          <w:spacing w:val="15"/>
          <w:sz w:val="24"/>
          <w:szCs w:val="24"/>
        </w:rPr>
      </w:pPr>
      <w:r w:rsidRPr="00F52EAE">
        <w:rPr>
          <w:rFonts w:eastAsiaTheme="majorEastAsia" w:cstheme="majorBidi"/>
          <w:b/>
          <w:i/>
          <w:iCs/>
          <w:color w:val="244061" w:themeColor="accent1" w:themeShade="80"/>
          <w:spacing w:val="15"/>
          <w:sz w:val="24"/>
          <w:szCs w:val="24"/>
        </w:rPr>
        <w:t xml:space="preserve">Recommendations: </w:t>
      </w:r>
    </w:p>
    <w:p w:rsidR="00540EC7" w:rsidRPr="004B0A31" w:rsidRDefault="00540EC7" w:rsidP="002D2A01">
      <w:pPr>
        <w:shd w:val="clear" w:color="auto" w:fill="EAF1DD" w:themeFill="accent3" w:themeFillTint="33"/>
        <w:spacing w:line="240" w:lineRule="auto"/>
        <w:ind w:left="720"/>
        <w:jc w:val="both"/>
      </w:pPr>
      <w:r w:rsidRPr="004B0A31">
        <w:t>Develop an action plan for the reform of pensions, with particular reference and clear guidance on the future development of the State Pension;</w:t>
      </w:r>
    </w:p>
    <w:p w:rsidR="00540EC7" w:rsidRDefault="00540EC7" w:rsidP="002D2A01">
      <w:pPr>
        <w:shd w:val="clear" w:color="auto" w:fill="EAF1DD" w:themeFill="accent3" w:themeFillTint="33"/>
        <w:spacing w:line="240" w:lineRule="auto"/>
        <w:ind w:left="720"/>
        <w:jc w:val="both"/>
      </w:pPr>
      <w:r w:rsidRPr="004B0A31">
        <w:lastRenderedPageBreak/>
        <w:t>Ensure that the planned implementation of the Total Contributions Approach to the State Pension (Contributory) addresses the impact of the ‘average’ rule;</w:t>
      </w:r>
    </w:p>
    <w:p w:rsidR="00B764FA" w:rsidRDefault="00B764FA" w:rsidP="002D2A01">
      <w:pPr>
        <w:shd w:val="clear" w:color="auto" w:fill="EAF1DD" w:themeFill="accent3" w:themeFillTint="33"/>
        <w:spacing w:line="240" w:lineRule="auto"/>
        <w:ind w:left="720"/>
        <w:jc w:val="both"/>
      </w:pPr>
      <w:r>
        <w:t>Ensure ready access to social insurance contribution records and promote awareness of importance of maintaining contributions.</w:t>
      </w:r>
    </w:p>
    <w:p w:rsidR="00540EC7" w:rsidRPr="00883108" w:rsidRDefault="00540EC7" w:rsidP="001A6FA9">
      <w:pPr>
        <w:spacing w:line="240" w:lineRule="auto"/>
        <w:jc w:val="both"/>
      </w:pPr>
      <w:r w:rsidRPr="00883108">
        <w:t xml:space="preserve">The other key area of concern that has been highlighted by information services is the lack of </w:t>
      </w:r>
      <w:r w:rsidRPr="00883108">
        <w:rPr>
          <w:b/>
        </w:rPr>
        <w:t>community-based resources</w:t>
      </w:r>
      <w:r w:rsidRPr="00883108">
        <w:t xml:space="preserve"> to enable older people to remain in their own homes and communities as they age. Government health policy has consistently stated that the priority is to enable older people to live in their homes for as long as possible, if that is their desire (which research suggests is the stated wish of most older people). All indications are that the older person’s quality of life is improved at home if they have the appropriate supports in place – these supports include home care packages, home help and meal supports, public health nurse services and GP care based in primary care centres</w:t>
      </w:r>
      <w:r w:rsidR="00056EF2" w:rsidRPr="00883108">
        <w:t xml:space="preserve"> -</w:t>
      </w:r>
      <w:r w:rsidRPr="00883108">
        <w:t xml:space="preserve"> with an attendant selection of community-based therapies. In this regard, the particular difficulties that services have highlighted include the </w:t>
      </w:r>
      <w:r w:rsidRPr="00DC0E79">
        <w:t xml:space="preserve">limited funding that is available via local </w:t>
      </w:r>
      <w:r w:rsidR="002C5C80">
        <w:t>authorities for housing adaptation</w:t>
      </w:r>
      <w:r w:rsidRPr="00DC0E79">
        <w:t xml:space="preserve"> grants</w:t>
      </w:r>
      <w:r w:rsidRPr="009D150B">
        <w:t xml:space="preserve">, </w:t>
      </w:r>
      <w:r w:rsidRPr="00DC0E79">
        <w:t>the inadequacy of home help hours and home care packages</w:t>
      </w:r>
      <w:r w:rsidRPr="00883108">
        <w:rPr>
          <w:i/>
        </w:rPr>
        <w:t xml:space="preserve"> </w:t>
      </w:r>
      <w:r w:rsidRPr="00883108">
        <w:t xml:space="preserve">(and the inconsistency in provision between areas) and also the </w:t>
      </w:r>
      <w:r w:rsidRPr="00DC0E79">
        <w:t>lack of linkages between acute hospitals and community health services,</w:t>
      </w:r>
      <w:r w:rsidRPr="00883108">
        <w:t xml:space="preserve"> which would enable people to transition from hospital to home care (thus reducing the risk of readmission). </w:t>
      </w:r>
    </w:p>
    <w:p w:rsidR="00540EC7" w:rsidRPr="00883108" w:rsidRDefault="00540EC7" w:rsidP="001A6FA9">
      <w:pPr>
        <w:spacing w:line="240" w:lineRule="auto"/>
        <w:jc w:val="both"/>
      </w:pPr>
      <w:r w:rsidRPr="00883108">
        <w:t>Related to this broad range of issues, some services have also pointed to the disparity that exists between the statutory footing that underpins the Nursing Home Supports</w:t>
      </w:r>
      <w:r w:rsidR="004C6899">
        <w:t>/</w:t>
      </w:r>
      <w:r w:rsidR="004C6899" w:rsidRPr="004C6899">
        <w:rPr>
          <w:i/>
        </w:rPr>
        <w:t>Fair Deal</w:t>
      </w:r>
      <w:r w:rsidRPr="00883108">
        <w:t xml:space="preserve"> Scheme for people accessing residential care and the lack of such a legislative framework behind </w:t>
      </w:r>
      <w:r w:rsidRPr="00883108">
        <w:rPr>
          <w:b/>
        </w:rPr>
        <w:t>home care packages</w:t>
      </w:r>
      <w:r w:rsidRPr="00883108">
        <w:t xml:space="preserve"> and community supports. In light of this, we welcome the </w:t>
      </w:r>
      <w:r w:rsidR="0077583F" w:rsidRPr="00883108">
        <w:t xml:space="preserve">current </w:t>
      </w:r>
      <w:r w:rsidRPr="00883108">
        <w:t>public consultation on establishing a new statutory homecare scheme and we look forward to a robust consultation process that will serve as a precursor to the creation of a homecare scheme on an equal footing with residential care legislation.</w:t>
      </w:r>
    </w:p>
    <w:p w:rsidR="001318D6" w:rsidRDefault="00B71869" w:rsidP="001A6FA9">
      <w:pPr>
        <w:spacing w:line="240" w:lineRule="auto"/>
        <w:jc w:val="both"/>
        <w:rPr>
          <w:b/>
        </w:rPr>
      </w:pPr>
      <w:r w:rsidRPr="00883108">
        <w:t>The current inadequacy in terms of the provision of home care supports also serves to put a significant amount of pressure on older people (and their families) who are consequently seeking to access the</w:t>
      </w:r>
      <w:r w:rsidR="004C6899">
        <w:t xml:space="preserve"> </w:t>
      </w:r>
      <w:r w:rsidR="004C6899" w:rsidRPr="00883108">
        <w:t>Fair Deal</w:t>
      </w:r>
      <w:r w:rsidR="004C6899">
        <w:t xml:space="preserve"> scheme</w:t>
      </w:r>
      <w:r w:rsidRPr="00883108">
        <w:t>. Staff in information services continue to highlight difficulties in terms of the application and funding process of the Scheme</w:t>
      </w:r>
      <w:r w:rsidR="005D682A" w:rsidRPr="00883108">
        <w:t xml:space="preserve"> – in particular the waiting lists that are created by the capped funding for the scheme, which may leave some applicants in unsuitable (and costly) care situations pending approval. Services also report that many families that they encounter require a significant level of support in navigating what they perceive to be a co</w:t>
      </w:r>
      <w:r w:rsidR="004D5017">
        <w:t>mplicated applications process.</w:t>
      </w:r>
    </w:p>
    <w:p w:rsidR="00540EC7" w:rsidRPr="00F52EAE" w:rsidRDefault="00540EC7" w:rsidP="001A6FA9">
      <w:pPr>
        <w:numPr>
          <w:ilvl w:val="1"/>
          <w:numId w:val="0"/>
        </w:numPr>
        <w:spacing w:line="240" w:lineRule="auto"/>
        <w:ind w:left="720"/>
        <w:jc w:val="both"/>
        <w:rPr>
          <w:rFonts w:eastAsiaTheme="majorEastAsia" w:cstheme="majorBidi"/>
          <w:b/>
          <w:i/>
          <w:iCs/>
          <w:color w:val="244061" w:themeColor="accent1" w:themeShade="80"/>
          <w:spacing w:val="15"/>
          <w:sz w:val="24"/>
          <w:szCs w:val="24"/>
        </w:rPr>
      </w:pPr>
      <w:r w:rsidRPr="00F52EAE">
        <w:rPr>
          <w:rFonts w:eastAsiaTheme="majorEastAsia" w:cstheme="majorBidi"/>
          <w:b/>
          <w:i/>
          <w:iCs/>
          <w:color w:val="244061" w:themeColor="accent1" w:themeShade="80"/>
          <w:spacing w:val="15"/>
          <w:sz w:val="24"/>
          <w:szCs w:val="24"/>
        </w:rPr>
        <w:t xml:space="preserve">Recommendations: </w:t>
      </w:r>
    </w:p>
    <w:p w:rsidR="00540EC7" w:rsidRPr="004B0A31" w:rsidRDefault="00540EC7" w:rsidP="002D2A01">
      <w:pPr>
        <w:shd w:val="clear" w:color="auto" w:fill="EAF1DD" w:themeFill="accent3" w:themeFillTint="33"/>
        <w:spacing w:line="240" w:lineRule="auto"/>
        <w:ind w:left="720"/>
        <w:jc w:val="both"/>
      </w:pPr>
      <w:r w:rsidRPr="004B0A31">
        <w:t xml:space="preserve">Proceed with the </w:t>
      </w:r>
      <w:r w:rsidR="0077583F" w:rsidRPr="004B0A31">
        <w:t>process of</w:t>
      </w:r>
      <w:r w:rsidRPr="004B0A31">
        <w:t xml:space="preserve"> establishing a new </w:t>
      </w:r>
      <w:r w:rsidR="0077583F" w:rsidRPr="004B0A31">
        <w:t>homecare scheme on an equal footing to residential care provisions.</w:t>
      </w:r>
    </w:p>
    <w:p w:rsidR="005D682A" w:rsidRPr="004B0A31" w:rsidRDefault="00540EC7" w:rsidP="002D2A01">
      <w:pPr>
        <w:shd w:val="clear" w:color="auto" w:fill="EAF1DD" w:themeFill="accent3" w:themeFillTint="33"/>
        <w:spacing w:line="240" w:lineRule="auto"/>
        <w:ind w:left="720"/>
        <w:jc w:val="both"/>
      </w:pPr>
      <w:r w:rsidRPr="004B0A31">
        <w:t>Provide increased resources to local authorities to fund the Housing Adaptation Grants for Older People and the Mobility Aids Grant Scheme and proceed with the stated commitment to streamline and simplify the application pr</w:t>
      </w:r>
      <w:r w:rsidR="005D682A" w:rsidRPr="004B0A31">
        <w:t>ocess;</w:t>
      </w:r>
    </w:p>
    <w:p w:rsidR="00540EC7" w:rsidRPr="004B0A31" w:rsidRDefault="005D682A" w:rsidP="002D2A01">
      <w:pPr>
        <w:shd w:val="clear" w:color="auto" w:fill="EAF1DD" w:themeFill="accent3" w:themeFillTint="33"/>
        <w:spacing w:line="240" w:lineRule="auto"/>
        <w:ind w:left="720"/>
        <w:jc w:val="both"/>
      </w:pPr>
      <w:r w:rsidRPr="004B0A31">
        <w:t>Remove the cap on funding for the Nursing Home Support Scheme, and progress the recommendations of the Review of the Nursing Home Support Scheme</w:t>
      </w:r>
      <w:r w:rsidR="0092520D" w:rsidRPr="004B0A31">
        <w:t xml:space="preserve"> as published in 2015</w:t>
      </w:r>
      <w:r w:rsidRPr="004B0A31">
        <w:t>.</w:t>
      </w:r>
    </w:p>
    <w:p w:rsidR="001318D6" w:rsidRDefault="001318D6" w:rsidP="001A6FA9">
      <w:pPr>
        <w:numPr>
          <w:ilvl w:val="1"/>
          <w:numId w:val="0"/>
        </w:numPr>
        <w:spacing w:line="240" w:lineRule="auto"/>
        <w:ind w:left="720"/>
        <w:jc w:val="both"/>
        <w:rPr>
          <w:rFonts w:eastAsiaTheme="majorEastAsia" w:cstheme="majorBidi"/>
          <w:i/>
          <w:iCs/>
          <w:color w:val="1F497D" w:themeColor="text2"/>
          <w:spacing w:val="15"/>
        </w:rPr>
      </w:pPr>
    </w:p>
    <w:p w:rsidR="00E15E47" w:rsidRPr="00883108" w:rsidRDefault="00E15E47" w:rsidP="001A6FA9">
      <w:pPr>
        <w:numPr>
          <w:ilvl w:val="1"/>
          <w:numId w:val="0"/>
        </w:numPr>
        <w:spacing w:line="240" w:lineRule="auto"/>
        <w:ind w:left="720"/>
        <w:jc w:val="both"/>
        <w:rPr>
          <w:rFonts w:eastAsiaTheme="majorEastAsia" w:cstheme="majorBidi"/>
          <w:i/>
          <w:iCs/>
          <w:color w:val="1F497D" w:themeColor="text2"/>
          <w:spacing w:val="15"/>
        </w:rPr>
      </w:pPr>
    </w:p>
    <w:p w:rsidR="00883108" w:rsidRPr="00126356" w:rsidRDefault="004D5017" w:rsidP="00126356">
      <w:pPr>
        <w:pStyle w:val="Heading1"/>
      </w:pPr>
      <w:bookmarkStart w:id="1" w:name="_Toc485334217"/>
      <w:r w:rsidRPr="00126356">
        <w:lastRenderedPageBreak/>
        <w:t>Section 2: DEBT</w:t>
      </w:r>
      <w:r w:rsidR="00883108" w:rsidRPr="00126356">
        <w:t xml:space="preserve"> and </w:t>
      </w:r>
      <w:r w:rsidRPr="00126356">
        <w:t>MONEY ADVICE ISSUES</w:t>
      </w:r>
    </w:p>
    <w:bookmarkEnd w:id="1"/>
    <w:p w:rsidR="002E54E2" w:rsidRDefault="002E54E2" w:rsidP="001A6FA9">
      <w:pPr>
        <w:spacing w:line="240" w:lineRule="auto"/>
      </w:pPr>
    </w:p>
    <w:p w:rsidR="00883108" w:rsidRDefault="00D805A0" w:rsidP="00F52EAE">
      <w:pPr>
        <w:spacing w:line="240" w:lineRule="auto"/>
        <w:jc w:val="both"/>
      </w:pPr>
      <w:r>
        <w:t xml:space="preserve">MABS </w:t>
      </w:r>
      <w:r w:rsidR="00883108" w:rsidRPr="007800B2">
        <w:t xml:space="preserve">was established in 1992 to help people on a low income to cope with debts and take control of their own finances. </w:t>
      </w:r>
      <w:r w:rsidR="00883108">
        <w:t xml:space="preserve"> </w:t>
      </w:r>
      <w:r w:rsidR="00883108" w:rsidRPr="007800B2">
        <w:t>It is a free, confidential and independent se</w:t>
      </w:r>
      <w:r w:rsidR="00883108">
        <w:t>rvice.  It currently comprises 51</w:t>
      </w:r>
      <w:r w:rsidR="00883108" w:rsidRPr="007800B2">
        <w:t xml:space="preserve"> MABS Services, locate</w:t>
      </w:r>
      <w:r w:rsidR="00883108">
        <w:t xml:space="preserve">d in over 60 offices nationwide, from which the face-to-face support provided by MABS staff is available.  </w:t>
      </w:r>
      <w:r w:rsidR="00883108" w:rsidRPr="007800B2">
        <w:t>MABS is funded and supported by the Citizens Information Board.</w:t>
      </w:r>
    </w:p>
    <w:p w:rsidR="00883108" w:rsidRPr="00F52EAE" w:rsidRDefault="00883108" w:rsidP="00DC0E79">
      <w:pPr>
        <w:pStyle w:val="NoSpacing"/>
      </w:pPr>
      <w:r w:rsidRPr="00F52EAE">
        <w:t>MABS CLIENT PROFILE</w:t>
      </w:r>
    </w:p>
    <w:p w:rsidR="00883108" w:rsidRDefault="00883108" w:rsidP="00F52EAE">
      <w:pPr>
        <w:spacing w:after="0" w:line="240" w:lineRule="auto"/>
        <w:jc w:val="both"/>
      </w:pPr>
      <w:r w:rsidRPr="008D6C5E">
        <w:t>In 2016</w:t>
      </w:r>
      <w:r>
        <w:t>, there were 19,</w:t>
      </w:r>
      <w:r w:rsidRPr="008D6C5E">
        <w:t>866</w:t>
      </w:r>
      <w:r>
        <w:t xml:space="preserve"> </w:t>
      </w:r>
      <w:r w:rsidRPr="008D6C5E">
        <w:t xml:space="preserve">new clients in MABS and the MABS </w:t>
      </w:r>
      <w:r>
        <w:t xml:space="preserve">National </w:t>
      </w:r>
      <w:r w:rsidRPr="008D6C5E">
        <w:t>Helpline dealt with almost 21,000 callers.  There were a further 5,509 new clients in the first quarter of 2017 and 6,054 callers to the MABS National Helpline</w:t>
      </w:r>
      <w:r>
        <w:t xml:space="preserve"> during the same period</w:t>
      </w:r>
      <w:r w:rsidRPr="008D6C5E">
        <w:t xml:space="preserve">. </w:t>
      </w:r>
      <w:r>
        <w:t xml:space="preserve"> Since 2013, 1,008 DRN’s, processed with the support of MABS, have been approved. </w:t>
      </w:r>
      <w:r w:rsidRPr="008D6C5E">
        <w:t>The DMA MABS Service has supported over 3,800 clients over the course of 2016 and 2017.</w:t>
      </w:r>
      <w:r>
        <w:t xml:space="preserve"> </w:t>
      </w:r>
    </w:p>
    <w:p w:rsidR="0018564A" w:rsidRPr="008D6C5E" w:rsidRDefault="0018564A" w:rsidP="00F52EAE">
      <w:pPr>
        <w:spacing w:after="0" w:line="240" w:lineRule="auto"/>
        <w:jc w:val="both"/>
      </w:pPr>
    </w:p>
    <w:p w:rsidR="00883108" w:rsidRDefault="00883108" w:rsidP="00F52EAE">
      <w:pPr>
        <w:spacing w:line="240" w:lineRule="auto"/>
        <w:jc w:val="both"/>
      </w:pPr>
      <w:r w:rsidRPr="008D6C5E">
        <w:t xml:space="preserve">The </w:t>
      </w:r>
      <w:r>
        <w:t>demographic profile of MABS clients has remained</w:t>
      </w:r>
      <w:r w:rsidRPr="008D6C5E">
        <w:t xml:space="preserve"> relatively stable over many years but the numbers of mortgaged clients has steadily increased</w:t>
      </w:r>
      <w:r>
        <w:t xml:space="preserve"> since the recession began</w:t>
      </w:r>
      <w:r w:rsidRPr="008D6C5E">
        <w:t>.  A change has also recently started to occur in the percentage of MABS clients that are waged/self-employed</w:t>
      </w:r>
      <w:r>
        <w:t>.  I</w:t>
      </w:r>
      <w:r w:rsidRPr="008D6C5E">
        <w:t>n Q1 2017</w:t>
      </w:r>
      <w:r>
        <w:t>,</w:t>
      </w:r>
      <w:r w:rsidRPr="008D6C5E">
        <w:t xml:space="preserve"> that </w:t>
      </w:r>
      <w:r>
        <w:t xml:space="preserve">figure </w:t>
      </w:r>
      <w:r w:rsidRPr="008D6C5E">
        <w:t>stood at 44.5% with the remainder reliant on social we</w:t>
      </w:r>
      <w:r>
        <w:t xml:space="preserve">lfare, in Q1 2016 the </w:t>
      </w:r>
      <w:r w:rsidRPr="008D6C5E">
        <w:t>figures were 38% (waged/self-employed), with 62% on social welfare.  MABS clients are heavily concentrated in the 41-65 year age bracket, but the number of clients aged 65+ has been growing gradually for the last number of years</w:t>
      </w:r>
      <w:r>
        <w:rPr>
          <w:rStyle w:val="FootnoteReference"/>
        </w:rPr>
        <w:footnoteReference w:id="4"/>
      </w:r>
      <w:r w:rsidRPr="008D6C5E">
        <w:t xml:space="preserve">. </w:t>
      </w:r>
    </w:p>
    <w:p w:rsidR="001A6FA9" w:rsidRPr="00F52EAE" w:rsidRDefault="001A6FA9" w:rsidP="00BE36ED">
      <w:pPr>
        <w:pStyle w:val="Heading3"/>
        <w:spacing w:line="276" w:lineRule="auto"/>
        <w:rPr>
          <w:b/>
          <w:color w:val="244061" w:themeColor="accent1" w:themeShade="80"/>
        </w:rPr>
      </w:pPr>
      <w:bookmarkStart w:id="2" w:name="_Toc485334222"/>
      <w:r w:rsidRPr="00F52EAE">
        <w:rPr>
          <w:b/>
          <w:color w:val="244061" w:themeColor="accent1" w:themeShade="80"/>
        </w:rPr>
        <w:t>F</w:t>
      </w:r>
      <w:bookmarkEnd w:id="2"/>
      <w:r w:rsidR="002E54E2" w:rsidRPr="00F52EAE">
        <w:rPr>
          <w:b/>
          <w:color w:val="244061" w:themeColor="accent1" w:themeShade="80"/>
        </w:rPr>
        <w:t>inding and/or keeping a home</w:t>
      </w:r>
      <w:r w:rsidRPr="00F52EAE">
        <w:rPr>
          <w:b/>
          <w:color w:val="244061" w:themeColor="accent1" w:themeShade="80"/>
        </w:rPr>
        <w:t xml:space="preserve"> </w:t>
      </w:r>
    </w:p>
    <w:p w:rsidR="00883108" w:rsidRDefault="00883108" w:rsidP="00F52EAE">
      <w:pPr>
        <w:spacing w:after="0" w:line="240" w:lineRule="auto"/>
        <w:jc w:val="both"/>
      </w:pPr>
      <w:r w:rsidRPr="00865A5F">
        <w:t>The single biggest social policy concern for MABS clients</w:t>
      </w:r>
      <w:r>
        <w:t>,</w:t>
      </w:r>
      <w:r w:rsidRPr="00865A5F">
        <w:t xml:space="preserve"> as reflected in t</w:t>
      </w:r>
      <w:r>
        <w:t xml:space="preserve">he views of MABS staff, is difficulty in </w:t>
      </w:r>
      <w:r w:rsidRPr="004C6899">
        <w:t>finding and/or keeping a home</w:t>
      </w:r>
      <w:r w:rsidRPr="004C6899">
        <w:rPr>
          <w:b/>
          <w:color w:val="4F81BD" w:themeColor="accent1"/>
        </w:rPr>
        <w:t>.</w:t>
      </w:r>
      <w:r>
        <w:rPr>
          <w:b/>
          <w:color w:val="4F81BD" w:themeColor="accent1"/>
        </w:rPr>
        <w:t xml:space="preserve">  </w:t>
      </w:r>
      <w:r w:rsidRPr="000E5A50">
        <w:t>D</w:t>
      </w:r>
      <w:r w:rsidRPr="005E0039">
        <w:t xml:space="preserve">ifficulties arise </w:t>
      </w:r>
      <w:r>
        <w:t xml:space="preserve">for MABS clients either because they are struggling to make mortgage payments or, they are looking for a home in the rental market and either can’t find one, or can’t afford one, due to scarcity of supply and the high cost of rental accommodation.  Social housing, while highly desirable as a sustainable solution to the accommodation needs of low-income individuals and families, is not currently viewed as a viable option for a large component of the MABS client group due to scarcity of supply.  </w:t>
      </w:r>
    </w:p>
    <w:p w:rsidR="00883108" w:rsidRPr="00F52EAE" w:rsidRDefault="00883108" w:rsidP="001A6FA9">
      <w:pPr>
        <w:pStyle w:val="Heading4"/>
        <w:spacing w:line="240" w:lineRule="auto"/>
        <w:rPr>
          <w:b/>
          <w:color w:val="244061" w:themeColor="accent1" w:themeShade="80"/>
        </w:rPr>
      </w:pPr>
      <w:r w:rsidRPr="00F52EAE">
        <w:rPr>
          <w:b/>
          <w:color w:val="244061" w:themeColor="accent1" w:themeShade="80"/>
        </w:rPr>
        <w:t>Mortgage arrears &amp; Income adequacy</w:t>
      </w:r>
    </w:p>
    <w:p w:rsidR="00883108" w:rsidRDefault="00883108" w:rsidP="00F52EAE">
      <w:pPr>
        <w:spacing w:after="0" w:line="240" w:lineRule="auto"/>
        <w:jc w:val="both"/>
      </w:pPr>
      <w:r w:rsidRPr="00133C8B">
        <w:t xml:space="preserve">It is felt that there is a lack of monetary support from the State for people who can’t pay their mortgages.  Both </w:t>
      </w:r>
      <w:r>
        <w:t>Mortgage Interest Supplement (</w:t>
      </w:r>
      <w:r w:rsidRPr="00133C8B">
        <w:t>MIS</w:t>
      </w:r>
      <w:r>
        <w:t>)</w:t>
      </w:r>
      <w:r w:rsidRPr="00133C8B">
        <w:t xml:space="preserve"> and </w:t>
      </w:r>
      <w:r>
        <w:t>Mortgage Interest Relief (</w:t>
      </w:r>
      <w:r w:rsidRPr="00133C8B">
        <w:t>TRS</w:t>
      </w:r>
      <w:r>
        <w:t>)</w:t>
      </w:r>
      <w:r w:rsidRPr="00133C8B">
        <w:t xml:space="preserve"> were regarded as important in bridging the ‘affordability gap’ for clients struggling to repay mortgages on a m</w:t>
      </w:r>
      <w:r w:rsidR="00E15E47">
        <w:t xml:space="preserve">uch reduced income.  MABS staff </w:t>
      </w:r>
      <w:r w:rsidRPr="00133C8B">
        <w:t xml:space="preserve">believe it is much harder now to put in place an alternative arrangement for clients who are in mortgage arrears in the absence of such supports.  Further, it is evident that if those clients lose their homes they will require some form of State support, most likely via the Housing Assistance Payment (HAP).  </w:t>
      </w:r>
    </w:p>
    <w:p w:rsidR="0018564A" w:rsidRPr="00133C8B" w:rsidRDefault="0018564A" w:rsidP="00F52EAE">
      <w:pPr>
        <w:spacing w:after="0" w:line="240" w:lineRule="auto"/>
        <w:jc w:val="both"/>
      </w:pPr>
    </w:p>
    <w:p w:rsidR="00883108" w:rsidRDefault="00E15E47" w:rsidP="00F52EAE">
      <w:pPr>
        <w:spacing w:line="240" w:lineRule="auto"/>
        <w:jc w:val="both"/>
      </w:pPr>
      <w:r>
        <w:t>Al</w:t>
      </w:r>
      <w:r w:rsidR="00883108" w:rsidRPr="0079676C">
        <w:t>though some MABS clients are regaining employment, their income can be fragile or can fluctuate and this also impacts on the potential to put in</w:t>
      </w:r>
      <w:r w:rsidR="00883108">
        <w:t xml:space="preserve"> place</w:t>
      </w:r>
      <w:r w:rsidR="00883108" w:rsidRPr="0079676C">
        <w:t xml:space="preserve"> </w:t>
      </w:r>
      <w:r w:rsidR="00883108">
        <w:t>‘A</w:t>
      </w:r>
      <w:r w:rsidR="00883108" w:rsidRPr="0079676C">
        <w:t xml:space="preserve">lternative </w:t>
      </w:r>
      <w:r w:rsidR="00883108">
        <w:t>Repayment A</w:t>
      </w:r>
      <w:r w:rsidR="00883108" w:rsidRPr="0079676C">
        <w:t>rrangements</w:t>
      </w:r>
      <w:r w:rsidR="00883108">
        <w:t>’ (ARA’s)</w:t>
      </w:r>
      <w:r w:rsidR="00883108" w:rsidRPr="0079676C">
        <w:t xml:space="preserve"> on their behalf</w:t>
      </w:r>
      <w:r w:rsidR="00883108">
        <w:t>,</w:t>
      </w:r>
      <w:r w:rsidR="00883108" w:rsidRPr="0079676C">
        <w:t xml:space="preserve"> and also for</w:t>
      </w:r>
      <w:r w:rsidR="00883108">
        <w:t xml:space="preserve"> such</w:t>
      </w:r>
      <w:r w:rsidR="00883108" w:rsidRPr="0079676C">
        <w:t xml:space="preserve"> clients to stick to those arrangements.</w:t>
      </w:r>
      <w:r w:rsidR="00883108">
        <w:t xml:space="preserve">  Thus, while they may return to a level of sustainable payment in time, they could do with greater support in the months following re-entry to employment in order to bring some stability to their finances and develop a strong repayment record with their lenders.</w:t>
      </w:r>
    </w:p>
    <w:p w:rsidR="00883108" w:rsidRPr="0079676C" w:rsidRDefault="002C5C80" w:rsidP="00F52EAE">
      <w:pPr>
        <w:spacing w:line="240" w:lineRule="auto"/>
        <w:jc w:val="both"/>
      </w:pPr>
      <w:r>
        <w:lastRenderedPageBreak/>
        <w:t xml:space="preserve">Furthermore </w:t>
      </w:r>
      <w:r w:rsidR="00883108">
        <w:t xml:space="preserve">there is no State support available to borrowers who lack income protection when they become ill, so they quickly fall into arrears with their mortgage during prolonged illness. </w:t>
      </w:r>
    </w:p>
    <w:p w:rsidR="00883108" w:rsidRPr="00F52EAE" w:rsidRDefault="00883108" w:rsidP="001A6FA9">
      <w:pPr>
        <w:pStyle w:val="Heading4"/>
        <w:spacing w:line="240" w:lineRule="auto"/>
        <w:rPr>
          <w:b/>
          <w:color w:val="244061" w:themeColor="accent1" w:themeShade="80"/>
        </w:rPr>
      </w:pPr>
      <w:r w:rsidRPr="00F52EAE">
        <w:rPr>
          <w:b/>
          <w:color w:val="244061" w:themeColor="accent1" w:themeShade="80"/>
        </w:rPr>
        <w:t>Older borrowers</w:t>
      </w:r>
    </w:p>
    <w:p w:rsidR="00883108" w:rsidRDefault="00883108" w:rsidP="00F52EAE">
      <w:pPr>
        <w:spacing w:after="0" w:line="240" w:lineRule="auto"/>
        <w:jc w:val="both"/>
      </w:pPr>
      <w:r>
        <w:t>Staff expressed much apprehension</w:t>
      </w:r>
      <w:r w:rsidRPr="0079676C">
        <w:t xml:space="preserve"> about the position of older borrowers </w:t>
      </w:r>
      <w:r>
        <w:t xml:space="preserve">in mortgage arrears </w:t>
      </w:r>
      <w:r w:rsidRPr="0079676C">
        <w:t>and</w:t>
      </w:r>
      <w:r>
        <w:t>,</w:t>
      </w:r>
      <w:r w:rsidRPr="0079676C">
        <w:t xml:space="preserve"> in particular</w:t>
      </w:r>
      <w:r>
        <w:t>, those</w:t>
      </w:r>
      <w:r w:rsidRPr="0079676C">
        <w:t xml:space="preserve"> who are in their 60's with positive equity but insufficient equity to downsize.</w:t>
      </w:r>
      <w:r>
        <w:t xml:space="preserve">  Clients</w:t>
      </w:r>
      <w:r w:rsidRPr="0079676C">
        <w:t xml:space="preserve"> in this age group who are reliant on social welfare or state pension</w:t>
      </w:r>
      <w:r>
        <w:t>s</w:t>
      </w:r>
      <w:r w:rsidRPr="0079676C">
        <w:t xml:space="preserve"> are of considerable concern as they have very few options available to repay their mortgage.</w:t>
      </w:r>
      <w:r>
        <w:t xml:space="preserve"> This is expanded on further in later sections of this submission.</w:t>
      </w:r>
    </w:p>
    <w:p w:rsidR="00883108" w:rsidRPr="00F52EAE" w:rsidRDefault="00883108" w:rsidP="001A6FA9">
      <w:pPr>
        <w:pStyle w:val="Heading4"/>
        <w:spacing w:line="240" w:lineRule="auto"/>
        <w:rPr>
          <w:b/>
          <w:color w:val="244061" w:themeColor="accent1" w:themeShade="80"/>
        </w:rPr>
      </w:pPr>
      <w:r w:rsidRPr="00F52EAE">
        <w:rPr>
          <w:b/>
          <w:color w:val="244061" w:themeColor="accent1" w:themeShade="80"/>
        </w:rPr>
        <w:t>CCMA/MARP options</w:t>
      </w:r>
    </w:p>
    <w:p w:rsidR="00883108" w:rsidRPr="00865A5F" w:rsidRDefault="00883108" w:rsidP="00F52EAE">
      <w:pPr>
        <w:spacing w:after="0" w:line="240" w:lineRule="auto"/>
        <w:jc w:val="both"/>
      </w:pPr>
      <w:r w:rsidRPr="00865A5F">
        <w:t>There is a view that the M</w:t>
      </w:r>
      <w:r>
        <w:t xml:space="preserve">ortgage </w:t>
      </w:r>
      <w:r w:rsidRPr="00865A5F">
        <w:t>A</w:t>
      </w:r>
      <w:r>
        <w:t xml:space="preserve">rrears </w:t>
      </w:r>
      <w:r w:rsidRPr="00865A5F">
        <w:t>R</w:t>
      </w:r>
      <w:r>
        <w:t xml:space="preserve">esolution </w:t>
      </w:r>
      <w:r w:rsidRPr="00865A5F">
        <w:t>P</w:t>
      </w:r>
      <w:r>
        <w:t xml:space="preserve">rocess (MARP) is now out-dated and is proving </w:t>
      </w:r>
      <w:r w:rsidRPr="00865A5F">
        <w:t>insufficient in its capacity to address long-term mortgage arrears.  It is felt that it needs to be updated and extra protection should be included to enco</w:t>
      </w:r>
      <w:r>
        <w:t>mpass the realities</w:t>
      </w:r>
      <w:r w:rsidRPr="00865A5F">
        <w:t xml:space="preserve"> of dealing with mortgage debt.</w:t>
      </w:r>
      <w:r>
        <w:t xml:space="preserve">  Staff reflected the inequity that arises when lenders limit the options they offer to borrowers. </w:t>
      </w:r>
    </w:p>
    <w:p w:rsidR="00883108" w:rsidRDefault="00883108" w:rsidP="00F52EAE">
      <w:pPr>
        <w:spacing w:line="240" w:lineRule="auto"/>
        <w:jc w:val="both"/>
        <w:rPr>
          <w:i/>
        </w:rPr>
      </w:pPr>
      <w:r w:rsidRPr="00987056">
        <w:rPr>
          <w:b/>
          <w:i/>
        </w:rPr>
        <w:t>Example :</w:t>
      </w:r>
      <w:r w:rsidRPr="00987056">
        <w:rPr>
          <w:i/>
        </w:rPr>
        <w:t xml:space="preserve"> </w:t>
      </w:r>
      <w:r>
        <w:rPr>
          <w:i/>
        </w:rPr>
        <w:t>‘</w:t>
      </w:r>
      <w:r w:rsidRPr="00987056">
        <w:rPr>
          <w:i/>
        </w:rPr>
        <w:t>Borrower 1 may be able to negotiate a satisfactory long term solution such as split m</w:t>
      </w:r>
      <w:r>
        <w:rPr>
          <w:i/>
        </w:rPr>
        <w:t>ortgage</w:t>
      </w:r>
      <w:r w:rsidRPr="00987056">
        <w:rPr>
          <w:i/>
        </w:rPr>
        <w:t>/interest rate reduction/term extension/lifetime mortgage etc</w:t>
      </w:r>
      <w:r>
        <w:rPr>
          <w:i/>
        </w:rPr>
        <w:t>.</w:t>
      </w:r>
      <w:r w:rsidRPr="00987056">
        <w:rPr>
          <w:i/>
        </w:rPr>
        <w:t xml:space="preserve"> with Bank A</w:t>
      </w:r>
      <w:r>
        <w:rPr>
          <w:i/>
        </w:rPr>
        <w:t>,</w:t>
      </w:r>
      <w:r w:rsidRPr="00987056">
        <w:rPr>
          <w:i/>
        </w:rPr>
        <w:t xml:space="preserve"> while Borrower 2 in identical circumstances is refused by Bank B and facing proceedings</w:t>
      </w:r>
      <w:r>
        <w:rPr>
          <w:i/>
        </w:rPr>
        <w:t>’</w:t>
      </w:r>
    </w:p>
    <w:p w:rsidR="00883108" w:rsidRPr="00865A5F" w:rsidRDefault="00883108" w:rsidP="002C5C80">
      <w:pPr>
        <w:spacing w:line="240" w:lineRule="auto"/>
        <w:jc w:val="both"/>
      </w:pPr>
      <w:r>
        <w:t>Staff also expressed</w:t>
      </w:r>
      <w:r w:rsidRPr="00BA68F5">
        <w:t xml:space="preserve"> serious concerns about the impact of split-mortgages as a ‘treatment’/resolution of mortgage arrears difficulties</w:t>
      </w:r>
      <w:r>
        <w:t xml:space="preserve"> both in voluntary arrangements and as an aspect of a Personal Insolvency Arrangement (PIA)</w:t>
      </w:r>
      <w:r w:rsidRPr="00BA68F5">
        <w:t xml:space="preserve">.  </w:t>
      </w:r>
      <w:r w:rsidR="002C5C80">
        <w:t xml:space="preserve">While ‘splitting/warehousing’ </w:t>
      </w:r>
      <w:r>
        <w:t xml:space="preserve">buys the borrower some much needed time, and is important in the absence of alternative accommodation, MABS staff are concerned that in some cases it defers the inevitable for a further 10-15 years and that borrowers could face a ‘time-bomb’ as they enter their older years.  It is felt that such is the drop in income that many MABS clients have experienced that some will never repay the warehoused amount.  </w:t>
      </w:r>
    </w:p>
    <w:p w:rsidR="00883108" w:rsidRPr="00F52EAE" w:rsidRDefault="00883108" w:rsidP="00BE36ED">
      <w:pPr>
        <w:pStyle w:val="Heading3"/>
        <w:spacing w:line="276" w:lineRule="auto"/>
        <w:rPr>
          <w:b/>
          <w:color w:val="244061" w:themeColor="accent1" w:themeShade="80"/>
        </w:rPr>
      </w:pPr>
      <w:bookmarkStart w:id="3" w:name="_Toc485334223"/>
      <w:r w:rsidRPr="00F52EAE">
        <w:rPr>
          <w:b/>
          <w:color w:val="244061" w:themeColor="accent1" w:themeShade="80"/>
        </w:rPr>
        <w:t>Client vulnerability, Income adequacy &amp; Access To Credit</w:t>
      </w:r>
      <w:bookmarkEnd w:id="3"/>
      <w:r w:rsidRPr="00F52EAE">
        <w:rPr>
          <w:b/>
          <w:color w:val="244061" w:themeColor="accent1" w:themeShade="80"/>
        </w:rPr>
        <w:t xml:space="preserve"> </w:t>
      </w:r>
    </w:p>
    <w:p w:rsidR="00883108" w:rsidRDefault="00B76C0B" w:rsidP="00F52EAE">
      <w:pPr>
        <w:spacing w:after="0" w:line="240" w:lineRule="auto"/>
        <w:jc w:val="both"/>
      </w:pPr>
      <w:r>
        <w:t>T</w:t>
      </w:r>
      <w:r w:rsidR="00883108">
        <w:t xml:space="preserve">he second most important issue relates broadly to </w:t>
      </w:r>
      <w:r w:rsidR="00883108" w:rsidRPr="00865A5F">
        <w:t xml:space="preserve">client </w:t>
      </w:r>
      <w:r w:rsidR="00883108">
        <w:t>‘</w:t>
      </w:r>
      <w:r w:rsidR="00883108" w:rsidRPr="00865A5F">
        <w:t>vulnerability</w:t>
      </w:r>
      <w:r w:rsidR="00883108">
        <w:t>’.  Feedback reflected a range of different types of vulnerability that can affect clients at different points in time.  It is felt that mental health problems</w:t>
      </w:r>
      <w:r w:rsidR="00883108" w:rsidRPr="00865A5F">
        <w:t xml:space="preserve"> compound</w:t>
      </w:r>
      <w:r w:rsidR="00883108">
        <w:t xml:space="preserve"> other financial difficulties</w:t>
      </w:r>
      <w:r w:rsidR="00883108" w:rsidRPr="00865A5F">
        <w:t xml:space="preserve"> and make it mo</w:t>
      </w:r>
      <w:r w:rsidR="00883108">
        <w:t xml:space="preserve">re difficult to deal with ongoing money management and problem over-indebtedness.  The issue impacts MABS clients in a variety of different ways.  For example, a mental health problem can lead to day-to-day difficulties with money management, leading to over-indebtedness and even self-neglect.  Stress and anxiety in relation to money/debt can cause mental health problems and, in turn, make it more difficult to address the situation. </w:t>
      </w:r>
    </w:p>
    <w:p w:rsidR="0018564A" w:rsidRDefault="0018564A" w:rsidP="00F52EAE">
      <w:pPr>
        <w:spacing w:after="0" w:line="240" w:lineRule="auto"/>
        <w:jc w:val="both"/>
      </w:pPr>
    </w:p>
    <w:p w:rsidR="00883108" w:rsidRDefault="00883108" w:rsidP="00F52EAE">
      <w:pPr>
        <w:spacing w:line="240" w:lineRule="auto"/>
        <w:jc w:val="both"/>
      </w:pPr>
      <w:r>
        <w:t>A strong view was reflected by MABS staff that many vulnerable clients who</w:t>
      </w:r>
      <w:r w:rsidR="007728FD">
        <w:t xml:space="preserve"> have difficulty accessing  safety net supports such as SWA or </w:t>
      </w:r>
      <w:r>
        <w:t xml:space="preserve">are refused various State-supports and do not avail of the assistance of CICs or MABS simply go without supports that they need and to which they are entitled.  Several examples were cited where decisions were successfully appealed/reviewed with the assistance of </w:t>
      </w:r>
      <w:r w:rsidR="007728FD">
        <w:t xml:space="preserve">these services </w:t>
      </w:r>
      <w:r>
        <w:t>to the benefit of the clients involved.</w:t>
      </w:r>
    </w:p>
    <w:p w:rsidR="00883108" w:rsidRDefault="00883108" w:rsidP="00F52EAE">
      <w:pPr>
        <w:spacing w:line="240" w:lineRule="auto"/>
        <w:jc w:val="both"/>
      </w:pPr>
      <w:r>
        <w:t xml:space="preserve">In this context, the Society of Saint Vincent de Paul is viewed as a vital support for MABS clients, but again staff reflected that their clients struggle with the idea that they may need charitable support.   There is, in MABS view, a need to reconsider the ways in which people, and particularly those who are both vulnerable and on a low-income, can access State support where they have an exceptional need, in a manner which both acknowledges the need and is fully respectful of the dignity of the person seeking help. </w:t>
      </w:r>
    </w:p>
    <w:p w:rsidR="00883108" w:rsidRDefault="00883108" w:rsidP="00F52EAE">
      <w:pPr>
        <w:spacing w:line="240" w:lineRule="auto"/>
        <w:jc w:val="both"/>
      </w:pPr>
      <w:r>
        <w:lastRenderedPageBreak/>
        <w:t>Access to credit is an issue for citizens in vulnerable situations.  Credit is the engine that drives progression for low income households; without it their options are greatly limited.  In MABS view lending decisions are currently overly influenced by past credit history, whereas rigorous assessment of current and future affordability should be the key determinants in granting loans.  This is particularly important in the context of the many borrowers who were adversely affected by loss of income during the recession and the absence of affordable credit creates an ongoing vulnerability for them.</w:t>
      </w:r>
    </w:p>
    <w:p w:rsidR="00883108" w:rsidRPr="00F52EAE" w:rsidRDefault="00883108" w:rsidP="00BE36ED">
      <w:pPr>
        <w:pStyle w:val="Heading3"/>
        <w:spacing w:line="276" w:lineRule="auto"/>
        <w:rPr>
          <w:b/>
          <w:color w:val="244061" w:themeColor="accent1" w:themeShade="80"/>
        </w:rPr>
      </w:pPr>
      <w:bookmarkStart w:id="4" w:name="_Toc485334224"/>
      <w:r w:rsidRPr="00F52EAE">
        <w:rPr>
          <w:b/>
          <w:color w:val="244061" w:themeColor="accent1" w:themeShade="80"/>
        </w:rPr>
        <w:t>Insolvency</w:t>
      </w:r>
      <w:r w:rsidR="002E54E2" w:rsidRPr="00F52EAE">
        <w:rPr>
          <w:b/>
          <w:color w:val="244061" w:themeColor="accent1" w:themeShade="80"/>
        </w:rPr>
        <w:t xml:space="preserve"> for </w:t>
      </w:r>
      <w:r w:rsidRPr="00F52EAE">
        <w:rPr>
          <w:b/>
          <w:color w:val="244061" w:themeColor="accent1" w:themeShade="80"/>
        </w:rPr>
        <w:t>LOW INCOME BORROWERS</w:t>
      </w:r>
      <w:bookmarkEnd w:id="4"/>
    </w:p>
    <w:p w:rsidR="00883108" w:rsidRDefault="00994136" w:rsidP="002C5C80">
      <w:pPr>
        <w:spacing w:after="0" w:line="240" w:lineRule="auto"/>
        <w:jc w:val="both"/>
      </w:pPr>
      <w:r>
        <w:t xml:space="preserve">Many MABS staff are </w:t>
      </w:r>
      <w:r w:rsidR="00883108">
        <w:t xml:space="preserve">of the view that insolvency is still not accessible to their clients because their income is too low.  Other clients remain excluded from the potential of the Debt Relief Notice due to some of the eligibility criteria.  There is a strong view emerging from staff that a ‘Public Personal Insolvency Practitioner (PIP)’ service is required to achieve insolvency solutions for MABS clients and, where an insolvency solution is not possible, to provide support with bankruptcy.  </w:t>
      </w:r>
    </w:p>
    <w:p w:rsidR="00883108" w:rsidRPr="00F52EAE" w:rsidRDefault="00883108" w:rsidP="00BE36ED">
      <w:pPr>
        <w:pStyle w:val="Heading3"/>
        <w:spacing w:line="276" w:lineRule="auto"/>
        <w:rPr>
          <w:b/>
          <w:color w:val="244061" w:themeColor="accent1" w:themeShade="80"/>
        </w:rPr>
      </w:pPr>
      <w:bookmarkStart w:id="5" w:name="_Toc485334225"/>
      <w:r w:rsidRPr="00F52EAE">
        <w:rPr>
          <w:b/>
          <w:color w:val="244061" w:themeColor="accent1" w:themeShade="80"/>
        </w:rPr>
        <w:t>STRATEGIC RECOMMENDATIONS for BUDGET 2018</w:t>
      </w:r>
      <w:bookmarkEnd w:id="5"/>
    </w:p>
    <w:p w:rsidR="00883108" w:rsidRDefault="00883108" w:rsidP="002302F4">
      <w:pPr>
        <w:spacing w:after="0" w:line="240" w:lineRule="auto"/>
        <w:jc w:val="both"/>
      </w:pPr>
      <w:r w:rsidRPr="001F5B1E">
        <w:rPr>
          <w:i/>
        </w:rPr>
        <w:t>‘Rebuilding Ireland’</w:t>
      </w:r>
      <w:r w:rsidRPr="00225E23">
        <w:t xml:space="preserve"> is, in MABS view, vitally important </w:t>
      </w:r>
      <w:r>
        <w:t>in addressing the housing crisis,</w:t>
      </w:r>
      <w:r w:rsidRPr="00225E23">
        <w:t xml:space="preserve"> but it may not deliver quickly enough </w:t>
      </w:r>
      <w:r>
        <w:t xml:space="preserve">for MABS clients </w:t>
      </w:r>
      <w:r w:rsidRPr="00225E23">
        <w:t xml:space="preserve">and other </w:t>
      </w:r>
      <w:r>
        <w:t xml:space="preserve">medium-term </w:t>
      </w:r>
      <w:r w:rsidRPr="00225E23">
        <w:t>solutions are necessary to keep people in their homes.  Moreover, the feedback from MABS staff</w:t>
      </w:r>
      <w:r>
        <w:t>,</w:t>
      </w:r>
      <w:r w:rsidRPr="00225E23">
        <w:t xml:space="preserve"> about the various challenges facing their clients, suggests that </w:t>
      </w:r>
      <w:r>
        <w:t>the process of really ‘r</w:t>
      </w:r>
      <w:r w:rsidRPr="00225E23">
        <w:t>ebuilding</w:t>
      </w:r>
      <w:r>
        <w:t>’</w:t>
      </w:r>
      <w:r w:rsidRPr="00225E23">
        <w:t xml:space="preserve"> Ireland will involve much more than a ‘bricks and mortar’ response.</w:t>
      </w:r>
      <w:r>
        <w:t xml:space="preserve">  Budget 2018 therefore affords an opportunity to initiate a strategic approach to resolution of some of these critical social policy issues. </w:t>
      </w:r>
    </w:p>
    <w:p w:rsidR="002302F4" w:rsidRDefault="002302F4" w:rsidP="001A6FA9">
      <w:pPr>
        <w:spacing w:line="240" w:lineRule="auto"/>
      </w:pPr>
    </w:p>
    <w:p w:rsidR="00883108" w:rsidRPr="00225E23" w:rsidRDefault="00883108" w:rsidP="001A6FA9">
      <w:pPr>
        <w:spacing w:line="240" w:lineRule="auto"/>
      </w:pPr>
      <w:r w:rsidRPr="00225E23">
        <w:t>There are 4 key strategic</w:t>
      </w:r>
      <w:r>
        <w:t xml:space="preserve"> priorities identified by MABS</w:t>
      </w:r>
      <w:r w:rsidRPr="00225E23">
        <w:t xml:space="preserve"> that should be addressed in Budget 2018.</w:t>
      </w:r>
    </w:p>
    <w:p w:rsidR="00883108" w:rsidRPr="00225E23" w:rsidRDefault="00883108" w:rsidP="00B05779">
      <w:pPr>
        <w:pStyle w:val="ListParagraph"/>
        <w:numPr>
          <w:ilvl w:val="0"/>
          <w:numId w:val="2"/>
        </w:numPr>
        <w:spacing w:after="0" w:line="240" w:lineRule="auto"/>
      </w:pPr>
      <w:r>
        <w:t xml:space="preserve">The </w:t>
      </w:r>
      <w:r w:rsidRPr="00225E23">
        <w:t xml:space="preserve">Housing </w:t>
      </w:r>
      <w:r>
        <w:t>Crisis</w:t>
      </w:r>
    </w:p>
    <w:p w:rsidR="00883108" w:rsidRPr="00225E23" w:rsidRDefault="00883108" w:rsidP="00B05779">
      <w:pPr>
        <w:pStyle w:val="ListParagraph"/>
        <w:numPr>
          <w:ilvl w:val="0"/>
          <w:numId w:val="2"/>
        </w:numPr>
        <w:spacing w:after="0" w:line="240" w:lineRule="auto"/>
      </w:pPr>
      <w:r>
        <w:t xml:space="preserve">Providing greater support and protection for </w:t>
      </w:r>
      <w:r w:rsidRPr="00225E23">
        <w:t>vulnerable adults</w:t>
      </w:r>
      <w:r>
        <w:t xml:space="preserve"> – in particul</w:t>
      </w:r>
      <w:r w:rsidR="00994136">
        <w:t xml:space="preserve">ar those who are in ill health and </w:t>
      </w:r>
      <w:r>
        <w:t xml:space="preserve"> older people</w:t>
      </w:r>
    </w:p>
    <w:p w:rsidR="00883108" w:rsidRPr="00225E23" w:rsidRDefault="00883108" w:rsidP="00B05779">
      <w:pPr>
        <w:pStyle w:val="ListParagraph"/>
        <w:numPr>
          <w:ilvl w:val="0"/>
          <w:numId w:val="2"/>
        </w:numPr>
        <w:spacing w:after="0" w:line="240" w:lineRule="auto"/>
      </w:pPr>
      <w:r>
        <w:t>Income a</w:t>
      </w:r>
      <w:r w:rsidR="00994136">
        <w:t xml:space="preserve">dequacy and </w:t>
      </w:r>
      <w:r w:rsidRPr="00225E23">
        <w:t xml:space="preserve"> access to credit</w:t>
      </w:r>
      <w:r>
        <w:t xml:space="preserve"> for low income households</w:t>
      </w:r>
    </w:p>
    <w:p w:rsidR="00883108" w:rsidRDefault="00883108" w:rsidP="00B05779">
      <w:pPr>
        <w:pStyle w:val="ListParagraph"/>
        <w:numPr>
          <w:ilvl w:val="0"/>
          <w:numId w:val="2"/>
        </w:numPr>
        <w:spacing w:after="0" w:line="240" w:lineRule="auto"/>
      </w:pPr>
      <w:r w:rsidRPr="00225E23">
        <w:t xml:space="preserve">Widening access to personal insolvency </w:t>
      </w:r>
    </w:p>
    <w:p w:rsidR="00883108" w:rsidRDefault="00883108" w:rsidP="001A6FA9">
      <w:pPr>
        <w:pStyle w:val="ListParagraph"/>
        <w:spacing w:line="240" w:lineRule="auto"/>
        <w:ind w:left="1080"/>
      </w:pPr>
    </w:p>
    <w:p w:rsidR="00883108" w:rsidRDefault="00883108" w:rsidP="00F52EAE">
      <w:pPr>
        <w:spacing w:line="240" w:lineRule="auto"/>
        <w:jc w:val="both"/>
      </w:pPr>
      <w:r>
        <w:t xml:space="preserve">In MABS view, addressing these issues will require a process of collaboration by the State, the private sector and civil society, in finding solutions to what have emerged as deep and pressing social problems. </w:t>
      </w:r>
    </w:p>
    <w:p w:rsidR="00883108" w:rsidRPr="00E32875" w:rsidRDefault="00E47EDE" w:rsidP="00E32875">
      <w:pPr>
        <w:pStyle w:val="Heading2"/>
        <w:rPr>
          <w:sz w:val="28"/>
          <w:szCs w:val="28"/>
        </w:rPr>
      </w:pPr>
      <w:bookmarkStart w:id="6" w:name="_Toc485334226"/>
      <w:r w:rsidRPr="00E32875">
        <w:rPr>
          <w:sz w:val="28"/>
          <w:szCs w:val="28"/>
        </w:rPr>
        <w:t>‘</w:t>
      </w:r>
      <w:r w:rsidR="00883108" w:rsidRPr="00E32875">
        <w:rPr>
          <w:sz w:val="28"/>
          <w:szCs w:val="28"/>
        </w:rPr>
        <w:t>Lifecycle Transitions’</w:t>
      </w:r>
      <w:bookmarkEnd w:id="6"/>
    </w:p>
    <w:p w:rsidR="002E54E2" w:rsidRPr="00F52EAE" w:rsidRDefault="002E54E2" w:rsidP="00BE36ED">
      <w:pPr>
        <w:pStyle w:val="Heading3"/>
        <w:spacing w:line="276" w:lineRule="auto"/>
        <w:rPr>
          <w:b/>
          <w:color w:val="244061" w:themeColor="accent1" w:themeShade="80"/>
        </w:rPr>
      </w:pPr>
      <w:r w:rsidRPr="00F52EAE">
        <w:rPr>
          <w:b/>
          <w:color w:val="244061" w:themeColor="accent1" w:themeShade="80"/>
        </w:rPr>
        <w:t xml:space="preserve">Finding and/or keeping a home </w:t>
      </w:r>
    </w:p>
    <w:p w:rsidR="00883108" w:rsidRDefault="00883108" w:rsidP="002302F4">
      <w:pPr>
        <w:spacing w:after="0" w:line="240" w:lineRule="auto"/>
        <w:jc w:val="both"/>
      </w:pPr>
      <w:r w:rsidRPr="0088094D">
        <w:t>MABS advisors identified a range of difficulties that their clients are expe</w:t>
      </w:r>
      <w:r>
        <w:t xml:space="preserve">riencing in relation to private </w:t>
      </w:r>
      <w:r w:rsidRPr="0088094D">
        <w:t xml:space="preserve">rented and social housing.  </w:t>
      </w:r>
      <w:r>
        <w:t xml:space="preserve">The difficulties were cited, in urban, rural and remote areas to varying degrees.  The constraints in the rental market are also reflected in mortgage arrears casework, with some advisors reporting that their clients continue to pay </w:t>
      </w:r>
      <w:r w:rsidRPr="002302F4">
        <w:rPr>
          <w:i/>
        </w:rPr>
        <w:t>unsustainable mortgages</w:t>
      </w:r>
      <w:r>
        <w:t xml:space="preserve"> because they are fearful that if they lose their home there will be no accessible or affordable alternatives available to them by way of social housing or private rented accommodation. </w:t>
      </w:r>
    </w:p>
    <w:p w:rsidR="0018564A" w:rsidRDefault="0018564A" w:rsidP="00F52EAE">
      <w:pPr>
        <w:spacing w:after="0"/>
        <w:jc w:val="both"/>
      </w:pPr>
    </w:p>
    <w:p w:rsidR="00883108" w:rsidRDefault="00883108" w:rsidP="00F52EAE">
      <w:pPr>
        <w:spacing w:line="240" w:lineRule="auto"/>
        <w:jc w:val="both"/>
      </w:pPr>
      <w:r w:rsidRPr="00DE40AB">
        <w:t xml:space="preserve">Deposits </w:t>
      </w:r>
      <w:r>
        <w:t xml:space="preserve">for private rented accommodation </w:t>
      </w:r>
      <w:r w:rsidRPr="00DE40AB">
        <w:t>are identified as a problem and</w:t>
      </w:r>
      <w:r>
        <w:t>,</w:t>
      </w:r>
      <w:r w:rsidRPr="00DE40AB">
        <w:t xml:space="preserve"> despite legislation introduced to prevent discrimination against social welfare recipients</w:t>
      </w:r>
      <w:r>
        <w:t>,</w:t>
      </w:r>
      <w:r w:rsidRPr="00DE40AB">
        <w:t xml:space="preserve"> MABS s</w:t>
      </w:r>
      <w:r>
        <w:t>taff report that finding a landlord</w:t>
      </w:r>
      <w:r w:rsidRPr="00DE40AB">
        <w:t xml:space="preserve"> that will accept social welfare remains an issue.  They also report</w:t>
      </w:r>
      <w:r>
        <w:t>,</w:t>
      </w:r>
      <w:r w:rsidRPr="00DE40AB">
        <w:t xml:space="preserve"> in both urban and non-urban areas</w:t>
      </w:r>
      <w:r>
        <w:t>,</w:t>
      </w:r>
      <w:r w:rsidRPr="00DE40AB">
        <w:t xml:space="preserve"> a </w:t>
      </w:r>
      <w:r w:rsidRPr="00DE40AB">
        <w:rPr>
          <w:i/>
        </w:rPr>
        <w:t>‘serious lack of supply’</w:t>
      </w:r>
      <w:r w:rsidRPr="00DE40AB">
        <w:t xml:space="preserve"> especially at</w:t>
      </w:r>
      <w:r>
        <w:t>,</w:t>
      </w:r>
      <w:r w:rsidRPr="00DE40AB">
        <w:t xml:space="preserve"> or below</w:t>
      </w:r>
      <w:r>
        <w:t>,</w:t>
      </w:r>
      <w:r w:rsidRPr="00DE40AB">
        <w:t xml:space="preserve"> the HAP rent cap.  Constrained supply </w:t>
      </w:r>
      <w:r w:rsidRPr="00DE40AB">
        <w:lastRenderedPageBreak/>
        <w:t>is pushing rent prices further upwards and MABS clients are struggling to bridge the gap.  Repeatedly advisors cited incidences of landlords insisting on additional cash payments outside the reported rental value ‘</w:t>
      </w:r>
      <w:r w:rsidRPr="00DE40AB">
        <w:rPr>
          <w:i/>
        </w:rPr>
        <w:t>forcing people to live under the poverty line</w:t>
      </w:r>
      <w:r>
        <w:rPr>
          <w:i/>
        </w:rPr>
        <w:t>’</w:t>
      </w:r>
      <w:r w:rsidRPr="00DE40AB">
        <w:rPr>
          <w:i/>
        </w:rPr>
        <w:t>.</w:t>
      </w:r>
      <w:r w:rsidRPr="00DE40AB">
        <w:t xml:space="preserve"> </w:t>
      </w:r>
      <w:r>
        <w:t xml:space="preserve"> </w:t>
      </w:r>
    </w:p>
    <w:p w:rsidR="001955B0" w:rsidRPr="002D2A01" w:rsidRDefault="00883108" w:rsidP="002D2A01">
      <w:pPr>
        <w:spacing w:line="240" w:lineRule="auto"/>
      </w:pPr>
      <w:r>
        <w:t>There was much feedback</w:t>
      </w:r>
      <w:r w:rsidRPr="0009315C">
        <w:t xml:space="preserve"> about the ‘Mortgage to Rent</w:t>
      </w:r>
      <w:r>
        <w:t xml:space="preserve">’ (MTR) Scheme </w:t>
      </w:r>
      <w:r w:rsidR="00994136">
        <w:t xml:space="preserve">which is seen to have </w:t>
      </w:r>
      <w:r w:rsidRPr="0009315C">
        <w:t>the potential to help many clients but is still not working in many parts of the country and particularly in more remote rural areas</w:t>
      </w:r>
      <w:r>
        <w:t>.  While recent revisions are regarded as helpful, advisors reported there is no evidence of a translation to me</w:t>
      </w:r>
      <w:r w:rsidR="002D2A01">
        <w:t xml:space="preserve">aningful change on the ground. </w:t>
      </w:r>
    </w:p>
    <w:p w:rsidR="00883108" w:rsidRPr="00F52EAE" w:rsidRDefault="00883108" w:rsidP="006C7E7C">
      <w:pPr>
        <w:spacing w:line="240" w:lineRule="auto"/>
        <w:ind w:firstLine="720"/>
        <w:rPr>
          <w:b/>
          <w:i/>
          <w:color w:val="244061" w:themeColor="accent1" w:themeShade="80"/>
          <w:sz w:val="24"/>
          <w:szCs w:val="24"/>
        </w:rPr>
      </w:pPr>
      <w:r w:rsidRPr="00F52EAE">
        <w:rPr>
          <w:b/>
          <w:i/>
          <w:color w:val="244061" w:themeColor="accent1" w:themeShade="80"/>
          <w:sz w:val="24"/>
          <w:szCs w:val="24"/>
        </w:rPr>
        <w:t>Recommendations:</w:t>
      </w:r>
    </w:p>
    <w:p w:rsidR="00883108" w:rsidRPr="004B0A31" w:rsidRDefault="00883108" w:rsidP="00B8181F">
      <w:pPr>
        <w:pStyle w:val="ListParagraph"/>
        <w:shd w:val="clear" w:color="auto" w:fill="EAF1DD" w:themeFill="accent3" w:themeFillTint="33"/>
        <w:spacing w:after="0" w:line="240" w:lineRule="auto"/>
        <w:jc w:val="both"/>
      </w:pPr>
      <w:r w:rsidRPr="004B0A31">
        <w:t>More concerted and urgent effort is needed to bring vacant properties in all parts of the country into use for residential accommodation purposes and imaginative supports are required</w:t>
      </w:r>
      <w:r w:rsidRPr="004B0A31">
        <w:rPr>
          <w:rStyle w:val="FootnoteReference"/>
        </w:rPr>
        <w:footnoteReference w:id="5"/>
      </w:r>
      <w:r w:rsidRPr="004B0A31">
        <w:t xml:space="preserve"> to this end.  </w:t>
      </w:r>
    </w:p>
    <w:p w:rsidR="006C7E7C" w:rsidRPr="004B0A31" w:rsidRDefault="006C7E7C"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 xml:space="preserve">Potential to designate rental cap limits in additional areas needs to be explored to include urban centres outside those currently included, e.g. Cavan, Portlaoise etc. </w:t>
      </w:r>
    </w:p>
    <w:p w:rsidR="006C7E7C" w:rsidRPr="004B0A31" w:rsidRDefault="006C7E7C"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Demands for top-up payments are forcing MABS clients to live in poverty, the Rent Supplement and HAP limits need to be increased to bring them in line with actual market costs.</w:t>
      </w:r>
    </w:p>
    <w:p w:rsidR="006C7E7C" w:rsidRPr="004B0A31" w:rsidRDefault="006C7E7C"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Clarity is needed for the public on the operation of the MTR Scheme and it should be incorporated in public awareness campaigns in relation to dealing with mortgage arrears.</w:t>
      </w:r>
    </w:p>
    <w:p w:rsidR="006C7E7C" w:rsidRPr="004B0A31" w:rsidRDefault="006C7E7C"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The recommendations of the South Mayo MABS report on MTR should be advanced</w:t>
      </w:r>
      <w:r w:rsidRPr="004B0A31">
        <w:rPr>
          <w:rStyle w:val="FootnoteReference"/>
        </w:rPr>
        <w:footnoteReference w:id="6"/>
      </w:r>
    </w:p>
    <w:p w:rsidR="006C7E7C" w:rsidRPr="004B0A31" w:rsidRDefault="006C7E7C" w:rsidP="00B8181F">
      <w:pPr>
        <w:pStyle w:val="ListParagraph"/>
        <w:shd w:val="clear" w:color="auto" w:fill="EAF1DD" w:themeFill="accent3" w:themeFillTint="33"/>
        <w:spacing w:after="0" w:line="240" w:lineRule="auto"/>
        <w:jc w:val="both"/>
      </w:pPr>
    </w:p>
    <w:p w:rsidR="001955B0" w:rsidRPr="001955B0" w:rsidRDefault="00883108" w:rsidP="001955B0">
      <w:pPr>
        <w:pStyle w:val="ListParagraph"/>
        <w:shd w:val="clear" w:color="auto" w:fill="EAF1DD" w:themeFill="accent3" w:themeFillTint="33"/>
        <w:spacing w:after="0" w:line="240" w:lineRule="auto"/>
        <w:jc w:val="both"/>
      </w:pPr>
      <w:r w:rsidRPr="004B0A31">
        <w:t>Facilitate access to Debt Settlement Arrangements (DSAs) (via a Public PIP service) for relief of residual debt for borrowers who may need to give-up ownership of their homes, either through v</w:t>
      </w:r>
      <w:bookmarkStart w:id="7" w:name="_Toc485334228"/>
      <w:r w:rsidR="001955B0">
        <w:t>oluntary sale/surrender or MTR.</w:t>
      </w:r>
    </w:p>
    <w:p w:rsidR="00883108" w:rsidRPr="00F52EAE" w:rsidRDefault="00883108" w:rsidP="00BE36ED">
      <w:pPr>
        <w:pStyle w:val="Heading3"/>
        <w:spacing w:line="276" w:lineRule="auto"/>
        <w:rPr>
          <w:rFonts w:eastAsia="Times New Roman"/>
          <w:b/>
          <w:color w:val="244061" w:themeColor="accent1" w:themeShade="80"/>
          <w:lang w:eastAsia="en-IE"/>
        </w:rPr>
      </w:pPr>
      <w:r w:rsidRPr="00F52EAE">
        <w:rPr>
          <w:rFonts w:eastAsia="Times New Roman"/>
          <w:b/>
          <w:color w:val="244061" w:themeColor="accent1" w:themeShade="80"/>
          <w:lang w:eastAsia="en-IE"/>
        </w:rPr>
        <w:t>Having Children</w:t>
      </w:r>
      <w:bookmarkEnd w:id="7"/>
    </w:p>
    <w:p w:rsidR="00883108" w:rsidRDefault="00883108" w:rsidP="00F52EAE">
      <w:pPr>
        <w:spacing w:after="0" w:line="240" w:lineRule="auto"/>
        <w:jc w:val="both"/>
        <w:rPr>
          <w:rFonts w:eastAsia="Times New Roman" w:cs="Segoe UI"/>
          <w:bCs/>
          <w:color w:val="000000"/>
          <w:lang w:eastAsia="en-IE"/>
        </w:rPr>
      </w:pPr>
      <w:r w:rsidRPr="00B76128">
        <w:rPr>
          <w:rFonts w:eastAsia="Times New Roman" w:cs="Segoe UI"/>
          <w:bCs/>
          <w:color w:val="000000"/>
          <w:lang w:eastAsia="en-IE"/>
        </w:rPr>
        <w:t xml:space="preserve">The main issue that was highlighted </w:t>
      </w:r>
      <w:r>
        <w:rPr>
          <w:rFonts w:eastAsia="Times New Roman" w:cs="Segoe UI"/>
          <w:bCs/>
          <w:color w:val="000000"/>
          <w:lang w:eastAsia="en-IE"/>
        </w:rPr>
        <w:t>by</w:t>
      </w:r>
      <w:r w:rsidRPr="00B76128">
        <w:rPr>
          <w:rFonts w:eastAsia="Times New Roman" w:cs="Segoe UI"/>
          <w:bCs/>
          <w:color w:val="000000"/>
          <w:lang w:eastAsia="en-IE"/>
        </w:rPr>
        <w:t xml:space="preserve"> MABS staff was the </w:t>
      </w:r>
      <w:r>
        <w:rPr>
          <w:rFonts w:eastAsia="Times New Roman" w:cs="Segoe UI"/>
          <w:bCs/>
          <w:color w:val="000000"/>
          <w:lang w:eastAsia="en-IE"/>
        </w:rPr>
        <w:t xml:space="preserve">reduction in income that arises for working people during </w:t>
      </w:r>
      <w:r w:rsidRPr="00B76128">
        <w:rPr>
          <w:rFonts w:eastAsia="Times New Roman" w:cs="Segoe UI"/>
          <w:bCs/>
          <w:color w:val="000000"/>
          <w:lang w:eastAsia="en-IE"/>
        </w:rPr>
        <w:t xml:space="preserve">maternity leave and the consequent </w:t>
      </w:r>
      <w:r>
        <w:rPr>
          <w:rFonts w:eastAsia="Times New Roman" w:cs="Segoe UI"/>
          <w:bCs/>
          <w:color w:val="000000"/>
          <w:lang w:eastAsia="en-IE"/>
        </w:rPr>
        <w:t xml:space="preserve">negative </w:t>
      </w:r>
      <w:r w:rsidRPr="00B76128">
        <w:rPr>
          <w:rFonts w:eastAsia="Times New Roman" w:cs="Segoe UI"/>
          <w:bCs/>
          <w:color w:val="000000"/>
          <w:lang w:eastAsia="en-IE"/>
        </w:rPr>
        <w:t xml:space="preserve">impact this has on </w:t>
      </w:r>
      <w:r>
        <w:rPr>
          <w:rFonts w:eastAsia="Times New Roman" w:cs="Segoe UI"/>
          <w:bCs/>
          <w:color w:val="000000"/>
          <w:lang w:eastAsia="en-IE"/>
        </w:rPr>
        <w:t xml:space="preserve">the sustainability of </w:t>
      </w:r>
      <w:r w:rsidRPr="00B76128">
        <w:rPr>
          <w:rFonts w:eastAsia="Times New Roman" w:cs="Segoe UI"/>
          <w:bCs/>
          <w:color w:val="000000"/>
          <w:lang w:eastAsia="en-IE"/>
        </w:rPr>
        <w:t xml:space="preserve">family finances.  Other issues included a lack of clarity for </w:t>
      </w:r>
      <w:r>
        <w:rPr>
          <w:rFonts w:eastAsia="Times New Roman" w:cs="Segoe UI"/>
          <w:bCs/>
          <w:color w:val="000000"/>
          <w:lang w:eastAsia="en-IE"/>
        </w:rPr>
        <w:t>c</w:t>
      </w:r>
      <w:r w:rsidRPr="00B76128">
        <w:rPr>
          <w:rFonts w:eastAsia="Times New Roman" w:cs="Segoe UI"/>
          <w:bCs/>
          <w:color w:val="000000"/>
          <w:lang w:eastAsia="en-IE"/>
        </w:rPr>
        <w:t xml:space="preserve">lients </w:t>
      </w:r>
      <w:r>
        <w:rPr>
          <w:rFonts w:eastAsia="Times New Roman" w:cs="Segoe UI"/>
          <w:bCs/>
          <w:color w:val="000000"/>
          <w:lang w:eastAsia="en-IE"/>
        </w:rPr>
        <w:t xml:space="preserve">as regards the status of their maternity benefit </w:t>
      </w:r>
      <w:r w:rsidR="001955B0">
        <w:rPr>
          <w:rFonts w:eastAsia="Times New Roman" w:cs="Segoe UI"/>
          <w:bCs/>
          <w:color w:val="000000"/>
          <w:lang w:eastAsia="en-IE"/>
        </w:rPr>
        <w:t>when working and receiving O</w:t>
      </w:r>
      <w:r w:rsidRPr="00B76128">
        <w:rPr>
          <w:rFonts w:eastAsia="Times New Roman" w:cs="Segoe UI"/>
          <w:bCs/>
          <w:color w:val="000000"/>
          <w:lang w:eastAsia="en-IE"/>
        </w:rPr>
        <w:t>FP</w:t>
      </w:r>
      <w:r>
        <w:rPr>
          <w:rFonts w:eastAsia="Times New Roman" w:cs="Segoe UI"/>
          <w:bCs/>
          <w:color w:val="000000"/>
          <w:lang w:eastAsia="en-IE"/>
        </w:rPr>
        <w:t xml:space="preserve">, as well as a perceived disparity between those in receipt of maternity benefit and those in receipt of job seeker’s allowance.  It was also noted that it can be difficult to get rent allowance /HAP in place until after the baby is born. </w:t>
      </w:r>
    </w:p>
    <w:p w:rsidR="00883108" w:rsidRDefault="00883108" w:rsidP="00F52EAE">
      <w:pPr>
        <w:spacing w:line="240" w:lineRule="auto"/>
        <w:jc w:val="both"/>
      </w:pPr>
      <w:r w:rsidRPr="00063975">
        <w:t>A related issue is th</w:t>
      </w:r>
      <w:r>
        <w:t xml:space="preserve">e high cost of childcare which means </w:t>
      </w:r>
      <w:r w:rsidRPr="00063975">
        <w:t>a h</w:t>
      </w:r>
      <w:r>
        <w:t xml:space="preserve">eavy reliance on family members, (mainly grandparents), </w:t>
      </w:r>
      <w:r w:rsidRPr="00063975">
        <w:t>and in some case</w:t>
      </w:r>
      <w:r>
        <w:t>s clients cannot return to work.</w:t>
      </w:r>
    </w:p>
    <w:p w:rsidR="00883108" w:rsidRDefault="00883108" w:rsidP="00F52EAE">
      <w:pPr>
        <w:spacing w:line="240" w:lineRule="auto"/>
        <w:jc w:val="both"/>
      </w:pPr>
      <w:r w:rsidRPr="003652E4">
        <w:t xml:space="preserve">Delays in processing Family Income Supplement </w:t>
      </w:r>
      <w:r>
        <w:t xml:space="preserve">(FIS) </w:t>
      </w:r>
      <w:r w:rsidRPr="003652E4">
        <w:t>applications are causing difficulties for</w:t>
      </w:r>
      <w:r>
        <w:t xml:space="preserve"> some MABS</w:t>
      </w:r>
      <w:r w:rsidRPr="003652E4">
        <w:t xml:space="preserve"> clients.  FIS is paid for a year</w:t>
      </w:r>
      <w:r>
        <w:t>,</w:t>
      </w:r>
      <w:r w:rsidRPr="003652E4">
        <w:t xml:space="preserve"> after which</w:t>
      </w:r>
      <w:r>
        <w:t xml:space="preserve"> clients must re-apply and</w:t>
      </w:r>
      <w:r w:rsidRPr="003652E4">
        <w:t xml:space="preserve"> the time delay in processing the new claims is</w:t>
      </w:r>
      <w:r>
        <w:t>, in some cases,</w:t>
      </w:r>
      <w:r w:rsidRPr="003652E4">
        <w:t xml:space="preserve"> causing clients difficulty in meeting agreed repayments arrangements with their creditors.</w:t>
      </w:r>
    </w:p>
    <w:p w:rsidR="00C60F12" w:rsidRDefault="00C60F12" w:rsidP="009D0397">
      <w:pPr>
        <w:spacing w:line="240" w:lineRule="auto"/>
        <w:ind w:firstLine="720"/>
        <w:rPr>
          <w:b/>
          <w:i/>
          <w:color w:val="244061" w:themeColor="accent1" w:themeShade="80"/>
          <w:sz w:val="24"/>
          <w:szCs w:val="24"/>
        </w:rPr>
      </w:pPr>
    </w:p>
    <w:p w:rsidR="00C60F12" w:rsidRDefault="00C60F12" w:rsidP="009D0397">
      <w:pPr>
        <w:spacing w:line="240" w:lineRule="auto"/>
        <w:ind w:firstLine="720"/>
        <w:rPr>
          <w:b/>
          <w:i/>
          <w:color w:val="244061" w:themeColor="accent1" w:themeShade="80"/>
          <w:sz w:val="24"/>
          <w:szCs w:val="24"/>
        </w:rPr>
      </w:pPr>
    </w:p>
    <w:p w:rsidR="00883108" w:rsidRPr="00F52EAE" w:rsidRDefault="00883108" w:rsidP="009D0397">
      <w:pPr>
        <w:spacing w:line="240" w:lineRule="auto"/>
        <w:ind w:firstLine="720"/>
        <w:rPr>
          <w:b/>
          <w:i/>
          <w:color w:val="244061" w:themeColor="accent1" w:themeShade="80"/>
          <w:sz w:val="24"/>
          <w:szCs w:val="24"/>
        </w:rPr>
      </w:pPr>
      <w:r w:rsidRPr="00F52EAE">
        <w:rPr>
          <w:b/>
          <w:i/>
          <w:color w:val="244061" w:themeColor="accent1" w:themeShade="80"/>
          <w:sz w:val="24"/>
          <w:szCs w:val="24"/>
        </w:rPr>
        <w:lastRenderedPageBreak/>
        <w:t xml:space="preserve">Recommendations:  </w:t>
      </w:r>
    </w:p>
    <w:p w:rsidR="00883108" w:rsidRPr="004B0A31" w:rsidRDefault="00883108" w:rsidP="00B8181F">
      <w:pPr>
        <w:pStyle w:val="ListParagraph"/>
        <w:shd w:val="clear" w:color="auto" w:fill="EAF1DD" w:themeFill="accent3" w:themeFillTint="33"/>
        <w:spacing w:after="0" w:line="240" w:lineRule="auto"/>
        <w:jc w:val="both"/>
      </w:pPr>
      <w:r w:rsidRPr="004B0A31">
        <w:t>Provide greater parity in the provision of statutory supports during maternity for those in employment and those who are seeking work</w:t>
      </w:r>
      <w:r w:rsidR="006C7E7C" w:rsidRPr="004B0A31">
        <w:t>.</w:t>
      </w:r>
    </w:p>
    <w:p w:rsidR="006C7E7C" w:rsidRPr="004B0A31" w:rsidRDefault="006C7E7C"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Incentivise employers to pay a fixed % of salary during statutory maternity leave.</w:t>
      </w:r>
    </w:p>
    <w:p w:rsidR="006C7E7C" w:rsidRPr="004B0A31" w:rsidRDefault="006C7E7C" w:rsidP="00B8181F">
      <w:pPr>
        <w:pStyle w:val="ListParagraph"/>
        <w:shd w:val="clear" w:color="auto" w:fill="EAF1DD" w:themeFill="accent3" w:themeFillTint="33"/>
        <w:spacing w:after="0" w:line="240" w:lineRule="auto"/>
        <w:jc w:val="both"/>
      </w:pPr>
    </w:p>
    <w:p w:rsidR="00883108" w:rsidRDefault="00883108" w:rsidP="00B8181F">
      <w:pPr>
        <w:pStyle w:val="ListParagraph"/>
        <w:shd w:val="clear" w:color="auto" w:fill="EAF1DD" w:themeFill="accent3" w:themeFillTint="33"/>
        <w:spacing w:after="0" w:line="240" w:lineRule="auto"/>
        <w:jc w:val="both"/>
      </w:pPr>
      <w:r w:rsidRPr="004B0A31">
        <w:t>Consideration to be given to a ‘maternity leave grant’ for households whose income falls below a threshold, for example, the Reasonable Living Expenses during the period of statutory maternity leave.</w:t>
      </w:r>
    </w:p>
    <w:p w:rsidR="009D0397" w:rsidRPr="004B0A31" w:rsidRDefault="009D0397" w:rsidP="00B8181F">
      <w:pPr>
        <w:pStyle w:val="ListParagraph"/>
        <w:shd w:val="clear" w:color="auto" w:fill="EAF1DD" w:themeFill="accent3" w:themeFillTint="33"/>
        <w:spacing w:after="0" w:line="240" w:lineRule="auto"/>
        <w:jc w:val="both"/>
      </w:pPr>
    </w:p>
    <w:p w:rsidR="00883108" w:rsidRPr="004B0A31" w:rsidRDefault="00883108" w:rsidP="00B8181F">
      <w:pPr>
        <w:pStyle w:val="ListParagraph"/>
        <w:shd w:val="clear" w:color="auto" w:fill="EAF1DD" w:themeFill="accent3" w:themeFillTint="33"/>
        <w:spacing w:after="0" w:line="240" w:lineRule="auto"/>
        <w:jc w:val="both"/>
      </w:pPr>
      <w:r w:rsidRPr="004B0A31">
        <w:t xml:space="preserve">Eliminate delays with FIS applications. </w:t>
      </w:r>
    </w:p>
    <w:p w:rsidR="00B76C0B" w:rsidRDefault="00B76C0B" w:rsidP="001A6FA9">
      <w:pPr>
        <w:pStyle w:val="ListParagraph"/>
        <w:spacing w:line="240" w:lineRule="auto"/>
      </w:pPr>
    </w:p>
    <w:p w:rsidR="00B76C0B" w:rsidRPr="00F52EAE" w:rsidRDefault="00F52EAE" w:rsidP="00BE36ED">
      <w:pPr>
        <w:pStyle w:val="Heading3"/>
        <w:spacing w:line="276" w:lineRule="auto"/>
        <w:rPr>
          <w:rFonts w:eastAsia="Times New Roman"/>
          <w:b/>
          <w:color w:val="244061" w:themeColor="accent1" w:themeShade="80"/>
          <w:lang w:eastAsia="en-IE"/>
        </w:rPr>
      </w:pPr>
      <w:r>
        <w:rPr>
          <w:rFonts w:eastAsia="Times New Roman"/>
          <w:b/>
          <w:color w:val="244061" w:themeColor="accent1" w:themeShade="80"/>
          <w:lang w:eastAsia="en-IE"/>
        </w:rPr>
        <w:t xml:space="preserve">SUPPORTING </w:t>
      </w:r>
      <w:r w:rsidR="00B76C0B" w:rsidRPr="00F52EAE">
        <w:rPr>
          <w:rFonts w:eastAsia="Times New Roman"/>
          <w:b/>
          <w:color w:val="244061" w:themeColor="accent1" w:themeShade="80"/>
          <w:lang w:eastAsia="en-IE"/>
        </w:rPr>
        <w:t>Children tHROUGH PRIMARY AND SECONDARY EDUCATION</w:t>
      </w:r>
    </w:p>
    <w:p w:rsidR="00883108" w:rsidRPr="003A3F5C" w:rsidRDefault="00883108" w:rsidP="001955B0">
      <w:pPr>
        <w:spacing w:after="0" w:line="240" w:lineRule="auto"/>
        <w:jc w:val="both"/>
        <w:rPr>
          <w:rFonts w:eastAsia="Times New Roman" w:cs="Segoe UI"/>
          <w:bCs/>
          <w:i/>
          <w:color w:val="000000"/>
          <w:lang w:eastAsia="en-IE"/>
        </w:rPr>
      </w:pPr>
      <w:r w:rsidRPr="00AC3AB3">
        <w:rPr>
          <w:rFonts w:eastAsia="Times New Roman" w:cs="Segoe UI"/>
          <w:bCs/>
          <w:color w:val="000000"/>
          <w:lang w:eastAsia="en-IE"/>
        </w:rPr>
        <w:t>For families who live on a low income</w:t>
      </w:r>
      <w:r>
        <w:rPr>
          <w:rFonts w:eastAsia="Times New Roman" w:cs="Segoe UI"/>
          <w:bCs/>
          <w:color w:val="000000"/>
          <w:lang w:eastAsia="en-IE"/>
        </w:rPr>
        <w:t>,</w:t>
      </w:r>
      <w:r w:rsidRPr="00AC3AB3">
        <w:rPr>
          <w:rFonts w:eastAsia="Times New Roman" w:cs="Segoe UI"/>
          <w:bCs/>
          <w:color w:val="000000"/>
          <w:lang w:eastAsia="en-IE"/>
        </w:rPr>
        <w:t xml:space="preserve"> the costs associated with supporting children t</w:t>
      </w:r>
      <w:r>
        <w:rPr>
          <w:rFonts w:eastAsia="Times New Roman" w:cs="Segoe UI"/>
          <w:bCs/>
          <w:color w:val="000000"/>
          <w:lang w:eastAsia="en-IE"/>
        </w:rPr>
        <w:t>hrough</w:t>
      </w:r>
      <w:r w:rsidRPr="00AC3AB3">
        <w:rPr>
          <w:rFonts w:eastAsia="Times New Roman" w:cs="Segoe UI"/>
          <w:bCs/>
          <w:color w:val="000000"/>
          <w:lang w:eastAsia="en-IE"/>
        </w:rPr>
        <w:t xml:space="preserve"> primary and secondary education have always been difficult</w:t>
      </w:r>
      <w:r>
        <w:rPr>
          <w:rFonts w:eastAsia="Times New Roman" w:cs="Segoe UI"/>
          <w:bCs/>
          <w:color w:val="000000"/>
          <w:lang w:eastAsia="en-IE"/>
        </w:rPr>
        <w:t xml:space="preserve"> to meet and this issue has been raised previously in pre-budget submissions and also in research by individual MABS services.  </w:t>
      </w:r>
      <w:r w:rsidRPr="00AC3AB3">
        <w:rPr>
          <w:rFonts w:eastAsia="Times New Roman" w:cs="Segoe UI"/>
          <w:bCs/>
          <w:color w:val="000000"/>
          <w:lang w:eastAsia="en-IE"/>
        </w:rPr>
        <w:t xml:space="preserve"> </w:t>
      </w:r>
      <w:r>
        <w:rPr>
          <w:rFonts w:eastAsia="Times New Roman" w:cs="Segoe UI"/>
          <w:bCs/>
          <w:color w:val="000000"/>
          <w:lang w:eastAsia="en-IE"/>
        </w:rPr>
        <w:t xml:space="preserve">While the ‘Back to School Clothing and Footwear Allowance’ is an important support, it is felt that it does not go far enough in meeting the full range of costs facing recipients. There is also a concern that parents who do not qualify for the grant, struggle on an ongoing basis to meet these costs.  </w:t>
      </w:r>
    </w:p>
    <w:p w:rsidR="00883108" w:rsidRDefault="00883108" w:rsidP="001955B0">
      <w:pPr>
        <w:spacing w:line="240" w:lineRule="auto"/>
        <w:jc w:val="both"/>
        <w:rPr>
          <w:rFonts w:eastAsia="Times New Roman" w:cs="Segoe UI"/>
          <w:bCs/>
          <w:color w:val="000000"/>
          <w:lang w:eastAsia="en-IE"/>
        </w:rPr>
      </w:pPr>
      <w:r>
        <w:rPr>
          <w:rFonts w:eastAsia="Times New Roman" w:cs="Segoe UI"/>
          <w:bCs/>
          <w:color w:val="000000"/>
          <w:lang w:eastAsia="en-IE"/>
        </w:rPr>
        <w:t>There appears to be a growing requirement to purchase a ‘tablet’ or a laptop for second level students at costs varying between €500-€850, and the related requirement to have access to the internet within the home, as an additional cost for parents which many cannot afford.</w:t>
      </w:r>
    </w:p>
    <w:p w:rsidR="00883108" w:rsidRDefault="00883108" w:rsidP="00F52EAE">
      <w:pPr>
        <w:spacing w:line="240" w:lineRule="auto"/>
        <w:jc w:val="both"/>
        <w:rPr>
          <w:rFonts w:eastAsia="Times New Roman" w:cs="Segoe UI"/>
          <w:bCs/>
          <w:color w:val="000000"/>
          <w:lang w:eastAsia="en-IE"/>
        </w:rPr>
      </w:pPr>
      <w:r>
        <w:rPr>
          <w:rFonts w:eastAsia="Times New Roman" w:cs="Segoe UI"/>
          <w:bCs/>
          <w:color w:val="000000"/>
          <w:lang w:eastAsia="en-IE"/>
        </w:rPr>
        <w:t xml:space="preserve">The cessation of child-benefit at age 18 when children are still in school was raised as a problem in much of the feedback from MABS staff.  </w:t>
      </w:r>
    </w:p>
    <w:p w:rsidR="001955B0" w:rsidRPr="002D2A01" w:rsidRDefault="00883108" w:rsidP="002D2A01">
      <w:pPr>
        <w:spacing w:line="240" w:lineRule="auto"/>
        <w:jc w:val="both"/>
        <w:rPr>
          <w:rFonts w:eastAsia="Times New Roman" w:cs="Segoe UI"/>
          <w:bCs/>
          <w:i/>
          <w:color w:val="000000"/>
          <w:lang w:eastAsia="en-IE"/>
        </w:rPr>
      </w:pPr>
      <w:r>
        <w:rPr>
          <w:rFonts w:eastAsia="Times New Roman" w:cs="Segoe UI"/>
          <w:bCs/>
          <w:color w:val="000000"/>
          <w:lang w:eastAsia="en-IE"/>
        </w:rPr>
        <w:t>Costs associated with Transition Year are exacerbated by the costs of the ‘voluntary’ subscription with the perception that it must be paid as</w:t>
      </w:r>
      <w:r w:rsidR="001955B0">
        <w:rPr>
          <w:rFonts w:eastAsia="Times New Roman" w:cs="Segoe UI"/>
          <w:bCs/>
          <w:color w:val="000000"/>
          <w:lang w:eastAsia="en-IE"/>
        </w:rPr>
        <w:t xml:space="preserve"> well as extra-curricular costs.</w:t>
      </w:r>
    </w:p>
    <w:p w:rsidR="00883108" w:rsidRPr="00F52EAE" w:rsidRDefault="00883108" w:rsidP="00D805A0">
      <w:pPr>
        <w:spacing w:line="240" w:lineRule="auto"/>
        <w:ind w:firstLine="360"/>
        <w:rPr>
          <w:rFonts w:eastAsia="Times New Roman" w:cs="Segoe UI"/>
          <w:b/>
          <w:bCs/>
          <w:color w:val="244061" w:themeColor="accent1" w:themeShade="80"/>
          <w:sz w:val="24"/>
          <w:szCs w:val="24"/>
          <w:lang w:eastAsia="en-IE"/>
        </w:rPr>
      </w:pPr>
      <w:r w:rsidRPr="00F52EAE">
        <w:rPr>
          <w:rFonts w:eastAsia="Times New Roman" w:cs="Segoe UI"/>
          <w:b/>
          <w:bCs/>
          <w:color w:val="244061" w:themeColor="accent1" w:themeShade="80"/>
          <w:sz w:val="24"/>
          <w:szCs w:val="24"/>
          <w:lang w:eastAsia="en-IE"/>
        </w:rPr>
        <w:t xml:space="preserve">Recommendations: </w:t>
      </w:r>
    </w:p>
    <w:p w:rsidR="00C14A9A" w:rsidRPr="004B0A31" w:rsidRDefault="00883108" w:rsidP="002D2A01">
      <w:pPr>
        <w:shd w:val="clear" w:color="auto" w:fill="EAF1DD" w:themeFill="accent3" w:themeFillTint="33"/>
        <w:spacing w:line="240" w:lineRule="auto"/>
        <w:ind w:left="360"/>
        <w:jc w:val="both"/>
        <w:rPr>
          <w:lang w:eastAsia="en-IE"/>
        </w:rPr>
      </w:pPr>
      <w:r w:rsidRPr="004B0A31">
        <w:rPr>
          <w:lang w:eastAsia="en-IE"/>
        </w:rPr>
        <w:t>The Action Plan for Education</w:t>
      </w:r>
      <w:r w:rsidRPr="004B0A31">
        <w:rPr>
          <w:rStyle w:val="FootnoteReference"/>
          <w:rFonts w:eastAsia="Times New Roman" w:cs="Segoe UI"/>
          <w:bCs/>
          <w:color w:val="000000"/>
          <w:lang w:eastAsia="en-IE"/>
        </w:rPr>
        <w:footnoteReference w:id="7"/>
      </w:r>
      <w:r w:rsidRPr="004B0A31">
        <w:rPr>
          <w:lang w:eastAsia="en-IE"/>
        </w:rPr>
        <w:t xml:space="preserve"> (2017) contains a commitment by the Department of Education and Skills, to ‘Strengthen the focus on reducing school costs for parents’ (p49), and a related circular issued to all schools in April 2017</w:t>
      </w:r>
      <w:r w:rsidRPr="004B0A31">
        <w:rPr>
          <w:rStyle w:val="FootnoteReference"/>
          <w:rFonts w:eastAsia="Times New Roman" w:cs="Segoe UI"/>
          <w:bCs/>
          <w:color w:val="000000"/>
          <w:lang w:eastAsia="en-IE"/>
        </w:rPr>
        <w:footnoteReference w:id="8"/>
      </w:r>
      <w:r w:rsidRPr="004B0A31">
        <w:rPr>
          <w:lang w:eastAsia="en-IE"/>
        </w:rPr>
        <w:t xml:space="preserve"> describing the measures to be taken.  The items listed in the Department’s April 2017 circular provide a starting point, and it is hoped that those schools that are most effective in reducing costs share their initiatives nationally.</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 xml:space="preserve"> A number of organisations have, in the past, conducted research on the cost of education (North Cork MABS, ILCU, Barnardos etc.).  If the above commitment is to be meaningful, there should be a nationally recognised benchmark on the average costs of primary and secondary education for children at different ages, against which implementation and monitoring of this commitment can be measured.  </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 xml:space="preserve">While measures to reduce school uniform costs are welcome, the ‘Back to School Clothing and Footwear Allowance’ should be increased until there is evidence that it is at a level that is </w:t>
      </w:r>
      <w:r w:rsidRPr="004B0A31">
        <w:rPr>
          <w:lang w:eastAsia="en-IE"/>
        </w:rPr>
        <w:lastRenderedPageBreak/>
        <w:t>commensurate with the costs of providing the essential needs of school</w:t>
      </w:r>
      <w:r w:rsidR="0018564A">
        <w:rPr>
          <w:lang w:eastAsia="en-IE"/>
        </w:rPr>
        <w:t>-</w:t>
      </w:r>
      <w:r w:rsidRPr="004B0A31">
        <w:rPr>
          <w:lang w:eastAsia="en-IE"/>
        </w:rPr>
        <w:t>going children from low income households.</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 xml:space="preserve">Schools should also identify, well before the end of each school year, the total anticipated outlay for the following year including all additional voluntary payments for items such as insurance, school trips, additional ‘curricular’ classes etc. and provide parents with at least a 6 months lead-time in order to, save  towards and budget for those costs.  MABS could potentially play a more involved role in working with schools and parents on budgeting for school costs. </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While the use of ICT in schools is important for all students it should be explored as part of a national strategy, taking into account that some households may not be able to afford to pay for tablets/laptops and/or provide broadband access at home.  Commercial providers of broadband should be encouraged to provide low-cost/free broadband to low-income households where there are school-aged children.</w:t>
      </w:r>
    </w:p>
    <w:p w:rsidR="00883108" w:rsidRDefault="00883108" w:rsidP="001A6FA9">
      <w:pPr>
        <w:spacing w:line="240" w:lineRule="auto"/>
        <w:rPr>
          <w:rFonts w:eastAsia="Times New Roman" w:cs="Segoe UI"/>
          <w:bCs/>
          <w:color w:val="000000"/>
          <w:lang w:eastAsia="en-IE"/>
        </w:rPr>
      </w:pPr>
    </w:p>
    <w:p w:rsidR="00883108" w:rsidRPr="00B76C0B" w:rsidRDefault="00883108" w:rsidP="00BE36ED">
      <w:pPr>
        <w:pStyle w:val="Heading3"/>
        <w:spacing w:line="276" w:lineRule="auto"/>
        <w:rPr>
          <w:b/>
        </w:rPr>
      </w:pPr>
      <w:bookmarkStart w:id="8" w:name="_Toc485334230"/>
      <w:r w:rsidRPr="00F52EAE">
        <w:rPr>
          <w:b/>
          <w:color w:val="244061" w:themeColor="accent1" w:themeShade="80"/>
        </w:rPr>
        <w:t>SUPPORTING children with further and higher education</w:t>
      </w:r>
      <w:bookmarkEnd w:id="8"/>
      <w:r w:rsidRPr="00F52EAE">
        <w:rPr>
          <w:b/>
          <w:color w:val="244061" w:themeColor="accent1" w:themeShade="80"/>
        </w:rPr>
        <w:t xml:space="preserve"> </w:t>
      </w:r>
    </w:p>
    <w:p w:rsidR="00E15E47" w:rsidRDefault="00883108" w:rsidP="00E15E47">
      <w:pPr>
        <w:spacing w:after="0" w:line="240" w:lineRule="auto"/>
        <w:jc w:val="both"/>
        <w:rPr>
          <w:rFonts w:eastAsia="Times New Roman" w:cs="Segoe UI"/>
          <w:bCs/>
          <w:color w:val="000000"/>
          <w:lang w:eastAsia="en-IE"/>
        </w:rPr>
      </w:pPr>
      <w:r w:rsidRPr="009906DA">
        <w:rPr>
          <w:rFonts w:eastAsia="Times New Roman" w:cs="Segoe UI"/>
          <w:bCs/>
          <w:color w:val="000000"/>
          <w:lang w:eastAsia="en-IE"/>
        </w:rPr>
        <w:t>One of the most common themes reported by</w:t>
      </w:r>
      <w:r>
        <w:rPr>
          <w:rFonts w:eastAsia="Times New Roman" w:cs="Segoe UI"/>
          <w:bCs/>
          <w:color w:val="000000"/>
          <w:lang w:eastAsia="en-IE"/>
        </w:rPr>
        <w:t xml:space="preserve"> MABS staff related to </w:t>
      </w:r>
      <w:r w:rsidRPr="009906DA">
        <w:rPr>
          <w:rFonts w:eastAsia="Times New Roman" w:cs="Segoe UI"/>
          <w:bCs/>
          <w:color w:val="000000"/>
          <w:lang w:eastAsia="en-IE"/>
        </w:rPr>
        <w:t xml:space="preserve">their clients’ capacity to support their children with </w:t>
      </w:r>
      <w:r>
        <w:rPr>
          <w:rFonts w:eastAsia="Times New Roman" w:cs="Segoe UI"/>
          <w:bCs/>
          <w:color w:val="000000"/>
          <w:lang w:eastAsia="en-IE"/>
        </w:rPr>
        <w:t xml:space="preserve">the costs associated with </w:t>
      </w:r>
      <w:r w:rsidRPr="009906DA">
        <w:rPr>
          <w:rFonts w:eastAsia="Times New Roman" w:cs="Segoe UI"/>
          <w:bCs/>
          <w:color w:val="000000"/>
          <w:lang w:eastAsia="en-IE"/>
        </w:rPr>
        <w:t xml:space="preserve">further and higher education </w:t>
      </w:r>
      <w:r>
        <w:rPr>
          <w:rFonts w:eastAsia="Times New Roman" w:cs="Segoe UI"/>
          <w:bCs/>
          <w:color w:val="000000"/>
          <w:lang w:eastAsia="en-IE"/>
        </w:rPr>
        <w:t xml:space="preserve">and, in particular, the cost of the college registration fee and the high cost related to </w:t>
      </w:r>
      <w:r w:rsidRPr="009906DA">
        <w:rPr>
          <w:rFonts w:eastAsia="Times New Roman" w:cs="Segoe UI"/>
          <w:bCs/>
          <w:color w:val="000000"/>
          <w:lang w:eastAsia="en-IE"/>
        </w:rPr>
        <w:t>accommodation</w:t>
      </w:r>
      <w:r>
        <w:rPr>
          <w:rFonts w:eastAsia="Times New Roman" w:cs="Segoe UI"/>
          <w:bCs/>
          <w:color w:val="000000"/>
          <w:lang w:eastAsia="en-IE"/>
        </w:rPr>
        <w:t xml:space="preserve"> near colleges</w:t>
      </w:r>
      <w:r w:rsidRPr="009906DA">
        <w:rPr>
          <w:rFonts w:eastAsia="Times New Roman" w:cs="Segoe UI"/>
          <w:bCs/>
          <w:color w:val="000000"/>
          <w:lang w:eastAsia="en-IE"/>
        </w:rPr>
        <w:t>.</w:t>
      </w:r>
      <w:r>
        <w:rPr>
          <w:rFonts w:eastAsia="Times New Roman" w:cs="Segoe UI"/>
          <w:bCs/>
          <w:color w:val="000000"/>
          <w:lang w:eastAsia="en-IE"/>
        </w:rPr>
        <w:t xml:space="preserve">   The loss of child benefit at age 18 was also cited under this heading.  The costs associated with tertiary education are </w:t>
      </w:r>
      <w:r w:rsidRPr="00272983">
        <w:rPr>
          <w:rFonts w:eastAsia="Times New Roman" w:cs="Segoe UI"/>
          <w:bCs/>
          <w:color w:val="000000"/>
          <w:lang w:eastAsia="en-IE"/>
        </w:rPr>
        <w:t>increasing</w:t>
      </w:r>
      <w:r>
        <w:rPr>
          <w:rFonts w:eastAsia="Times New Roman" w:cs="Segoe UI"/>
          <w:bCs/>
          <w:i/>
          <w:color w:val="000000"/>
          <w:lang w:eastAsia="en-IE"/>
        </w:rPr>
        <w:t xml:space="preserve"> </w:t>
      </w:r>
      <w:r>
        <w:rPr>
          <w:rFonts w:eastAsia="Times New Roman" w:cs="Segoe UI"/>
          <w:bCs/>
          <w:color w:val="000000"/>
          <w:lang w:eastAsia="en-IE"/>
        </w:rPr>
        <w:t xml:space="preserve">and it is felt that the SUSI grant is not enough and that many MABS clients need to avail of charitable support, for example from the Society of Saint Vincent De Paul.  </w:t>
      </w:r>
    </w:p>
    <w:p w:rsidR="00E15E47" w:rsidRDefault="00E15E47" w:rsidP="00E15E47">
      <w:pPr>
        <w:spacing w:after="0" w:line="240" w:lineRule="auto"/>
        <w:jc w:val="both"/>
        <w:rPr>
          <w:rFonts w:eastAsia="Times New Roman" w:cs="Segoe UI"/>
          <w:bCs/>
          <w:color w:val="000000"/>
          <w:lang w:eastAsia="en-IE"/>
        </w:rPr>
      </w:pPr>
    </w:p>
    <w:p w:rsidR="00E15E47" w:rsidRDefault="00883108" w:rsidP="00E15E47">
      <w:pPr>
        <w:spacing w:after="0" w:line="240" w:lineRule="auto"/>
        <w:jc w:val="both"/>
        <w:rPr>
          <w:rFonts w:eastAsia="Times New Roman" w:cs="Segoe UI"/>
          <w:bCs/>
          <w:color w:val="000000"/>
          <w:lang w:eastAsia="en-IE"/>
        </w:rPr>
      </w:pPr>
      <w:r>
        <w:rPr>
          <w:rFonts w:eastAsia="Times New Roman" w:cs="Segoe UI"/>
          <w:bCs/>
          <w:color w:val="000000"/>
          <w:lang w:eastAsia="en-IE"/>
        </w:rPr>
        <w:t xml:space="preserve">Where students can’t afford accommodation near a college they commute, and that too can have a high cost and can also limit students’ capacity to work in order to support themselves.  This is because they are spending long hours travelling to, and from, college and may also live in areas where no part-time work is available to them.   Access to transport can also pose a problem in rural areas. </w:t>
      </w:r>
      <w:r w:rsidRPr="009906DA">
        <w:rPr>
          <w:rFonts w:eastAsia="Times New Roman" w:cs="Segoe UI"/>
          <w:bCs/>
          <w:color w:val="000000"/>
          <w:lang w:eastAsia="en-IE"/>
        </w:rPr>
        <w:t xml:space="preserve"> </w:t>
      </w:r>
    </w:p>
    <w:p w:rsidR="00E15E47" w:rsidRDefault="00E15E47" w:rsidP="00E15E47">
      <w:pPr>
        <w:spacing w:after="0" w:line="240" w:lineRule="auto"/>
        <w:jc w:val="both"/>
        <w:rPr>
          <w:rFonts w:eastAsia="Times New Roman" w:cs="Segoe UI"/>
          <w:bCs/>
          <w:color w:val="000000"/>
          <w:lang w:eastAsia="en-IE"/>
        </w:rPr>
      </w:pPr>
    </w:p>
    <w:p w:rsidR="00883108" w:rsidRPr="009906DA" w:rsidRDefault="00883108" w:rsidP="00E15E47">
      <w:pPr>
        <w:spacing w:after="0" w:line="240" w:lineRule="auto"/>
        <w:jc w:val="both"/>
        <w:rPr>
          <w:rFonts w:eastAsia="Times New Roman" w:cs="Segoe UI"/>
          <w:bCs/>
          <w:color w:val="000000"/>
          <w:lang w:eastAsia="en-IE"/>
        </w:rPr>
      </w:pPr>
      <w:r w:rsidRPr="00E11397">
        <w:rPr>
          <w:rFonts w:eastAsia="Times New Roman" w:cs="Segoe UI"/>
          <w:bCs/>
          <w:color w:val="000000"/>
          <w:lang w:eastAsia="en-IE"/>
        </w:rPr>
        <w:t xml:space="preserve">The interplay </w:t>
      </w:r>
      <w:r>
        <w:rPr>
          <w:rFonts w:eastAsia="Times New Roman" w:cs="Segoe UI"/>
          <w:bCs/>
          <w:color w:val="000000"/>
          <w:lang w:eastAsia="en-IE"/>
        </w:rPr>
        <w:t>between supporting children with tertiary education and meeting other financial commitments w</w:t>
      </w:r>
      <w:r w:rsidRPr="00E11397">
        <w:rPr>
          <w:rFonts w:eastAsia="Times New Roman" w:cs="Segoe UI"/>
          <w:bCs/>
          <w:color w:val="000000"/>
          <w:lang w:eastAsia="en-IE"/>
        </w:rPr>
        <w:t>as highlighted also</w:t>
      </w:r>
      <w:r>
        <w:rPr>
          <w:rFonts w:eastAsia="Times New Roman" w:cs="Segoe UI"/>
          <w:bCs/>
          <w:color w:val="000000"/>
          <w:lang w:eastAsia="en-IE"/>
        </w:rPr>
        <w:t>,</w:t>
      </w:r>
      <w:r w:rsidRPr="00E11397">
        <w:rPr>
          <w:rFonts w:eastAsia="Times New Roman" w:cs="Segoe UI"/>
          <w:bCs/>
          <w:color w:val="000000"/>
          <w:lang w:eastAsia="en-IE"/>
        </w:rPr>
        <w:t xml:space="preserve"> with some respondents indicating that clients have missed their own mo</w:t>
      </w:r>
      <w:r>
        <w:rPr>
          <w:rFonts w:eastAsia="Times New Roman" w:cs="Segoe UI"/>
          <w:bCs/>
          <w:color w:val="000000"/>
          <w:lang w:eastAsia="en-IE"/>
        </w:rPr>
        <w:t xml:space="preserve">rtgage payments to try and help </w:t>
      </w:r>
      <w:r w:rsidRPr="00E11397">
        <w:rPr>
          <w:rFonts w:eastAsia="Times New Roman" w:cs="Segoe UI"/>
          <w:bCs/>
          <w:color w:val="000000"/>
          <w:lang w:eastAsia="en-IE"/>
        </w:rPr>
        <w:t>out with a child’s student accommodation costs.  Likewise</w:t>
      </w:r>
      <w:r>
        <w:rPr>
          <w:rFonts w:eastAsia="Times New Roman" w:cs="Segoe UI"/>
          <w:bCs/>
          <w:color w:val="000000"/>
          <w:lang w:eastAsia="en-IE"/>
        </w:rPr>
        <w:t>,</w:t>
      </w:r>
      <w:r w:rsidRPr="00E11397">
        <w:rPr>
          <w:rFonts w:eastAsia="Times New Roman" w:cs="Segoe UI"/>
          <w:bCs/>
          <w:color w:val="000000"/>
          <w:lang w:eastAsia="en-IE"/>
        </w:rPr>
        <w:t xml:space="preserve"> parents are de</w:t>
      </w:r>
      <w:r>
        <w:rPr>
          <w:rFonts w:eastAsia="Times New Roman" w:cs="Segoe UI"/>
          <w:bCs/>
          <w:color w:val="000000"/>
          <w:lang w:eastAsia="en-IE"/>
        </w:rPr>
        <w:t>s</w:t>
      </w:r>
      <w:r w:rsidRPr="00E11397">
        <w:rPr>
          <w:rFonts w:eastAsia="Times New Roman" w:cs="Segoe UI"/>
          <w:bCs/>
          <w:color w:val="000000"/>
          <w:lang w:eastAsia="en-IE"/>
        </w:rPr>
        <w:t xml:space="preserve">cribed as </w:t>
      </w:r>
      <w:r w:rsidRPr="00054EA3">
        <w:rPr>
          <w:rFonts w:eastAsia="Times New Roman" w:cs="Segoe UI"/>
          <w:bCs/>
          <w:i/>
          <w:color w:val="000000"/>
          <w:lang w:eastAsia="en-IE"/>
        </w:rPr>
        <w:t xml:space="preserve">‘going without the basics’ </w:t>
      </w:r>
      <w:r w:rsidRPr="00E11397">
        <w:rPr>
          <w:rFonts w:eastAsia="Times New Roman" w:cs="Segoe UI"/>
          <w:bCs/>
          <w:color w:val="000000"/>
          <w:lang w:eastAsia="en-IE"/>
        </w:rPr>
        <w:t>to support their children through coll</w:t>
      </w:r>
      <w:r>
        <w:rPr>
          <w:rFonts w:eastAsia="Times New Roman" w:cs="Segoe UI"/>
          <w:bCs/>
          <w:color w:val="000000"/>
          <w:lang w:eastAsia="en-IE"/>
        </w:rPr>
        <w:t xml:space="preserve">ege. </w:t>
      </w:r>
    </w:p>
    <w:p w:rsidR="00883108" w:rsidRDefault="00883108" w:rsidP="00F52EAE">
      <w:pPr>
        <w:spacing w:line="240" w:lineRule="auto"/>
        <w:jc w:val="both"/>
        <w:rPr>
          <w:rFonts w:eastAsia="Times New Roman" w:cs="Segoe UI"/>
          <w:bCs/>
          <w:color w:val="000000"/>
          <w:lang w:eastAsia="en-IE"/>
        </w:rPr>
      </w:pPr>
      <w:r>
        <w:rPr>
          <w:rFonts w:eastAsia="Times New Roman" w:cs="Segoe UI"/>
          <w:bCs/>
          <w:color w:val="000000"/>
          <w:lang w:eastAsia="en-IE"/>
        </w:rPr>
        <w:t>There appears to be a lack of recognition of third-</w:t>
      </w:r>
      <w:r w:rsidRPr="00E11397">
        <w:rPr>
          <w:rFonts w:eastAsia="Times New Roman" w:cs="Segoe UI"/>
          <w:bCs/>
          <w:color w:val="000000"/>
          <w:lang w:eastAsia="en-IE"/>
        </w:rPr>
        <w:t>level expenses in the ISI’s ‘Reasonable Living Expenses’ guidelines.  These guidelines are now used by most banks in determinations related to offering an Alternative Repayment Arrangement</w:t>
      </w:r>
      <w:r>
        <w:rPr>
          <w:rFonts w:eastAsia="Times New Roman" w:cs="Segoe UI"/>
          <w:bCs/>
          <w:color w:val="000000"/>
          <w:lang w:eastAsia="en-IE"/>
        </w:rPr>
        <w:t xml:space="preserve"> to borrowers in mortgage arrears.  T</w:t>
      </w:r>
      <w:r w:rsidRPr="00E11397">
        <w:rPr>
          <w:rFonts w:eastAsia="Times New Roman" w:cs="Segoe UI"/>
          <w:bCs/>
          <w:color w:val="000000"/>
          <w:lang w:eastAsia="en-IE"/>
        </w:rPr>
        <w:t xml:space="preserve">he experience of </w:t>
      </w:r>
      <w:r>
        <w:rPr>
          <w:rFonts w:eastAsia="Times New Roman" w:cs="Segoe UI"/>
          <w:bCs/>
          <w:color w:val="000000"/>
          <w:lang w:eastAsia="en-IE"/>
        </w:rPr>
        <w:t xml:space="preserve">MABS </w:t>
      </w:r>
      <w:r w:rsidRPr="00E11397">
        <w:rPr>
          <w:rFonts w:eastAsia="Times New Roman" w:cs="Segoe UI"/>
          <w:bCs/>
          <w:color w:val="000000"/>
          <w:lang w:eastAsia="en-IE"/>
        </w:rPr>
        <w:t xml:space="preserve">advisors is that some lenders will include </w:t>
      </w:r>
      <w:r>
        <w:rPr>
          <w:rFonts w:eastAsia="Times New Roman" w:cs="Segoe UI"/>
          <w:bCs/>
          <w:color w:val="000000"/>
          <w:lang w:eastAsia="en-IE"/>
        </w:rPr>
        <w:t xml:space="preserve">college-related expenditure for children as accepted expenditure, while others do not.  This can have a very appreciable impact on a household’s capacity to put in place an affordable arrangement with the lender. </w:t>
      </w:r>
    </w:p>
    <w:p w:rsidR="00883108" w:rsidRPr="00F52EAE" w:rsidRDefault="00883108" w:rsidP="00C14A9A">
      <w:pPr>
        <w:spacing w:line="240" w:lineRule="auto"/>
        <w:ind w:firstLine="360"/>
        <w:rPr>
          <w:rFonts w:eastAsia="Times New Roman" w:cs="Segoe UI"/>
          <w:b/>
          <w:bCs/>
          <w:i/>
          <w:color w:val="244061" w:themeColor="accent1" w:themeShade="80"/>
          <w:sz w:val="24"/>
          <w:szCs w:val="24"/>
          <w:lang w:eastAsia="en-IE"/>
        </w:rPr>
      </w:pPr>
      <w:r w:rsidRPr="00F52EAE">
        <w:rPr>
          <w:rFonts w:eastAsia="Times New Roman" w:cs="Segoe UI"/>
          <w:b/>
          <w:bCs/>
          <w:i/>
          <w:color w:val="244061" w:themeColor="accent1" w:themeShade="80"/>
          <w:sz w:val="24"/>
          <w:szCs w:val="24"/>
          <w:lang w:eastAsia="en-IE"/>
        </w:rPr>
        <w:t>Recommendations:</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Where possible, universities and colleges should employ Student Budgeting Officers to support students who may be in financial difficulty and at risk of dropping out.  Where this is not possible strong linkages to MABS to be developed.</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t xml:space="preserve">The SUSI eligibility criteria should be reviewed to increase the levels of ‘reckonable income’ for eligibility purposes and to reduce the distance (currently 45km) for eligibility for the non-adjacent rate of support. </w:t>
      </w:r>
    </w:p>
    <w:p w:rsidR="00883108" w:rsidRPr="004B0A31" w:rsidRDefault="00883108" w:rsidP="002D2A01">
      <w:pPr>
        <w:shd w:val="clear" w:color="auto" w:fill="EAF1DD" w:themeFill="accent3" w:themeFillTint="33"/>
        <w:spacing w:line="240" w:lineRule="auto"/>
        <w:ind w:left="360"/>
        <w:jc w:val="both"/>
        <w:rPr>
          <w:lang w:eastAsia="en-IE"/>
        </w:rPr>
      </w:pPr>
      <w:r w:rsidRPr="004B0A31">
        <w:rPr>
          <w:lang w:eastAsia="en-IE"/>
        </w:rPr>
        <w:lastRenderedPageBreak/>
        <w:t>There should be recognition of costs related to further/higher education in the Reasonable Living Expenses published by the ISI and same should be recognised by banks in their consideration of both ARA’s and statutory insolvency options.</w:t>
      </w:r>
    </w:p>
    <w:p w:rsidR="00883108" w:rsidRPr="00E32875" w:rsidRDefault="00883108" w:rsidP="001A6FA9">
      <w:pPr>
        <w:pStyle w:val="Heading2"/>
        <w:spacing w:line="240" w:lineRule="auto"/>
        <w:rPr>
          <w:sz w:val="28"/>
          <w:szCs w:val="28"/>
        </w:rPr>
      </w:pPr>
      <w:bookmarkStart w:id="9" w:name="_Toc485334231"/>
      <w:r w:rsidRPr="00E32875">
        <w:rPr>
          <w:sz w:val="28"/>
          <w:szCs w:val="28"/>
        </w:rPr>
        <w:t>Retirement</w:t>
      </w:r>
      <w:bookmarkEnd w:id="9"/>
    </w:p>
    <w:p w:rsidR="00883108" w:rsidRPr="00F52EAE" w:rsidRDefault="00883108" w:rsidP="001A6FA9">
      <w:pPr>
        <w:pStyle w:val="Heading4"/>
        <w:spacing w:line="240" w:lineRule="auto"/>
        <w:rPr>
          <w:b/>
          <w:color w:val="244061" w:themeColor="accent1" w:themeShade="80"/>
          <w:lang w:eastAsia="en-IE"/>
        </w:rPr>
      </w:pPr>
      <w:r w:rsidRPr="00F52EAE">
        <w:rPr>
          <w:b/>
          <w:color w:val="244061" w:themeColor="accent1" w:themeShade="80"/>
          <w:lang w:eastAsia="en-IE"/>
        </w:rPr>
        <w:t>Pension inadequacy &amp; risk of homelessness</w:t>
      </w:r>
    </w:p>
    <w:p w:rsidR="0018564A" w:rsidRDefault="00883108" w:rsidP="00F52EAE">
      <w:pPr>
        <w:spacing w:after="0" w:line="240" w:lineRule="auto"/>
        <w:jc w:val="both"/>
        <w:rPr>
          <w:rFonts w:eastAsia="Times New Roman" w:cs="Segoe UI"/>
          <w:bCs/>
          <w:color w:val="000000"/>
          <w:lang w:eastAsia="en-IE"/>
        </w:rPr>
      </w:pPr>
      <w:r w:rsidRPr="00865A5F">
        <w:rPr>
          <w:rFonts w:eastAsia="Times New Roman" w:cs="Segoe UI"/>
          <w:bCs/>
          <w:color w:val="000000"/>
          <w:lang w:eastAsia="en-IE"/>
        </w:rPr>
        <w:t>The strength of views</w:t>
      </w:r>
      <w:r>
        <w:rPr>
          <w:rFonts w:eastAsia="Times New Roman" w:cs="Segoe UI"/>
          <w:bCs/>
          <w:color w:val="000000"/>
          <w:lang w:eastAsia="en-IE"/>
        </w:rPr>
        <w:t xml:space="preserve"> from MABS staff</w:t>
      </w:r>
      <w:r w:rsidRPr="00865A5F">
        <w:rPr>
          <w:rFonts w:eastAsia="Times New Roman" w:cs="Segoe UI"/>
          <w:bCs/>
          <w:color w:val="000000"/>
          <w:lang w:eastAsia="en-IE"/>
        </w:rPr>
        <w:t xml:space="preserve"> on this issue is striking and is reflective of the decade that has past </w:t>
      </w:r>
      <w:r>
        <w:rPr>
          <w:rFonts w:eastAsia="Times New Roman" w:cs="Segoe UI"/>
          <w:bCs/>
          <w:color w:val="000000"/>
          <w:lang w:eastAsia="en-IE"/>
        </w:rPr>
        <w:t>(characterised by deep recession and</w:t>
      </w:r>
      <w:r w:rsidRPr="00865A5F">
        <w:rPr>
          <w:rFonts w:eastAsia="Times New Roman" w:cs="Segoe UI"/>
          <w:bCs/>
          <w:color w:val="000000"/>
          <w:lang w:eastAsia="en-IE"/>
        </w:rPr>
        <w:t xml:space="preserve"> slow recovery</w:t>
      </w:r>
      <w:r>
        <w:rPr>
          <w:rFonts w:eastAsia="Times New Roman" w:cs="Segoe UI"/>
          <w:bCs/>
          <w:color w:val="000000"/>
          <w:lang w:eastAsia="en-IE"/>
        </w:rPr>
        <w:t xml:space="preserve">) </w:t>
      </w:r>
      <w:r w:rsidRPr="00865A5F">
        <w:rPr>
          <w:rFonts w:eastAsia="Times New Roman" w:cs="Segoe UI"/>
          <w:bCs/>
          <w:color w:val="000000"/>
          <w:lang w:eastAsia="en-IE"/>
        </w:rPr>
        <w:t xml:space="preserve">and </w:t>
      </w:r>
      <w:r>
        <w:rPr>
          <w:rFonts w:eastAsia="Times New Roman" w:cs="Segoe UI"/>
          <w:bCs/>
          <w:color w:val="000000"/>
          <w:lang w:eastAsia="en-IE"/>
        </w:rPr>
        <w:t xml:space="preserve">also </w:t>
      </w:r>
      <w:r w:rsidRPr="00865A5F">
        <w:rPr>
          <w:rFonts w:eastAsia="Times New Roman" w:cs="Segoe UI"/>
          <w:bCs/>
          <w:color w:val="000000"/>
          <w:lang w:eastAsia="en-IE"/>
        </w:rPr>
        <w:t>of the decade t</w:t>
      </w:r>
      <w:r>
        <w:rPr>
          <w:rFonts w:eastAsia="Times New Roman" w:cs="Segoe UI"/>
          <w:bCs/>
          <w:color w:val="000000"/>
          <w:lang w:eastAsia="en-IE"/>
        </w:rPr>
        <w:t xml:space="preserve">hat preceded it and </w:t>
      </w:r>
      <w:r w:rsidRPr="00865A5F">
        <w:rPr>
          <w:rFonts w:eastAsia="Times New Roman" w:cs="Segoe UI"/>
          <w:bCs/>
          <w:color w:val="000000"/>
          <w:lang w:eastAsia="en-IE"/>
        </w:rPr>
        <w:t>specific</w:t>
      </w:r>
      <w:r>
        <w:rPr>
          <w:rFonts w:eastAsia="Times New Roman" w:cs="Segoe UI"/>
          <w:bCs/>
          <w:color w:val="000000"/>
          <w:lang w:eastAsia="en-IE"/>
        </w:rPr>
        <w:t>ally</w:t>
      </w:r>
      <w:r w:rsidRPr="00865A5F">
        <w:rPr>
          <w:rFonts w:eastAsia="Times New Roman" w:cs="Segoe UI"/>
          <w:bCs/>
          <w:color w:val="000000"/>
          <w:lang w:eastAsia="en-IE"/>
        </w:rPr>
        <w:t xml:space="preserve"> the credit</w:t>
      </w:r>
      <w:r>
        <w:rPr>
          <w:rFonts w:eastAsia="Times New Roman" w:cs="Segoe UI"/>
          <w:bCs/>
          <w:color w:val="000000"/>
          <w:lang w:eastAsia="en-IE"/>
        </w:rPr>
        <w:t>-fuelled</w:t>
      </w:r>
      <w:r w:rsidRPr="00865A5F">
        <w:rPr>
          <w:rFonts w:eastAsia="Times New Roman" w:cs="Segoe UI"/>
          <w:bCs/>
          <w:color w:val="000000"/>
          <w:lang w:eastAsia="en-IE"/>
        </w:rPr>
        <w:t xml:space="preserve"> </w:t>
      </w:r>
      <w:r>
        <w:rPr>
          <w:rFonts w:eastAsia="Times New Roman" w:cs="Segoe UI"/>
          <w:bCs/>
          <w:color w:val="000000"/>
          <w:lang w:eastAsia="en-IE"/>
        </w:rPr>
        <w:t>‘</w:t>
      </w:r>
      <w:r w:rsidRPr="00865A5F">
        <w:rPr>
          <w:rFonts w:eastAsia="Times New Roman" w:cs="Segoe UI"/>
          <w:bCs/>
          <w:color w:val="000000"/>
          <w:lang w:eastAsia="en-IE"/>
        </w:rPr>
        <w:t>boom</w:t>
      </w:r>
      <w:r>
        <w:rPr>
          <w:rFonts w:eastAsia="Times New Roman" w:cs="Segoe UI"/>
          <w:bCs/>
          <w:color w:val="000000"/>
          <w:lang w:eastAsia="en-IE"/>
        </w:rPr>
        <w:t>/bonanza’</w:t>
      </w:r>
      <w:r w:rsidRPr="00865A5F">
        <w:rPr>
          <w:rFonts w:eastAsia="Times New Roman" w:cs="Segoe UI"/>
          <w:bCs/>
          <w:color w:val="000000"/>
          <w:lang w:eastAsia="en-IE"/>
        </w:rPr>
        <w:t xml:space="preserve"> from 2000 to 2007.   Heavily reliant on social welfare as their main source of income, the traditional MABS client group would rarely have made provision for a private pension</w:t>
      </w:r>
      <w:r>
        <w:rPr>
          <w:rFonts w:eastAsia="Times New Roman" w:cs="Segoe UI"/>
          <w:bCs/>
          <w:color w:val="000000"/>
          <w:lang w:eastAsia="en-IE"/>
        </w:rPr>
        <w:t>. However, in the past, those clients would not have had high levels of debt in their older years.  Over the course of the recession this changed and MABS</w:t>
      </w:r>
      <w:r w:rsidRPr="00865A5F">
        <w:rPr>
          <w:rFonts w:eastAsia="Times New Roman" w:cs="Segoe UI"/>
          <w:bCs/>
          <w:color w:val="000000"/>
          <w:lang w:eastAsia="en-IE"/>
        </w:rPr>
        <w:t xml:space="preserve"> started to see many more people whose income </w:t>
      </w:r>
      <w:r>
        <w:rPr>
          <w:rFonts w:eastAsia="Times New Roman" w:cs="Segoe UI"/>
          <w:bCs/>
          <w:color w:val="000000"/>
          <w:lang w:eastAsia="en-IE"/>
        </w:rPr>
        <w:t xml:space="preserve">had </w:t>
      </w:r>
      <w:r w:rsidRPr="00865A5F">
        <w:rPr>
          <w:rFonts w:eastAsia="Times New Roman" w:cs="Segoe UI"/>
          <w:bCs/>
          <w:color w:val="000000"/>
          <w:lang w:eastAsia="en-IE"/>
        </w:rPr>
        <w:t>dropped as a result of unemployment</w:t>
      </w:r>
      <w:r>
        <w:rPr>
          <w:rFonts w:eastAsia="Times New Roman" w:cs="Segoe UI"/>
          <w:bCs/>
          <w:color w:val="000000"/>
          <w:lang w:eastAsia="en-IE"/>
        </w:rPr>
        <w:t xml:space="preserve"> and who had to forsake ambitions for a private pension.</w:t>
      </w:r>
      <w:r w:rsidRPr="00865A5F">
        <w:rPr>
          <w:rFonts w:eastAsia="Times New Roman" w:cs="Segoe UI"/>
          <w:bCs/>
          <w:color w:val="000000"/>
          <w:lang w:eastAsia="en-IE"/>
        </w:rPr>
        <w:t xml:space="preserve"> </w:t>
      </w:r>
    </w:p>
    <w:p w:rsidR="00883108" w:rsidRDefault="00883108" w:rsidP="00F52EAE">
      <w:pPr>
        <w:spacing w:after="0" w:line="240" w:lineRule="auto"/>
        <w:jc w:val="both"/>
        <w:rPr>
          <w:rFonts w:eastAsia="Times New Roman" w:cs="Segoe UI"/>
          <w:bCs/>
          <w:color w:val="000000"/>
          <w:lang w:eastAsia="en-IE"/>
        </w:rPr>
      </w:pPr>
      <w:r w:rsidRPr="00865A5F">
        <w:rPr>
          <w:rFonts w:eastAsia="Times New Roman" w:cs="Segoe UI"/>
          <w:bCs/>
          <w:color w:val="000000"/>
          <w:lang w:eastAsia="en-IE"/>
        </w:rPr>
        <w:t xml:space="preserve"> </w:t>
      </w:r>
    </w:p>
    <w:p w:rsidR="00883108" w:rsidRDefault="00883108" w:rsidP="007223B3">
      <w:pPr>
        <w:spacing w:line="240" w:lineRule="auto"/>
        <w:jc w:val="both"/>
        <w:rPr>
          <w:rFonts w:eastAsia="Times New Roman" w:cs="Segoe UI"/>
          <w:bCs/>
          <w:color w:val="000000"/>
          <w:lang w:eastAsia="en-IE"/>
        </w:rPr>
      </w:pPr>
      <w:r w:rsidRPr="00272983">
        <w:rPr>
          <w:rFonts w:eastAsia="Times New Roman" w:cs="Segoe UI"/>
          <w:bCs/>
          <w:color w:val="000000"/>
          <w:lang w:eastAsia="en-IE"/>
        </w:rPr>
        <w:t xml:space="preserve">At the same time, these older clients have experienced a loss of income that has led to a build-up of mortgage and other arrears.  Some clients refinanced using the equity in their own homes to help children get onto the property ladder.  </w:t>
      </w:r>
      <w:r>
        <w:rPr>
          <w:rFonts w:eastAsia="Times New Roman" w:cs="Segoe UI"/>
          <w:bCs/>
          <w:color w:val="000000"/>
          <w:lang w:eastAsia="en-IE"/>
        </w:rPr>
        <w:t>Thus, an increasing number of MABS</w:t>
      </w:r>
      <w:r w:rsidRPr="00865A5F">
        <w:rPr>
          <w:rFonts w:eastAsia="Times New Roman" w:cs="Segoe UI"/>
          <w:bCs/>
          <w:color w:val="000000"/>
          <w:lang w:eastAsia="en-IE"/>
        </w:rPr>
        <w:t xml:space="preserve"> clients are facing into retirement with more debt and a lower pension than they would have ever anticipated and some are now at a very high risk of losing their homes.  </w:t>
      </w:r>
      <w:r>
        <w:rPr>
          <w:rFonts w:eastAsia="Times New Roman" w:cs="Segoe UI"/>
          <w:bCs/>
          <w:color w:val="000000"/>
          <w:lang w:eastAsia="en-IE"/>
        </w:rPr>
        <w:t xml:space="preserve">The concerns </w:t>
      </w:r>
      <w:r w:rsidRPr="001D44C3">
        <w:rPr>
          <w:rFonts w:eastAsia="Times New Roman" w:cs="Segoe UI"/>
          <w:bCs/>
          <w:color w:val="000000"/>
          <w:lang w:eastAsia="en-IE"/>
        </w:rPr>
        <w:t>i</w:t>
      </w:r>
      <w:r>
        <w:rPr>
          <w:rFonts w:eastAsia="Times New Roman" w:cs="Segoe UI"/>
          <w:bCs/>
          <w:color w:val="000000"/>
          <w:lang w:eastAsia="en-IE"/>
        </w:rPr>
        <w:t>n relation to retirement relate</w:t>
      </w:r>
      <w:r w:rsidRPr="001D44C3">
        <w:rPr>
          <w:rFonts w:eastAsia="Times New Roman" w:cs="Segoe UI"/>
          <w:bCs/>
          <w:color w:val="000000"/>
          <w:lang w:eastAsia="en-IE"/>
        </w:rPr>
        <w:t xml:space="preserve"> mainly to the cap</w:t>
      </w:r>
      <w:r>
        <w:rPr>
          <w:rFonts w:eastAsia="Times New Roman" w:cs="Segoe UI"/>
          <w:bCs/>
          <w:color w:val="000000"/>
          <w:lang w:eastAsia="en-IE"/>
        </w:rPr>
        <w:t xml:space="preserve">acity of clients to pay off mortgage debts, </w:t>
      </w:r>
      <w:r w:rsidRPr="001D44C3">
        <w:rPr>
          <w:rFonts w:eastAsia="Times New Roman" w:cs="Segoe UI"/>
          <w:bCs/>
          <w:color w:val="000000"/>
          <w:lang w:eastAsia="en-IE"/>
        </w:rPr>
        <w:t>the adequacy of the HAP scheme for older clients and income adequacy more generally on retirement.</w:t>
      </w:r>
      <w:r>
        <w:rPr>
          <w:rFonts w:eastAsia="Times New Roman" w:cs="Segoe UI"/>
          <w:bCs/>
          <w:color w:val="000000"/>
          <w:lang w:eastAsia="en-IE"/>
        </w:rPr>
        <w:t xml:space="preserve">  </w:t>
      </w:r>
    </w:p>
    <w:p w:rsidR="00883108" w:rsidRPr="00F52EAE" w:rsidRDefault="00883108" w:rsidP="001A6FA9">
      <w:pPr>
        <w:spacing w:line="240" w:lineRule="auto"/>
        <w:rPr>
          <w:b/>
          <w:i/>
          <w:color w:val="244061" w:themeColor="accent1" w:themeShade="80"/>
          <w:sz w:val="24"/>
          <w:szCs w:val="24"/>
        </w:rPr>
      </w:pPr>
      <w:r w:rsidRPr="00F52EAE">
        <w:rPr>
          <w:b/>
          <w:i/>
          <w:color w:val="244061" w:themeColor="accent1" w:themeShade="80"/>
          <w:sz w:val="24"/>
          <w:szCs w:val="24"/>
        </w:rPr>
        <w:t>Recommendations:</w:t>
      </w:r>
    </w:p>
    <w:p w:rsidR="00883108" w:rsidRDefault="00883108" w:rsidP="00132AB7">
      <w:pPr>
        <w:spacing w:line="240" w:lineRule="auto"/>
        <w:jc w:val="both"/>
      </w:pPr>
      <w:r w:rsidRPr="00773DED">
        <w:t>The recommendatio</w:t>
      </w:r>
      <w:r>
        <w:t>ns in this section are twofold.  T</w:t>
      </w:r>
      <w:r w:rsidRPr="00773DED">
        <w:t>hey relate firstly to younger age groups who need</w:t>
      </w:r>
      <w:r>
        <w:t>, based on the experiences recounted above,</w:t>
      </w:r>
      <w:r w:rsidRPr="00773DED">
        <w:t xml:space="preserve"> to be encouraged to make greater provision for retirement</w:t>
      </w:r>
      <w:r>
        <w:t>,</w:t>
      </w:r>
      <w:r w:rsidRPr="00773DED">
        <w:t xml:space="preserve"> and second</w:t>
      </w:r>
      <w:r>
        <w:t>,</w:t>
      </w:r>
      <w:r w:rsidRPr="00773DED">
        <w:t xml:space="preserve"> to the current cohort of MABS clients whose pensions are inadequate to their current needs.</w:t>
      </w:r>
      <w:r>
        <w:t xml:space="preserve">  Some of the clients MABS is now seeing were poorly advised in relation to their pensions and adopted approaches which did not yield the expected results.  However, such is their level of income that, on approaching MABS, clients usually have little or no financial capacity to make provision for their future pension needs.  </w:t>
      </w:r>
    </w:p>
    <w:p w:rsidR="00883108" w:rsidRPr="001A7BC4" w:rsidRDefault="00883108" w:rsidP="00B05779">
      <w:pPr>
        <w:spacing w:line="240" w:lineRule="auto"/>
        <w:rPr>
          <w:b/>
        </w:rPr>
      </w:pPr>
      <w:r>
        <w:rPr>
          <w:b/>
        </w:rPr>
        <w:t>Retirement/</w:t>
      </w:r>
      <w:r w:rsidRPr="001A7BC4">
        <w:rPr>
          <w:b/>
        </w:rPr>
        <w:t>Pension planning:</w:t>
      </w:r>
    </w:p>
    <w:p w:rsidR="00883108" w:rsidRPr="004B0A31" w:rsidRDefault="00883108" w:rsidP="002D2A01">
      <w:pPr>
        <w:pStyle w:val="ListParagraph"/>
        <w:shd w:val="clear" w:color="auto" w:fill="EAF1DD" w:themeFill="accent3" w:themeFillTint="33"/>
        <w:spacing w:after="0" w:line="240" w:lineRule="auto"/>
        <w:jc w:val="both"/>
      </w:pPr>
      <w:r w:rsidRPr="004B0A31">
        <w:t>Greater incentives are required to encourage people of working-age to make adequate provision for a pension.</w:t>
      </w:r>
    </w:p>
    <w:p w:rsidR="00B05779" w:rsidRPr="004B0A31" w:rsidRDefault="00B05779" w:rsidP="002D2A01">
      <w:pPr>
        <w:pStyle w:val="ListParagraph"/>
        <w:shd w:val="clear" w:color="auto" w:fill="EAF1DD" w:themeFill="accent3" w:themeFillTint="33"/>
        <w:spacing w:after="0" w:line="240" w:lineRule="auto"/>
        <w:jc w:val="both"/>
      </w:pPr>
    </w:p>
    <w:p w:rsidR="00B764FA" w:rsidRDefault="00883108" w:rsidP="00B764FA">
      <w:pPr>
        <w:pStyle w:val="ListParagraph"/>
        <w:shd w:val="clear" w:color="auto" w:fill="EAF1DD" w:themeFill="accent3" w:themeFillTint="33"/>
        <w:spacing w:after="0" w:line="240" w:lineRule="auto"/>
        <w:jc w:val="both"/>
      </w:pPr>
      <w:r w:rsidRPr="004B0A31">
        <w:t>Greater incentives are required to encourage employers to contribute to the pension requirements of their employees.</w:t>
      </w:r>
    </w:p>
    <w:p w:rsidR="00B764FA" w:rsidRDefault="00B764FA" w:rsidP="00B764FA">
      <w:pPr>
        <w:pStyle w:val="ListParagraph"/>
        <w:shd w:val="clear" w:color="auto" w:fill="EAF1DD" w:themeFill="accent3" w:themeFillTint="33"/>
        <w:spacing w:after="0" w:line="240" w:lineRule="auto"/>
        <w:jc w:val="both"/>
      </w:pPr>
    </w:p>
    <w:p w:rsidR="00883108" w:rsidRPr="004B0A31" w:rsidRDefault="00883108" w:rsidP="00B764FA">
      <w:pPr>
        <w:pStyle w:val="ListParagraph"/>
        <w:shd w:val="clear" w:color="auto" w:fill="EAF1DD" w:themeFill="accent3" w:themeFillTint="33"/>
        <w:spacing w:after="0" w:line="240" w:lineRule="auto"/>
        <w:jc w:val="both"/>
      </w:pPr>
      <w:r w:rsidRPr="004B0A31">
        <w:t>Leveraged borrowings</w:t>
      </w:r>
      <w:r w:rsidR="00B764FA">
        <w:t xml:space="preserve"> on </w:t>
      </w:r>
      <w:r w:rsidR="00B764FA" w:rsidRPr="004B0A31">
        <w:t>family homes</w:t>
      </w:r>
      <w:r w:rsidRPr="004B0A31">
        <w:t xml:space="preserve"> which require repayment post retirement are high-risk for most people and can result in homelessness in later life in the event that they cannot be repaid.  The problems caused by borrowing against the equity in one’s home should be prevented via legislation/regulation for future generations if at all possible.  </w:t>
      </w:r>
    </w:p>
    <w:p w:rsidR="00883108" w:rsidRDefault="00883108" w:rsidP="002D2A01">
      <w:pPr>
        <w:spacing w:line="240" w:lineRule="auto"/>
        <w:rPr>
          <w:b/>
        </w:rPr>
      </w:pPr>
    </w:p>
    <w:p w:rsidR="00883108" w:rsidRPr="00267D9D" w:rsidRDefault="00883108" w:rsidP="001A6FA9">
      <w:pPr>
        <w:spacing w:line="240" w:lineRule="auto"/>
        <w:rPr>
          <w:b/>
        </w:rPr>
      </w:pPr>
      <w:r w:rsidRPr="00267D9D">
        <w:rPr>
          <w:b/>
        </w:rPr>
        <w:t>Pension inadequacy</w:t>
      </w:r>
      <w:r>
        <w:rPr>
          <w:b/>
        </w:rPr>
        <w:t xml:space="preserve"> and mortgage debt</w:t>
      </w:r>
      <w:r w:rsidRPr="00267D9D">
        <w:rPr>
          <w:b/>
        </w:rPr>
        <w:t xml:space="preserve">: </w:t>
      </w:r>
    </w:p>
    <w:p w:rsidR="00883108" w:rsidRPr="00887F50" w:rsidRDefault="00883108" w:rsidP="00E15E47">
      <w:pPr>
        <w:spacing w:line="240" w:lineRule="auto"/>
        <w:jc w:val="both"/>
      </w:pPr>
      <w:r w:rsidRPr="00887F50">
        <w:t xml:space="preserve">Measures to assist the current cohort of retired mortgaged borrowers who are at risk of homelessness are required with some urgency.   </w:t>
      </w:r>
    </w:p>
    <w:p w:rsidR="00883108" w:rsidRPr="001D44C3" w:rsidRDefault="00883108" w:rsidP="00E15E47">
      <w:pPr>
        <w:spacing w:line="240" w:lineRule="auto"/>
        <w:jc w:val="both"/>
      </w:pPr>
      <w:r w:rsidRPr="001D44C3">
        <w:lastRenderedPageBreak/>
        <w:t>There are a number of potential policy solutions</w:t>
      </w:r>
      <w:r>
        <w:t xml:space="preserve"> which require some consideration as follows: </w:t>
      </w:r>
    </w:p>
    <w:p w:rsidR="00883108" w:rsidRDefault="00883108" w:rsidP="002D2A01">
      <w:pPr>
        <w:pStyle w:val="ListParagraph"/>
        <w:shd w:val="clear" w:color="auto" w:fill="EAF1DD" w:themeFill="accent3" w:themeFillTint="33"/>
        <w:spacing w:after="0" w:line="240" w:lineRule="auto"/>
        <w:jc w:val="both"/>
      </w:pPr>
      <w:r>
        <w:t>P</w:t>
      </w:r>
      <w:r w:rsidRPr="001D44C3">
        <w:t xml:space="preserve">ersonal insolvency incorporating a write down of </w:t>
      </w:r>
      <w:r>
        <w:t xml:space="preserve">the </w:t>
      </w:r>
      <w:r w:rsidRPr="001D44C3">
        <w:t>mortgage to C</w:t>
      </w:r>
      <w:r>
        <w:t xml:space="preserve">urrent </w:t>
      </w:r>
      <w:r w:rsidRPr="001D44C3">
        <w:t>M</w:t>
      </w:r>
      <w:r>
        <w:t xml:space="preserve">arket </w:t>
      </w:r>
      <w:r w:rsidRPr="001D44C3">
        <w:t>V</w:t>
      </w:r>
      <w:r>
        <w:t>alue (CMV)</w:t>
      </w:r>
    </w:p>
    <w:p w:rsidR="00B05779" w:rsidRDefault="00B05779" w:rsidP="002D2A01">
      <w:pPr>
        <w:pStyle w:val="ListParagraph"/>
        <w:shd w:val="clear" w:color="auto" w:fill="EAF1DD" w:themeFill="accent3" w:themeFillTint="33"/>
        <w:spacing w:after="0" w:line="240" w:lineRule="auto"/>
        <w:jc w:val="both"/>
      </w:pPr>
    </w:p>
    <w:p w:rsidR="00883108" w:rsidRDefault="00883108" w:rsidP="002D2A01">
      <w:pPr>
        <w:pStyle w:val="ListParagraph"/>
        <w:shd w:val="clear" w:color="auto" w:fill="EAF1DD" w:themeFill="accent3" w:themeFillTint="33"/>
        <w:spacing w:after="0" w:line="240" w:lineRule="auto"/>
        <w:jc w:val="both"/>
      </w:pPr>
      <w:r>
        <w:t>Public PIP to facilitate DSA to write-off unsecured debt thus facilitating repayment of mortgage (where possible).</w:t>
      </w:r>
    </w:p>
    <w:p w:rsidR="00B05779" w:rsidRDefault="00B05779" w:rsidP="002D2A01">
      <w:pPr>
        <w:pStyle w:val="ListParagraph"/>
        <w:shd w:val="clear" w:color="auto" w:fill="EAF1DD" w:themeFill="accent3" w:themeFillTint="33"/>
        <w:spacing w:after="0" w:line="240" w:lineRule="auto"/>
        <w:jc w:val="both"/>
      </w:pPr>
    </w:p>
    <w:p w:rsidR="00883108" w:rsidRDefault="00883108" w:rsidP="002D2A01">
      <w:pPr>
        <w:pStyle w:val="ListParagraph"/>
        <w:shd w:val="clear" w:color="auto" w:fill="EAF1DD" w:themeFill="accent3" w:themeFillTint="33"/>
        <w:spacing w:after="0" w:line="240" w:lineRule="auto"/>
        <w:jc w:val="both"/>
      </w:pPr>
      <w:r w:rsidRPr="00887F50">
        <w:t xml:space="preserve">The “debt for equity” treatment of secured debt provided for </w:t>
      </w:r>
      <w:r>
        <w:t>in section 102(6)(f) of the Personal Insolvency Act is an option for older borrowers that is worthy of further consideration</w:t>
      </w:r>
    </w:p>
    <w:p w:rsidR="00B05779" w:rsidRPr="00887F50" w:rsidRDefault="00B05779" w:rsidP="002D2A01">
      <w:pPr>
        <w:pStyle w:val="ListParagraph"/>
        <w:shd w:val="clear" w:color="auto" w:fill="EAF1DD" w:themeFill="accent3" w:themeFillTint="33"/>
        <w:spacing w:after="0" w:line="240" w:lineRule="auto"/>
        <w:jc w:val="both"/>
      </w:pPr>
    </w:p>
    <w:p w:rsidR="00883108" w:rsidRDefault="00883108" w:rsidP="002D2A01">
      <w:pPr>
        <w:pStyle w:val="ListParagraph"/>
        <w:shd w:val="clear" w:color="auto" w:fill="EAF1DD" w:themeFill="accent3" w:themeFillTint="33"/>
        <w:spacing w:after="0" w:line="240" w:lineRule="auto"/>
        <w:jc w:val="both"/>
      </w:pPr>
      <w:r>
        <w:t>W</w:t>
      </w:r>
      <w:r w:rsidRPr="001D44C3">
        <w:t>here th</w:t>
      </w:r>
      <w:r>
        <w:t>ere is equity in the home, require</w:t>
      </w:r>
      <w:r w:rsidRPr="001D44C3">
        <w:t xml:space="preserve"> all regulated lenders </w:t>
      </w:r>
      <w:r>
        <w:t xml:space="preserve">to </w:t>
      </w:r>
      <w:r w:rsidRPr="001D44C3">
        <w:t xml:space="preserve">provide ‘life-time’ mortgages </w:t>
      </w:r>
      <w:r>
        <w:t xml:space="preserve">as an option </w:t>
      </w:r>
      <w:r w:rsidRPr="001D44C3">
        <w:t xml:space="preserve">for </w:t>
      </w:r>
      <w:r>
        <w:t xml:space="preserve">retired </w:t>
      </w:r>
      <w:r w:rsidRPr="001D44C3">
        <w:t>people who are aged 66 and over and who are unable to repay their mortgage</w:t>
      </w:r>
      <w:r>
        <w:t>.</w:t>
      </w:r>
      <w:r w:rsidRPr="001D44C3">
        <w:t xml:space="preserve"> </w:t>
      </w:r>
    </w:p>
    <w:p w:rsidR="00B05779" w:rsidRPr="001D44C3" w:rsidRDefault="00B05779" w:rsidP="002D2A01">
      <w:pPr>
        <w:pStyle w:val="ListParagraph"/>
        <w:shd w:val="clear" w:color="auto" w:fill="EAF1DD" w:themeFill="accent3" w:themeFillTint="33"/>
        <w:spacing w:after="0" w:line="240" w:lineRule="auto"/>
        <w:jc w:val="both"/>
      </w:pPr>
    </w:p>
    <w:p w:rsidR="00883108" w:rsidRDefault="00883108" w:rsidP="002D2A01">
      <w:pPr>
        <w:pStyle w:val="ListParagraph"/>
        <w:shd w:val="clear" w:color="auto" w:fill="EAF1DD" w:themeFill="accent3" w:themeFillTint="33"/>
        <w:spacing w:after="0" w:line="240" w:lineRule="auto"/>
        <w:jc w:val="both"/>
      </w:pPr>
      <w:r w:rsidRPr="001D44C3">
        <w:t>State-funded ‘mortgage in retirement payment’ for borrowers aged 66+ who are unable to pay their mortgage with potential for repayment to the State (to a defined limit) on death of the borrower(s) (e.g. similar basis to the Fair Deal scheme).</w:t>
      </w:r>
    </w:p>
    <w:p w:rsidR="007223B3" w:rsidRPr="00C343D9" w:rsidRDefault="007223B3" w:rsidP="001A6FA9">
      <w:pPr>
        <w:spacing w:line="240" w:lineRule="auto"/>
        <w:rPr>
          <w:rFonts w:eastAsia="Times New Roman" w:cs="Segoe UI"/>
          <w:bCs/>
          <w:color w:val="000000"/>
          <w:lang w:eastAsia="en-IE"/>
        </w:rPr>
      </w:pPr>
    </w:p>
    <w:p w:rsidR="00883108" w:rsidRPr="00F52EAE" w:rsidRDefault="00883108" w:rsidP="00BE36ED">
      <w:pPr>
        <w:pStyle w:val="Heading3"/>
        <w:spacing w:line="276" w:lineRule="auto"/>
        <w:rPr>
          <w:b/>
          <w:color w:val="244061" w:themeColor="accent1" w:themeShade="80"/>
        </w:rPr>
      </w:pPr>
      <w:bookmarkStart w:id="10" w:name="_Toc485334232"/>
      <w:r w:rsidRPr="00F52EAE">
        <w:rPr>
          <w:b/>
          <w:color w:val="244061" w:themeColor="accent1" w:themeShade="80"/>
        </w:rPr>
        <w:t>Healthcare &amp; Illness</w:t>
      </w:r>
      <w:bookmarkEnd w:id="10"/>
    </w:p>
    <w:p w:rsidR="00883108" w:rsidRDefault="00883108" w:rsidP="007223B3">
      <w:pPr>
        <w:spacing w:after="0" w:line="240" w:lineRule="auto"/>
        <w:jc w:val="both"/>
      </w:pPr>
      <w:r>
        <w:t xml:space="preserve">One </w:t>
      </w:r>
      <w:r w:rsidRPr="00871E34">
        <w:t>prominent</w:t>
      </w:r>
      <w:r>
        <w:t xml:space="preserve"> feature of</w:t>
      </w:r>
      <w:r w:rsidRPr="00871E34">
        <w:t xml:space="preserve"> the feedback from MABS staff related to clients who cannot afford to access basic medical care</w:t>
      </w:r>
      <w:r>
        <w:t xml:space="preserve"> and therefore risk falling into ill-health and exacerbating their financial difficulties.  </w:t>
      </w:r>
      <w:r w:rsidRPr="00871E34">
        <w:t xml:space="preserve">A further issue noted is delays in accessing treatment which can lead to a worsening of the financial situation.  </w:t>
      </w:r>
      <w:r>
        <w:t xml:space="preserve">Few MABS clients can afford either private health insurance or critical-illness cover and, as a consequence, ongoing illness has a major impact on the household’s finances. </w:t>
      </w:r>
      <w:r w:rsidRPr="004F0CFD">
        <w:t xml:space="preserve"> </w:t>
      </w:r>
      <w:r>
        <w:t xml:space="preserve">State supports, both medical cards and social welfare payments, are critical in this context, but MABS staff reflect significant difficulties in accessing both. </w:t>
      </w:r>
    </w:p>
    <w:p w:rsidR="007223B3" w:rsidRPr="007223B3" w:rsidRDefault="007223B3" w:rsidP="007223B3">
      <w:pPr>
        <w:spacing w:after="0" w:line="240" w:lineRule="auto"/>
        <w:jc w:val="both"/>
        <w:rPr>
          <w:i/>
        </w:rPr>
      </w:pPr>
    </w:p>
    <w:p w:rsidR="00883108" w:rsidRDefault="00CC1EBF" w:rsidP="007223B3">
      <w:pPr>
        <w:spacing w:line="240" w:lineRule="auto"/>
        <w:jc w:val="both"/>
      </w:pPr>
      <w:r>
        <w:t>Several MABS adviso</w:t>
      </w:r>
      <w:r w:rsidR="00883108" w:rsidRPr="004F0CFD">
        <w:t>rs cited administrative difficulties</w:t>
      </w:r>
      <w:r w:rsidR="00883108">
        <w:t>,</w:t>
      </w:r>
      <w:r w:rsidR="00883108" w:rsidRPr="004F0CFD">
        <w:t xml:space="preserve"> </w:t>
      </w:r>
      <w:r w:rsidR="00883108">
        <w:t xml:space="preserve">accessibility issues and long delays, which had been </w:t>
      </w:r>
      <w:r w:rsidR="00883108" w:rsidRPr="004F0CFD">
        <w:t>experienced by their clients in making their appl</w:t>
      </w:r>
      <w:r w:rsidR="00883108">
        <w:t xml:space="preserve">ications for a medical card, disability allowance and invalidity pension.   Payment levels are too low and the drop in income can have very negative impacts on household finances.  </w:t>
      </w:r>
    </w:p>
    <w:p w:rsidR="00883108" w:rsidRDefault="00883108" w:rsidP="007223B3">
      <w:pPr>
        <w:spacing w:line="240" w:lineRule="auto"/>
        <w:jc w:val="both"/>
      </w:pPr>
      <w:r w:rsidRPr="00D84116">
        <w:t xml:space="preserve">Dental care was another area where MABS clients are sometimes going without </w:t>
      </w:r>
      <w:r>
        <w:t xml:space="preserve">to the detriment of their well-being. </w:t>
      </w:r>
    </w:p>
    <w:p w:rsidR="00883108" w:rsidRPr="00F52EAE" w:rsidRDefault="00883108" w:rsidP="00C14A9A">
      <w:pPr>
        <w:spacing w:line="240" w:lineRule="auto"/>
        <w:ind w:firstLine="720"/>
        <w:rPr>
          <w:b/>
          <w:i/>
          <w:color w:val="244061" w:themeColor="accent1" w:themeShade="80"/>
          <w:sz w:val="24"/>
          <w:szCs w:val="24"/>
        </w:rPr>
      </w:pPr>
      <w:r w:rsidRPr="00F52EAE">
        <w:rPr>
          <w:b/>
          <w:i/>
          <w:color w:val="244061" w:themeColor="accent1" w:themeShade="80"/>
          <w:sz w:val="24"/>
          <w:szCs w:val="24"/>
        </w:rPr>
        <w:t>Recommendations:</w:t>
      </w:r>
    </w:p>
    <w:p w:rsidR="00883108" w:rsidRPr="004B0A31" w:rsidRDefault="00883108" w:rsidP="002D2A01">
      <w:pPr>
        <w:shd w:val="clear" w:color="auto" w:fill="EAF1DD" w:themeFill="accent3" w:themeFillTint="33"/>
        <w:spacing w:line="240" w:lineRule="auto"/>
        <w:ind w:left="720"/>
        <w:jc w:val="both"/>
      </w:pPr>
      <w:r w:rsidRPr="004B0A31">
        <w:t>Essential healthcare is always a priority in MABS money advice; however it would be helpful if there was a protocol with the credit industry to park</w:t>
      </w:r>
      <w:r w:rsidR="007223B3">
        <w:t xml:space="preserve"> repayments at 0% interest for a</w:t>
      </w:r>
      <w:r w:rsidRPr="004B0A31">
        <w:t xml:space="preserve"> period of 6-12 months</w:t>
      </w:r>
      <w:r w:rsidR="00C14A9A" w:rsidRPr="004B0A31">
        <w:t xml:space="preserve"> where an acute illness occurs.</w:t>
      </w:r>
    </w:p>
    <w:p w:rsidR="00883108" w:rsidRPr="004B0A31" w:rsidRDefault="00883108" w:rsidP="002D2A01">
      <w:pPr>
        <w:shd w:val="clear" w:color="auto" w:fill="EAF1DD" w:themeFill="accent3" w:themeFillTint="33"/>
        <w:spacing w:line="240" w:lineRule="auto"/>
        <w:ind w:left="720"/>
        <w:jc w:val="both"/>
      </w:pPr>
      <w:r w:rsidRPr="004B0A31">
        <w:t>Consideration to be given to state funding for a set number of GP visits per annum for people who are not eligible for medical or GP only cards.  Likewise, consideration should be given to restoration of some of the benefits previously accessible under the Dental Benefit Scheme.  On this point, and to cater for people whose health is at risk because they cannot afford to pay for essential health care, MABS believe that the relevant professions should be encouraged to do more, on a structured pro-</w:t>
      </w:r>
      <w:r w:rsidR="00CE4FC8">
        <w:t>b</w:t>
      </w:r>
      <w:r w:rsidRPr="004B0A31">
        <w:t xml:space="preserve">ono basis, as occurs with the legal and accounting professions, under the VAS, FLAC and CAVA schemes.  </w:t>
      </w:r>
    </w:p>
    <w:p w:rsidR="00883108" w:rsidRPr="004B0A31" w:rsidRDefault="00883108" w:rsidP="002D2A01">
      <w:pPr>
        <w:shd w:val="clear" w:color="auto" w:fill="EAF1DD" w:themeFill="accent3" w:themeFillTint="33"/>
        <w:spacing w:line="240" w:lineRule="auto"/>
        <w:ind w:left="720"/>
        <w:jc w:val="both"/>
      </w:pPr>
      <w:r w:rsidRPr="004B0A31">
        <w:lastRenderedPageBreak/>
        <w:t>Hospital car-park waivers to be introduced for all patients who need to attend hospital for regular treatment.</w:t>
      </w:r>
    </w:p>
    <w:p w:rsidR="00883108" w:rsidRPr="00F52EAE" w:rsidRDefault="00883108" w:rsidP="00BE36ED">
      <w:pPr>
        <w:pStyle w:val="Heading3"/>
        <w:spacing w:line="276" w:lineRule="auto"/>
        <w:rPr>
          <w:b/>
          <w:color w:val="244061" w:themeColor="accent1" w:themeShade="80"/>
        </w:rPr>
      </w:pPr>
      <w:bookmarkStart w:id="11" w:name="_Toc485334233"/>
      <w:r w:rsidRPr="00F52EAE">
        <w:rPr>
          <w:b/>
          <w:color w:val="244061" w:themeColor="accent1" w:themeShade="80"/>
        </w:rPr>
        <w:t>CARING for a DependEnt adult</w:t>
      </w:r>
      <w:bookmarkEnd w:id="11"/>
      <w:r w:rsidRPr="00F52EAE">
        <w:rPr>
          <w:b/>
          <w:color w:val="244061" w:themeColor="accent1" w:themeShade="80"/>
        </w:rPr>
        <w:t xml:space="preserve"> </w:t>
      </w:r>
    </w:p>
    <w:p w:rsidR="00883108" w:rsidRDefault="00883108" w:rsidP="007223B3">
      <w:pPr>
        <w:spacing w:after="0" w:line="240" w:lineRule="auto"/>
        <w:jc w:val="both"/>
      </w:pPr>
      <w:r w:rsidRPr="00856E30">
        <w:t xml:space="preserve">Numerous issues and concerns were identified by MABS staff which arose from their clients efforts to care for dependent adults.  Staff </w:t>
      </w:r>
      <w:r>
        <w:t>cited several examples of clients</w:t>
      </w:r>
      <w:r w:rsidRPr="00856E30">
        <w:t xml:space="preserve"> giving up work to care for relatives because they could not afford home care and the relative was not eligible for the </w:t>
      </w:r>
      <w:r>
        <w:t>‘</w:t>
      </w:r>
      <w:r w:rsidRPr="00856E30">
        <w:t>Fair Deal Scheme</w:t>
      </w:r>
      <w:r>
        <w:t>’</w:t>
      </w:r>
      <w:r w:rsidRPr="00856E30">
        <w:t xml:space="preserve"> and the consequent impact </w:t>
      </w:r>
      <w:r>
        <w:t>this had on the client’s</w:t>
      </w:r>
      <w:r w:rsidRPr="00856E30">
        <w:t xml:space="preserve"> o</w:t>
      </w:r>
      <w:r>
        <w:t>wn financial</w:t>
      </w:r>
      <w:r w:rsidRPr="00856E30">
        <w:t xml:space="preserve"> circumstances. </w:t>
      </w:r>
      <w:r>
        <w:t>‘</w:t>
      </w:r>
      <w:r w:rsidRPr="00856E30">
        <w:rPr>
          <w:i/>
        </w:rPr>
        <w:t>Although carer</w:t>
      </w:r>
      <w:r>
        <w:rPr>
          <w:i/>
        </w:rPr>
        <w:t>’</w:t>
      </w:r>
      <w:r w:rsidRPr="00856E30">
        <w:rPr>
          <w:i/>
        </w:rPr>
        <w:t>s allowance is available, caring for a dependent adult affects a person’s ability to work and earn enough to pay a mortgage and other bills</w:t>
      </w:r>
      <w:r>
        <w:rPr>
          <w:i/>
        </w:rPr>
        <w:t>’</w:t>
      </w:r>
      <w:r w:rsidRPr="00856E30">
        <w:rPr>
          <w:i/>
        </w:rPr>
        <w:t>.</w:t>
      </w:r>
      <w:r>
        <w:rPr>
          <w:i/>
        </w:rPr>
        <w:t xml:space="preserve">  </w:t>
      </w:r>
      <w:r w:rsidRPr="00FB4BAD">
        <w:t>Staff also identifie</w:t>
      </w:r>
      <w:r>
        <w:t>d difficu</w:t>
      </w:r>
      <w:r w:rsidRPr="00FB4BAD">
        <w:t>lty in access</w:t>
      </w:r>
      <w:r>
        <w:t>ing</w:t>
      </w:r>
      <w:r w:rsidRPr="00FB4BAD">
        <w:t xml:space="preserve"> the carer’s allowance including the level of means assessed</w:t>
      </w:r>
      <w:r>
        <w:t>.</w:t>
      </w:r>
    </w:p>
    <w:p w:rsidR="0018564A" w:rsidRDefault="0018564A" w:rsidP="00132AB7">
      <w:pPr>
        <w:spacing w:after="0"/>
        <w:jc w:val="both"/>
      </w:pPr>
    </w:p>
    <w:p w:rsidR="00883108" w:rsidRDefault="007223B3" w:rsidP="00132AB7">
      <w:pPr>
        <w:spacing w:line="240" w:lineRule="auto"/>
        <w:jc w:val="both"/>
      </w:pPr>
      <w:r>
        <w:t xml:space="preserve">Similar issues as outlined in part one of the submission are </w:t>
      </w:r>
      <w:r w:rsidR="00883108">
        <w:t xml:space="preserve">encountered by MABS clients with regard to </w:t>
      </w:r>
      <w:r>
        <w:t xml:space="preserve">access to </w:t>
      </w:r>
      <w:r w:rsidR="00883108">
        <w:t xml:space="preserve">the ‘Fair Deal Scheme’.  Another issue related to the impact of the ‘Fair Deal Scheme’ on the partner who remained in the home and their capacity to manage the household finances, which are often fixed (utilities, insurance, etc.) regardless of level of occupancy, on a reduced income.  </w:t>
      </w:r>
    </w:p>
    <w:p w:rsidR="00883108" w:rsidRPr="00F52EAE" w:rsidRDefault="00883108" w:rsidP="004B0A31">
      <w:pPr>
        <w:spacing w:line="240" w:lineRule="auto"/>
        <w:ind w:firstLine="720"/>
        <w:rPr>
          <w:b/>
          <w:color w:val="244061" w:themeColor="accent1" w:themeShade="80"/>
          <w:sz w:val="24"/>
          <w:szCs w:val="24"/>
        </w:rPr>
      </w:pPr>
      <w:r w:rsidRPr="00F52EAE">
        <w:rPr>
          <w:b/>
          <w:color w:val="244061" w:themeColor="accent1" w:themeShade="80"/>
          <w:sz w:val="24"/>
          <w:szCs w:val="24"/>
        </w:rPr>
        <w:t>Recommendations:</w:t>
      </w:r>
    </w:p>
    <w:p w:rsidR="00883108" w:rsidRPr="004B0A31" w:rsidRDefault="00883108" w:rsidP="002D2A01">
      <w:pPr>
        <w:pStyle w:val="ListParagraph"/>
        <w:shd w:val="clear" w:color="auto" w:fill="EAF1DD" w:themeFill="accent3" w:themeFillTint="33"/>
        <w:spacing w:after="0" w:line="240" w:lineRule="auto"/>
        <w:jc w:val="both"/>
      </w:pPr>
      <w:r w:rsidRPr="004B0A31">
        <w:t>Increase level of means considered for the purposes of eligibility for Carer’s A</w:t>
      </w:r>
      <w:r w:rsidR="00C14A9A" w:rsidRPr="004B0A31">
        <w:t>llowance</w:t>
      </w:r>
    </w:p>
    <w:p w:rsidR="00C14A9A" w:rsidRPr="004B0A31" w:rsidRDefault="00C14A9A" w:rsidP="002D2A01">
      <w:pPr>
        <w:pStyle w:val="ListParagraph"/>
        <w:shd w:val="clear" w:color="auto" w:fill="EAF1DD" w:themeFill="accent3" w:themeFillTint="33"/>
        <w:spacing w:after="0" w:line="240" w:lineRule="auto"/>
        <w:jc w:val="both"/>
      </w:pPr>
    </w:p>
    <w:p w:rsidR="0097429A" w:rsidRDefault="00883108" w:rsidP="002D2A01">
      <w:pPr>
        <w:pStyle w:val="ListParagraph"/>
        <w:shd w:val="clear" w:color="auto" w:fill="EAF1DD" w:themeFill="accent3" w:themeFillTint="33"/>
        <w:spacing w:after="0" w:line="240" w:lineRule="auto"/>
        <w:jc w:val="both"/>
      </w:pPr>
      <w:r w:rsidRPr="004B0A31">
        <w:t>Increase level of Carer’s Allowance and/or number of hours that recipient can w</w:t>
      </w:r>
      <w:r w:rsidR="0097429A">
        <w:t xml:space="preserve">ork i.e. to 20 hours per week. </w:t>
      </w:r>
    </w:p>
    <w:p w:rsidR="0097429A" w:rsidRDefault="0097429A" w:rsidP="002D2A01">
      <w:pPr>
        <w:pStyle w:val="ListParagraph"/>
        <w:shd w:val="clear" w:color="auto" w:fill="EAF1DD" w:themeFill="accent3" w:themeFillTint="33"/>
        <w:spacing w:after="0" w:line="240" w:lineRule="auto"/>
        <w:jc w:val="both"/>
      </w:pPr>
    </w:p>
    <w:p w:rsidR="00883108" w:rsidRPr="004B0A31" w:rsidRDefault="00883108" w:rsidP="002D2A01">
      <w:pPr>
        <w:pStyle w:val="ListParagraph"/>
        <w:shd w:val="clear" w:color="auto" w:fill="EAF1DD" w:themeFill="accent3" w:themeFillTint="33"/>
        <w:spacing w:after="0" w:line="240" w:lineRule="auto"/>
        <w:jc w:val="both"/>
      </w:pPr>
      <w:r w:rsidRPr="004B0A31">
        <w:t>Consider an additional payment for the person left in the home where a partner accesses the ‘Fair Deal Scheme’.</w:t>
      </w:r>
    </w:p>
    <w:p w:rsidR="00C14A9A" w:rsidRPr="004B0A31" w:rsidRDefault="00C14A9A" w:rsidP="004B0A31">
      <w:pPr>
        <w:pStyle w:val="ListParagraph"/>
        <w:shd w:val="clear" w:color="auto" w:fill="EAF1DD" w:themeFill="accent3" w:themeFillTint="33"/>
        <w:spacing w:after="0" w:line="240" w:lineRule="auto"/>
        <w:jc w:val="both"/>
      </w:pPr>
    </w:p>
    <w:p w:rsidR="00883108" w:rsidRDefault="00883108" w:rsidP="00CE4FC8">
      <w:pPr>
        <w:spacing w:line="240" w:lineRule="auto"/>
      </w:pPr>
    </w:p>
    <w:p w:rsidR="00883108" w:rsidRPr="00F52EAE" w:rsidRDefault="00883108" w:rsidP="00BE36ED">
      <w:pPr>
        <w:pStyle w:val="Heading3"/>
        <w:spacing w:line="276" w:lineRule="auto"/>
        <w:rPr>
          <w:b/>
          <w:color w:val="244061" w:themeColor="accent1" w:themeShade="80"/>
        </w:rPr>
      </w:pPr>
      <w:bookmarkStart w:id="12" w:name="_Toc485334234"/>
      <w:r w:rsidRPr="00F52EAE">
        <w:rPr>
          <w:b/>
          <w:color w:val="244061" w:themeColor="accent1" w:themeShade="80"/>
        </w:rPr>
        <w:t>‘END OF LIFE’</w:t>
      </w:r>
      <w:bookmarkEnd w:id="12"/>
      <w:r w:rsidRPr="00F52EAE">
        <w:rPr>
          <w:b/>
          <w:color w:val="244061" w:themeColor="accent1" w:themeShade="80"/>
        </w:rPr>
        <w:t xml:space="preserve"> </w:t>
      </w:r>
    </w:p>
    <w:p w:rsidR="00883108" w:rsidRDefault="00883108" w:rsidP="00132AB7">
      <w:pPr>
        <w:spacing w:after="0" w:line="240" w:lineRule="auto"/>
        <w:jc w:val="both"/>
      </w:pPr>
      <w:r>
        <w:t>‘F</w:t>
      </w:r>
      <w:r w:rsidRPr="00865A5F">
        <w:t>uneral costs’</w:t>
      </w:r>
      <w:r>
        <w:t xml:space="preserve"> emerged as a cause of much anxiety for MABS clients and appear to be very prevalent in casework.  It was also</w:t>
      </w:r>
      <w:r w:rsidRPr="00865A5F">
        <w:t xml:space="preserve"> one of the reasons why clients wish to maintain savings in credit unions and prioritise credit union debts over others</w:t>
      </w:r>
      <w:r>
        <w:t xml:space="preserve"> and will not consider applying for a Debt Relief Notice (DRN) even though it could be beneficial for them.</w:t>
      </w:r>
      <w:r w:rsidRPr="00865A5F">
        <w:t xml:space="preserve"> </w:t>
      </w:r>
      <w:r>
        <w:t xml:space="preserve"> </w:t>
      </w:r>
    </w:p>
    <w:p w:rsidR="002D2A01" w:rsidRPr="00CE4FC8" w:rsidRDefault="00883108" w:rsidP="00CE4FC8">
      <w:pPr>
        <w:spacing w:line="240" w:lineRule="auto"/>
        <w:jc w:val="both"/>
      </w:pPr>
      <w:r w:rsidRPr="00865A5F">
        <w:t>Some advisors reported that their clients are so busy focusing on trying to repay their current debts and in particular their mortgage that they can’t even think about funeral costs and have no capacity to make provision for insurance for such cost</w:t>
      </w:r>
      <w:r>
        <w:t>s</w:t>
      </w:r>
      <w:r w:rsidRPr="00865A5F">
        <w:t>.  A</w:t>
      </w:r>
      <w:r>
        <w:t>n</w:t>
      </w:r>
      <w:r w:rsidRPr="00865A5F">
        <w:t xml:space="preserve"> additional</w:t>
      </w:r>
      <w:r>
        <w:t xml:space="preserve"> issue</w:t>
      </w:r>
      <w:r w:rsidRPr="00865A5F">
        <w:t xml:space="preserve"> is that life policies are not sufficiently funded to repay outstanding debts.  </w:t>
      </w:r>
    </w:p>
    <w:p w:rsidR="00883108" w:rsidRPr="00F52EAE" w:rsidRDefault="00883108" w:rsidP="004B0A31">
      <w:pPr>
        <w:spacing w:line="240" w:lineRule="auto"/>
        <w:ind w:firstLine="720"/>
        <w:rPr>
          <w:b/>
          <w:i/>
          <w:color w:val="244061" w:themeColor="accent1" w:themeShade="80"/>
          <w:sz w:val="24"/>
          <w:szCs w:val="24"/>
        </w:rPr>
      </w:pPr>
      <w:r w:rsidRPr="00F52EAE">
        <w:rPr>
          <w:b/>
          <w:i/>
          <w:color w:val="244061" w:themeColor="accent1" w:themeShade="80"/>
          <w:sz w:val="24"/>
          <w:szCs w:val="24"/>
        </w:rPr>
        <w:t>Recommendations:</w:t>
      </w:r>
    </w:p>
    <w:p w:rsidR="00883108" w:rsidRPr="004B0A31" w:rsidRDefault="00883108" w:rsidP="00CE4FC8">
      <w:pPr>
        <w:pStyle w:val="ListParagraph"/>
        <w:shd w:val="clear" w:color="auto" w:fill="EAF1DD" w:themeFill="accent3" w:themeFillTint="33"/>
        <w:spacing w:after="0" w:line="240" w:lineRule="auto"/>
        <w:jc w:val="both"/>
      </w:pPr>
      <w:r w:rsidRPr="004B0A31">
        <w:t>Consideration to be given to implementation of the recommendations contained in the report ‘Finite Lives’</w:t>
      </w:r>
      <w:r w:rsidRPr="004B0A31">
        <w:rPr>
          <w:vertAlign w:val="superscript"/>
        </w:rPr>
        <w:footnoteReference w:id="9"/>
      </w:r>
      <w:r w:rsidR="00C14A9A" w:rsidRPr="004B0A31">
        <w:t xml:space="preserve"> (May, 2017)</w:t>
      </w:r>
    </w:p>
    <w:p w:rsidR="00C14A9A" w:rsidRPr="004B0A31" w:rsidRDefault="00C14A9A" w:rsidP="00CE4FC8">
      <w:pPr>
        <w:pStyle w:val="ListParagraph"/>
        <w:shd w:val="clear" w:color="auto" w:fill="EAF1DD" w:themeFill="accent3" w:themeFillTint="33"/>
        <w:spacing w:after="0" w:line="240" w:lineRule="auto"/>
        <w:jc w:val="both"/>
      </w:pPr>
    </w:p>
    <w:p w:rsidR="00883108" w:rsidRDefault="00883108" w:rsidP="00CE4FC8">
      <w:pPr>
        <w:pStyle w:val="ListParagraph"/>
        <w:shd w:val="clear" w:color="auto" w:fill="EAF1DD" w:themeFill="accent3" w:themeFillTint="33"/>
        <w:spacing w:after="0" w:line="240" w:lineRule="auto"/>
        <w:jc w:val="both"/>
      </w:pPr>
      <w:r w:rsidRPr="004B0A31">
        <w:t>Consideration to be given to restoration of the ‘Bereavement Grant’.</w:t>
      </w:r>
    </w:p>
    <w:p w:rsidR="0018564A" w:rsidRPr="004B0A31" w:rsidRDefault="0018564A" w:rsidP="00CE4FC8">
      <w:pPr>
        <w:pStyle w:val="ListParagraph"/>
        <w:shd w:val="clear" w:color="auto" w:fill="EAF1DD" w:themeFill="accent3" w:themeFillTint="33"/>
        <w:spacing w:after="0" w:line="240" w:lineRule="auto"/>
        <w:jc w:val="both"/>
      </w:pPr>
    </w:p>
    <w:p w:rsidR="00883108" w:rsidRPr="004B0A31" w:rsidRDefault="00883108" w:rsidP="00CE4FC8">
      <w:pPr>
        <w:pStyle w:val="ListParagraph"/>
        <w:shd w:val="clear" w:color="auto" w:fill="EAF1DD" w:themeFill="accent3" w:themeFillTint="33"/>
        <w:spacing w:after="0" w:line="240" w:lineRule="auto"/>
        <w:jc w:val="both"/>
        <w:rPr>
          <w:rStyle w:val="IntenseEmphasis"/>
          <w:b w:val="0"/>
          <w:bCs w:val="0"/>
          <w:caps w:val="0"/>
          <w:color w:val="auto"/>
          <w:spacing w:val="0"/>
        </w:rPr>
      </w:pPr>
      <w:r w:rsidRPr="004B0A31">
        <w:t>Consideration to be given to an incentivised savings scheme for funeral costs.</w:t>
      </w:r>
      <w:bookmarkStart w:id="13" w:name="_Toc485334235"/>
      <w:r w:rsidRPr="004B0A31">
        <w:rPr>
          <w:rStyle w:val="IntenseEmphasis"/>
          <w:b w:val="0"/>
          <w:color w:val="FFFFFF" w:themeColor="background1"/>
          <w:spacing w:val="15"/>
        </w:rPr>
        <w:t xml:space="preserve"> </w:t>
      </w:r>
      <w:bookmarkEnd w:id="13"/>
    </w:p>
    <w:p w:rsidR="00883108" w:rsidRPr="0097429A" w:rsidRDefault="00E32875" w:rsidP="00DC0E79">
      <w:pPr>
        <w:pStyle w:val="Heading3"/>
        <w:rPr>
          <w:b/>
          <w:color w:val="244061" w:themeColor="accent1" w:themeShade="80"/>
        </w:rPr>
      </w:pPr>
      <w:r w:rsidRPr="0097429A">
        <w:rPr>
          <w:b/>
          <w:color w:val="244061" w:themeColor="accent1" w:themeShade="80"/>
        </w:rPr>
        <w:lastRenderedPageBreak/>
        <w:t>Too LITTLE CREDIT &amp; TOO MUCH DEBT</w:t>
      </w:r>
    </w:p>
    <w:p w:rsidR="00883108" w:rsidRDefault="00883108" w:rsidP="00132AB7">
      <w:pPr>
        <w:spacing w:line="240" w:lineRule="auto"/>
        <w:jc w:val="both"/>
      </w:pPr>
      <w:r>
        <w:t>This section of the CIB/MABS Pre-budget Submission 2018, describes two related but distinct social policy i</w:t>
      </w:r>
      <w:r w:rsidR="0097429A">
        <w:t>ssues which were found to cross</w:t>
      </w:r>
      <w:r>
        <w:t xml:space="preserve">cut all other aspects of the feedback on the important life-cycle ‘transitions’ made by MABS clients.  First, is access to credit and second, is access to debt relief/debt forgiveness, primarily through insolvency but also, where possible and necessary, via other means, i.e. through voluntary debt write-down/off by banks and other financial institutions.  The views expressed by MABS staff, based on their experience of client casework, suggest that there is a need for a ‘recalibration’ of culture, policy and processes with regard to both the credit market and the potential for debt write-off, as they relate to low income borrowers.  </w:t>
      </w:r>
    </w:p>
    <w:p w:rsidR="00883108" w:rsidRDefault="00883108" w:rsidP="00132AB7">
      <w:pPr>
        <w:spacing w:line="240" w:lineRule="auto"/>
        <w:jc w:val="both"/>
      </w:pPr>
      <w:r>
        <w:t>MABS view on these matters is straightforward –</w:t>
      </w:r>
      <w:r w:rsidRPr="005B05F6">
        <w:t xml:space="preserve"> </w:t>
      </w:r>
      <w:r>
        <w:t xml:space="preserve">only loans that can be repaid should be written; only debts that cannot be repaid should be written-off.  The key to both is taking a short to medium range view on affordability.  MABS view is that, based on the experiences of the last several years of dealing with economic turmoil, regulators, industry, MABS and other stakeholders, now share a much improved perspective on individual repayment potential and associated risk, but this has not yet translated into changed practices by financial institutions.  </w:t>
      </w:r>
    </w:p>
    <w:p w:rsidR="00883108" w:rsidRDefault="00883108" w:rsidP="00132AB7">
      <w:pPr>
        <w:spacing w:line="240" w:lineRule="auto"/>
        <w:jc w:val="both"/>
      </w:pPr>
      <w:r>
        <w:t>Both issues are intrinsic to improving the lives of the MABS client group, reducing their reliance on the State, and restoring their financial self-reliance.  Both achieve the goal of empowerment which has always been a core component of the MABS approach to client casework.</w:t>
      </w:r>
    </w:p>
    <w:p w:rsidR="006E1B0D" w:rsidRDefault="00883108" w:rsidP="006E1B0D">
      <w:pPr>
        <w:spacing w:line="240" w:lineRule="auto"/>
        <w:jc w:val="both"/>
      </w:pPr>
      <w:r>
        <w:t>There are areas (as highlighted throughout this submission) where the State can, and should, provide improved support for low-income households, but it is also recognised that the State cannot provide for every unmet need.  This is where debt forgiveness and access to credit come into play.  Debt forgiveness/insolvency is a tool which can return low-income households to financial independence.  Affordable credit is a means towards social and economic progression.   Both ‘too little credit and too much debt’ create poverty traps for MABS clients and, as such, both are considered as intrinsic to the full set of recommendations contained in the CIB/MABS pre-budget submission 2018.</w:t>
      </w:r>
      <w:r w:rsidR="006E1B0D">
        <w:t xml:space="preserve"> </w:t>
      </w:r>
    </w:p>
    <w:p w:rsidR="005033A0" w:rsidRPr="00472A26" w:rsidRDefault="006E1B0D" w:rsidP="00132AB7">
      <w:pPr>
        <w:spacing w:line="240" w:lineRule="auto"/>
        <w:jc w:val="both"/>
      </w:pPr>
      <w:r w:rsidRPr="0097429A">
        <w:t>MABS</w:t>
      </w:r>
      <w:r w:rsidRPr="0097429A">
        <w:rPr>
          <w:vertAlign w:val="superscript"/>
        </w:rPr>
        <w:footnoteReference w:id="10"/>
      </w:r>
      <w:r w:rsidRPr="0097429A">
        <w:t xml:space="preserve"> made a series of recommendations to the Joint Oireachtas Committee on Finance, Public Expenditure and Reform, and Taoiseach, in advance of its meeting 21st March, 2017.  Some of these recommendations, together with others relevant to this submission, are provided below.</w:t>
      </w:r>
      <w:r w:rsidR="005033A0">
        <w:t xml:space="preserve"> </w:t>
      </w:r>
    </w:p>
    <w:p w:rsidR="00BE36ED" w:rsidRPr="0097429A" w:rsidRDefault="0018564A" w:rsidP="0097429A">
      <w:pPr>
        <w:pStyle w:val="Heading3"/>
        <w:spacing w:line="276" w:lineRule="auto"/>
        <w:rPr>
          <w:b/>
          <w:bCs/>
          <w:color w:val="244061" w:themeColor="accent1" w:themeShade="80"/>
        </w:rPr>
      </w:pPr>
      <w:r w:rsidRPr="00F52EAE">
        <w:rPr>
          <w:b/>
          <w:color w:val="244061" w:themeColor="accent1" w:themeShade="80"/>
        </w:rPr>
        <w:t xml:space="preserve"> </w:t>
      </w:r>
      <w:r w:rsidR="00883108" w:rsidRPr="00F52EAE">
        <w:rPr>
          <w:b/>
          <w:color w:val="244061" w:themeColor="accent1" w:themeShade="80"/>
        </w:rPr>
        <w:t xml:space="preserve">‘TOO little Credit </w:t>
      </w:r>
      <w:r w:rsidR="008B0C54" w:rsidRPr="00F52EAE">
        <w:rPr>
          <w:b/>
          <w:color w:val="244061" w:themeColor="accent1" w:themeShade="80"/>
        </w:rPr>
        <w:t>‘</w:t>
      </w:r>
    </w:p>
    <w:p w:rsidR="008B0C54" w:rsidRPr="00F52EAE" w:rsidRDefault="008B0C54" w:rsidP="008B0C54">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Recommendations</w:t>
      </w:r>
      <w:r w:rsidR="00F52EAE">
        <w:rPr>
          <w:rFonts w:asciiTheme="minorHAnsi" w:hAnsiTheme="minorHAnsi"/>
          <w:b/>
          <w:color w:val="244061" w:themeColor="accent1" w:themeShade="80"/>
        </w:rPr>
        <w:t>:</w:t>
      </w:r>
    </w:p>
    <w:p w:rsidR="00883108" w:rsidRDefault="00883108" w:rsidP="005033A0">
      <w:pPr>
        <w:pStyle w:val="ListParagraph"/>
        <w:shd w:val="clear" w:color="auto" w:fill="EAF1DD" w:themeFill="accent3" w:themeFillTint="33"/>
        <w:spacing w:after="0" w:line="240" w:lineRule="auto"/>
        <w:jc w:val="both"/>
      </w:pPr>
      <w:r w:rsidRPr="00B744EE">
        <w:t xml:space="preserve">The </w:t>
      </w:r>
      <w:r>
        <w:t>‘</w:t>
      </w:r>
      <w:r w:rsidRPr="00B744EE">
        <w:t>It Make Sense Loan</w:t>
      </w:r>
      <w:r>
        <w:t>’</w:t>
      </w:r>
      <w:r w:rsidRPr="00B744EE">
        <w:t xml:space="preserve"> to be made available in all Credit Unions </w:t>
      </w:r>
    </w:p>
    <w:p w:rsidR="00B05779" w:rsidRPr="00B744EE" w:rsidRDefault="00B05779" w:rsidP="005033A0">
      <w:pPr>
        <w:pStyle w:val="ListParagraph"/>
        <w:shd w:val="clear" w:color="auto" w:fill="EAF1DD" w:themeFill="accent3" w:themeFillTint="33"/>
        <w:spacing w:after="0" w:line="240" w:lineRule="auto"/>
        <w:jc w:val="both"/>
      </w:pPr>
    </w:p>
    <w:p w:rsidR="009D0397" w:rsidRDefault="00883108" w:rsidP="009D0397">
      <w:pPr>
        <w:pStyle w:val="ListParagraph"/>
        <w:shd w:val="clear" w:color="auto" w:fill="EAF1DD" w:themeFill="accent3" w:themeFillTint="33"/>
        <w:spacing w:after="0" w:line="240" w:lineRule="auto"/>
        <w:jc w:val="both"/>
      </w:pPr>
      <w:r w:rsidRPr="00B744EE">
        <w:t>Credit Unions to be g</w:t>
      </w:r>
      <w:r>
        <w:t>iven support with ‘business model</w:t>
      </w:r>
      <w:r w:rsidRPr="00B744EE">
        <w:t xml:space="preserve"> development</w:t>
      </w:r>
      <w:r>
        <w:rPr>
          <w:rStyle w:val="FootnoteReference"/>
        </w:rPr>
        <w:footnoteReference w:id="11"/>
      </w:r>
      <w:r w:rsidRPr="00B744EE">
        <w:t>’ with a view to providing</w:t>
      </w:r>
      <w:r>
        <w:t xml:space="preserve"> relevant and life-enhancing products that meet regulatory requirements to me</w:t>
      </w:r>
      <w:r w:rsidR="00CE4FC8">
        <w:t>mbers and in particular to low-</w:t>
      </w:r>
      <w:r>
        <w:t xml:space="preserve">income borrowers.  In this regard the UK FCA’s regulatory </w:t>
      </w:r>
      <w:r>
        <w:lastRenderedPageBreak/>
        <w:t>‘Sandbox’</w:t>
      </w:r>
      <w:r>
        <w:rPr>
          <w:rStyle w:val="FootnoteReference"/>
        </w:rPr>
        <w:footnoteReference w:id="12"/>
      </w:r>
      <w:r>
        <w:t xml:space="preserve"> is a model worthy of consideration</w:t>
      </w:r>
      <w:r w:rsidRPr="00B744EE">
        <w:t xml:space="preserve"> </w:t>
      </w:r>
      <w:r>
        <w:t>with respect to enabling new models of provision to be</w:t>
      </w:r>
      <w:r w:rsidR="009D0397">
        <w:t xml:space="preserve"> explored in a safe environment.</w:t>
      </w:r>
    </w:p>
    <w:p w:rsidR="009D0397" w:rsidRDefault="009D0397" w:rsidP="009D0397">
      <w:pPr>
        <w:pStyle w:val="ListParagraph"/>
        <w:shd w:val="clear" w:color="auto" w:fill="EAF1DD" w:themeFill="accent3" w:themeFillTint="33"/>
        <w:spacing w:after="0" w:line="240" w:lineRule="auto"/>
        <w:jc w:val="both"/>
      </w:pPr>
    </w:p>
    <w:p w:rsidR="00883108" w:rsidRDefault="00883108" w:rsidP="009D0397">
      <w:pPr>
        <w:pStyle w:val="ListParagraph"/>
        <w:shd w:val="clear" w:color="auto" w:fill="EAF1DD" w:themeFill="accent3" w:themeFillTint="33"/>
        <w:spacing w:after="0" w:line="240" w:lineRule="auto"/>
        <w:jc w:val="both"/>
      </w:pPr>
      <w:r>
        <w:t>Interest rates charged by money lenders to be reviewed with a view to reduction</w:t>
      </w:r>
      <w:r w:rsidR="00CE4FC8">
        <w:t>.</w:t>
      </w:r>
    </w:p>
    <w:p w:rsidR="00CE4FC8" w:rsidRDefault="00CE4FC8" w:rsidP="005033A0">
      <w:pPr>
        <w:pStyle w:val="ListParagraph"/>
        <w:shd w:val="clear" w:color="auto" w:fill="EAF1DD" w:themeFill="accent3" w:themeFillTint="33"/>
        <w:spacing w:after="0" w:line="240" w:lineRule="auto"/>
        <w:jc w:val="both"/>
      </w:pPr>
    </w:p>
    <w:p w:rsidR="00883108" w:rsidRDefault="00883108" w:rsidP="005033A0">
      <w:pPr>
        <w:pStyle w:val="ListParagraph"/>
        <w:shd w:val="clear" w:color="auto" w:fill="EAF1DD" w:themeFill="accent3" w:themeFillTint="33"/>
        <w:spacing w:after="0" w:line="240" w:lineRule="auto"/>
        <w:jc w:val="both"/>
      </w:pPr>
      <w:r>
        <w:t>Consideration to be given to establishment of a ‘special purpose vehicle’ whereby Credit Unions or other could re-finance mortgages now being offered at a discount to mortgage borrowers by ‘funds’.</w:t>
      </w:r>
    </w:p>
    <w:p w:rsidR="00B05779" w:rsidRDefault="00B05779" w:rsidP="005033A0">
      <w:pPr>
        <w:pStyle w:val="ListParagraph"/>
        <w:shd w:val="clear" w:color="auto" w:fill="EAF1DD" w:themeFill="accent3" w:themeFillTint="33"/>
        <w:spacing w:after="0" w:line="240" w:lineRule="auto"/>
        <w:jc w:val="both"/>
      </w:pPr>
    </w:p>
    <w:p w:rsidR="00883108" w:rsidRDefault="00883108" w:rsidP="005033A0">
      <w:pPr>
        <w:pStyle w:val="ListParagraph"/>
        <w:shd w:val="clear" w:color="auto" w:fill="EAF1DD" w:themeFill="accent3" w:themeFillTint="33"/>
        <w:spacing w:after="0" w:line="240" w:lineRule="auto"/>
        <w:jc w:val="both"/>
      </w:pPr>
      <w:r>
        <w:t>Consideration to be given to enabling credit unions to jointly finance ‘Approved Housing Bodies’ under the Mortgage to Rent scheme.</w:t>
      </w:r>
    </w:p>
    <w:p w:rsidR="0097429A" w:rsidRPr="003652E4" w:rsidRDefault="0097429A" w:rsidP="005033A0">
      <w:pPr>
        <w:spacing w:line="240" w:lineRule="auto"/>
      </w:pPr>
    </w:p>
    <w:p w:rsidR="00883108" w:rsidRPr="00F52EAE" w:rsidRDefault="00883108" w:rsidP="008B0C54">
      <w:pPr>
        <w:pStyle w:val="Heading3"/>
        <w:rPr>
          <w:b/>
          <w:bCs/>
          <w:color w:val="244061" w:themeColor="accent1" w:themeShade="80"/>
        </w:rPr>
      </w:pPr>
      <w:bookmarkStart w:id="14" w:name="_Toc485334238"/>
      <w:r w:rsidRPr="00F52EAE">
        <w:rPr>
          <w:b/>
          <w:color w:val="244061" w:themeColor="accent1" w:themeShade="80"/>
        </w:rPr>
        <w:t>‘TOO MUCH DEBT’</w:t>
      </w:r>
      <w:bookmarkEnd w:id="14"/>
    </w:p>
    <w:p w:rsidR="008B0C54" w:rsidRPr="00F52EAE" w:rsidRDefault="008B0C54" w:rsidP="008B0C54">
      <w:pPr>
        <w:pStyle w:val="Subtitle"/>
        <w:spacing w:line="240" w:lineRule="auto"/>
        <w:ind w:left="720"/>
        <w:jc w:val="both"/>
        <w:rPr>
          <w:rFonts w:asciiTheme="minorHAnsi" w:hAnsiTheme="minorHAnsi"/>
          <w:b/>
          <w:color w:val="244061" w:themeColor="accent1" w:themeShade="80"/>
        </w:rPr>
      </w:pPr>
      <w:r w:rsidRPr="00F52EAE">
        <w:rPr>
          <w:rFonts w:asciiTheme="minorHAnsi" w:hAnsiTheme="minorHAnsi"/>
          <w:b/>
          <w:color w:val="244061" w:themeColor="accent1" w:themeShade="80"/>
        </w:rPr>
        <w:t>Recommendations</w:t>
      </w:r>
      <w:r w:rsidR="00F52EAE">
        <w:rPr>
          <w:rFonts w:asciiTheme="minorHAnsi" w:hAnsiTheme="minorHAnsi"/>
          <w:b/>
          <w:color w:val="244061" w:themeColor="accent1" w:themeShade="80"/>
        </w:rPr>
        <w:t>:</w:t>
      </w:r>
    </w:p>
    <w:p w:rsidR="00883108" w:rsidRPr="004B0A31" w:rsidRDefault="00883108" w:rsidP="005033A0">
      <w:pPr>
        <w:pStyle w:val="ListParagraph"/>
        <w:shd w:val="clear" w:color="auto" w:fill="EAF1DD" w:themeFill="accent3" w:themeFillTint="33"/>
        <w:spacing w:after="0" w:line="240" w:lineRule="auto"/>
        <w:jc w:val="both"/>
      </w:pPr>
      <w:r w:rsidRPr="004B0A31">
        <w:t xml:space="preserve">Review eligibility criteria for DRN and shorten supervision period to one year. </w:t>
      </w:r>
    </w:p>
    <w:p w:rsidR="00B05779" w:rsidRPr="004B0A31" w:rsidRDefault="00B05779" w:rsidP="005033A0">
      <w:pPr>
        <w:pStyle w:val="ListParagraph"/>
        <w:shd w:val="clear" w:color="auto" w:fill="EAF1DD" w:themeFill="accent3" w:themeFillTint="33"/>
        <w:spacing w:after="0" w:line="240" w:lineRule="auto"/>
        <w:jc w:val="both"/>
      </w:pPr>
    </w:p>
    <w:p w:rsidR="00883108" w:rsidRPr="004B0A31" w:rsidRDefault="00883108" w:rsidP="005033A0">
      <w:pPr>
        <w:pStyle w:val="ListParagraph"/>
        <w:shd w:val="clear" w:color="auto" w:fill="EAF1DD" w:themeFill="accent3" w:themeFillTint="33"/>
        <w:spacing w:after="0" w:line="240" w:lineRule="auto"/>
        <w:jc w:val="both"/>
      </w:pPr>
      <w:r w:rsidRPr="004B0A31">
        <w:t>Remove excludable debts from legislation relating to DRNs.</w:t>
      </w:r>
    </w:p>
    <w:p w:rsidR="00B05779" w:rsidRPr="004B0A31" w:rsidRDefault="00B05779" w:rsidP="005033A0">
      <w:pPr>
        <w:pStyle w:val="ListParagraph"/>
        <w:shd w:val="clear" w:color="auto" w:fill="EAF1DD" w:themeFill="accent3" w:themeFillTint="33"/>
        <w:spacing w:after="0" w:line="240" w:lineRule="auto"/>
        <w:jc w:val="both"/>
      </w:pPr>
    </w:p>
    <w:p w:rsidR="00883108" w:rsidRPr="004B0A31" w:rsidRDefault="00883108" w:rsidP="005033A0">
      <w:pPr>
        <w:pStyle w:val="ListParagraph"/>
        <w:shd w:val="clear" w:color="auto" w:fill="EAF1DD" w:themeFill="accent3" w:themeFillTint="33"/>
        <w:spacing w:after="0" w:line="240" w:lineRule="auto"/>
        <w:jc w:val="both"/>
      </w:pPr>
      <w:r w:rsidRPr="004B0A31">
        <w:t>Provide a free/public PIP service for low income borrowers to facilitate access to insolvency.</w:t>
      </w:r>
    </w:p>
    <w:p w:rsidR="00883108" w:rsidRPr="004B0A31" w:rsidRDefault="00883108" w:rsidP="005033A0">
      <w:pPr>
        <w:pStyle w:val="ListParagraph"/>
        <w:shd w:val="clear" w:color="auto" w:fill="EAF1DD" w:themeFill="accent3" w:themeFillTint="33"/>
        <w:spacing w:after="0" w:line="240" w:lineRule="auto"/>
        <w:jc w:val="both"/>
      </w:pPr>
      <w:r w:rsidRPr="004B0A31">
        <w:t xml:space="preserve">Creditors to adopt a more humane approach to the most vulnerable clients and write-off more debts voluntarily. </w:t>
      </w:r>
    </w:p>
    <w:p w:rsidR="00883108" w:rsidRDefault="00883108" w:rsidP="001A6FA9">
      <w:pPr>
        <w:spacing w:line="240" w:lineRule="auto"/>
      </w:pPr>
    </w:p>
    <w:p w:rsidR="00834D43" w:rsidRDefault="00834D43" w:rsidP="001A6FA9">
      <w:pPr>
        <w:spacing w:line="240" w:lineRule="auto"/>
      </w:pPr>
    </w:p>
    <w:sectPr w:rsidR="00834D43" w:rsidSect="00A5535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99" w:rsidRDefault="004C6899" w:rsidP="00DD725F">
      <w:pPr>
        <w:spacing w:after="0" w:line="240" w:lineRule="auto"/>
      </w:pPr>
      <w:r>
        <w:separator/>
      </w:r>
    </w:p>
  </w:endnote>
  <w:endnote w:type="continuationSeparator" w:id="0">
    <w:p w:rsidR="004C6899" w:rsidRDefault="004C6899" w:rsidP="00DD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27" w:rsidRDefault="009A7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9" w:rsidRDefault="004C689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CIB Pre-Budget Submission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727" w:rsidRPr="009A772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C6899" w:rsidRDefault="004C6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27" w:rsidRDefault="009A7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99" w:rsidRDefault="004C6899" w:rsidP="00DD725F">
      <w:pPr>
        <w:spacing w:after="0" w:line="240" w:lineRule="auto"/>
      </w:pPr>
      <w:r>
        <w:separator/>
      </w:r>
    </w:p>
  </w:footnote>
  <w:footnote w:type="continuationSeparator" w:id="0">
    <w:p w:rsidR="004C6899" w:rsidRDefault="004C6899" w:rsidP="00DD725F">
      <w:pPr>
        <w:spacing w:after="0" w:line="240" w:lineRule="auto"/>
      </w:pPr>
      <w:r>
        <w:continuationSeparator/>
      </w:r>
    </w:p>
  </w:footnote>
  <w:footnote w:id="1">
    <w:p w:rsidR="004C6899" w:rsidRDefault="004C6899" w:rsidP="000506FD">
      <w:pPr>
        <w:pStyle w:val="FootnoteText"/>
      </w:pPr>
      <w:r>
        <w:rPr>
          <w:rStyle w:val="FootnoteReference"/>
        </w:rPr>
        <w:footnoteRef/>
      </w:r>
      <w:r>
        <w:t xml:space="preserve"> </w:t>
      </w:r>
      <w:hyperlink r:id="rId1" w:history="1">
        <w:r w:rsidRPr="000506FD">
          <w:rPr>
            <w:rStyle w:val="Hyperlink"/>
          </w:rPr>
          <w:t>Hard Times for the Self</w:t>
        </w:r>
        <w:r w:rsidRPr="000506FD">
          <w:rPr>
            <w:rStyle w:val="Hyperlink"/>
            <w:rFonts w:ascii="MS Gothic" w:eastAsia="MS Gothic" w:hAnsi="MS Gothic" w:cs="MS Gothic"/>
          </w:rPr>
          <w:t>‑</w:t>
        </w:r>
        <w:r w:rsidRPr="000506FD">
          <w:rPr>
            <w:rStyle w:val="Hyperlink"/>
          </w:rPr>
          <w:t xml:space="preserve">employed </w:t>
        </w:r>
      </w:hyperlink>
      <w:r>
        <w:t xml:space="preserve"> - Citizens Information and MABS Experience: A Citizens Information Board Social Policy Report (2012)</w:t>
      </w:r>
    </w:p>
  </w:footnote>
  <w:footnote w:id="2">
    <w:p w:rsidR="00715323" w:rsidRDefault="00715323">
      <w:pPr>
        <w:pStyle w:val="FootnoteText"/>
      </w:pPr>
      <w:r>
        <w:rPr>
          <w:rStyle w:val="FootnoteReference"/>
        </w:rPr>
        <w:footnoteRef/>
      </w:r>
      <w:r>
        <w:t xml:space="preserve"> initially envisaged as the Single Affordable Childcare Scheme</w:t>
      </w:r>
    </w:p>
  </w:footnote>
  <w:footnote w:id="3">
    <w:p w:rsidR="004C6899" w:rsidRDefault="004C6899">
      <w:pPr>
        <w:pStyle w:val="FootnoteText"/>
      </w:pPr>
      <w:r>
        <w:rPr>
          <w:rStyle w:val="FootnoteReference"/>
        </w:rPr>
        <w:footnoteRef/>
      </w:r>
      <w:r>
        <w:t xml:space="preserve"> </w:t>
      </w:r>
      <w:r w:rsidRPr="001A6FA9">
        <w:t>Budget 2013</w:t>
      </w:r>
    </w:p>
  </w:footnote>
  <w:footnote w:id="4">
    <w:p w:rsidR="004C6899" w:rsidRDefault="004C6899" w:rsidP="00883108">
      <w:pPr>
        <w:pStyle w:val="FootnoteText"/>
      </w:pPr>
      <w:r>
        <w:rPr>
          <w:rStyle w:val="FootnoteReference"/>
        </w:rPr>
        <w:footnoteRef/>
      </w:r>
      <w:r>
        <w:t xml:space="preserve"> See </w:t>
      </w:r>
      <w:hyperlink r:id="rId2" w:history="1">
        <w:r w:rsidRPr="00795BB9">
          <w:rPr>
            <w:rStyle w:val="Hyperlink"/>
          </w:rPr>
          <w:t>https://www.mabs.ie/en/about_us/mabs_statistics.html</w:t>
        </w:r>
      </w:hyperlink>
      <w:r>
        <w:t xml:space="preserve">, </w:t>
      </w:r>
    </w:p>
  </w:footnote>
  <w:footnote w:id="5">
    <w:p w:rsidR="004C6899" w:rsidRDefault="004C6899" w:rsidP="00883108">
      <w:pPr>
        <w:pStyle w:val="FootnoteText"/>
      </w:pPr>
      <w:r>
        <w:rPr>
          <w:rStyle w:val="FootnoteReference"/>
        </w:rPr>
        <w:footnoteRef/>
      </w:r>
      <w:r>
        <w:t xml:space="preserve">  See for example: </w:t>
      </w:r>
      <w:r w:rsidRPr="00716C7A">
        <w:t>http://emptyhomesdoctor.org.uk/</w:t>
      </w:r>
    </w:p>
  </w:footnote>
  <w:footnote w:id="6">
    <w:p w:rsidR="004C6899" w:rsidRDefault="004C6899" w:rsidP="00883108">
      <w:pPr>
        <w:pStyle w:val="FootnoteText"/>
      </w:pPr>
      <w:r>
        <w:rPr>
          <w:rStyle w:val="FootnoteReference"/>
        </w:rPr>
        <w:footnoteRef/>
      </w:r>
      <w:r>
        <w:t xml:space="preserve"> </w:t>
      </w:r>
      <w:hyperlink r:id="rId3" w:history="1">
        <w:r w:rsidRPr="00795BB9">
          <w:rPr>
            <w:rStyle w:val="Hyperlink"/>
          </w:rPr>
          <w:t>https://www.mabs.ie/downloads/news_press/South_Mayo_MABS_Mortgage_Research_August2016.pdf</w:t>
        </w:r>
      </w:hyperlink>
    </w:p>
    <w:p w:rsidR="004C6899" w:rsidRDefault="004C6899" w:rsidP="00883108">
      <w:pPr>
        <w:pStyle w:val="FootnoteText"/>
      </w:pPr>
    </w:p>
  </w:footnote>
  <w:footnote w:id="7">
    <w:p w:rsidR="004C6899" w:rsidRPr="001F5B1E" w:rsidRDefault="004C6899" w:rsidP="00883108">
      <w:pPr>
        <w:pStyle w:val="FootnoteText"/>
      </w:pPr>
      <w:r w:rsidRPr="001F5B1E">
        <w:rPr>
          <w:rStyle w:val="FootnoteReference"/>
        </w:rPr>
        <w:footnoteRef/>
      </w:r>
      <w:r w:rsidRPr="001F5B1E">
        <w:t xml:space="preserve"> </w:t>
      </w:r>
      <w:hyperlink r:id="rId4" w:history="1">
        <w:r w:rsidRPr="001F5B1E">
          <w:rPr>
            <w:rStyle w:val="Hyperlink"/>
          </w:rPr>
          <w:t>https://www.education.ie/en/Publications/Corporate-Reports/Strategy-Statement/Action-Plan-for-Education-2017.pdf</w:t>
        </w:r>
      </w:hyperlink>
    </w:p>
  </w:footnote>
  <w:footnote w:id="8">
    <w:p w:rsidR="004C6899" w:rsidRPr="001F5B1E" w:rsidRDefault="004C6899" w:rsidP="00883108">
      <w:pPr>
        <w:pStyle w:val="FootnoteText"/>
      </w:pPr>
      <w:r w:rsidRPr="001F5B1E">
        <w:rPr>
          <w:rStyle w:val="FootnoteReference"/>
        </w:rPr>
        <w:footnoteRef/>
      </w:r>
      <w:r w:rsidRPr="001F5B1E">
        <w:t xml:space="preserve"> </w:t>
      </w:r>
      <w:hyperlink r:id="rId5" w:history="1">
        <w:r w:rsidRPr="001F5B1E">
          <w:rPr>
            <w:rStyle w:val="Hyperlink"/>
          </w:rPr>
          <w:t>http://www.education.ie/en/Circulars-and-Forms/Active-Circulars/cl0032_2017.pdf</w:t>
        </w:r>
      </w:hyperlink>
    </w:p>
    <w:p w:rsidR="004C6899" w:rsidRDefault="004C6899" w:rsidP="00883108">
      <w:pPr>
        <w:pStyle w:val="FootnoteText"/>
      </w:pPr>
    </w:p>
  </w:footnote>
  <w:footnote w:id="9">
    <w:p w:rsidR="004C6899" w:rsidRDefault="004C6899" w:rsidP="00883108">
      <w:pPr>
        <w:pStyle w:val="FootnoteText"/>
      </w:pPr>
      <w:r>
        <w:rPr>
          <w:rStyle w:val="FootnoteReference"/>
        </w:rPr>
        <w:footnoteRef/>
      </w:r>
      <w:r>
        <w:t xml:space="preserve"> </w:t>
      </w:r>
      <w:hyperlink r:id="rId6" w:history="1">
        <w:r w:rsidRPr="00795BB9">
          <w:rPr>
            <w:rStyle w:val="Hyperlink"/>
          </w:rPr>
          <w:t>http://marielouiseodonnell.ie/wp-content/uploads/2017/05/Marie-Louise-ODonnell-Finite-Lives.pdf</w:t>
        </w:r>
      </w:hyperlink>
    </w:p>
    <w:p w:rsidR="004C6899" w:rsidRDefault="004C6899" w:rsidP="00883108">
      <w:pPr>
        <w:pStyle w:val="FootnoteText"/>
      </w:pPr>
    </w:p>
  </w:footnote>
  <w:footnote w:id="10">
    <w:p w:rsidR="004C6899" w:rsidRPr="001F5B1E" w:rsidRDefault="004C6899" w:rsidP="006E1B0D">
      <w:pPr>
        <w:pStyle w:val="FootnoteText"/>
      </w:pPr>
      <w:r>
        <w:rPr>
          <w:rStyle w:val="FootnoteReference"/>
        </w:rPr>
        <w:footnoteRef/>
      </w:r>
      <w:hyperlink r:id="rId7" w:history="1">
        <w:r w:rsidRPr="001F5B1E">
          <w:rPr>
            <w:rStyle w:val="Hyperlink"/>
          </w:rPr>
          <w:t>http://oireachtasdebates.oireachtas.ie/Debates%20Authoring/DebatesWebPack.nsf/committeetakes/FPJ2017032100002</w:t>
        </w:r>
      </w:hyperlink>
    </w:p>
    <w:p w:rsidR="004C6899" w:rsidRPr="001F5B1E" w:rsidRDefault="004C6899" w:rsidP="006E1B0D">
      <w:pPr>
        <w:pStyle w:val="FootnoteText"/>
      </w:pPr>
    </w:p>
  </w:footnote>
  <w:footnote w:id="11">
    <w:p w:rsidR="004C6899" w:rsidRPr="001F5B1E" w:rsidRDefault="004C6899" w:rsidP="00883108">
      <w:pPr>
        <w:pStyle w:val="Default"/>
        <w:rPr>
          <w:sz w:val="20"/>
          <w:szCs w:val="20"/>
        </w:rPr>
      </w:pPr>
      <w:r w:rsidRPr="001F5B1E">
        <w:rPr>
          <w:rFonts w:ascii="Calibri Light" w:hAnsi="Calibri Light" w:cstheme="minorBidi"/>
          <w:color w:val="auto"/>
          <w:sz w:val="20"/>
          <w:szCs w:val="20"/>
        </w:rPr>
        <w:footnoteRef/>
      </w:r>
      <w:r w:rsidRPr="001F5B1E">
        <w:rPr>
          <w:rFonts w:ascii="Calibri Light" w:hAnsi="Calibri Light" w:cstheme="minorBidi"/>
          <w:color w:val="auto"/>
          <w:sz w:val="20"/>
          <w:szCs w:val="20"/>
        </w:rPr>
        <w:t xml:space="preserve"> See,</w:t>
      </w:r>
      <w:r w:rsidRPr="001F5B1E">
        <w:rPr>
          <w:sz w:val="20"/>
          <w:szCs w:val="20"/>
        </w:rPr>
        <w:t xml:space="preserve"> ‘</w:t>
      </w:r>
      <w:r w:rsidRPr="001F5B1E">
        <w:rPr>
          <w:rFonts w:ascii="Calibri Light" w:hAnsi="Calibri Light" w:cstheme="minorBidi"/>
          <w:color w:val="auto"/>
          <w:sz w:val="20"/>
          <w:szCs w:val="20"/>
        </w:rPr>
        <w:t>Review of Implementation of the Recommendations in the Commission on Credit Union’, CUAC, June 2016</w:t>
      </w:r>
      <w:r w:rsidRPr="001F5B1E">
        <w:rPr>
          <w:sz w:val="20"/>
          <w:szCs w:val="20"/>
        </w:rPr>
        <w:t xml:space="preserve"> </w:t>
      </w:r>
      <w:hyperlink r:id="rId8" w:history="1">
        <w:r w:rsidRPr="001F5B1E">
          <w:rPr>
            <w:rStyle w:val="Hyperlink"/>
            <w:sz w:val="20"/>
            <w:szCs w:val="20"/>
          </w:rPr>
          <w:t>http://www.finance.gov.ie/sites/default/files/CUAC%20Review%20of%20Implementation%20of%20the%20Recommendations%20in%20the%20Commission%20on%20Credit%20Unions%20Report.pdf</w:t>
        </w:r>
      </w:hyperlink>
    </w:p>
    <w:p w:rsidR="004C6899" w:rsidRPr="001F5B1E" w:rsidRDefault="004C6899" w:rsidP="00883108">
      <w:pPr>
        <w:pStyle w:val="FootnoteText"/>
      </w:pPr>
    </w:p>
  </w:footnote>
  <w:footnote w:id="12">
    <w:p w:rsidR="004C6899" w:rsidRDefault="004C6899" w:rsidP="00883108">
      <w:pPr>
        <w:pStyle w:val="FootnoteText"/>
      </w:pPr>
      <w:r w:rsidRPr="001F5B1E">
        <w:rPr>
          <w:rStyle w:val="FootnoteReference"/>
        </w:rPr>
        <w:footnoteRef/>
      </w:r>
      <w:r w:rsidRPr="001F5B1E">
        <w:t xml:space="preserve"> </w:t>
      </w:r>
      <w:hyperlink r:id="rId9" w:history="1">
        <w:r w:rsidRPr="001F5B1E">
          <w:rPr>
            <w:rStyle w:val="Hyperlink"/>
          </w:rPr>
          <w:t>https://www.fca.org.uk/firms/innovate-innovation-hub/regulatory-sandbox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27" w:rsidRDefault="009A7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27" w:rsidRDefault="009A77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27" w:rsidRDefault="009A7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3D3"/>
    <w:multiLevelType w:val="hybridMultilevel"/>
    <w:tmpl w:val="816A55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0754978"/>
    <w:multiLevelType w:val="hybridMultilevel"/>
    <w:tmpl w:val="7BA85A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25223C"/>
    <w:multiLevelType w:val="hybridMultilevel"/>
    <w:tmpl w:val="2A461A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54031"/>
    <w:multiLevelType w:val="hybridMultilevel"/>
    <w:tmpl w:val="C95A199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6D22815"/>
    <w:multiLevelType w:val="hybridMultilevel"/>
    <w:tmpl w:val="3516D41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960288"/>
    <w:multiLevelType w:val="hybridMultilevel"/>
    <w:tmpl w:val="860E3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2213E6"/>
    <w:multiLevelType w:val="hybridMultilevel"/>
    <w:tmpl w:val="07B886A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24690391"/>
    <w:multiLevelType w:val="hybridMultilevel"/>
    <w:tmpl w:val="1FF44A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6429A"/>
    <w:multiLevelType w:val="hybridMultilevel"/>
    <w:tmpl w:val="9C82C5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D8C1386"/>
    <w:multiLevelType w:val="hybridMultilevel"/>
    <w:tmpl w:val="809A1F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F55CC5"/>
    <w:multiLevelType w:val="hybridMultilevel"/>
    <w:tmpl w:val="7188D5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2667C9"/>
    <w:multiLevelType w:val="hybridMultilevel"/>
    <w:tmpl w:val="97C880D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31D275CA"/>
    <w:multiLevelType w:val="hybridMultilevel"/>
    <w:tmpl w:val="4D3EBF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2136EC"/>
    <w:multiLevelType w:val="hybridMultilevel"/>
    <w:tmpl w:val="5C5EF78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3ACB41E9"/>
    <w:multiLevelType w:val="hybridMultilevel"/>
    <w:tmpl w:val="6F1CFA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F1C43F0"/>
    <w:multiLevelType w:val="hybridMultilevel"/>
    <w:tmpl w:val="411C40C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805215C"/>
    <w:multiLevelType w:val="hybridMultilevel"/>
    <w:tmpl w:val="143EF7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1A458B"/>
    <w:multiLevelType w:val="hybridMultilevel"/>
    <w:tmpl w:val="771E27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0E0401"/>
    <w:multiLevelType w:val="hybridMultilevel"/>
    <w:tmpl w:val="8E06FB3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5AFA7A13"/>
    <w:multiLevelType w:val="hybridMultilevel"/>
    <w:tmpl w:val="D01C5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3D35C3"/>
    <w:multiLevelType w:val="hybridMultilevel"/>
    <w:tmpl w:val="CC3CB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20200C"/>
    <w:multiLevelType w:val="hybridMultilevel"/>
    <w:tmpl w:val="354C3210"/>
    <w:lvl w:ilvl="0" w:tplc="1809000F">
      <w:start w:val="1"/>
      <w:numFmt w:val="decimal"/>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2" w15:restartNumberingAfterBreak="0">
    <w:nsid w:val="6CF13554"/>
    <w:multiLevelType w:val="hybridMultilevel"/>
    <w:tmpl w:val="15CEC4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8A65496"/>
    <w:multiLevelType w:val="hybridMultilevel"/>
    <w:tmpl w:val="89E816C2"/>
    <w:lvl w:ilvl="0" w:tplc="B87AB3AA">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1029B7"/>
    <w:multiLevelType w:val="hybridMultilevel"/>
    <w:tmpl w:val="312A88CC"/>
    <w:lvl w:ilvl="0" w:tplc="1809000F">
      <w:start w:val="1"/>
      <w:numFmt w:val="decimal"/>
      <w:lvlText w:val="%1."/>
      <w:lvlJc w:val="left"/>
      <w:pPr>
        <w:ind w:left="-5040" w:hanging="360"/>
      </w:pPr>
      <w:rPr>
        <w:rFont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2160" w:hanging="360"/>
      </w:pPr>
      <w:rPr>
        <w:rFonts w:ascii="Courier New" w:hAnsi="Courier New" w:cs="Courier New" w:hint="default"/>
      </w:rPr>
    </w:lvl>
    <w:lvl w:ilvl="5" w:tplc="18090005" w:tentative="1">
      <w:start w:val="1"/>
      <w:numFmt w:val="bullet"/>
      <w:lvlText w:val=""/>
      <w:lvlJc w:val="left"/>
      <w:pPr>
        <w:ind w:left="-1440" w:hanging="360"/>
      </w:pPr>
      <w:rPr>
        <w:rFonts w:ascii="Wingdings" w:hAnsi="Wingdings" w:hint="default"/>
      </w:rPr>
    </w:lvl>
    <w:lvl w:ilvl="6" w:tplc="18090001" w:tentative="1">
      <w:start w:val="1"/>
      <w:numFmt w:val="bullet"/>
      <w:lvlText w:val=""/>
      <w:lvlJc w:val="left"/>
      <w:pPr>
        <w:ind w:left="-720" w:hanging="360"/>
      </w:pPr>
      <w:rPr>
        <w:rFonts w:ascii="Symbol" w:hAnsi="Symbol" w:hint="default"/>
      </w:rPr>
    </w:lvl>
    <w:lvl w:ilvl="7" w:tplc="18090003" w:tentative="1">
      <w:start w:val="1"/>
      <w:numFmt w:val="bullet"/>
      <w:lvlText w:val="o"/>
      <w:lvlJc w:val="left"/>
      <w:pPr>
        <w:ind w:left="0" w:hanging="360"/>
      </w:pPr>
      <w:rPr>
        <w:rFonts w:ascii="Courier New" w:hAnsi="Courier New" w:cs="Courier New" w:hint="default"/>
      </w:rPr>
    </w:lvl>
    <w:lvl w:ilvl="8" w:tplc="18090005" w:tentative="1">
      <w:start w:val="1"/>
      <w:numFmt w:val="bullet"/>
      <w:lvlText w:val=""/>
      <w:lvlJc w:val="left"/>
      <w:pPr>
        <w:ind w:left="720" w:hanging="360"/>
      </w:pPr>
      <w:rPr>
        <w:rFonts w:ascii="Wingdings" w:hAnsi="Wingdings" w:hint="default"/>
      </w:rPr>
    </w:lvl>
  </w:abstractNum>
  <w:num w:numId="1">
    <w:abstractNumId w:val="1"/>
  </w:num>
  <w:num w:numId="2">
    <w:abstractNumId w:val="23"/>
  </w:num>
  <w:num w:numId="3">
    <w:abstractNumId w:val="5"/>
  </w:num>
  <w:num w:numId="4">
    <w:abstractNumId w:val="19"/>
  </w:num>
  <w:num w:numId="5">
    <w:abstractNumId w:val="7"/>
  </w:num>
  <w:num w:numId="6">
    <w:abstractNumId w:val="17"/>
  </w:num>
  <w:num w:numId="7">
    <w:abstractNumId w:val="12"/>
  </w:num>
  <w:num w:numId="8">
    <w:abstractNumId w:val="4"/>
  </w:num>
  <w:num w:numId="9">
    <w:abstractNumId w:val="21"/>
  </w:num>
  <w:num w:numId="10">
    <w:abstractNumId w:val="8"/>
  </w:num>
  <w:num w:numId="11">
    <w:abstractNumId w:val="24"/>
  </w:num>
  <w:num w:numId="12">
    <w:abstractNumId w:val="0"/>
  </w:num>
  <w:num w:numId="13">
    <w:abstractNumId w:val="16"/>
  </w:num>
  <w:num w:numId="14">
    <w:abstractNumId w:val="20"/>
  </w:num>
  <w:num w:numId="15">
    <w:abstractNumId w:val="9"/>
  </w:num>
  <w:num w:numId="16">
    <w:abstractNumId w:val="13"/>
  </w:num>
  <w:num w:numId="17">
    <w:abstractNumId w:val="18"/>
  </w:num>
  <w:num w:numId="18">
    <w:abstractNumId w:val="15"/>
  </w:num>
  <w:num w:numId="19">
    <w:abstractNumId w:val="6"/>
  </w:num>
  <w:num w:numId="20">
    <w:abstractNumId w:val="3"/>
  </w:num>
  <w:num w:numId="21">
    <w:abstractNumId w:val="14"/>
  </w:num>
  <w:num w:numId="22">
    <w:abstractNumId w:val="10"/>
  </w:num>
  <w:num w:numId="23">
    <w:abstractNumId w:val="2"/>
  </w:num>
  <w:num w:numId="24">
    <w:abstractNumId w:val="22"/>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E0"/>
    <w:rsid w:val="00001410"/>
    <w:rsid w:val="0000297A"/>
    <w:rsid w:val="00013BDA"/>
    <w:rsid w:val="00023CDA"/>
    <w:rsid w:val="000506FD"/>
    <w:rsid w:val="00056EF2"/>
    <w:rsid w:val="000621F8"/>
    <w:rsid w:val="000742AF"/>
    <w:rsid w:val="00090DD6"/>
    <w:rsid w:val="000922DE"/>
    <w:rsid w:val="00095398"/>
    <w:rsid w:val="0009694A"/>
    <w:rsid w:val="000B2A16"/>
    <w:rsid w:val="000B675F"/>
    <w:rsid w:val="000C0FC9"/>
    <w:rsid w:val="000C65CF"/>
    <w:rsid w:val="000C7238"/>
    <w:rsid w:val="000D4219"/>
    <w:rsid w:val="000D660A"/>
    <w:rsid w:val="000D6EE5"/>
    <w:rsid w:val="000E4F56"/>
    <w:rsid w:val="000E6EE7"/>
    <w:rsid w:val="000F7B4D"/>
    <w:rsid w:val="00110BAD"/>
    <w:rsid w:val="00121858"/>
    <w:rsid w:val="00121F31"/>
    <w:rsid w:val="00123B3F"/>
    <w:rsid w:val="00126356"/>
    <w:rsid w:val="001318D6"/>
    <w:rsid w:val="00132AB7"/>
    <w:rsid w:val="001350F4"/>
    <w:rsid w:val="001539C4"/>
    <w:rsid w:val="001569BE"/>
    <w:rsid w:val="00162CA7"/>
    <w:rsid w:val="00177068"/>
    <w:rsid w:val="001774E1"/>
    <w:rsid w:val="00182575"/>
    <w:rsid w:val="0018564A"/>
    <w:rsid w:val="001955B0"/>
    <w:rsid w:val="001A6FA9"/>
    <w:rsid w:val="002302F4"/>
    <w:rsid w:val="0023389B"/>
    <w:rsid w:val="002338F6"/>
    <w:rsid w:val="00241963"/>
    <w:rsid w:val="00281182"/>
    <w:rsid w:val="00290A78"/>
    <w:rsid w:val="00296F69"/>
    <w:rsid w:val="002A118C"/>
    <w:rsid w:val="002A187C"/>
    <w:rsid w:val="002A340D"/>
    <w:rsid w:val="002B06EB"/>
    <w:rsid w:val="002B383D"/>
    <w:rsid w:val="002C5C80"/>
    <w:rsid w:val="002D2A01"/>
    <w:rsid w:val="002D3B25"/>
    <w:rsid w:val="002D4134"/>
    <w:rsid w:val="002E54E2"/>
    <w:rsid w:val="002F4148"/>
    <w:rsid w:val="002F6FB5"/>
    <w:rsid w:val="00307591"/>
    <w:rsid w:val="00307D99"/>
    <w:rsid w:val="00314C85"/>
    <w:rsid w:val="0031709F"/>
    <w:rsid w:val="00325D92"/>
    <w:rsid w:val="00326FDF"/>
    <w:rsid w:val="00333855"/>
    <w:rsid w:val="00333F9B"/>
    <w:rsid w:val="003356AC"/>
    <w:rsid w:val="00344571"/>
    <w:rsid w:val="003448C0"/>
    <w:rsid w:val="0036250E"/>
    <w:rsid w:val="003832DF"/>
    <w:rsid w:val="003D69B5"/>
    <w:rsid w:val="003E5DBF"/>
    <w:rsid w:val="003E77FE"/>
    <w:rsid w:val="00403658"/>
    <w:rsid w:val="00422D06"/>
    <w:rsid w:val="00424B42"/>
    <w:rsid w:val="004312EE"/>
    <w:rsid w:val="004345B3"/>
    <w:rsid w:val="00435D1A"/>
    <w:rsid w:val="00451864"/>
    <w:rsid w:val="00460422"/>
    <w:rsid w:val="00475726"/>
    <w:rsid w:val="004A5859"/>
    <w:rsid w:val="004A77B1"/>
    <w:rsid w:val="004B0A31"/>
    <w:rsid w:val="004B66A0"/>
    <w:rsid w:val="004C6899"/>
    <w:rsid w:val="004D203B"/>
    <w:rsid w:val="004D5017"/>
    <w:rsid w:val="004D6B9E"/>
    <w:rsid w:val="004D7775"/>
    <w:rsid w:val="004E2E66"/>
    <w:rsid w:val="004F44BB"/>
    <w:rsid w:val="004F48E4"/>
    <w:rsid w:val="004F7B00"/>
    <w:rsid w:val="00500C91"/>
    <w:rsid w:val="005033A0"/>
    <w:rsid w:val="005142E6"/>
    <w:rsid w:val="00521708"/>
    <w:rsid w:val="00540EC7"/>
    <w:rsid w:val="005439E9"/>
    <w:rsid w:val="0055169E"/>
    <w:rsid w:val="00574E86"/>
    <w:rsid w:val="00580927"/>
    <w:rsid w:val="00584E34"/>
    <w:rsid w:val="00586A55"/>
    <w:rsid w:val="005A2939"/>
    <w:rsid w:val="005A2B91"/>
    <w:rsid w:val="005B0AF0"/>
    <w:rsid w:val="005C1000"/>
    <w:rsid w:val="005C7369"/>
    <w:rsid w:val="005D682A"/>
    <w:rsid w:val="005E0092"/>
    <w:rsid w:val="005E1E1A"/>
    <w:rsid w:val="005E6E41"/>
    <w:rsid w:val="005F44CE"/>
    <w:rsid w:val="00604746"/>
    <w:rsid w:val="006077DF"/>
    <w:rsid w:val="00630D75"/>
    <w:rsid w:val="00641E0F"/>
    <w:rsid w:val="0065553A"/>
    <w:rsid w:val="0067551E"/>
    <w:rsid w:val="00681A06"/>
    <w:rsid w:val="006849E8"/>
    <w:rsid w:val="006C2069"/>
    <w:rsid w:val="006C21CE"/>
    <w:rsid w:val="006C4B5B"/>
    <w:rsid w:val="006C5C25"/>
    <w:rsid w:val="006C7E7C"/>
    <w:rsid w:val="006E1B0D"/>
    <w:rsid w:val="006E3D28"/>
    <w:rsid w:val="006E3EF6"/>
    <w:rsid w:val="006E6783"/>
    <w:rsid w:val="006F2D8E"/>
    <w:rsid w:val="0070315D"/>
    <w:rsid w:val="007148F6"/>
    <w:rsid w:val="0071496D"/>
    <w:rsid w:val="00715323"/>
    <w:rsid w:val="007178A1"/>
    <w:rsid w:val="007223B3"/>
    <w:rsid w:val="0072302D"/>
    <w:rsid w:val="0072550E"/>
    <w:rsid w:val="0072575D"/>
    <w:rsid w:val="00734A16"/>
    <w:rsid w:val="00745B74"/>
    <w:rsid w:val="00751EB3"/>
    <w:rsid w:val="007667EB"/>
    <w:rsid w:val="00767326"/>
    <w:rsid w:val="00771C0E"/>
    <w:rsid w:val="007728FD"/>
    <w:rsid w:val="0077583F"/>
    <w:rsid w:val="00791BDA"/>
    <w:rsid w:val="00796BB9"/>
    <w:rsid w:val="00812CA8"/>
    <w:rsid w:val="008144B6"/>
    <w:rsid w:val="008236F8"/>
    <w:rsid w:val="008238F8"/>
    <w:rsid w:val="00823D0F"/>
    <w:rsid w:val="008306EF"/>
    <w:rsid w:val="00834D43"/>
    <w:rsid w:val="00854985"/>
    <w:rsid w:val="008640FA"/>
    <w:rsid w:val="00883108"/>
    <w:rsid w:val="00884BFF"/>
    <w:rsid w:val="0089045B"/>
    <w:rsid w:val="00891635"/>
    <w:rsid w:val="008B0C54"/>
    <w:rsid w:val="008B4BBB"/>
    <w:rsid w:val="008B7DC1"/>
    <w:rsid w:val="008D10F7"/>
    <w:rsid w:val="00900E98"/>
    <w:rsid w:val="00920EA6"/>
    <w:rsid w:val="0092520D"/>
    <w:rsid w:val="00955825"/>
    <w:rsid w:val="009619A6"/>
    <w:rsid w:val="00962A9D"/>
    <w:rsid w:val="0097411C"/>
    <w:rsid w:val="0097429A"/>
    <w:rsid w:val="009770C9"/>
    <w:rsid w:val="00992216"/>
    <w:rsid w:val="00992C5E"/>
    <w:rsid w:val="00994136"/>
    <w:rsid w:val="009943F8"/>
    <w:rsid w:val="009A1C7F"/>
    <w:rsid w:val="009A4767"/>
    <w:rsid w:val="009A4F4B"/>
    <w:rsid w:val="009A7727"/>
    <w:rsid w:val="009B52CD"/>
    <w:rsid w:val="009B753A"/>
    <w:rsid w:val="009C3096"/>
    <w:rsid w:val="009C7A37"/>
    <w:rsid w:val="009D0397"/>
    <w:rsid w:val="009D150B"/>
    <w:rsid w:val="009D6A0A"/>
    <w:rsid w:val="009E2089"/>
    <w:rsid w:val="009F520F"/>
    <w:rsid w:val="009F7E11"/>
    <w:rsid w:val="00A0106E"/>
    <w:rsid w:val="00A141BB"/>
    <w:rsid w:val="00A417CA"/>
    <w:rsid w:val="00A44A9D"/>
    <w:rsid w:val="00A46147"/>
    <w:rsid w:val="00A5535D"/>
    <w:rsid w:val="00A57549"/>
    <w:rsid w:val="00A61896"/>
    <w:rsid w:val="00A7263B"/>
    <w:rsid w:val="00A73C4A"/>
    <w:rsid w:val="00AB7BF8"/>
    <w:rsid w:val="00AC7868"/>
    <w:rsid w:val="00AD5C90"/>
    <w:rsid w:val="00AD6286"/>
    <w:rsid w:val="00B05779"/>
    <w:rsid w:val="00B34410"/>
    <w:rsid w:val="00B4373D"/>
    <w:rsid w:val="00B47CD1"/>
    <w:rsid w:val="00B518D4"/>
    <w:rsid w:val="00B577EE"/>
    <w:rsid w:val="00B61C0D"/>
    <w:rsid w:val="00B71869"/>
    <w:rsid w:val="00B76383"/>
    <w:rsid w:val="00B764FA"/>
    <w:rsid w:val="00B76C0B"/>
    <w:rsid w:val="00B77E24"/>
    <w:rsid w:val="00B817F6"/>
    <w:rsid w:val="00B8181F"/>
    <w:rsid w:val="00B827C4"/>
    <w:rsid w:val="00B86136"/>
    <w:rsid w:val="00B936AA"/>
    <w:rsid w:val="00BA0A3D"/>
    <w:rsid w:val="00BA1628"/>
    <w:rsid w:val="00BA6B5D"/>
    <w:rsid w:val="00BB05A7"/>
    <w:rsid w:val="00BC68D2"/>
    <w:rsid w:val="00BE1AE1"/>
    <w:rsid w:val="00BE36ED"/>
    <w:rsid w:val="00BE5340"/>
    <w:rsid w:val="00BE5351"/>
    <w:rsid w:val="00BE5CAE"/>
    <w:rsid w:val="00BF29FB"/>
    <w:rsid w:val="00C0452C"/>
    <w:rsid w:val="00C14A2A"/>
    <w:rsid w:val="00C14A9A"/>
    <w:rsid w:val="00C1771F"/>
    <w:rsid w:val="00C41E66"/>
    <w:rsid w:val="00C60B8E"/>
    <w:rsid w:val="00C60F12"/>
    <w:rsid w:val="00C771EA"/>
    <w:rsid w:val="00CA6495"/>
    <w:rsid w:val="00CB1C32"/>
    <w:rsid w:val="00CC0F49"/>
    <w:rsid w:val="00CC185E"/>
    <w:rsid w:val="00CC1C12"/>
    <w:rsid w:val="00CC1EBF"/>
    <w:rsid w:val="00CE4FC8"/>
    <w:rsid w:val="00CE52F2"/>
    <w:rsid w:val="00CF3DAB"/>
    <w:rsid w:val="00CF53F3"/>
    <w:rsid w:val="00D040BF"/>
    <w:rsid w:val="00D10D2D"/>
    <w:rsid w:val="00D146A6"/>
    <w:rsid w:val="00D25A4B"/>
    <w:rsid w:val="00D37144"/>
    <w:rsid w:val="00D45E92"/>
    <w:rsid w:val="00D57625"/>
    <w:rsid w:val="00D71194"/>
    <w:rsid w:val="00D760E0"/>
    <w:rsid w:val="00D80054"/>
    <w:rsid w:val="00D805A0"/>
    <w:rsid w:val="00D927A3"/>
    <w:rsid w:val="00DB5C21"/>
    <w:rsid w:val="00DC0E79"/>
    <w:rsid w:val="00DC23C6"/>
    <w:rsid w:val="00DD6EDC"/>
    <w:rsid w:val="00DD725F"/>
    <w:rsid w:val="00DE0AA7"/>
    <w:rsid w:val="00DF2E30"/>
    <w:rsid w:val="00E05298"/>
    <w:rsid w:val="00E15E47"/>
    <w:rsid w:val="00E272D2"/>
    <w:rsid w:val="00E304E8"/>
    <w:rsid w:val="00E32875"/>
    <w:rsid w:val="00E47EDE"/>
    <w:rsid w:val="00E730F5"/>
    <w:rsid w:val="00EA1AFF"/>
    <w:rsid w:val="00EA3FA0"/>
    <w:rsid w:val="00EB2CCA"/>
    <w:rsid w:val="00EC04A6"/>
    <w:rsid w:val="00EC671C"/>
    <w:rsid w:val="00EE6103"/>
    <w:rsid w:val="00EF1944"/>
    <w:rsid w:val="00EF29FA"/>
    <w:rsid w:val="00F0723F"/>
    <w:rsid w:val="00F10B67"/>
    <w:rsid w:val="00F2018F"/>
    <w:rsid w:val="00F21BF8"/>
    <w:rsid w:val="00F32F48"/>
    <w:rsid w:val="00F44864"/>
    <w:rsid w:val="00F45422"/>
    <w:rsid w:val="00F5227E"/>
    <w:rsid w:val="00F52EAE"/>
    <w:rsid w:val="00F5406F"/>
    <w:rsid w:val="00F6246F"/>
    <w:rsid w:val="00F739C6"/>
    <w:rsid w:val="00FA08B4"/>
    <w:rsid w:val="00FA1C5A"/>
    <w:rsid w:val="00FB0862"/>
    <w:rsid w:val="00FB132B"/>
    <w:rsid w:val="00FC0CC5"/>
    <w:rsid w:val="00FC0E6E"/>
    <w:rsid w:val="00FC5ADD"/>
    <w:rsid w:val="00FC5B62"/>
    <w:rsid w:val="00FE2B6B"/>
    <w:rsid w:val="00FF1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9B"/>
  </w:style>
  <w:style w:type="paragraph" w:styleId="Heading1">
    <w:name w:val="heading 1"/>
    <w:basedOn w:val="Normal"/>
    <w:next w:val="Normal"/>
    <w:link w:val="Heading1Char"/>
    <w:uiPriority w:val="9"/>
    <w:qFormat/>
    <w:rsid w:val="008831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360" w:lineRule="auto"/>
      <w:outlineLvl w:val="0"/>
    </w:pPr>
    <w:rPr>
      <w:rFonts w:ascii="Calibri Light" w:eastAsiaTheme="minorEastAsia" w:hAnsi="Calibri Light"/>
      <w:bCs/>
      <w:caps/>
      <w:color w:val="FFFFFF" w:themeColor="background1"/>
      <w:spacing w:val="15"/>
      <w:sz w:val="28"/>
    </w:rPr>
  </w:style>
  <w:style w:type="paragraph" w:styleId="Heading2">
    <w:name w:val="heading 2"/>
    <w:basedOn w:val="Normal"/>
    <w:next w:val="Normal"/>
    <w:link w:val="Heading2Char"/>
    <w:uiPriority w:val="9"/>
    <w:unhideWhenUsed/>
    <w:qFormat/>
    <w:rsid w:val="00734A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3108"/>
    <w:pPr>
      <w:pBdr>
        <w:top w:val="single" w:sz="6" w:space="2" w:color="4F81BD" w:themeColor="accent1"/>
        <w:left w:val="single" w:sz="6" w:space="2" w:color="4F81BD" w:themeColor="accent1"/>
      </w:pBdr>
      <w:spacing w:before="300" w:after="0" w:line="360" w:lineRule="auto"/>
      <w:outlineLvl w:val="2"/>
    </w:pPr>
    <w:rPr>
      <w:rFonts w:ascii="Calibri Light" w:eastAsiaTheme="minorEastAsia" w:hAnsi="Calibri Light"/>
      <w:caps/>
      <w:color w:val="243F60" w:themeColor="accent1" w:themeShade="7F"/>
      <w:spacing w:val="15"/>
    </w:rPr>
  </w:style>
  <w:style w:type="paragraph" w:styleId="Heading4">
    <w:name w:val="heading 4"/>
    <w:basedOn w:val="Normal"/>
    <w:next w:val="Normal"/>
    <w:link w:val="Heading4Char"/>
    <w:uiPriority w:val="9"/>
    <w:unhideWhenUsed/>
    <w:qFormat/>
    <w:rsid w:val="00883108"/>
    <w:pPr>
      <w:pBdr>
        <w:top w:val="dotted" w:sz="6" w:space="2" w:color="4F81BD" w:themeColor="accent1"/>
        <w:left w:val="dotted" w:sz="6" w:space="2" w:color="4F81BD" w:themeColor="accent1"/>
      </w:pBdr>
      <w:spacing w:before="300" w:after="0" w:line="360" w:lineRule="auto"/>
      <w:outlineLvl w:val="3"/>
    </w:pPr>
    <w:rPr>
      <w:rFonts w:ascii="Calibri Light" w:eastAsiaTheme="minorEastAsia" w:hAnsi="Calibri Light"/>
      <w:caps/>
      <w:color w:val="365F91" w:themeColor="accent1" w:themeShade="BF"/>
      <w:spacing w:val="10"/>
    </w:rPr>
  </w:style>
  <w:style w:type="paragraph" w:styleId="Heading5">
    <w:name w:val="heading 5"/>
    <w:basedOn w:val="Normal"/>
    <w:next w:val="Normal"/>
    <w:link w:val="Heading5Char"/>
    <w:uiPriority w:val="9"/>
    <w:unhideWhenUsed/>
    <w:qFormat/>
    <w:rsid w:val="00883108"/>
    <w:pPr>
      <w:pBdr>
        <w:bottom w:val="single" w:sz="6" w:space="1" w:color="4F81BD" w:themeColor="accent1"/>
      </w:pBdr>
      <w:spacing w:before="300" w:after="0" w:line="360" w:lineRule="auto"/>
      <w:outlineLvl w:val="4"/>
    </w:pPr>
    <w:rPr>
      <w:rFonts w:ascii="Calibri Light" w:eastAsiaTheme="minorEastAsia" w:hAnsi="Calibri Light"/>
      <w:caps/>
      <w:color w:val="365F91" w:themeColor="accent1" w:themeShade="BF"/>
      <w:spacing w:val="10"/>
    </w:rPr>
  </w:style>
  <w:style w:type="paragraph" w:styleId="Heading6">
    <w:name w:val="heading 6"/>
    <w:basedOn w:val="Normal"/>
    <w:next w:val="Normal"/>
    <w:link w:val="Heading6Char"/>
    <w:uiPriority w:val="9"/>
    <w:semiHidden/>
    <w:unhideWhenUsed/>
    <w:qFormat/>
    <w:rsid w:val="00883108"/>
    <w:pPr>
      <w:pBdr>
        <w:bottom w:val="dotted" w:sz="6" w:space="1" w:color="4F81BD" w:themeColor="accent1"/>
      </w:pBdr>
      <w:spacing w:before="300" w:after="0" w:line="360" w:lineRule="auto"/>
      <w:outlineLvl w:val="5"/>
    </w:pPr>
    <w:rPr>
      <w:rFonts w:ascii="Calibri Light" w:eastAsiaTheme="minorEastAsia" w:hAnsi="Calibri Light"/>
      <w:caps/>
      <w:color w:val="365F91" w:themeColor="accent1" w:themeShade="BF"/>
      <w:spacing w:val="10"/>
    </w:rPr>
  </w:style>
  <w:style w:type="paragraph" w:styleId="Heading7">
    <w:name w:val="heading 7"/>
    <w:basedOn w:val="Normal"/>
    <w:next w:val="Normal"/>
    <w:link w:val="Heading7Char"/>
    <w:uiPriority w:val="9"/>
    <w:semiHidden/>
    <w:unhideWhenUsed/>
    <w:qFormat/>
    <w:rsid w:val="00883108"/>
    <w:pPr>
      <w:spacing w:before="300" w:after="0" w:line="360" w:lineRule="auto"/>
      <w:outlineLvl w:val="6"/>
    </w:pPr>
    <w:rPr>
      <w:rFonts w:ascii="Calibri Light" w:eastAsiaTheme="minorEastAsia" w:hAnsi="Calibri Light"/>
      <w:caps/>
      <w:color w:val="365F91" w:themeColor="accent1" w:themeShade="BF"/>
      <w:spacing w:val="10"/>
    </w:rPr>
  </w:style>
  <w:style w:type="paragraph" w:styleId="Heading8">
    <w:name w:val="heading 8"/>
    <w:basedOn w:val="Normal"/>
    <w:next w:val="Normal"/>
    <w:link w:val="Heading8Char"/>
    <w:uiPriority w:val="9"/>
    <w:semiHidden/>
    <w:unhideWhenUsed/>
    <w:qFormat/>
    <w:rsid w:val="00883108"/>
    <w:pPr>
      <w:spacing w:before="300" w:after="0" w:line="360" w:lineRule="auto"/>
      <w:outlineLvl w:val="7"/>
    </w:pPr>
    <w:rPr>
      <w:rFonts w:ascii="Calibri Light" w:eastAsiaTheme="minorEastAsia" w:hAnsi="Calibri Light"/>
      <w:caps/>
      <w:spacing w:val="10"/>
      <w:sz w:val="18"/>
      <w:szCs w:val="18"/>
    </w:rPr>
  </w:style>
  <w:style w:type="paragraph" w:styleId="Heading9">
    <w:name w:val="heading 9"/>
    <w:basedOn w:val="Normal"/>
    <w:next w:val="Normal"/>
    <w:link w:val="Heading9Char"/>
    <w:uiPriority w:val="9"/>
    <w:semiHidden/>
    <w:unhideWhenUsed/>
    <w:qFormat/>
    <w:rsid w:val="00883108"/>
    <w:pPr>
      <w:spacing w:before="300" w:after="0" w:line="360" w:lineRule="auto"/>
      <w:outlineLvl w:val="8"/>
    </w:pPr>
    <w:rPr>
      <w:rFonts w:ascii="Calibri Light" w:eastAsiaTheme="minorEastAsia" w:hAnsi="Calibri Light"/>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760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60E0"/>
    <w:rPr>
      <w:b/>
      <w:bCs/>
      <w:i/>
      <w:iCs/>
      <w:color w:val="4F81BD" w:themeColor="accent1"/>
    </w:rPr>
  </w:style>
  <w:style w:type="character" w:styleId="Hyperlink">
    <w:name w:val="Hyperlink"/>
    <w:basedOn w:val="DefaultParagraphFont"/>
    <w:uiPriority w:val="99"/>
    <w:unhideWhenUsed/>
    <w:rsid w:val="002B06EB"/>
    <w:rPr>
      <w:color w:val="0000FF" w:themeColor="hyperlink"/>
      <w:u w:val="single"/>
    </w:rPr>
  </w:style>
  <w:style w:type="paragraph" w:styleId="EndnoteText">
    <w:name w:val="endnote text"/>
    <w:basedOn w:val="Normal"/>
    <w:link w:val="EndnoteTextChar"/>
    <w:uiPriority w:val="99"/>
    <w:semiHidden/>
    <w:unhideWhenUsed/>
    <w:rsid w:val="00DD7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25F"/>
    <w:rPr>
      <w:sz w:val="20"/>
      <w:szCs w:val="20"/>
    </w:rPr>
  </w:style>
  <w:style w:type="character" w:styleId="EndnoteReference">
    <w:name w:val="endnote reference"/>
    <w:basedOn w:val="DefaultParagraphFont"/>
    <w:uiPriority w:val="99"/>
    <w:semiHidden/>
    <w:unhideWhenUsed/>
    <w:rsid w:val="00DD725F"/>
    <w:rPr>
      <w:vertAlign w:val="superscript"/>
    </w:rPr>
  </w:style>
  <w:style w:type="paragraph" w:styleId="FootnoteText">
    <w:name w:val="footnote text"/>
    <w:basedOn w:val="Normal"/>
    <w:link w:val="FootnoteTextChar"/>
    <w:uiPriority w:val="99"/>
    <w:semiHidden/>
    <w:unhideWhenUsed/>
    <w:rsid w:val="00DD7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25F"/>
    <w:rPr>
      <w:sz w:val="20"/>
      <w:szCs w:val="20"/>
    </w:rPr>
  </w:style>
  <w:style w:type="character" w:styleId="FootnoteReference">
    <w:name w:val="footnote reference"/>
    <w:basedOn w:val="DefaultParagraphFont"/>
    <w:uiPriority w:val="99"/>
    <w:semiHidden/>
    <w:unhideWhenUsed/>
    <w:rsid w:val="00DD725F"/>
    <w:rPr>
      <w:vertAlign w:val="superscript"/>
    </w:rPr>
  </w:style>
  <w:style w:type="paragraph" w:styleId="Title">
    <w:name w:val="Title"/>
    <w:basedOn w:val="Normal"/>
    <w:next w:val="Normal"/>
    <w:link w:val="TitleChar"/>
    <w:uiPriority w:val="10"/>
    <w:qFormat/>
    <w:rsid w:val="00734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34A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734A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4A1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FC0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6E"/>
    <w:rPr>
      <w:rFonts w:ascii="Tahoma" w:hAnsi="Tahoma" w:cs="Tahoma"/>
      <w:sz w:val="16"/>
      <w:szCs w:val="16"/>
    </w:rPr>
  </w:style>
  <w:style w:type="paragraph" w:styleId="ListParagraph">
    <w:name w:val="List Paragraph"/>
    <w:basedOn w:val="Normal"/>
    <w:uiPriority w:val="34"/>
    <w:qFormat/>
    <w:rsid w:val="000F7B4D"/>
    <w:pPr>
      <w:ind w:left="720"/>
      <w:contextualSpacing/>
    </w:pPr>
  </w:style>
  <w:style w:type="paragraph" w:styleId="Header">
    <w:name w:val="header"/>
    <w:basedOn w:val="Normal"/>
    <w:link w:val="HeaderChar"/>
    <w:uiPriority w:val="99"/>
    <w:unhideWhenUsed/>
    <w:rsid w:val="00110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BAD"/>
  </w:style>
  <w:style w:type="paragraph" w:styleId="Footer">
    <w:name w:val="footer"/>
    <w:basedOn w:val="Normal"/>
    <w:link w:val="FooterChar"/>
    <w:uiPriority w:val="99"/>
    <w:unhideWhenUsed/>
    <w:rsid w:val="00110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BAD"/>
  </w:style>
  <w:style w:type="character" w:styleId="CommentReference">
    <w:name w:val="annotation reference"/>
    <w:basedOn w:val="DefaultParagraphFont"/>
    <w:uiPriority w:val="99"/>
    <w:semiHidden/>
    <w:unhideWhenUsed/>
    <w:rsid w:val="00EC04A6"/>
    <w:rPr>
      <w:sz w:val="16"/>
      <w:szCs w:val="16"/>
    </w:rPr>
  </w:style>
  <w:style w:type="paragraph" w:styleId="CommentText">
    <w:name w:val="annotation text"/>
    <w:basedOn w:val="Normal"/>
    <w:link w:val="CommentTextChar"/>
    <w:uiPriority w:val="99"/>
    <w:semiHidden/>
    <w:unhideWhenUsed/>
    <w:rsid w:val="00EC04A6"/>
    <w:pPr>
      <w:spacing w:line="240" w:lineRule="auto"/>
    </w:pPr>
    <w:rPr>
      <w:sz w:val="20"/>
      <w:szCs w:val="20"/>
    </w:rPr>
  </w:style>
  <w:style w:type="character" w:customStyle="1" w:styleId="CommentTextChar">
    <w:name w:val="Comment Text Char"/>
    <w:basedOn w:val="DefaultParagraphFont"/>
    <w:link w:val="CommentText"/>
    <w:uiPriority w:val="99"/>
    <w:semiHidden/>
    <w:rsid w:val="00EC04A6"/>
    <w:rPr>
      <w:sz w:val="20"/>
      <w:szCs w:val="20"/>
    </w:rPr>
  </w:style>
  <w:style w:type="paragraph" w:styleId="CommentSubject">
    <w:name w:val="annotation subject"/>
    <w:basedOn w:val="CommentText"/>
    <w:next w:val="CommentText"/>
    <w:link w:val="CommentSubjectChar"/>
    <w:uiPriority w:val="99"/>
    <w:semiHidden/>
    <w:unhideWhenUsed/>
    <w:rsid w:val="00EC04A6"/>
    <w:rPr>
      <w:b/>
      <w:bCs/>
    </w:rPr>
  </w:style>
  <w:style w:type="character" w:customStyle="1" w:styleId="CommentSubjectChar">
    <w:name w:val="Comment Subject Char"/>
    <w:basedOn w:val="CommentTextChar"/>
    <w:link w:val="CommentSubject"/>
    <w:uiPriority w:val="99"/>
    <w:semiHidden/>
    <w:rsid w:val="00EC04A6"/>
    <w:rPr>
      <w:b/>
      <w:bCs/>
      <w:sz w:val="20"/>
      <w:szCs w:val="20"/>
    </w:rPr>
  </w:style>
  <w:style w:type="character" w:customStyle="1" w:styleId="Heading1Char">
    <w:name w:val="Heading 1 Char"/>
    <w:basedOn w:val="DefaultParagraphFont"/>
    <w:link w:val="Heading1"/>
    <w:uiPriority w:val="9"/>
    <w:rsid w:val="00883108"/>
    <w:rPr>
      <w:rFonts w:ascii="Calibri Light" w:eastAsiaTheme="minorEastAsia" w:hAnsi="Calibri Light"/>
      <w:bCs/>
      <w:caps/>
      <w:color w:val="FFFFFF" w:themeColor="background1"/>
      <w:spacing w:val="15"/>
      <w:sz w:val="28"/>
      <w:shd w:val="clear" w:color="auto" w:fill="4F81BD" w:themeFill="accent1"/>
    </w:rPr>
  </w:style>
  <w:style w:type="character" w:customStyle="1" w:styleId="Heading3Char">
    <w:name w:val="Heading 3 Char"/>
    <w:basedOn w:val="DefaultParagraphFont"/>
    <w:link w:val="Heading3"/>
    <w:uiPriority w:val="9"/>
    <w:rsid w:val="00883108"/>
    <w:rPr>
      <w:rFonts w:ascii="Calibri Light" w:eastAsiaTheme="minorEastAsia" w:hAnsi="Calibri Light"/>
      <w:caps/>
      <w:color w:val="243F60" w:themeColor="accent1" w:themeShade="7F"/>
      <w:spacing w:val="15"/>
    </w:rPr>
  </w:style>
  <w:style w:type="character" w:customStyle="1" w:styleId="Heading4Char">
    <w:name w:val="Heading 4 Char"/>
    <w:basedOn w:val="DefaultParagraphFont"/>
    <w:link w:val="Heading4"/>
    <w:uiPriority w:val="9"/>
    <w:rsid w:val="00883108"/>
    <w:rPr>
      <w:rFonts w:ascii="Calibri Light" w:eastAsiaTheme="minorEastAsia" w:hAnsi="Calibri Light"/>
      <w:caps/>
      <w:color w:val="365F91" w:themeColor="accent1" w:themeShade="BF"/>
      <w:spacing w:val="10"/>
    </w:rPr>
  </w:style>
  <w:style w:type="character" w:customStyle="1" w:styleId="Heading5Char">
    <w:name w:val="Heading 5 Char"/>
    <w:basedOn w:val="DefaultParagraphFont"/>
    <w:link w:val="Heading5"/>
    <w:uiPriority w:val="9"/>
    <w:rsid w:val="00883108"/>
    <w:rPr>
      <w:rFonts w:ascii="Calibri Light" w:eastAsiaTheme="minorEastAsia" w:hAnsi="Calibri Light"/>
      <w:caps/>
      <w:color w:val="365F91" w:themeColor="accent1" w:themeShade="BF"/>
      <w:spacing w:val="10"/>
    </w:rPr>
  </w:style>
  <w:style w:type="character" w:customStyle="1" w:styleId="Heading6Char">
    <w:name w:val="Heading 6 Char"/>
    <w:basedOn w:val="DefaultParagraphFont"/>
    <w:link w:val="Heading6"/>
    <w:uiPriority w:val="9"/>
    <w:semiHidden/>
    <w:rsid w:val="00883108"/>
    <w:rPr>
      <w:rFonts w:ascii="Calibri Light" w:eastAsiaTheme="minorEastAsia" w:hAnsi="Calibri Light"/>
      <w:caps/>
      <w:color w:val="365F91" w:themeColor="accent1" w:themeShade="BF"/>
      <w:spacing w:val="10"/>
    </w:rPr>
  </w:style>
  <w:style w:type="character" w:customStyle="1" w:styleId="Heading7Char">
    <w:name w:val="Heading 7 Char"/>
    <w:basedOn w:val="DefaultParagraphFont"/>
    <w:link w:val="Heading7"/>
    <w:uiPriority w:val="9"/>
    <w:semiHidden/>
    <w:rsid w:val="00883108"/>
    <w:rPr>
      <w:rFonts w:ascii="Calibri Light" w:eastAsiaTheme="minorEastAsia" w:hAnsi="Calibri Light"/>
      <w:caps/>
      <w:color w:val="365F91" w:themeColor="accent1" w:themeShade="BF"/>
      <w:spacing w:val="10"/>
    </w:rPr>
  </w:style>
  <w:style w:type="character" w:customStyle="1" w:styleId="Heading8Char">
    <w:name w:val="Heading 8 Char"/>
    <w:basedOn w:val="DefaultParagraphFont"/>
    <w:link w:val="Heading8"/>
    <w:uiPriority w:val="9"/>
    <w:semiHidden/>
    <w:rsid w:val="00883108"/>
    <w:rPr>
      <w:rFonts w:ascii="Calibri Light" w:eastAsiaTheme="minorEastAsia" w:hAnsi="Calibri Light"/>
      <w:caps/>
      <w:spacing w:val="10"/>
      <w:sz w:val="18"/>
      <w:szCs w:val="18"/>
    </w:rPr>
  </w:style>
  <w:style w:type="character" w:customStyle="1" w:styleId="Heading9Char">
    <w:name w:val="Heading 9 Char"/>
    <w:basedOn w:val="DefaultParagraphFont"/>
    <w:link w:val="Heading9"/>
    <w:uiPriority w:val="9"/>
    <w:semiHidden/>
    <w:rsid w:val="00883108"/>
    <w:rPr>
      <w:rFonts w:ascii="Calibri Light" w:eastAsiaTheme="minorEastAsia" w:hAnsi="Calibri Light"/>
      <w:i/>
      <w:caps/>
      <w:spacing w:val="10"/>
      <w:sz w:val="18"/>
      <w:szCs w:val="18"/>
    </w:rPr>
  </w:style>
  <w:style w:type="table" w:styleId="TableGrid">
    <w:name w:val="Table Grid"/>
    <w:basedOn w:val="TableNormal"/>
    <w:uiPriority w:val="59"/>
    <w:rsid w:val="00883108"/>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83108"/>
    <w:rPr>
      <w:b/>
      <w:bCs/>
      <w:caps/>
      <w:color w:val="243F60" w:themeColor="accent1" w:themeShade="7F"/>
      <w:spacing w:val="10"/>
    </w:rPr>
  </w:style>
  <w:style w:type="paragraph" w:styleId="Caption">
    <w:name w:val="caption"/>
    <w:basedOn w:val="Normal"/>
    <w:next w:val="Normal"/>
    <w:uiPriority w:val="35"/>
    <w:semiHidden/>
    <w:unhideWhenUsed/>
    <w:qFormat/>
    <w:rsid w:val="00883108"/>
    <w:pPr>
      <w:spacing w:after="0" w:line="360" w:lineRule="auto"/>
    </w:pPr>
    <w:rPr>
      <w:rFonts w:ascii="Calibri Light" w:eastAsiaTheme="minorEastAsia" w:hAnsi="Calibri Light"/>
      <w:b/>
      <w:bCs/>
      <w:color w:val="365F91" w:themeColor="accent1" w:themeShade="BF"/>
      <w:sz w:val="16"/>
      <w:szCs w:val="16"/>
    </w:rPr>
  </w:style>
  <w:style w:type="character" w:styleId="Strong">
    <w:name w:val="Strong"/>
    <w:uiPriority w:val="22"/>
    <w:qFormat/>
    <w:rsid w:val="00883108"/>
    <w:rPr>
      <w:b/>
      <w:bCs/>
    </w:rPr>
  </w:style>
  <w:style w:type="character" w:styleId="Emphasis">
    <w:name w:val="Emphasis"/>
    <w:uiPriority w:val="20"/>
    <w:qFormat/>
    <w:rsid w:val="00883108"/>
    <w:rPr>
      <w:caps/>
      <w:color w:val="243F60" w:themeColor="accent1" w:themeShade="7F"/>
      <w:spacing w:val="5"/>
    </w:rPr>
  </w:style>
  <w:style w:type="paragraph" w:styleId="NoSpacing">
    <w:name w:val="No Spacing"/>
    <w:basedOn w:val="Normal"/>
    <w:link w:val="NoSpacingChar"/>
    <w:uiPriority w:val="1"/>
    <w:qFormat/>
    <w:rsid w:val="00883108"/>
    <w:pPr>
      <w:spacing w:after="0" w:line="240" w:lineRule="auto"/>
    </w:pPr>
    <w:rPr>
      <w:rFonts w:ascii="Calibri Light" w:eastAsiaTheme="minorEastAsia" w:hAnsi="Calibri Light"/>
      <w:szCs w:val="20"/>
    </w:rPr>
  </w:style>
  <w:style w:type="character" w:customStyle="1" w:styleId="NoSpacingChar">
    <w:name w:val="No Spacing Char"/>
    <w:basedOn w:val="DefaultParagraphFont"/>
    <w:link w:val="NoSpacing"/>
    <w:uiPriority w:val="1"/>
    <w:rsid w:val="00883108"/>
    <w:rPr>
      <w:rFonts w:ascii="Calibri Light" w:eastAsiaTheme="minorEastAsia" w:hAnsi="Calibri Light"/>
      <w:szCs w:val="20"/>
    </w:rPr>
  </w:style>
  <w:style w:type="paragraph" w:styleId="Quote">
    <w:name w:val="Quote"/>
    <w:basedOn w:val="Normal"/>
    <w:next w:val="Normal"/>
    <w:link w:val="QuoteChar"/>
    <w:uiPriority w:val="29"/>
    <w:qFormat/>
    <w:rsid w:val="00883108"/>
    <w:pPr>
      <w:spacing w:after="0" w:line="360" w:lineRule="auto"/>
    </w:pPr>
    <w:rPr>
      <w:rFonts w:ascii="Calibri Light" w:eastAsiaTheme="minorEastAsia" w:hAnsi="Calibri Light"/>
      <w:i/>
      <w:iCs/>
      <w:szCs w:val="20"/>
    </w:rPr>
  </w:style>
  <w:style w:type="character" w:customStyle="1" w:styleId="QuoteChar">
    <w:name w:val="Quote Char"/>
    <w:basedOn w:val="DefaultParagraphFont"/>
    <w:link w:val="Quote"/>
    <w:uiPriority w:val="29"/>
    <w:rsid w:val="00883108"/>
    <w:rPr>
      <w:rFonts w:ascii="Calibri Light" w:eastAsiaTheme="minorEastAsia" w:hAnsi="Calibri Light"/>
      <w:i/>
      <w:iCs/>
      <w:szCs w:val="20"/>
    </w:rPr>
  </w:style>
  <w:style w:type="character" w:styleId="SubtleEmphasis">
    <w:name w:val="Subtle Emphasis"/>
    <w:uiPriority w:val="19"/>
    <w:qFormat/>
    <w:rsid w:val="00883108"/>
    <w:rPr>
      <w:i/>
      <w:iCs/>
      <w:color w:val="243F60" w:themeColor="accent1" w:themeShade="7F"/>
    </w:rPr>
  </w:style>
  <w:style w:type="character" w:styleId="SubtleReference">
    <w:name w:val="Subtle Reference"/>
    <w:uiPriority w:val="31"/>
    <w:qFormat/>
    <w:rsid w:val="00883108"/>
    <w:rPr>
      <w:b/>
      <w:bCs/>
      <w:color w:val="4F81BD" w:themeColor="accent1"/>
    </w:rPr>
  </w:style>
  <w:style w:type="character" w:styleId="IntenseReference">
    <w:name w:val="Intense Reference"/>
    <w:uiPriority w:val="32"/>
    <w:qFormat/>
    <w:rsid w:val="00883108"/>
    <w:rPr>
      <w:b/>
      <w:bCs/>
      <w:i/>
      <w:iCs/>
      <w:caps/>
      <w:color w:val="4F81BD" w:themeColor="accent1"/>
    </w:rPr>
  </w:style>
  <w:style w:type="character" w:styleId="BookTitle">
    <w:name w:val="Book Title"/>
    <w:uiPriority w:val="33"/>
    <w:qFormat/>
    <w:rsid w:val="00883108"/>
    <w:rPr>
      <w:b/>
      <w:bCs/>
      <w:i/>
      <w:iCs/>
      <w:spacing w:val="9"/>
    </w:rPr>
  </w:style>
  <w:style w:type="paragraph" w:styleId="TOCHeading">
    <w:name w:val="TOC Heading"/>
    <w:basedOn w:val="Heading1"/>
    <w:next w:val="Normal"/>
    <w:uiPriority w:val="39"/>
    <w:semiHidden/>
    <w:unhideWhenUsed/>
    <w:qFormat/>
    <w:rsid w:val="00883108"/>
    <w:pPr>
      <w:outlineLvl w:val="9"/>
    </w:pPr>
    <w:rPr>
      <w:lang w:bidi="en-US"/>
    </w:rPr>
  </w:style>
  <w:style w:type="table" w:styleId="LightList-Accent5">
    <w:name w:val="Light List Accent 5"/>
    <w:basedOn w:val="TableNormal"/>
    <w:uiPriority w:val="61"/>
    <w:rsid w:val="00883108"/>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883108"/>
    <w:pPr>
      <w:autoSpaceDE w:val="0"/>
      <w:autoSpaceDN w:val="0"/>
      <w:adjustRightInd w:val="0"/>
      <w:spacing w:after="0" w:line="240" w:lineRule="auto"/>
    </w:pPr>
    <w:rPr>
      <w:rFonts w:ascii="Calibri" w:eastAsiaTheme="minorEastAsia" w:hAnsi="Calibri" w:cs="Calibri"/>
      <w:color w:val="000000"/>
      <w:sz w:val="24"/>
      <w:szCs w:val="24"/>
    </w:rPr>
  </w:style>
  <w:style w:type="paragraph" w:styleId="TOC1">
    <w:name w:val="toc 1"/>
    <w:basedOn w:val="Normal"/>
    <w:next w:val="Normal"/>
    <w:autoRedefine/>
    <w:uiPriority w:val="39"/>
    <w:unhideWhenUsed/>
    <w:rsid w:val="00883108"/>
    <w:pPr>
      <w:tabs>
        <w:tab w:val="right" w:leader="dot" w:pos="9016"/>
      </w:tabs>
      <w:spacing w:after="100" w:line="360" w:lineRule="auto"/>
    </w:pPr>
    <w:rPr>
      <w:rFonts w:ascii="Calibri Light" w:eastAsiaTheme="minorEastAsia" w:hAnsi="Calibri Light"/>
      <w:b/>
      <w:szCs w:val="20"/>
    </w:rPr>
  </w:style>
  <w:style w:type="paragraph" w:styleId="TOC2">
    <w:name w:val="toc 2"/>
    <w:basedOn w:val="Normal"/>
    <w:next w:val="Normal"/>
    <w:autoRedefine/>
    <w:uiPriority w:val="39"/>
    <w:unhideWhenUsed/>
    <w:rsid w:val="00883108"/>
    <w:pPr>
      <w:spacing w:after="100" w:line="360" w:lineRule="auto"/>
      <w:ind w:left="220"/>
    </w:pPr>
    <w:rPr>
      <w:rFonts w:ascii="Calibri Light" w:eastAsiaTheme="minorEastAsia" w:hAnsi="Calibri Ligh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zensinformation.i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finance.gov.ie/sites/default/files/CUAC%20Review%20of%20Implementation%20of%20the%20Recommendations%20in%20the%20Commission%20on%20Credit%20Unions%20Report.pdf" TargetMode="External"/><Relationship Id="rId3" Type="http://schemas.openxmlformats.org/officeDocument/2006/relationships/hyperlink" Target="https://www.mabs.ie/downloads/news_press/South_Mayo_MABS_Mortgage_Research_August2016.pdf" TargetMode="External"/><Relationship Id="rId7" Type="http://schemas.openxmlformats.org/officeDocument/2006/relationships/hyperlink" Target="http://oireachtasdebates.oireachtas.ie/Debates%20Authoring/DebatesWebPack.nsf/committeetakes/FPJ2017032100002" TargetMode="External"/><Relationship Id="rId2" Type="http://schemas.openxmlformats.org/officeDocument/2006/relationships/hyperlink" Target="https://www.mabs.ie/en/about_us/mabs_statistics.html" TargetMode="External"/><Relationship Id="rId1" Type="http://schemas.openxmlformats.org/officeDocument/2006/relationships/hyperlink" Target="http://www.citizensinformationboard.ie/downloads/social_policy/Hard_Times_for_Selfemployed_2012.pdf" TargetMode="External"/><Relationship Id="rId6" Type="http://schemas.openxmlformats.org/officeDocument/2006/relationships/hyperlink" Target="http://marielouiseodonnell.ie/wp-content/uploads/2017/05/Marie-Louise-ODonnell-Finite-Lives.pdf" TargetMode="External"/><Relationship Id="rId5" Type="http://schemas.openxmlformats.org/officeDocument/2006/relationships/hyperlink" Target="http://www.education.ie/en/Circulars-and-Forms/Active-Circulars/cl0032_2017.pdf" TargetMode="External"/><Relationship Id="rId4" Type="http://schemas.openxmlformats.org/officeDocument/2006/relationships/hyperlink" Target="https://www.education.ie/en/Publications/Corporate-Reports/Strategy-Statement/Action-Plan-for-Education-2017.pdf" TargetMode="External"/><Relationship Id="rId9" Type="http://schemas.openxmlformats.org/officeDocument/2006/relationships/hyperlink" Target="https://www.fca.org.uk/firms/innovate-innovation-hub/regulatory-sand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59F9-F853-4A69-ABB8-BF9C85FB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10290</Words>
  <Characters>58655</Characters>
  <Application>Microsoft Office Word</Application>
  <DocSecurity>0</DocSecurity>
  <Lines>488</Lines>
  <Paragraphs>137</Paragraphs>
  <ScaleCrop>false</ScaleCrop>
  <Company/>
  <LinksUpToDate>false</LinksUpToDate>
  <CharactersWithSpaces>68808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2017-09-26T14:14:00Z</dcterms:created>
  <dcterms:modified xsi:type="dcterms:W3CDTF">2017-09-26T14:14:00Z</dcterms:modified>
</cp:coreProperties>
</file>