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84" w:rsidRDefault="000410E9" w:rsidP="00E57583">
      <w:pPr>
        <w:pStyle w:val="Heading2"/>
        <w:rPr>
          <w:sz w:val="32"/>
          <w:szCs w:val="32"/>
        </w:rPr>
      </w:pPr>
      <w:bookmarkStart w:id="0" w:name="_GoBack"/>
      <w:bookmarkEnd w:id="0"/>
      <w:r>
        <w:rPr>
          <w:noProof/>
          <w:sz w:val="32"/>
          <w:szCs w:val="32"/>
          <w:lang w:eastAsia="en-IE"/>
        </w:rPr>
        <w:drawing>
          <wp:inline distT="0" distB="0" distL="0" distR="0" wp14:anchorId="3A0062B4" wp14:editId="3BD76896">
            <wp:extent cx="2467155" cy="750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908" cy="752552"/>
                    </a:xfrm>
                    <a:prstGeom prst="rect">
                      <a:avLst/>
                    </a:prstGeom>
                    <a:noFill/>
                  </pic:spPr>
                </pic:pic>
              </a:graphicData>
            </a:graphic>
          </wp:inline>
        </w:drawing>
      </w:r>
    </w:p>
    <w:sdt>
      <w:sdtPr>
        <w:id w:val="-1241400670"/>
        <w:docPartObj>
          <w:docPartGallery w:val="Cover Pages"/>
          <w:docPartUnique/>
        </w:docPartObj>
      </w:sdtPr>
      <w:sdtEndPr>
        <w:rPr>
          <w:sz w:val="32"/>
          <w:szCs w:val="32"/>
        </w:rPr>
      </w:sdtEndPr>
      <w:sdtContent>
        <w:p w:rsidR="00647884" w:rsidRPr="00647884" w:rsidRDefault="00647884" w:rsidP="00647884"/>
        <w:tbl>
          <w:tblPr>
            <w:tblpPr w:leftFromText="187" w:rightFromText="187" w:vertAnchor="page" w:horzAnchor="margin" w:tblpXSpec="right" w:tblpY="3995"/>
            <w:tblW w:w="2657"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244"/>
          </w:tblGrid>
          <w:tr w:rsidR="00647884" w:rsidRPr="00647884" w:rsidTr="005D7FD8">
            <w:tc>
              <w:tcPr>
                <w:tcW w:w="5000" w:type="pct"/>
              </w:tcPr>
              <w:p w:rsidR="00647884" w:rsidRPr="00647884" w:rsidRDefault="00647884" w:rsidP="005D7FD8">
                <w:pPr>
                  <w:spacing w:after="0" w:line="240" w:lineRule="auto"/>
                  <w:rPr>
                    <w:rFonts w:asciiTheme="majorHAnsi" w:eastAsiaTheme="majorEastAsia" w:hAnsiTheme="majorHAnsi" w:cstheme="majorBidi"/>
                    <w:sz w:val="72"/>
                    <w:szCs w:val="72"/>
                    <w:lang w:val="en-US" w:eastAsia="ja-JP"/>
                  </w:rPr>
                </w:pPr>
                <w:r w:rsidRPr="00AB6BD5">
                  <w:rPr>
                    <w:rFonts w:asciiTheme="majorHAnsi" w:eastAsiaTheme="majorEastAsia" w:hAnsiTheme="majorHAnsi" w:cstheme="majorBidi"/>
                    <w:i/>
                    <w:color w:val="4F81BD" w:themeColor="accent1"/>
                    <w:sz w:val="72"/>
                    <w:szCs w:val="72"/>
                    <w:lang w:val="en-US" w:eastAsia="ja-JP"/>
                  </w:rPr>
                  <w:t>Turning the corner</w:t>
                </w:r>
              </w:p>
            </w:tc>
          </w:tr>
          <w:tr w:rsidR="00647884" w:rsidRPr="00647884" w:rsidTr="005D7FD8">
            <w:tc>
              <w:tcPr>
                <w:tcW w:w="5000" w:type="pct"/>
              </w:tcPr>
              <w:p w:rsidR="001E35B6" w:rsidRPr="006F4FF0" w:rsidRDefault="005D7FD8" w:rsidP="005D7FD8">
                <w:pPr>
                  <w:spacing w:after="0" w:line="240" w:lineRule="auto"/>
                  <w:rPr>
                    <w:rFonts w:eastAsiaTheme="minorEastAsia"/>
                    <w:b/>
                    <w:i/>
                    <w:color w:val="4F81BD" w:themeColor="accent1"/>
                    <w:sz w:val="40"/>
                    <w:szCs w:val="40"/>
                    <w:lang w:val="en-US" w:eastAsia="ja-JP"/>
                  </w:rPr>
                </w:pPr>
                <w:r w:rsidRPr="006F4FF0">
                  <w:rPr>
                    <w:rFonts w:eastAsiaTheme="minorEastAsia"/>
                    <w:b/>
                    <w:i/>
                    <w:color w:val="4F81BD" w:themeColor="accent1"/>
                    <w:sz w:val="40"/>
                    <w:szCs w:val="40"/>
                    <w:lang w:val="en-US" w:eastAsia="ja-JP"/>
                  </w:rPr>
                  <w:t xml:space="preserve">Citizens Information Board </w:t>
                </w:r>
              </w:p>
              <w:p w:rsidR="00647884" w:rsidRPr="006F4FF0" w:rsidRDefault="005D7FD8" w:rsidP="005D7FD8">
                <w:pPr>
                  <w:spacing w:after="0" w:line="240" w:lineRule="auto"/>
                  <w:rPr>
                    <w:rFonts w:eastAsiaTheme="minorEastAsia"/>
                    <w:b/>
                    <w:sz w:val="40"/>
                    <w:szCs w:val="40"/>
                    <w:lang w:val="en-US" w:eastAsia="ja-JP"/>
                  </w:rPr>
                </w:pPr>
                <w:r w:rsidRPr="006F4FF0">
                  <w:rPr>
                    <w:rFonts w:eastAsiaTheme="minorEastAsia"/>
                    <w:b/>
                    <w:i/>
                    <w:color w:val="4F81BD" w:themeColor="accent1"/>
                    <w:sz w:val="40"/>
                    <w:szCs w:val="40"/>
                    <w:lang w:val="en-US" w:eastAsia="ja-JP"/>
                  </w:rPr>
                  <w:t xml:space="preserve">Pre-Budget Submission 2017  </w:t>
                </w:r>
              </w:p>
            </w:tc>
          </w:tr>
        </w:tbl>
        <w:p w:rsidR="00647884" w:rsidRPr="00647884" w:rsidRDefault="00647884" w:rsidP="00647884"/>
        <w:p w:rsidR="00647884" w:rsidRPr="00647884" w:rsidRDefault="00647884" w:rsidP="00647884">
          <w:pPr>
            <w:rPr>
              <w:rFonts w:asciiTheme="majorHAnsi" w:eastAsiaTheme="majorEastAsia" w:hAnsiTheme="majorHAnsi" w:cstheme="majorBidi"/>
              <w:b/>
              <w:bCs/>
              <w:color w:val="4F81BD" w:themeColor="accent1"/>
              <w:sz w:val="32"/>
              <w:szCs w:val="32"/>
            </w:rPr>
          </w:pPr>
          <w:r w:rsidRPr="00647884">
            <w:rPr>
              <w:sz w:val="32"/>
              <w:szCs w:val="32"/>
            </w:rPr>
            <w:br w:type="page"/>
          </w:r>
        </w:p>
      </w:sdtContent>
    </w:sdt>
    <w:p w:rsidR="00712465" w:rsidRPr="00D51E43" w:rsidRDefault="00712465" w:rsidP="00E57583">
      <w:pPr>
        <w:pStyle w:val="IntenseQuote"/>
        <w:rPr>
          <w:sz w:val="32"/>
          <w:szCs w:val="32"/>
        </w:rPr>
      </w:pPr>
      <w:r w:rsidRPr="00D51E43">
        <w:rPr>
          <w:sz w:val="32"/>
          <w:szCs w:val="32"/>
        </w:rPr>
        <w:lastRenderedPageBreak/>
        <w:t>Introduction</w:t>
      </w:r>
    </w:p>
    <w:p w:rsidR="00752286" w:rsidRPr="00F87338" w:rsidRDefault="00356DB7" w:rsidP="00752286">
      <w:r>
        <w:t>T</w:t>
      </w:r>
      <w:r w:rsidRPr="00F87338">
        <w:t>hrough</w:t>
      </w:r>
      <w:r>
        <w:t xml:space="preserve"> </w:t>
      </w:r>
      <w:r w:rsidRPr="00F87338">
        <w:t>funding and support</w:t>
      </w:r>
      <w:r>
        <w:t xml:space="preserve"> for </w:t>
      </w:r>
      <w:r w:rsidRPr="00F87338">
        <w:t xml:space="preserve">a broad range of national and locally-based </w:t>
      </w:r>
      <w:r>
        <w:t xml:space="preserve">information, </w:t>
      </w:r>
      <w:r w:rsidR="00F42518">
        <w:t xml:space="preserve">money </w:t>
      </w:r>
      <w:r>
        <w:t xml:space="preserve">advice and advocacy </w:t>
      </w:r>
      <w:r w:rsidRPr="00F87338">
        <w:t>services</w:t>
      </w:r>
      <w:r>
        <w:t xml:space="preserve"> t</w:t>
      </w:r>
      <w:r w:rsidR="00752286" w:rsidRPr="00F87338">
        <w:t>he Citizens Information Board serves a w</w:t>
      </w:r>
      <w:r w:rsidR="00647884">
        <w:t xml:space="preserve">ide and diverse array of </w:t>
      </w:r>
      <w:r w:rsidR="00C2503B">
        <w:t>people</w:t>
      </w:r>
      <w:r w:rsidR="00752286" w:rsidRPr="00F87338">
        <w:t xml:space="preserve"> across Irish society</w:t>
      </w:r>
      <w:r>
        <w:t>.</w:t>
      </w:r>
      <w:r w:rsidR="00C2503B">
        <w:t xml:space="preserve"> </w:t>
      </w:r>
      <w:r w:rsidR="00752286" w:rsidRPr="00F87338">
        <w:t xml:space="preserve">The insights that the staff within these services have - into the lives of individuals and families as they seek </w:t>
      </w:r>
      <w:r w:rsidR="00F72794">
        <w:t>to</w:t>
      </w:r>
      <w:r w:rsidR="00752286" w:rsidRPr="00F87338">
        <w:t xml:space="preserve"> access social</w:t>
      </w:r>
      <w:r w:rsidR="00F42518">
        <w:t xml:space="preserve">, financial </w:t>
      </w:r>
      <w:r w:rsidR="00752286" w:rsidRPr="00F87338">
        <w:t xml:space="preserve"> and public services - provides for the basis of this Pre</w:t>
      </w:r>
      <w:r w:rsidR="00F72794">
        <w:t>-</w:t>
      </w:r>
      <w:r w:rsidR="00752286" w:rsidRPr="00F87338">
        <w:t>Budget Submission to Government for 2017. These services are</w:t>
      </w:r>
      <w:r w:rsidR="00647884">
        <w:t xml:space="preserve"> well</w:t>
      </w:r>
      <w:r w:rsidR="00647884" w:rsidRPr="00F87338">
        <w:t xml:space="preserve"> placed</w:t>
      </w:r>
      <w:r w:rsidR="00752286" w:rsidRPr="00F87338">
        <w:t xml:space="preserve"> to witness first-hand how government spending, policy and the administration of t</w:t>
      </w:r>
      <w:r w:rsidR="00647884">
        <w:t>his policy can impact on people.</w:t>
      </w:r>
    </w:p>
    <w:p w:rsidR="009B67D2" w:rsidRPr="00F87338" w:rsidRDefault="00A94725">
      <w:r w:rsidRPr="00F87338">
        <w:t xml:space="preserve">On a day-to-day basis, </w:t>
      </w:r>
      <w:r w:rsidR="0023095E" w:rsidRPr="00F87338">
        <w:t xml:space="preserve">CIB </w:t>
      </w:r>
      <w:r w:rsidR="00E353CF">
        <w:t>receives data from front</w:t>
      </w:r>
      <w:r w:rsidRPr="00F87338">
        <w:t xml:space="preserve">line delivery services </w:t>
      </w:r>
      <w:r w:rsidR="003B667A" w:rsidRPr="00F87338">
        <w:t>which</w:t>
      </w:r>
      <w:r w:rsidR="00752286" w:rsidRPr="00F87338">
        <w:t xml:space="preserve"> e</w:t>
      </w:r>
      <w:r w:rsidR="003B667A" w:rsidRPr="00F87338">
        <w:t>vidence</w:t>
      </w:r>
      <w:r w:rsidR="00C2503B">
        <w:t>s</w:t>
      </w:r>
      <w:r w:rsidR="003B667A" w:rsidRPr="00F87338">
        <w:t xml:space="preserve"> particular difficulties that people encounter </w:t>
      </w:r>
      <w:r w:rsidR="003B667A" w:rsidRPr="00F72794">
        <w:t>in trying to access a broad range of public services –</w:t>
      </w:r>
      <w:r w:rsidR="003B667A" w:rsidRPr="00F87338">
        <w:t xml:space="preserve"> such as health,</w:t>
      </w:r>
      <w:r w:rsidR="009B67D2" w:rsidRPr="00F87338">
        <w:t xml:space="preserve"> housing, social welfare</w:t>
      </w:r>
      <w:r w:rsidR="00E550ED" w:rsidRPr="00F87338">
        <w:t xml:space="preserve">, </w:t>
      </w:r>
      <w:r w:rsidR="003B667A" w:rsidRPr="00F87338">
        <w:t>education</w:t>
      </w:r>
      <w:r w:rsidR="00E550ED" w:rsidRPr="00F87338">
        <w:t xml:space="preserve"> and financial services</w:t>
      </w:r>
      <w:r w:rsidR="009B67D2" w:rsidRPr="00F87338">
        <w:t>. In fulfilling its st</w:t>
      </w:r>
      <w:r w:rsidR="0023095E" w:rsidRPr="00F87338">
        <w:t>atutory role</w:t>
      </w:r>
      <w:r w:rsidR="009B67D2" w:rsidRPr="00F87338">
        <w:t>, CIB uses this data to highlight issues of concern so that policy and the administration of policy</w:t>
      </w:r>
      <w:r w:rsidR="006646C5" w:rsidRPr="00F87338">
        <w:t xml:space="preserve"> can be</w:t>
      </w:r>
      <w:r w:rsidR="009B67D2" w:rsidRPr="00F87338">
        <w:t xml:space="preserve"> continually </w:t>
      </w:r>
      <w:r w:rsidR="005F33F9" w:rsidRPr="00F87338">
        <w:t>improved</w:t>
      </w:r>
      <w:r w:rsidR="009B67D2" w:rsidRPr="00F87338">
        <w:t xml:space="preserve">. </w:t>
      </w:r>
    </w:p>
    <w:p w:rsidR="00D5450C" w:rsidRDefault="00EE2C5F" w:rsidP="00D13207">
      <w:r w:rsidRPr="001C4C6C">
        <w:rPr>
          <w:b/>
          <w:color w:val="4F81BD" w:themeColor="accent1"/>
        </w:rPr>
        <w:t>Section One</w:t>
      </w:r>
      <w:r w:rsidRPr="001C4C6C">
        <w:rPr>
          <w:color w:val="4F81BD" w:themeColor="accent1"/>
        </w:rPr>
        <w:t xml:space="preserve"> </w:t>
      </w:r>
      <w:r>
        <w:t>of t</w:t>
      </w:r>
      <w:r w:rsidR="00414949" w:rsidRPr="00F87338">
        <w:t>his Pre</w:t>
      </w:r>
      <w:r w:rsidR="00B46312">
        <w:t>-</w:t>
      </w:r>
      <w:r w:rsidR="00414949" w:rsidRPr="00F87338">
        <w:t>Budget Submission focuss</w:t>
      </w:r>
      <w:r w:rsidR="00C2503B">
        <w:t>es</w:t>
      </w:r>
      <w:r w:rsidR="00414949" w:rsidRPr="00F87338">
        <w:t xml:space="preserve"> on</w:t>
      </w:r>
      <w:r w:rsidR="00AA5909">
        <w:t xml:space="preserve"> income supports for </w:t>
      </w:r>
      <w:r w:rsidR="00414949" w:rsidRPr="00F87338">
        <w:t>people who use our services at key life stages - typically at times of transition or crisis. Th</w:t>
      </w:r>
      <w:r w:rsidR="00477156">
        <w:t>is</w:t>
      </w:r>
      <w:r w:rsidR="00414949" w:rsidRPr="00F87338">
        <w:t xml:space="preserve"> include</w:t>
      </w:r>
      <w:r w:rsidR="00477156">
        <w:t>s</w:t>
      </w:r>
      <w:r w:rsidR="00414949" w:rsidRPr="00F87338">
        <w:t xml:space="preserve"> families and children, people of working age, people with disabilities or illnesses (and their carers), older people, </w:t>
      </w:r>
      <w:r w:rsidR="0012440E">
        <w:t xml:space="preserve">people seeking housing supports </w:t>
      </w:r>
      <w:r w:rsidR="00414949" w:rsidRPr="00F87338">
        <w:t>and people who are experiencing</w:t>
      </w:r>
      <w:r w:rsidR="007417A5" w:rsidRPr="00F87338">
        <w:t xml:space="preserve"> unsustainable </w:t>
      </w:r>
      <w:r w:rsidR="00F42518">
        <w:t xml:space="preserve">debt, including mortgage debt </w:t>
      </w:r>
      <w:r w:rsidR="00414949" w:rsidRPr="00F87338">
        <w:t>at any stage of their lives.</w:t>
      </w:r>
      <w:r w:rsidR="00D13207" w:rsidRPr="00F87338">
        <w:t xml:space="preserve"> </w:t>
      </w:r>
      <w:r w:rsidR="00B46312">
        <w:t xml:space="preserve"> </w:t>
      </w:r>
      <w:r w:rsidR="00A51650" w:rsidRPr="00F87338">
        <w:t xml:space="preserve">Whilst the </w:t>
      </w:r>
      <w:r w:rsidR="00D13207" w:rsidRPr="00F87338">
        <w:t xml:space="preserve">Irish economy continues its recovery, </w:t>
      </w:r>
      <w:r w:rsidR="00647884">
        <w:t xml:space="preserve">it is likely that </w:t>
      </w:r>
      <w:r w:rsidR="00D13207" w:rsidRPr="00F87338">
        <w:t xml:space="preserve">the pressures </w:t>
      </w:r>
      <w:r w:rsidR="00902F86" w:rsidRPr="00F87338">
        <w:t xml:space="preserve">being </w:t>
      </w:r>
      <w:r w:rsidR="00D13207" w:rsidRPr="00F87338">
        <w:t xml:space="preserve">exerted by the </w:t>
      </w:r>
      <w:r w:rsidR="007417A5" w:rsidRPr="00F87338">
        <w:t xml:space="preserve">current difficulties </w:t>
      </w:r>
      <w:r w:rsidR="00D13207" w:rsidRPr="00F87338">
        <w:t xml:space="preserve">in the housing market, </w:t>
      </w:r>
      <w:r w:rsidR="00647884">
        <w:t xml:space="preserve">and </w:t>
      </w:r>
      <w:r w:rsidR="00D13207" w:rsidRPr="00F87338">
        <w:t>the complex interaction of social welfare, tax and activation measures</w:t>
      </w:r>
      <w:r w:rsidR="007417A5" w:rsidRPr="00F87338">
        <w:t xml:space="preserve"> </w:t>
      </w:r>
      <w:r w:rsidR="00D13207" w:rsidRPr="00F87338">
        <w:t xml:space="preserve">will continue to </w:t>
      </w:r>
      <w:r w:rsidR="001D5C78">
        <w:t xml:space="preserve">impact on </w:t>
      </w:r>
      <w:r w:rsidR="00D13207" w:rsidRPr="00F87338">
        <w:t xml:space="preserve">the many people who </w:t>
      </w:r>
      <w:r w:rsidR="001D5C78">
        <w:t>seek</w:t>
      </w:r>
      <w:r w:rsidR="009B5AC1" w:rsidRPr="00F87338">
        <w:t xml:space="preserve"> information and advice at key transition times in their lives.</w:t>
      </w:r>
      <w:r w:rsidR="00647884">
        <w:t xml:space="preserve"> </w:t>
      </w:r>
    </w:p>
    <w:p w:rsidR="00D13207" w:rsidRDefault="00F42518" w:rsidP="00D13207">
      <w:r w:rsidRPr="001C4C6C">
        <w:rPr>
          <w:rFonts w:asciiTheme="majorHAnsi" w:eastAsiaTheme="majorEastAsia" w:hAnsiTheme="majorHAnsi" w:cstheme="majorBidi"/>
          <w:b/>
          <w:bCs/>
          <w:noProof/>
          <w:color w:val="4F81BD" w:themeColor="accent1"/>
          <w:sz w:val="36"/>
          <w:szCs w:val="36"/>
          <w:lang w:eastAsia="en-IE"/>
        </w:rPr>
        <mc:AlternateContent>
          <mc:Choice Requires="wps">
            <w:drawing>
              <wp:anchor distT="0" distB="0" distL="114300" distR="114300" simplePos="0" relativeHeight="251659264" behindDoc="0" locked="0" layoutInCell="0" allowOverlap="1" wp14:anchorId="31946D0B" wp14:editId="26280AFA">
                <wp:simplePos x="0" y="0"/>
                <wp:positionH relativeFrom="page">
                  <wp:posOffset>1078230</wp:posOffset>
                </wp:positionH>
                <wp:positionV relativeFrom="margin">
                  <wp:posOffset>6066790</wp:posOffset>
                </wp:positionV>
                <wp:extent cx="5503545" cy="3251835"/>
                <wp:effectExtent l="171450" t="171450" r="59055" b="62865"/>
                <wp:wrapSquare wrapText="bothSides"/>
                <wp:docPr id="2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3251835"/>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570EF1" w:rsidRPr="004A7771" w:rsidRDefault="00570EF1" w:rsidP="002B4594">
                            <w:pPr>
                              <w:shd w:val="clear" w:color="auto" w:fill="D6E3BC" w:themeFill="accent3" w:themeFillTint="66"/>
                              <w:spacing w:after="0"/>
                              <w:rPr>
                                <w:b/>
                                <w:i/>
                                <w:color w:val="365F91" w:themeColor="accent1" w:themeShade="BF"/>
                                <w:sz w:val="28"/>
                                <w:szCs w:val="28"/>
                              </w:rPr>
                            </w:pPr>
                            <w:r w:rsidRPr="004A7771">
                              <w:rPr>
                                <w:b/>
                                <w:i/>
                                <w:color w:val="365F91" w:themeColor="accent1" w:themeShade="BF"/>
                                <w:sz w:val="28"/>
                                <w:szCs w:val="28"/>
                              </w:rPr>
                              <w:t>In 2015 …….</w:t>
                            </w:r>
                          </w:p>
                          <w:p w:rsidR="000578A6" w:rsidRPr="00477156" w:rsidRDefault="005123E6" w:rsidP="002B4594">
                            <w:pPr>
                              <w:shd w:val="clear" w:color="auto" w:fill="D6E3BC" w:themeFill="accent3" w:themeFillTint="66"/>
                              <w:spacing w:after="0"/>
                              <w:rPr>
                                <w:b/>
                                <w:i/>
                                <w:iCs/>
                                <w:color w:val="808080" w:themeColor="background1" w:themeShade="80"/>
                                <w:sz w:val="24"/>
                                <w:szCs w:val="24"/>
                              </w:rPr>
                            </w:pPr>
                            <w:hyperlink r:id="rId9" w:history="1">
                              <w:r w:rsidR="000578A6" w:rsidRPr="00477156">
                                <w:rPr>
                                  <w:rStyle w:val="Hyperlink"/>
                                  <w:b/>
                                  <w:i/>
                                  <w:iCs/>
                                  <w:color w:val="000080" w:themeColor="hyperlink" w:themeShade="80"/>
                                  <w:sz w:val="24"/>
                                  <w:szCs w:val="24"/>
                                </w:rPr>
                                <w:t>www.citizensinformation.ie</w:t>
                              </w:r>
                            </w:hyperlink>
                            <w:r w:rsidR="000578A6" w:rsidRPr="00477156">
                              <w:rPr>
                                <w:b/>
                                <w:i/>
                                <w:iCs/>
                                <w:color w:val="808080" w:themeColor="background1" w:themeShade="80"/>
                                <w:sz w:val="24"/>
                                <w:szCs w:val="24"/>
                              </w:rPr>
                              <w:t xml:space="preserve"> </w:t>
                            </w:r>
                          </w:p>
                          <w:p w:rsidR="000578A6" w:rsidRPr="002B4594" w:rsidRDefault="00582895" w:rsidP="00295684">
                            <w:pPr>
                              <w:shd w:val="clear" w:color="auto" w:fill="D6E3BC" w:themeFill="accent3" w:themeFillTint="66"/>
                              <w:spacing w:after="0"/>
                              <w:ind w:firstLine="720"/>
                              <w:rPr>
                                <w:i/>
                                <w:iCs/>
                                <w:color w:val="0D0D0D" w:themeColor="text1" w:themeTint="F2"/>
                                <w:sz w:val="24"/>
                                <w:szCs w:val="24"/>
                              </w:rPr>
                            </w:pPr>
                            <w:r>
                              <w:rPr>
                                <w:i/>
                                <w:iCs/>
                                <w:color w:val="0D0D0D" w:themeColor="text1" w:themeTint="F2"/>
                                <w:sz w:val="24"/>
                                <w:szCs w:val="24"/>
                              </w:rPr>
                              <w:t xml:space="preserve">Almost 17 </w:t>
                            </w:r>
                            <w:r w:rsidR="00F42518">
                              <w:rPr>
                                <w:i/>
                                <w:iCs/>
                                <w:color w:val="0D0D0D" w:themeColor="text1" w:themeTint="F2"/>
                                <w:sz w:val="24"/>
                                <w:szCs w:val="24"/>
                              </w:rPr>
                              <w:t xml:space="preserve">million visits, </w:t>
                            </w:r>
                            <w:r w:rsidR="000578A6" w:rsidRPr="002B4594">
                              <w:rPr>
                                <w:i/>
                                <w:iCs/>
                                <w:color w:val="0D0D0D" w:themeColor="text1" w:themeTint="F2"/>
                                <w:sz w:val="24"/>
                                <w:szCs w:val="24"/>
                              </w:rPr>
                              <w:t xml:space="preserve">viewing </w:t>
                            </w:r>
                            <w:r>
                              <w:rPr>
                                <w:i/>
                                <w:iCs/>
                                <w:color w:val="0D0D0D" w:themeColor="text1" w:themeTint="F2"/>
                                <w:sz w:val="24"/>
                                <w:szCs w:val="24"/>
                              </w:rPr>
                              <w:t xml:space="preserve">up to 15 </w:t>
                            </w:r>
                            <w:r w:rsidR="000578A6" w:rsidRPr="002B4594">
                              <w:rPr>
                                <w:i/>
                                <w:iCs/>
                                <w:color w:val="0D0D0D" w:themeColor="text1" w:themeTint="F2"/>
                                <w:sz w:val="24"/>
                                <w:szCs w:val="24"/>
                              </w:rPr>
                              <w:t>million pages</w:t>
                            </w:r>
                          </w:p>
                          <w:p w:rsidR="000578A6" w:rsidRPr="00DB3B7A" w:rsidRDefault="00570EF1" w:rsidP="002B4594">
                            <w:pPr>
                              <w:shd w:val="clear" w:color="auto" w:fill="D6E3BC" w:themeFill="accent3" w:themeFillTint="66"/>
                              <w:spacing w:after="0"/>
                              <w:rPr>
                                <w:b/>
                                <w:i/>
                                <w:iCs/>
                                <w:color w:val="17365D" w:themeColor="text2" w:themeShade="BF"/>
                                <w:sz w:val="24"/>
                                <w:szCs w:val="24"/>
                              </w:rPr>
                            </w:pPr>
                            <w:r>
                              <w:rPr>
                                <w:b/>
                                <w:i/>
                                <w:iCs/>
                                <w:color w:val="17365D" w:themeColor="text2" w:themeShade="BF"/>
                                <w:sz w:val="24"/>
                                <w:szCs w:val="24"/>
                              </w:rPr>
                              <w:t>Citizens Information Services (CISs)</w:t>
                            </w:r>
                          </w:p>
                          <w:p w:rsidR="000578A6" w:rsidRPr="00295684" w:rsidRDefault="000578A6" w:rsidP="00295684">
                            <w:pPr>
                              <w:shd w:val="clear" w:color="auto" w:fill="D6E3BC" w:themeFill="accent3" w:themeFillTint="66"/>
                              <w:spacing w:after="0"/>
                              <w:ind w:firstLine="720"/>
                              <w:rPr>
                                <w:i/>
                                <w:iCs/>
                                <w:color w:val="0D0D0D" w:themeColor="text1" w:themeTint="F2"/>
                                <w:sz w:val="24"/>
                                <w:szCs w:val="24"/>
                              </w:rPr>
                            </w:pPr>
                            <w:r w:rsidRPr="00295684">
                              <w:rPr>
                                <w:i/>
                                <w:iCs/>
                                <w:color w:val="0D0D0D" w:themeColor="text1" w:themeTint="F2"/>
                                <w:sz w:val="24"/>
                                <w:szCs w:val="24"/>
                              </w:rPr>
                              <w:t>607,000 people contacted the services with almost 1 million queries</w:t>
                            </w:r>
                          </w:p>
                          <w:p w:rsidR="000578A6" w:rsidRPr="00DB3B7A" w:rsidRDefault="000578A6" w:rsidP="002B4594">
                            <w:pPr>
                              <w:shd w:val="clear" w:color="auto" w:fill="D6E3BC" w:themeFill="accent3" w:themeFillTint="66"/>
                              <w:spacing w:after="0"/>
                              <w:rPr>
                                <w:b/>
                                <w:i/>
                                <w:iCs/>
                                <w:color w:val="17365D" w:themeColor="text2" w:themeShade="BF"/>
                                <w:sz w:val="24"/>
                                <w:szCs w:val="24"/>
                              </w:rPr>
                            </w:pPr>
                            <w:r w:rsidRPr="00DB3B7A">
                              <w:rPr>
                                <w:b/>
                                <w:i/>
                                <w:iCs/>
                                <w:color w:val="17365D" w:themeColor="text2" w:themeShade="BF"/>
                                <w:sz w:val="24"/>
                                <w:szCs w:val="24"/>
                              </w:rPr>
                              <w:t>Citizens Information Phone Service</w:t>
                            </w:r>
                            <w:r w:rsidR="00570EF1">
                              <w:rPr>
                                <w:b/>
                                <w:i/>
                                <w:iCs/>
                                <w:color w:val="17365D" w:themeColor="text2" w:themeShade="BF"/>
                                <w:sz w:val="24"/>
                                <w:szCs w:val="24"/>
                              </w:rPr>
                              <w:t xml:space="preserve"> (CIPS)</w:t>
                            </w:r>
                          </w:p>
                          <w:p w:rsidR="000578A6" w:rsidRPr="00295684" w:rsidRDefault="004A7771" w:rsidP="00295684">
                            <w:pPr>
                              <w:shd w:val="clear" w:color="auto" w:fill="D6E3BC" w:themeFill="accent3" w:themeFillTint="66"/>
                              <w:spacing w:after="0"/>
                              <w:ind w:firstLine="720"/>
                              <w:rPr>
                                <w:i/>
                                <w:iCs/>
                                <w:color w:val="1D1B11" w:themeColor="background2" w:themeShade="1A"/>
                                <w:sz w:val="24"/>
                                <w:szCs w:val="24"/>
                              </w:rPr>
                            </w:pPr>
                            <w:r>
                              <w:rPr>
                                <w:i/>
                                <w:iCs/>
                                <w:color w:val="1D1B11" w:themeColor="background2" w:themeShade="1A"/>
                                <w:sz w:val="24"/>
                                <w:szCs w:val="24"/>
                              </w:rPr>
                              <w:t xml:space="preserve">Over </w:t>
                            </w:r>
                            <w:r w:rsidR="001C4C6C">
                              <w:rPr>
                                <w:i/>
                                <w:iCs/>
                                <w:color w:val="1D1B11" w:themeColor="background2" w:themeShade="1A"/>
                                <w:sz w:val="24"/>
                                <w:szCs w:val="24"/>
                              </w:rPr>
                              <w:t>154</w:t>
                            </w:r>
                            <w:r w:rsidR="000578A6" w:rsidRPr="00295684">
                              <w:rPr>
                                <w:i/>
                                <w:iCs/>
                                <w:color w:val="1D1B11" w:themeColor="background2" w:themeShade="1A"/>
                                <w:sz w:val="24"/>
                                <w:szCs w:val="24"/>
                              </w:rPr>
                              <w:t>,000 callers</w:t>
                            </w:r>
                          </w:p>
                          <w:p w:rsidR="000578A6" w:rsidRPr="00DB3B7A" w:rsidRDefault="000578A6" w:rsidP="002B4594">
                            <w:pPr>
                              <w:shd w:val="clear" w:color="auto" w:fill="D6E3BC" w:themeFill="accent3" w:themeFillTint="66"/>
                              <w:spacing w:after="0"/>
                              <w:rPr>
                                <w:b/>
                                <w:i/>
                                <w:iCs/>
                                <w:color w:val="17365D" w:themeColor="text2" w:themeShade="BF"/>
                                <w:sz w:val="24"/>
                                <w:szCs w:val="24"/>
                              </w:rPr>
                            </w:pPr>
                            <w:r w:rsidRPr="00DB3B7A">
                              <w:rPr>
                                <w:b/>
                                <w:i/>
                                <w:iCs/>
                                <w:color w:val="17365D" w:themeColor="text2" w:themeShade="BF"/>
                                <w:sz w:val="24"/>
                                <w:szCs w:val="24"/>
                              </w:rPr>
                              <w:t>Money Advice and Budgeting Service</w:t>
                            </w:r>
                          </w:p>
                          <w:p w:rsidR="000578A6" w:rsidRPr="00295684" w:rsidRDefault="00D6255E" w:rsidP="00295684">
                            <w:pPr>
                              <w:shd w:val="clear" w:color="auto" w:fill="D6E3BC" w:themeFill="accent3" w:themeFillTint="66"/>
                              <w:spacing w:after="0"/>
                              <w:ind w:firstLine="720"/>
                              <w:rPr>
                                <w:i/>
                                <w:iCs/>
                                <w:color w:val="1D1B11" w:themeColor="background2" w:themeShade="1A"/>
                                <w:sz w:val="24"/>
                                <w:szCs w:val="24"/>
                              </w:rPr>
                            </w:pPr>
                            <w:r>
                              <w:rPr>
                                <w:i/>
                                <w:iCs/>
                                <w:color w:val="1D1B11" w:themeColor="background2" w:themeShade="1A"/>
                                <w:sz w:val="24"/>
                                <w:szCs w:val="24"/>
                              </w:rPr>
                              <w:t>Over 35,</w:t>
                            </w:r>
                            <w:r w:rsidR="001C4C6C">
                              <w:rPr>
                                <w:i/>
                                <w:iCs/>
                                <w:color w:val="1D1B11" w:themeColor="background2" w:themeShade="1A"/>
                                <w:sz w:val="24"/>
                                <w:szCs w:val="24"/>
                              </w:rPr>
                              <w:t xml:space="preserve">000 </w:t>
                            </w:r>
                            <w:r w:rsidR="000578A6" w:rsidRPr="00295684">
                              <w:rPr>
                                <w:i/>
                                <w:iCs/>
                                <w:color w:val="1D1B11" w:themeColor="background2" w:themeShade="1A"/>
                                <w:sz w:val="24"/>
                                <w:szCs w:val="24"/>
                              </w:rPr>
                              <w:t>people assisted with problem debt</w:t>
                            </w:r>
                          </w:p>
                          <w:p w:rsidR="000578A6" w:rsidRPr="00DB3B7A" w:rsidRDefault="000578A6" w:rsidP="002B4594">
                            <w:pPr>
                              <w:shd w:val="clear" w:color="auto" w:fill="D6E3BC" w:themeFill="accent3" w:themeFillTint="66"/>
                              <w:spacing w:after="0"/>
                              <w:rPr>
                                <w:b/>
                                <w:i/>
                                <w:iCs/>
                                <w:color w:val="17365D" w:themeColor="text2" w:themeShade="BF"/>
                                <w:sz w:val="24"/>
                                <w:szCs w:val="24"/>
                              </w:rPr>
                            </w:pPr>
                            <w:r w:rsidRPr="00DB3B7A">
                              <w:rPr>
                                <w:b/>
                                <w:i/>
                                <w:iCs/>
                                <w:color w:val="17365D" w:themeColor="text2" w:themeShade="BF"/>
                                <w:sz w:val="24"/>
                                <w:szCs w:val="24"/>
                              </w:rPr>
                              <w:t>Sign Language Interpreting Service</w:t>
                            </w:r>
                          </w:p>
                          <w:p w:rsidR="000578A6" w:rsidRPr="00295684" w:rsidRDefault="000578A6" w:rsidP="00295684">
                            <w:pPr>
                              <w:shd w:val="clear" w:color="auto" w:fill="D6E3BC" w:themeFill="accent3" w:themeFillTint="66"/>
                              <w:spacing w:after="0"/>
                              <w:ind w:firstLine="720"/>
                              <w:rPr>
                                <w:i/>
                                <w:iCs/>
                                <w:color w:val="1D1B11" w:themeColor="background2" w:themeShade="1A"/>
                                <w:sz w:val="24"/>
                                <w:szCs w:val="24"/>
                              </w:rPr>
                            </w:pPr>
                            <w:r w:rsidRPr="00295684">
                              <w:rPr>
                                <w:i/>
                                <w:iCs/>
                                <w:color w:val="1D1B11" w:themeColor="background2" w:themeShade="1A"/>
                                <w:sz w:val="24"/>
                                <w:szCs w:val="24"/>
                              </w:rPr>
                              <w:t>1,500 bookings and referrals</w:t>
                            </w:r>
                          </w:p>
                          <w:p w:rsidR="000578A6" w:rsidRPr="00F42518" w:rsidRDefault="000578A6" w:rsidP="002B4594">
                            <w:pPr>
                              <w:shd w:val="clear" w:color="auto" w:fill="D6E3BC" w:themeFill="accent3" w:themeFillTint="66"/>
                              <w:spacing w:after="0"/>
                              <w:rPr>
                                <w:b/>
                                <w:i/>
                                <w:iCs/>
                                <w:color w:val="17365D" w:themeColor="text2" w:themeShade="BF"/>
                                <w:sz w:val="24"/>
                                <w:szCs w:val="24"/>
                              </w:rPr>
                            </w:pPr>
                            <w:r w:rsidRPr="00F42518">
                              <w:rPr>
                                <w:b/>
                                <w:i/>
                                <w:iCs/>
                                <w:color w:val="17365D" w:themeColor="text2" w:themeShade="BF"/>
                                <w:sz w:val="24"/>
                                <w:szCs w:val="24"/>
                              </w:rPr>
                              <w:t>National Advocacy Service</w:t>
                            </w:r>
                            <w:r w:rsidR="00570EF1">
                              <w:rPr>
                                <w:b/>
                                <w:i/>
                                <w:iCs/>
                                <w:color w:val="17365D" w:themeColor="text2" w:themeShade="BF"/>
                                <w:sz w:val="24"/>
                                <w:szCs w:val="24"/>
                              </w:rPr>
                              <w:t xml:space="preserve"> (NAS)</w:t>
                            </w:r>
                          </w:p>
                          <w:p w:rsidR="000578A6" w:rsidRDefault="000578A6" w:rsidP="00295684">
                            <w:pPr>
                              <w:shd w:val="clear" w:color="auto" w:fill="D6E3BC" w:themeFill="accent3" w:themeFillTint="66"/>
                              <w:spacing w:after="0"/>
                              <w:ind w:firstLine="720"/>
                              <w:rPr>
                                <w:i/>
                                <w:iCs/>
                                <w:color w:val="1D1B11" w:themeColor="background2" w:themeShade="1A"/>
                                <w:sz w:val="24"/>
                                <w:szCs w:val="24"/>
                              </w:rPr>
                            </w:pPr>
                            <w:r w:rsidRPr="00295684">
                              <w:rPr>
                                <w:i/>
                                <w:iCs/>
                                <w:color w:val="1D1B11" w:themeColor="background2" w:themeShade="1A"/>
                                <w:sz w:val="24"/>
                                <w:szCs w:val="24"/>
                              </w:rPr>
                              <w:t>1,000 people supported by Disability Advocates</w:t>
                            </w:r>
                          </w:p>
                          <w:p w:rsidR="00F42518" w:rsidRDefault="00F42518" w:rsidP="00295684">
                            <w:pPr>
                              <w:shd w:val="clear" w:color="auto" w:fill="D6E3BC" w:themeFill="accent3" w:themeFillTint="66"/>
                              <w:spacing w:after="0"/>
                              <w:ind w:firstLine="720"/>
                              <w:rPr>
                                <w:i/>
                                <w:iCs/>
                                <w:color w:val="1D1B11" w:themeColor="background2" w:themeShade="1A"/>
                                <w:sz w:val="24"/>
                                <w:szCs w:val="24"/>
                              </w:rPr>
                            </w:pPr>
                          </w:p>
                          <w:p w:rsidR="00F42518" w:rsidRPr="00295684" w:rsidRDefault="00F42518" w:rsidP="00295684">
                            <w:pPr>
                              <w:shd w:val="clear" w:color="auto" w:fill="D6E3BC" w:themeFill="accent3" w:themeFillTint="66"/>
                              <w:spacing w:after="0"/>
                              <w:ind w:firstLine="720"/>
                              <w:rPr>
                                <w:i/>
                                <w:iCs/>
                                <w:color w:val="1D1B11" w:themeColor="background2" w:themeShade="1A"/>
                                <w:sz w:val="24"/>
                                <w:szCs w:val="24"/>
                              </w:rPr>
                            </w:pP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1946D0B" id="AutoShape 2" o:spid="_x0000_s1026" style="position:absolute;margin-left:84.9pt;margin-top:477.7pt;width:433.35pt;height:25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" o:allowincell="f" stroked="f">
                <v:shadow on="t" type="perspective" color="#4f81bd" origin="-.5,-.5" offset="-3pt,-3pt" matrix="58982f,,,58982f"/>
                <v:textbox inset=",,36pt,18pt">
                  <w:txbxContent>
                    <w:p w:rsidR="00570EF1" w:rsidRPr="004A7771" w:rsidRDefault="00570EF1" w:rsidP="002B4594">
                      <w:pPr>
                        <w:shd w:val="clear" w:color="auto" w:fill="D6E3BC" w:themeFill="accent3" w:themeFillTint="66"/>
                        <w:spacing w:after="0"/>
                        <w:rPr>
                          <w:b/>
                          <w:i/>
                          <w:color w:val="365F91" w:themeColor="accent1" w:themeShade="BF"/>
                          <w:sz w:val="28"/>
                          <w:szCs w:val="28"/>
                        </w:rPr>
                      </w:pPr>
                      <w:r w:rsidRPr="004A7771">
                        <w:rPr>
                          <w:b/>
                          <w:i/>
                          <w:color w:val="365F91" w:themeColor="accent1" w:themeShade="BF"/>
                          <w:sz w:val="28"/>
                          <w:szCs w:val="28"/>
                        </w:rPr>
                        <w:t>In 2015 …….</w:t>
                      </w:r>
                    </w:p>
                    <w:p w:rsidR="000578A6" w:rsidRPr="00477156" w:rsidRDefault="005123E6" w:rsidP="002B4594">
                      <w:pPr>
                        <w:shd w:val="clear" w:color="auto" w:fill="D6E3BC" w:themeFill="accent3" w:themeFillTint="66"/>
                        <w:spacing w:after="0"/>
                        <w:rPr>
                          <w:b/>
                          <w:i/>
                          <w:iCs/>
                          <w:color w:val="808080" w:themeColor="background1" w:themeShade="80"/>
                          <w:sz w:val="24"/>
                          <w:szCs w:val="24"/>
                        </w:rPr>
                      </w:pPr>
                      <w:hyperlink r:id="rId10" w:history="1">
                        <w:r w:rsidR="000578A6" w:rsidRPr="00477156">
                          <w:rPr>
                            <w:rStyle w:val="Hyperlink"/>
                            <w:b/>
                            <w:i/>
                            <w:iCs/>
                            <w:color w:val="000080" w:themeColor="hyperlink" w:themeShade="80"/>
                            <w:sz w:val="24"/>
                            <w:szCs w:val="24"/>
                          </w:rPr>
                          <w:t>www.citizensinformation.ie</w:t>
                        </w:r>
                      </w:hyperlink>
                      <w:r w:rsidR="000578A6" w:rsidRPr="00477156">
                        <w:rPr>
                          <w:b/>
                          <w:i/>
                          <w:iCs/>
                          <w:color w:val="808080" w:themeColor="background1" w:themeShade="80"/>
                          <w:sz w:val="24"/>
                          <w:szCs w:val="24"/>
                        </w:rPr>
                        <w:t xml:space="preserve"> </w:t>
                      </w:r>
                    </w:p>
                    <w:p w:rsidR="000578A6" w:rsidRPr="002B4594" w:rsidRDefault="00582895" w:rsidP="00295684">
                      <w:pPr>
                        <w:shd w:val="clear" w:color="auto" w:fill="D6E3BC" w:themeFill="accent3" w:themeFillTint="66"/>
                        <w:spacing w:after="0"/>
                        <w:ind w:firstLine="720"/>
                        <w:rPr>
                          <w:i/>
                          <w:iCs/>
                          <w:color w:val="0D0D0D" w:themeColor="text1" w:themeTint="F2"/>
                          <w:sz w:val="24"/>
                          <w:szCs w:val="24"/>
                        </w:rPr>
                      </w:pPr>
                      <w:r>
                        <w:rPr>
                          <w:i/>
                          <w:iCs/>
                          <w:color w:val="0D0D0D" w:themeColor="text1" w:themeTint="F2"/>
                          <w:sz w:val="24"/>
                          <w:szCs w:val="24"/>
                        </w:rPr>
                        <w:t xml:space="preserve">Almost 17 </w:t>
                      </w:r>
                      <w:r w:rsidR="00F42518">
                        <w:rPr>
                          <w:i/>
                          <w:iCs/>
                          <w:color w:val="0D0D0D" w:themeColor="text1" w:themeTint="F2"/>
                          <w:sz w:val="24"/>
                          <w:szCs w:val="24"/>
                        </w:rPr>
                        <w:t xml:space="preserve">million visits, </w:t>
                      </w:r>
                      <w:r w:rsidR="000578A6" w:rsidRPr="002B4594">
                        <w:rPr>
                          <w:i/>
                          <w:iCs/>
                          <w:color w:val="0D0D0D" w:themeColor="text1" w:themeTint="F2"/>
                          <w:sz w:val="24"/>
                          <w:szCs w:val="24"/>
                        </w:rPr>
                        <w:t xml:space="preserve">viewing </w:t>
                      </w:r>
                      <w:r>
                        <w:rPr>
                          <w:i/>
                          <w:iCs/>
                          <w:color w:val="0D0D0D" w:themeColor="text1" w:themeTint="F2"/>
                          <w:sz w:val="24"/>
                          <w:szCs w:val="24"/>
                        </w:rPr>
                        <w:t xml:space="preserve">up to 15 </w:t>
                      </w:r>
                      <w:r w:rsidR="000578A6" w:rsidRPr="002B4594">
                        <w:rPr>
                          <w:i/>
                          <w:iCs/>
                          <w:color w:val="0D0D0D" w:themeColor="text1" w:themeTint="F2"/>
                          <w:sz w:val="24"/>
                          <w:szCs w:val="24"/>
                        </w:rPr>
                        <w:t>million pages</w:t>
                      </w:r>
                    </w:p>
                    <w:p w:rsidR="000578A6" w:rsidRPr="00DB3B7A" w:rsidRDefault="00570EF1" w:rsidP="002B4594">
                      <w:pPr>
                        <w:shd w:val="clear" w:color="auto" w:fill="D6E3BC" w:themeFill="accent3" w:themeFillTint="66"/>
                        <w:spacing w:after="0"/>
                        <w:rPr>
                          <w:b/>
                          <w:i/>
                          <w:iCs/>
                          <w:color w:val="17365D" w:themeColor="text2" w:themeShade="BF"/>
                          <w:sz w:val="24"/>
                          <w:szCs w:val="24"/>
                        </w:rPr>
                      </w:pPr>
                      <w:r>
                        <w:rPr>
                          <w:b/>
                          <w:i/>
                          <w:iCs/>
                          <w:color w:val="17365D" w:themeColor="text2" w:themeShade="BF"/>
                          <w:sz w:val="24"/>
                          <w:szCs w:val="24"/>
                        </w:rPr>
                        <w:t>Citizens Information Services (CISs)</w:t>
                      </w:r>
                    </w:p>
                    <w:p w:rsidR="000578A6" w:rsidRPr="00295684" w:rsidRDefault="000578A6" w:rsidP="00295684">
                      <w:pPr>
                        <w:shd w:val="clear" w:color="auto" w:fill="D6E3BC" w:themeFill="accent3" w:themeFillTint="66"/>
                        <w:spacing w:after="0"/>
                        <w:ind w:firstLine="720"/>
                        <w:rPr>
                          <w:i/>
                          <w:iCs/>
                          <w:color w:val="0D0D0D" w:themeColor="text1" w:themeTint="F2"/>
                          <w:sz w:val="24"/>
                          <w:szCs w:val="24"/>
                        </w:rPr>
                      </w:pPr>
                      <w:r w:rsidRPr="00295684">
                        <w:rPr>
                          <w:i/>
                          <w:iCs/>
                          <w:color w:val="0D0D0D" w:themeColor="text1" w:themeTint="F2"/>
                          <w:sz w:val="24"/>
                          <w:szCs w:val="24"/>
                        </w:rPr>
                        <w:t>607,000 people contacted the services with almost 1 million queries</w:t>
                      </w:r>
                    </w:p>
                    <w:p w:rsidR="000578A6" w:rsidRPr="00DB3B7A" w:rsidRDefault="000578A6" w:rsidP="002B4594">
                      <w:pPr>
                        <w:shd w:val="clear" w:color="auto" w:fill="D6E3BC" w:themeFill="accent3" w:themeFillTint="66"/>
                        <w:spacing w:after="0"/>
                        <w:rPr>
                          <w:b/>
                          <w:i/>
                          <w:iCs/>
                          <w:color w:val="17365D" w:themeColor="text2" w:themeShade="BF"/>
                          <w:sz w:val="24"/>
                          <w:szCs w:val="24"/>
                        </w:rPr>
                      </w:pPr>
                      <w:r w:rsidRPr="00DB3B7A">
                        <w:rPr>
                          <w:b/>
                          <w:i/>
                          <w:iCs/>
                          <w:color w:val="17365D" w:themeColor="text2" w:themeShade="BF"/>
                          <w:sz w:val="24"/>
                          <w:szCs w:val="24"/>
                        </w:rPr>
                        <w:t>Citizens Information Phone Service</w:t>
                      </w:r>
                      <w:r w:rsidR="00570EF1">
                        <w:rPr>
                          <w:b/>
                          <w:i/>
                          <w:iCs/>
                          <w:color w:val="17365D" w:themeColor="text2" w:themeShade="BF"/>
                          <w:sz w:val="24"/>
                          <w:szCs w:val="24"/>
                        </w:rPr>
                        <w:t xml:space="preserve"> (CIPS)</w:t>
                      </w:r>
                    </w:p>
                    <w:p w:rsidR="000578A6" w:rsidRPr="00295684" w:rsidRDefault="004A7771" w:rsidP="00295684">
                      <w:pPr>
                        <w:shd w:val="clear" w:color="auto" w:fill="D6E3BC" w:themeFill="accent3" w:themeFillTint="66"/>
                        <w:spacing w:after="0"/>
                        <w:ind w:firstLine="720"/>
                        <w:rPr>
                          <w:i/>
                          <w:iCs/>
                          <w:color w:val="1D1B11" w:themeColor="background2" w:themeShade="1A"/>
                          <w:sz w:val="24"/>
                          <w:szCs w:val="24"/>
                        </w:rPr>
                      </w:pPr>
                      <w:r>
                        <w:rPr>
                          <w:i/>
                          <w:iCs/>
                          <w:color w:val="1D1B11" w:themeColor="background2" w:themeShade="1A"/>
                          <w:sz w:val="24"/>
                          <w:szCs w:val="24"/>
                        </w:rPr>
                        <w:t xml:space="preserve">Over </w:t>
                      </w:r>
                      <w:r w:rsidR="001C4C6C">
                        <w:rPr>
                          <w:i/>
                          <w:iCs/>
                          <w:color w:val="1D1B11" w:themeColor="background2" w:themeShade="1A"/>
                          <w:sz w:val="24"/>
                          <w:szCs w:val="24"/>
                        </w:rPr>
                        <w:t>154</w:t>
                      </w:r>
                      <w:r w:rsidR="000578A6" w:rsidRPr="00295684">
                        <w:rPr>
                          <w:i/>
                          <w:iCs/>
                          <w:color w:val="1D1B11" w:themeColor="background2" w:themeShade="1A"/>
                          <w:sz w:val="24"/>
                          <w:szCs w:val="24"/>
                        </w:rPr>
                        <w:t>,000 callers</w:t>
                      </w:r>
                    </w:p>
                    <w:p w:rsidR="000578A6" w:rsidRPr="00DB3B7A" w:rsidRDefault="000578A6" w:rsidP="002B4594">
                      <w:pPr>
                        <w:shd w:val="clear" w:color="auto" w:fill="D6E3BC" w:themeFill="accent3" w:themeFillTint="66"/>
                        <w:spacing w:after="0"/>
                        <w:rPr>
                          <w:b/>
                          <w:i/>
                          <w:iCs/>
                          <w:color w:val="17365D" w:themeColor="text2" w:themeShade="BF"/>
                          <w:sz w:val="24"/>
                          <w:szCs w:val="24"/>
                        </w:rPr>
                      </w:pPr>
                      <w:r w:rsidRPr="00DB3B7A">
                        <w:rPr>
                          <w:b/>
                          <w:i/>
                          <w:iCs/>
                          <w:color w:val="17365D" w:themeColor="text2" w:themeShade="BF"/>
                          <w:sz w:val="24"/>
                          <w:szCs w:val="24"/>
                        </w:rPr>
                        <w:t>Money Advice and Budgeting Service</w:t>
                      </w:r>
                    </w:p>
                    <w:p w:rsidR="000578A6" w:rsidRPr="00295684" w:rsidRDefault="00D6255E" w:rsidP="00295684">
                      <w:pPr>
                        <w:shd w:val="clear" w:color="auto" w:fill="D6E3BC" w:themeFill="accent3" w:themeFillTint="66"/>
                        <w:spacing w:after="0"/>
                        <w:ind w:firstLine="720"/>
                        <w:rPr>
                          <w:i/>
                          <w:iCs/>
                          <w:color w:val="1D1B11" w:themeColor="background2" w:themeShade="1A"/>
                          <w:sz w:val="24"/>
                          <w:szCs w:val="24"/>
                        </w:rPr>
                      </w:pPr>
                      <w:r>
                        <w:rPr>
                          <w:i/>
                          <w:iCs/>
                          <w:color w:val="1D1B11" w:themeColor="background2" w:themeShade="1A"/>
                          <w:sz w:val="24"/>
                          <w:szCs w:val="24"/>
                        </w:rPr>
                        <w:t>Over 35,</w:t>
                      </w:r>
                      <w:r w:rsidR="001C4C6C">
                        <w:rPr>
                          <w:i/>
                          <w:iCs/>
                          <w:color w:val="1D1B11" w:themeColor="background2" w:themeShade="1A"/>
                          <w:sz w:val="24"/>
                          <w:szCs w:val="24"/>
                        </w:rPr>
                        <w:t xml:space="preserve">000 </w:t>
                      </w:r>
                      <w:r w:rsidR="000578A6" w:rsidRPr="00295684">
                        <w:rPr>
                          <w:i/>
                          <w:iCs/>
                          <w:color w:val="1D1B11" w:themeColor="background2" w:themeShade="1A"/>
                          <w:sz w:val="24"/>
                          <w:szCs w:val="24"/>
                        </w:rPr>
                        <w:t>people assisted with problem debt</w:t>
                      </w:r>
                    </w:p>
                    <w:p w:rsidR="000578A6" w:rsidRPr="00DB3B7A" w:rsidRDefault="000578A6" w:rsidP="002B4594">
                      <w:pPr>
                        <w:shd w:val="clear" w:color="auto" w:fill="D6E3BC" w:themeFill="accent3" w:themeFillTint="66"/>
                        <w:spacing w:after="0"/>
                        <w:rPr>
                          <w:b/>
                          <w:i/>
                          <w:iCs/>
                          <w:color w:val="17365D" w:themeColor="text2" w:themeShade="BF"/>
                          <w:sz w:val="24"/>
                          <w:szCs w:val="24"/>
                        </w:rPr>
                      </w:pPr>
                      <w:r w:rsidRPr="00DB3B7A">
                        <w:rPr>
                          <w:b/>
                          <w:i/>
                          <w:iCs/>
                          <w:color w:val="17365D" w:themeColor="text2" w:themeShade="BF"/>
                          <w:sz w:val="24"/>
                          <w:szCs w:val="24"/>
                        </w:rPr>
                        <w:t>Sign Language Interpreting Service</w:t>
                      </w:r>
                    </w:p>
                    <w:p w:rsidR="000578A6" w:rsidRPr="00295684" w:rsidRDefault="000578A6" w:rsidP="00295684">
                      <w:pPr>
                        <w:shd w:val="clear" w:color="auto" w:fill="D6E3BC" w:themeFill="accent3" w:themeFillTint="66"/>
                        <w:spacing w:after="0"/>
                        <w:ind w:firstLine="720"/>
                        <w:rPr>
                          <w:i/>
                          <w:iCs/>
                          <w:color w:val="1D1B11" w:themeColor="background2" w:themeShade="1A"/>
                          <w:sz w:val="24"/>
                          <w:szCs w:val="24"/>
                        </w:rPr>
                      </w:pPr>
                      <w:r w:rsidRPr="00295684">
                        <w:rPr>
                          <w:i/>
                          <w:iCs/>
                          <w:color w:val="1D1B11" w:themeColor="background2" w:themeShade="1A"/>
                          <w:sz w:val="24"/>
                          <w:szCs w:val="24"/>
                        </w:rPr>
                        <w:t>1,500 bookings and referrals</w:t>
                      </w:r>
                    </w:p>
                    <w:p w:rsidR="000578A6" w:rsidRPr="00F42518" w:rsidRDefault="000578A6" w:rsidP="002B4594">
                      <w:pPr>
                        <w:shd w:val="clear" w:color="auto" w:fill="D6E3BC" w:themeFill="accent3" w:themeFillTint="66"/>
                        <w:spacing w:after="0"/>
                        <w:rPr>
                          <w:b/>
                          <w:i/>
                          <w:iCs/>
                          <w:color w:val="17365D" w:themeColor="text2" w:themeShade="BF"/>
                          <w:sz w:val="24"/>
                          <w:szCs w:val="24"/>
                        </w:rPr>
                      </w:pPr>
                      <w:r w:rsidRPr="00F42518">
                        <w:rPr>
                          <w:b/>
                          <w:i/>
                          <w:iCs/>
                          <w:color w:val="17365D" w:themeColor="text2" w:themeShade="BF"/>
                          <w:sz w:val="24"/>
                          <w:szCs w:val="24"/>
                        </w:rPr>
                        <w:t>National Advocacy Service</w:t>
                      </w:r>
                      <w:r w:rsidR="00570EF1">
                        <w:rPr>
                          <w:b/>
                          <w:i/>
                          <w:iCs/>
                          <w:color w:val="17365D" w:themeColor="text2" w:themeShade="BF"/>
                          <w:sz w:val="24"/>
                          <w:szCs w:val="24"/>
                        </w:rPr>
                        <w:t xml:space="preserve"> (NAS)</w:t>
                      </w:r>
                    </w:p>
                    <w:p w:rsidR="000578A6" w:rsidRDefault="000578A6" w:rsidP="00295684">
                      <w:pPr>
                        <w:shd w:val="clear" w:color="auto" w:fill="D6E3BC" w:themeFill="accent3" w:themeFillTint="66"/>
                        <w:spacing w:after="0"/>
                        <w:ind w:firstLine="720"/>
                        <w:rPr>
                          <w:i/>
                          <w:iCs/>
                          <w:color w:val="1D1B11" w:themeColor="background2" w:themeShade="1A"/>
                          <w:sz w:val="24"/>
                          <w:szCs w:val="24"/>
                        </w:rPr>
                      </w:pPr>
                      <w:r w:rsidRPr="00295684">
                        <w:rPr>
                          <w:i/>
                          <w:iCs/>
                          <w:color w:val="1D1B11" w:themeColor="background2" w:themeShade="1A"/>
                          <w:sz w:val="24"/>
                          <w:szCs w:val="24"/>
                        </w:rPr>
                        <w:t>1,000 people supported by Disability Advocates</w:t>
                      </w:r>
                    </w:p>
                    <w:p w:rsidR="00F42518" w:rsidRDefault="00F42518" w:rsidP="00295684">
                      <w:pPr>
                        <w:shd w:val="clear" w:color="auto" w:fill="D6E3BC" w:themeFill="accent3" w:themeFillTint="66"/>
                        <w:spacing w:after="0"/>
                        <w:ind w:firstLine="720"/>
                        <w:rPr>
                          <w:i/>
                          <w:iCs/>
                          <w:color w:val="1D1B11" w:themeColor="background2" w:themeShade="1A"/>
                          <w:sz w:val="24"/>
                          <w:szCs w:val="24"/>
                        </w:rPr>
                      </w:pPr>
                    </w:p>
                    <w:p w:rsidR="00F42518" w:rsidRPr="00295684" w:rsidRDefault="00F42518" w:rsidP="00295684">
                      <w:pPr>
                        <w:shd w:val="clear" w:color="auto" w:fill="D6E3BC" w:themeFill="accent3" w:themeFillTint="66"/>
                        <w:spacing w:after="0"/>
                        <w:ind w:firstLine="720"/>
                        <w:rPr>
                          <w:i/>
                          <w:iCs/>
                          <w:color w:val="1D1B11" w:themeColor="background2" w:themeShade="1A"/>
                          <w:sz w:val="24"/>
                          <w:szCs w:val="24"/>
                        </w:rPr>
                      </w:pPr>
                    </w:p>
                  </w:txbxContent>
                </v:textbox>
                <w10:wrap type="square" anchorx="page" anchory="margin"/>
              </v:roundrect>
            </w:pict>
          </mc:Fallback>
        </mc:AlternateContent>
      </w:r>
      <w:r w:rsidR="00EE2C5F" w:rsidRPr="001C4C6C">
        <w:rPr>
          <w:b/>
          <w:color w:val="4F81BD" w:themeColor="accent1"/>
        </w:rPr>
        <w:t>Section Two</w:t>
      </w:r>
      <w:r w:rsidR="00EE2C5F" w:rsidRPr="001C4C6C">
        <w:rPr>
          <w:color w:val="4F81BD" w:themeColor="accent1"/>
        </w:rPr>
        <w:t xml:space="preserve"> </w:t>
      </w:r>
      <w:r w:rsidR="00EE2C5F">
        <w:t xml:space="preserve">concentrates on debt and money advice issues that have arisen for the users of our services. </w:t>
      </w:r>
      <w:r w:rsidR="00647884">
        <w:t>Although significant</w:t>
      </w:r>
      <w:r w:rsidR="00647884" w:rsidRPr="00647884">
        <w:t xml:space="preserve"> progress</w:t>
      </w:r>
      <w:r w:rsidR="00647884">
        <w:t xml:space="preserve"> has</w:t>
      </w:r>
      <w:r w:rsidR="00647884" w:rsidRPr="00647884">
        <w:t xml:space="preserve"> be</w:t>
      </w:r>
      <w:r w:rsidR="00647884">
        <w:t>en</w:t>
      </w:r>
      <w:r w:rsidR="00647884" w:rsidRPr="00647884">
        <w:t xml:space="preserve"> made in relation to mortgage debt</w:t>
      </w:r>
      <w:r w:rsidR="00647884">
        <w:t xml:space="preserve"> - </w:t>
      </w:r>
      <w:r w:rsidR="00647884" w:rsidRPr="00647884">
        <w:t>with government directing resources and policy development towards this issue</w:t>
      </w:r>
      <w:r w:rsidR="00647884">
        <w:t xml:space="preserve"> -</w:t>
      </w:r>
      <w:r w:rsidR="00647884" w:rsidRPr="00647884">
        <w:t xml:space="preserve"> concerns remain regarding the risk of homelessness facing those in such circumstances.  Further, </w:t>
      </w:r>
      <w:r w:rsidR="00647884">
        <w:t>our delivery</w:t>
      </w:r>
      <w:r w:rsidR="00356DB7">
        <w:t xml:space="preserve"> services </w:t>
      </w:r>
      <w:r w:rsidR="00647884" w:rsidRPr="00647884">
        <w:t xml:space="preserve">note the continued prevalence of poverty as experienced by those using </w:t>
      </w:r>
      <w:r w:rsidR="00477156">
        <w:t>their</w:t>
      </w:r>
      <w:r w:rsidR="00647884" w:rsidRPr="00647884">
        <w:t xml:space="preserve"> services, as well as </w:t>
      </w:r>
      <w:r w:rsidR="00477156">
        <w:t xml:space="preserve">the difficulties caused by </w:t>
      </w:r>
      <w:r w:rsidR="00647884" w:rsidRPr="00647884">
        <w:t>limited access to credit and banking facilities.</w:t>
      </w:r>
    </w:p>
    <w:p w:rsidR="0075522E" w:rsidRDefault="0075522E" w:rsidP="00D5450C">
      <w:pPr>
        <w:keepNext/>
        <w:keepLines/>
        <w:spacing w:before="200" w:after="0"/>
        <w:outlineLvl w:val="1"/>
        <w:rPr>
          <w:rFonts w:asciiTheme="majorHAnsi" w:eastAsiaTheme="majorEastAsia" w:hAnsiTheme="majorHAnsi" w:cstheme="majorBidi"/>
          <w:b/>
          <w:bCs/>
          <w:color w:val="4F81BD" w:themeColor="accent1"/>
          <w:sz w:val="36"/>
          <w:szCs w:val="36"/>
        </w:rPr>
      </w:pPr>
    </w:p>
    <w:p w:rsidR="00647884" w:rsidRPr="00D51E43" w:rsidRDefault="00647884" w:rsidP="00D5450C">
      <w:pPr>
        <w:keepNext/>
        <w:keepLines/>
        <w:spacing w:before="200" w:after="0"/>
        <w:outlineLvl w:val="1"/>
        <w:rPr>
          <w:rFonts w:asciiTheme="majorHAnsi" w:eastAsiaTheme="majorEastAsia" w:hAnsiTheme="majorHAnsi" w:cstheme="majorBidi"/>
          <w:b/>
          <w:bCs/>
          <w:color w:val="4F81BD" w:themeColor="accent1"/>
          <w:sz w:val="32"/>
          <w:szCs w:val="32"/>
        </w:rPr>
      </w:pPr>
      <w:r w:rsidRPr="00D51E43">
        <w:rPr>
          <w:rFonts w:asciiTheme="majorHAnsi" w:eastAsiaTheme="majorEastAsia" w:hAnsiTheme="majorHAnsi" w:cstheme="majorBidi"/>
          <w:b/>
          <w:bCs/>
          <w:color w:val="4F81BD" w:themeColor="accent1"/>
          <w:sz w:val="32"/>
          <w:szCs w:val="32"/>
        </w:rPr>
        <w:t xml:space="preserve">Section One: </w:t>
      </w:r>
      <w:r w:rsidR="00E41953">
        <w:rPr>
          <w:rFonts w:asciiTheme="majorHAnsi" w:eastAsiaTheme="majorEastAsia" w:hAnsiTheme="majorHAnsi" w:cstheme="majorBidi"/>
          <w:b/>
          <w:bCs/>
          <w:color w:val="4F81BD" w:themeColor="accent1"/>
          <w:sz w:val="32"/>
          <w:szCs w:val="32"/>
        </w:rPr>
        <w:t xml:space="preserve"> Income support and welfare issues</w:t>
      </w:r>
    </w:p>
    <w:p w:rsidR="00712465" w:rsidRPr="00D51E43" w:rsidRDefault="00712465" w:rsidP="00E57583">
      <w:pPr>
        <w:pStyle w:val="IntenseQuote"/>
        <w:rPr>
          <w:sz w:val="32"/>
          <w:szCs w:val="32"/>
        </w:rPr>
      </w:pPr>
      <w:r w:rsidRPr="00D51E43">
        <w:rPr>
          <w:sz w:val="32"/>
          <w:szCs w:val="32"/>
        </w:rPr>
        <w:t>Children</w:t>
      </w:r>
      <w:r w:rsidR="00DE2CBB" w:rsidRPr="00D51E43">
        <w:rPr>
          <w:sz w:val="32"/>
          <w:szCs w:val="32"/>
        </w:rPr>
        <w:t xml:space="preserve"> and families</w:t>
      </w:r>
    </w:p>
    <w:p w:rsidR="00E57583" w:rsidRPr="001E35B6" w:rsidRDefault="00E57583">
      <w:pPr>
        <w:rPr>
          <w:rStyle w:val="IntenseEmphasis"/>
          <w:sz w:val="28"/>
          <w:szCs w:val="28"/>
        </w:rPr>
      </w:pPr>
      <w:r w:rsidRPr="001E35B6">
        <w:rPr>
          <w:rStyle w:val="IntenseEmphasis"/>
          <w:sz w:val="28"/>
          <w:szCs w:val="28"/>
        </w:rPr>
        <w:t>Priority Areas</w:t>
      </w:r>
    </w:p>
    <w:p w:rsidR="00E57583" w:rsidRPr="006B4C21" w:rsidRDefault="00E57583" w:rsidP="00E57583">
      <w:pPr>
        <w:pStyle w:val="IntenseQuote"/>
      </w:pPr>
      <w:r w:rsidRPr="006B4C21">
        <w:t>Mak</w:t>
      </w:r>
      <w:r w:rsidR="009F08C4" w:rsidRPr="006B4C21">
        <w:t>e</w:t>
      </w:r>
      <w:r w:rsidRPr="006B4C21">
        <w:t xml:space="preserve"> work pay for families with children by providing targeted </w:t>
      </w:r>
      <w:r w:rsidR="00584CC6" w:rsidRPr="006B4C21">
        <w:t>assistance</w:t>
      </w:r>
      <w:r w:rsidRPr="006B4C21">
        <w:t xml:space="preserve"> for low income families</w:t>
      </w:r>
      <w:r w:rsidR="00584CC6" w:rsidRPr="006B4C21">
        <w:t>, through a reformed working family payment;</w:t>
      </w:r>
      <w:r w:rsidRPr="006B4C21">
        <w:t xml:space="preserve"> </w:t>
      </w:r>
    </w:p>
    <w:p w:rsidR="00E57583" w:rsidRPr="006B4C21" w:rsidRDefault="00E57583" w:rsidP="00E57583">
      <w:pPr>
        <w:pStyle w:val="IntenseQuote"/>
      </w:pPr>
      <w:r w:rsidRPr="006B4C21">
        <w:t>Provid</w:t>
      </w:r>
      <w:r w:rsidR="009F08C4" w:rsidRPr="006B4C21">
        <w:t>e</w:t>
      </w:r>
      <w:r w:rsidRPr="006B4C21">
        <w:t xml:space="preserve"> coherent investment in subsidised, quality early childhood care and after school care services; </w:t>
      </w:r>
    </w:p>
    <w:p w:rsidR="00E57583" w:rsidRPr="006B4C21" w:rsidRDefault="00E57583" w:rsidP="00E57583">
      <w:pPr>
        <w:pStyle w:val="IntenseQuote"/>
        <w:rPr>
          <w:b w:val="0"/>
          <w:i w:val="0"/>
          <w:color w:val="auto"/>
        </w:rPr>
      </w:pPr>
      <w:r w:rsidRPr="006B4C21">
        <w:t>Addres</w:t>
      </w:r>
      <w:r w:rsidR="009F08C4" w:rsidRPr="006B4C21">
        <w:t>s</w:t>
      </w:r>
      <w:r w:rsidRPr="006B4C21">
        <w:t xml:space="preserve"> persistently high child poverty rates</w:t>
      </w:r>
      <w:r w:rsidR="00E25245" w:rsidRPr="006B4C21">
        <w:t xml:space="preserve"> - </w:t>
      </w:r>
      <w:r w:rsidRPr="006B4C21">
        <w:t>as laid out in Better Outcomes, Brighter Futures</w:t>
      </w:r>
      <w:r w:rsidR="00B46312">
        <w:rPr>
          <w:rStyle w:val="FootnoteReference"/>
        </w:rPr>
        <w:footnoteReference w:id="1"/>
      </w:r>
      <w:r w:rsidR="00E25245" w:rsidRPr="006B4C21">
        <w:t xml:space="preserve"> - </w:t>
      </w:r>
      <w:r w:rsidRPr="006B4C21">
        <w:t>through the further resourcing of income support meas</w:t>
      </w:r>
      <w:r w:rsidR="00E25245" w:rsidRPr="006B4C21">
        <w:t>ures for families with children.</w:t>
      </w:r>
      <w:r w:rsidR="00D324C2" w:rsidRPr="006B4C21">
        <w:t xml:space="preserve"> </w:t>
      </w:r>
    </w:p>
    <w:p w:rsidR="00E25245" w:rsidRPr="00D51E43" w:rsidRDefault="00E25245">
      <w:pPr>
        <w:rPr>
          <w:rStyle w:val="IntenseEmphasis"/>
          <w:sz w:val="28"/>
          <w:szCs w:val="28"/>
        </w:rPr>
      </w:pPr>
      <w:r w:rsidRPr="00D51E43">
        <w:rPr>
          <w:rStyle w:val="IntenseEmphasis"/>
          <w:sz w:val="28"/>
          <w:szCs w:val="28"/>
        </w:rPr>
        <w:t>Issues</w:t>
      </w:r>
    </w:p>
    <w:p w:rsidR="00722B35" w:rsidRPr="00F87338" w:rsidRDefault="0095329D" w:rsidP="00F579D2">
      <w:r w:rsidRPr="00F87338">
        <w:t xml:space="preserve">Of the </w:t>
      </w:r>
      <w:r w:rsidR="00F07AE3" w:rsidRPr="00F87338">
        <w:t>458,000</w:t>
      </w:r>
      <w:r w:rsidRPr="00F87338">
        <w:t xml:space="preserve"> </w:t>
      </w:r>
      <w:r w:rsidR="00DB7A5C" w:rsidRPr="00F87338">
        <w:t xml:space="preserve">social welfare-related </w:t>
      </w:r>
      <w:r w:rsidRPr="00F87338">
        <w:t xml:space="preserve">queries </w:t>
      </w:r>
      <w:r w:rsidR="007417A5" w:rsidRPr="00F87338">
        <w:t>that were handled i</w:t>
      </w:r>
      <w:r w:rsidRPr="00F87338">
        <w:t xml:space="preserve">n CISs in 2015, </w:t>
      </w:r>
      <w:r w:rsidR="00546214" w:rsidRPr="00F87338">
        <w:t xml:space="preserve">over 73,000 </w:t>
      </w:r>
      <w:r w:rsidRPr="00F87338">
        <w:t xml:space="preserve">were </w:t>
      </w:r>
      <w:r w:rsidR="00DB7A5C" w:rsidRPr="00F87338">
        <w:t>concerned with</w:t>
      </w:r>
      <w:r w:rsidR="00D20D1A" w:rsidRPr="00F87338">
        <w:t xml:space="preserve"> the </w:t>
      </w:r>
      <w:r w:rsidRPr="00F87338">
        <w:rPr>
          <w:i/>
        </w:rPr>
        <w:t>Families and Children</w:t>
      </w:r>
      <w:r w:rsidR="00D20D1A" w:rsidRPr="00F87338">
        <w:rPr>
          <w:i/>
        </w:rPr>
        <w:t xml:space="preserve"> </w:t>
      </w:r>
      <w:r w:rsidR="00DB7A5C" w:rsidRPr="00F87338">
        <w:t>information c</w:t>
      </w:r>
      <w:r w:rsidR="00D20D1A" w:rsidRPr="00F87338">
        <w:t>ategory</w:t>
      </w:r>
      <w:r w:rsidR="009B5AC1" w:rsidRPr="00F87338">
        <w:t xml:space="preserve"> (with an additional 7,000 queries to CIPS)</w:t>
      </w:r>
      <w:r w:rsidR="00722B35" w:rsidRPr="00F87338">
        <w:t>. The three main payments that concerned clients were the Family Income Supplement</w:t>
      </w:r>
      <w:r w:rsidR="00DB7A5C" w:rsidRPr="00F87338">
        <w:t xml:space="preserve"> (</w:t>
      </w:r>
      <w:r w:rsidR="008909A8">
        <w:t>r</w:t>
      </w:r>
      <w:r w:rsidR="002038CD">
        <w:t>epresenting</w:t>
      </w:r>
      <w:r w:rsidR="008909A8" w:rsidRPr="00F87338">
        <w:t xml:space="preserve"> </w:t>
      </w:r>
      <w:r w:rsidR="00DB7A5C" w:rsidRPr="00F87338">
        <w:t>over one third of this category of queries)</w:t>
      </w:r>
      <w:r w:rsidR="00722B35" w:rsidRPr="00F87338">
        <w:t xml:space="preserve">, the One Parent Family Payment and Child Benefit. These payments were also the subject of a significant amount of case study evidence submitted </w:t>
      </w:r>
      <w:r w:rsidR="00984402" w:rsidRPr="00F87338">
        <w:t xml:space="preserve">to CIB </w:t>
      </w:r>
      <w:r w:rsidR="00722B35" w:rsidRPr="00F87338">
        <w:t xml:space="preserve">by </w:t>
      </w:r>
      <w:r w:rsidR="00CF06A2">
        <w:t>citizens information service staff</w:t>
      </w:r>
      <w:r w:rsidR="00984402" w:rsidRPr="00F87338">
        <w:t xml:space="preserve"> in the form of ‘Social Policy Returns’ (SPRs) - wherein staff identify a policy issue that they are coming across repeatedly or deem it to be an issue that has a serious impact on clients.</w:t>
      </w:r>
    </w:p>
    <w:p w:rsidR="00A44724" w:rsidRPr="00F87338" w:rsidRDefault="00AC0308" w:rsidP="00F579D2">
      <w:r w:rsidRPr="00F87338">
        <w:t xml:space="preserve">Despite the increased expenditure on </w:t>
      </w:r>
      <w:r w:rsidRPr="00F87338">
        <w:rPr>
          <w:b/>
        </w:rPr>
        <w:t>F</w:t>
      </w:r>
      <w:r w:rsidR="00E25245" w:rsidRPr="00F87338">
        <w:rPr>
          <w:b/>
        </w:rPr>
        <w:t xml:space="preserve">amily </w:t>
      </w:r>
      <w:r w:rsidRPr="00F87338">
        <w:rPr>
          <w:b/>
        </w:rPr>
        <w:t>I</w:t>
      </w:r>
      <w:r w:rsidR="00E25245" w:rsidRPr="00F87338">
        <w:rPr>
          <w:b/>
        </w:rPr>
        <w:t xml:space="preserve">ncome </w:t>
      </w:r>
      <w:r w:rsidRPr="00F87338">
        <w:rPr>
          <w:b/>
        </w:rPr>
        <w:t>S</w:t>
      </w:r>
      <w:r w:rsidR="00E25245" w:rsidRPr="00F87338">
        <w:rPr>
          <w:b/>
        </w:rPr>
        <w:t>upplement</w:t>
      </w:r>
      <w:r w:rsidRPr="00F87338">
        <w:t xml:space="preserve"> </w:t>
      </w:r>
      <w:r w:rsidR="00E25245" w:rsidRPr="00F87338">
        <w:t xml:space="preserve">(FIS) </w:t>
      </w:r>
      <w:r w:rsidRPr="00F87338">
        <w:t xml:space="preserve">during 2016 (due to changes in FIS </w:t>
      </w:r>
      <w:r w:rsidR="00373014" w:rsidRPr="00F87338">
        <w:t xml:space="preserve">income thresholds in Budget 2016 </w:t>
      </w:r>
      <w:r w:rsidRPr="00F87338">
        <w:t>a</w:t>
      </w:r>
      <w:r w:rsidR="00373014" w:rsidRPr="00F87338">
        <w:t xml:space="preserve">nd its extension to previous OFP recipients), </w:t>
      </w:r>
      <w:r w:rsidR="00DB7A5C" w:rsidRPr="00F87338">
        <w:t>the issues that are being reported by</w:t>
      </w:r>
      <w:r w:rsidR="00373014" w:rsidRPr="00F87338">
        <w:t xml:space="preserve"> services </w:t>
      </w:r>
      <w:r w:rsidRPr="00F87338">
        <w:t xml:space="preserve">continue to point to a need for further </w:t>
      </w:r>
      <w:r w:rsidR="00662E95" w:rsidRPr="00F87338">
        <w:t xml:space="preserve">resourcing and </w:t>
      </w:r>
      <w:r w:rsidR="00584CC6" w:rsidRPr="00F87338">
        <w:t xml:space="preserve">reform of this income support </w:t>
      </w:r>
      <w:r w:rsidR="00A44724" w:rsidRPr="00F87338">
        <w:t xml:space="preserve">measure, </w:t>
      </w:r>
      <w:r w:rsidR="00CF06A2">
        <w:t xml:space="preserve">the </w:t>
      </w:r>
      <w:r w:rsidR="00584CC6" w:rsidRPr="00F87338">
        <w:t xml:space="preserve">introduction </w:t>
      </w:r>
      <w:r w:rsidR="00CF06A2">
        <w:t xml:space="preserve">of which </w:t>
      </w:r>
      <w:r w:rsidR="00584CC6" w:rsidRPr="00F87338">
        <w:t xml:space="preserve">over 30 years ago was originally intended as a short-term measure pending the overall reform of an evolving range of individual payments. </w:t>
      </w:r>
      <w:r w:rsidR="00A44724" w:rsidRPr="00F87338">
        <w:t xml:space="preserve">It now serves the dual function of child income support and in-work support for parents on low income. </w:t>
      </w:r>
    </w:p>
    <w:p w:rsidR="00D746A3" w:rsidRDefault="00AC0308" w:rsidP="00F579D2">
      <w:r w:rsidRPr="00F87338">
        <w:t>Th</w:t>
      </w:r>
      <w:r w:rsidR="00DB7A5C" w:rsidRPr="00F87338">
        <w:t>e</w:t>
      </w:r>
      <w:r w:rsidRPr="00F87338">
        <w:t xml:space="preserve"> </w:t>
      </w:r>
      <w:r w:rsidR="00DB7A5C" w:rsidRPr="00F87338">
        <w:t>reports</w:t>
      </w:r>
      <w:r w:rsidRPr="00F87338">
        <w:t xml:space="preserve"> </w:t>
      </w:r>
      <w:r w:rsidR="00A44724" w:rsidRPr="00F87338">
        <w:t xml:space="preserve">from frontline services </w:t>
      </w:r>
      <w:r w:rsidRPr="00F87338">
        <w:t xml:space="preserve">indicate the </w:t>
      </w:r>
      <w:r w:rsidR="008A606B" w:rsidRPr="00F87338">
        <w:t xml:space="preserve">specific </w:t>
      </w:r>
      <w:r w:rsidRPr="00F87338">
        <w:t xml:space="preserve">difficulties that many low-income </w:t>
      </w:r>
      <w:r w:rsidR="008A606B" w:rsidRPr="00F87338">
        <w:t>families have in access</w:t>
      </w:r>
      <w:r w:rsidR="00662E95" w:rsidRPr="00F87338">
        <w:t>ing</w:t>
      </w:r>
      <w:r w:rsidR="008A606B" w:rsidRPr="00F87338">
        <w:t xml:space="preserve"> the payment</w:t>
      </w:r>
      <w:r w:rsidR="00982FA4">
        <w:t xml:space="preserve">. </w:t>
      </w:r>
      <w:r w:rsidR="008A606B" w:rsidRPr="00F87338">
        <w:t>These difficulties include</w:t>
      </w:r>
      <w:r w:rsidR="00F579D2" w:rsidRPr="00F87338">
        <w:t xml:space="preserve"> the level at which both the income limits and the working hour</w:t>
      </w:r>
      <w:r w:rsidR="008909A8">
        <w:t>s</w:t>
      </w:r>
      <w:r w:rsidR="00F579D2" w:rsidRPr="00F87338">
        <w:t xml:space="preserve"> threshold is set, which is not seen to be reflective of the working reality for many people – for instance, people who are working on low pay, zero hours contracts, “if and when” work patterns and seasonal work</w:t>
      </w:r>
      <w:r w:rsidR="004A7771">
        <w:t xml:space="preserve"> who can’t access the payment</w:t>
      </w:r>
      <w:r w:rsidR="00F579D2" w:rsidRPr="00F87338">
        <w:t xml:space="preserve">. Other persistent causes of concern </w:t>
      </w:r>
      <w:r w:rsidR="000C2487" w:rsidRPr="00F87338">
        <w:t xml:space="preserve">expressed by services </w:t>
      </w:r>
      <w:r w:rsidR="00F579D2" w:rsidRPr="00F87338">
        <w:t>are the</w:t>
      </w:r>
      <w:r w:rsidR="00792D20" w:rsidRPr="00F87338">
        <w:t xml:space="preserve"> exclusion of </w:t>
      </w:r>
      <w:r w:rsidR="0060782F" w:rsidRPr="00F87338">
        <w:t xml:space="preserve">participants on activation programmes (such as </w:t>
      </w:r>
      <w:r w:rsidR="00792D20" w:rsidRPr="00F87338">
        <w:t>CE and T</w:t>
      </w:r>
      <w:r w:rsidR="00CF06A2">
        <w:t>ú</w:t>
      </w:r>
      <w:r w:rsidR="00792D20" w:rsidRPr="00F87338">
        <w:t xml:space="preserve">s </w:t>
      </w:r>
      <w:r w:rsidR="0060782F" w:rsidRPr="00F87338">
        <w:t xml:space="preserve">schemes) </w:t>
      </w:r>
      <w:r w:rsidR="00792D20" w:rsidRPr="00F87338">
        <w:t>from eligibility for FIS</w:t>
      </w:r>
      <w:r w:rsidR="0060782F" w:rsidRPr="00F87338">
        <w:t xml:space="preserve">, </w:t>
      </w:r>
      <w:r w:rsidR="00F90A01" w:rsidRPr="00F87338">
        <w:t>while all other</w:t>
      </w:r>
      <w:r w:rsidR="00F579D2" w:rsidRPr="00F87338">
        <w:t xml:space="preserve"> eligibility requirements </w:t>
      </w:r>
      <w:r w:rsidR="00F90A01" w:rsidRPr="00F87338">
        <w:t xml:space="preserve"> - </w:t>
      </w:r>
      <w:r w:rsidR="00F579D2" w:rsidRPr="00F87338">
        <w:t xml:space="preserve">such as </w:t>
      </w:r>
      <w:r w:rsidR="0060782F" w:rsidRPr="00F87338">
        <w:t>income and working hours</w:t>
      </w:r>
      <w:r w:rsidR="00F90A01" w:rsidRPr="00F87338">
        <w:t xml:space="preserve"> - </w:t>
      </w:r>
      <w:r w:rsidR="00F579D2" w:rsidRPr="00F87338">
        <w:t xml:space="preserve">are </w:t>
      </w:r>
      <w:r w:rsidR="00F90A01" w:rsidRPr="00F87338">
        <w:t xml:space="preserve">being </w:t>
      </w:r>
      <w:r w:rsidR="00F579D2" w:rsidRPr="00F87338">
        <w:t>met</w:t>
      </w:r>
      <w:r w:rsidR="00F90A01" w:rsidRPr="00F87338">
        <w:t xml:space="preserve"> by applicants</w:t>
      </w:r>
      <w:r w:rsidR="00F579D2" w:rsidRPr="00F87338">
        <w:t xml:space="preserve">. </w:t>
      </w:r>
    </w:p>
    <w:p w:rsidR="00D55873" w:rsidRPr="00F87338" w:rsidRDefault="007B0A7E" w:rsidP="00F579D2">
      <w:r w:rsidRPr="00F87338">
        <w:t xml:space="preserve">From an administrative perspective, </w:t>
      </w:r>
      <w:r w:rsidR="00D55873" w:rsidRPr="00F87338">
        <w:t xml:space="preserve">there are </w:t>
      </w:r>
      <w:r w:rsidR="00F579D2" w:rsidRPr="00F87338">
        <w:t xml:space="preserve">also </w:t>
      </w:r>
      <w:r w:rsidRPr="00F87338">
        <w:t>o</w:t>
      </w:r>
      <w:r w:rsidR="00792D20" w:rsidRPr="00F87338">
        <w:t>ngoing</w:t>
      </w:r>
      <w:r w:rsidR="00F90A01" w:rsidRPr="00F87338">
        <w:t xml:space="preserve"> reports of</w:t>
      </w:r>
      <w:r w:rsidR="00792D20" w:rsidRPr="00F87338">
        <w:t xml:space="preserve"> difficulties for </w:t>
      </w:r>
      <w:r w:rsidR="00F90A01" w:rsidRPr="00F87338">
        <w:t xml:space="preserve">many </w:t>
      </w:r>
      <w:r w:rsidR="00792D20" w:rsidRPr="00F87338">
        <w:t xml:space="preserve">claimants </w:t>
      </w:r>
      <w:r w:rsidR="00662E95" w:rsidRPr="00F87338">
        <w:t>(</w:t>
      </w:r>
      <w:r w:rsidR="00792D20" w:rsidRPr="00F87338">
        <w:t xml:space="preserve">and for information staff who </w:t>
      </w:r>
      <w:r w:rsidR="00662E95" w:rsidRPr="00F87338">
        <w:t>are</w:t>
      </w:r>
      <w:r w:rsidR="00792D20" w:rsidRPr="00F87338">
        <w:t xml:space="preserve"> assist</w:t>
      </w:r>
      <w:r w:rsidR="00662E95" w:rsidRPr="00F87338">
        <w:t>ing</w:t>
      </w:r>
      <w:r w:rsidR="00792D20" w:rsidRPr="00F87338">
        <w:t xml:space="preserve"> them</w:t>
      </w:r>
      <w:r w:rsidR="00662E95" w:rsidRPr="00F87338">
        <w:t>)</w:t>
      </w:r>
      <w:r w:rsidR="00792D20" w:rsidRPr="00F87338">
        <w:t xml:space="preserve"> in </w:t>
      </w:r>
      <w:r w:rsidR="00792D20" w:rsidRPr="00C14774">
        <w:t>making contact with the FIS section</w:t>
      </w:r>
      <w:r w:rsidR="00F90A01" w:rsidRPr="00F87338">
        <w:t xml:space="preserve"> of the Department</w:t>
      </w:r>
      <w:r w:rsidR="002038CD">
        <w:t xml:space="preserve"> - </w:t>
      </w:r>
      <w:r w:rsidR="00AF0ED0" w:rsidRPr="00F87338">
        <w:t xml:space="preserve">thus adding to their worries about eligibility and status of </w:t>
      </w:r>
      <w:r w:rsidR="008909A8">
        <w:t>applications</w:t>
      </w:r>
      <w:r w:rsidR="008909A8" w:rsidRPr="00F87338">
        <w:t xml:space="preserve"> </w:t>
      </w:r>
      <w:r w:rsidR="00AF0ED0" w:rsidRPr="00F87338">
        <w:t xml:space="preserve">and delaying their ability to make decisions based on the information available to them. </w:t>
      </w:r>
      <w:r w:rsidR="000C2487" w:rsidRPr="00F87338">
        <w:t>It is also reported that m</w:t>
      </w:r>
      <w:r w:rsidR="00D55873" w:rsidRPr="00F87338">
        <w:t xml:space="preserve">any families are </w:t>
      </w:r>
      <w:r w:rsidR="000C2487" w:rsidRPr="00F87338">
        <w:t>being</w:t>
      </w:r>
      <w:r w:rsidR="00D55873" w:rsidRPr="00F87338">
        <w:t xml:space="preserve"> negatively affected by the rigidity of the annual review, when there has been a decrease in income or working hours</w:t>
      </w:r>
      <w:r w:rsidR="000C2487" w:rsidRPr="00F87338">
        <w:t xml:space="preserve"> during the 52 week timeframe</w:t>
      </w:r>
      <w:r w:rsidR="00E25245" w:rsidRPr="00F87338">
        <w:t>.</w:t>
      </w:r>
    </w:p>
    <w:p w:rsidR="00AD7DF5" w:rsidRPr="00F87338" w:rsidRDefault="00F00ABD">
      <w:r w:rsidRPr="00F87338">
        <w:t>The consequences of the</w:t>
      </w:r>
      <w:r w:rsidR="008D13D7" w:rsidRPr="00F87338">
        <w:t xml:space="preserve"> reforms made to the </w:t>
      </w:r>
      <w:r w:rsidR="008D13D7" w:rsidRPr="00F87338">
        <w:rPr>
          <w:b/>
        </w:rPr>
        <w:t>O</w:t>
      </w:r>
      <w:r w:rsidR="00E25245" w:rsidRPr="00F87338">
        <w:rPr>
          <w:b/>
        </w:rPr>
        <w:t xml:space="preserve">ne Parent </w:t>
      </w:r>
      <w:r w:rsidR="008D13D7" w:rsidRPr="00F87338">
        <w:rPr>
          <w:b/>
        </w:rPr>
        <w:t>F</w:t>
      </w:r>
      <w:r w:rsidR="00E25245" w:rsidRPr="00F87338">
        <w:rPr>
          <w:b/>
        </w:rPr>
        <w:t xml:space="preserve">amily </w:t>
      </w:r>
      <w:r w:rsidR="008D13D7" w:rsidRPr="00F87338">
        <w:rPr>
          <w:b/>
        </w:rPr>
        <w:t>P</w:t>
      </w:r>
      <w:r w:rsidR="00E25245" w:rsidRPr="00F87338">
        <w:rPr>
          <w:b/>
        </w:rPr>
        <w:t>ayment</w:t>
      </w:r>
      <w:r w:rsidR="008D13D7" w:rsidRPr="00F87338">
        <w:t xml:space="preserve"> </w:t>
      </w:r>
      <w:r w:rsidRPr="00F87338">
        <w:t>during the past three years (</w:t>
      </w:r>
      <w:r w:rsidR="008D13D7" w:rsidRPr="00F87338">
        <w:t xml:space="preserve">which culminated in </w:t>
      </w:r>
      <w:r w:rsidRPr="00F87338">
        <w:t>over 25,000 recipients moving from the scheme in July 2</w:t>
      </w:r>
      <w:r w:rsidR="00982FA4">
        <w:t>015) have yet to be fully realis</w:t>
      </w:r>
      <w:r w:rsidRPr="00F87338">
        <w:t>ed</w:t>
      </w:r>
      <w:r w:rsidR="000C2487" w:rsidRPr="00F87338">
        <w:t xml:space="preserve">. </w:t>
      </w:r>
      <w:r w:rsidR="00982FA4">
        <w:t>E</w:t>
      </w:r>
      <w:r w:rsidRPr="00F87338">
        <w:t>vidence from our services</w:t>
      </w:r>
      <w:r w:rsidR="0085687B" w:rsidRPr="00F87338">
        <w:t xml:space="preserve"> during 2015 shows </w:t>
      </w:r>
      <w:r w:rsidRPr="00F87338">
        <w:t>that</w:t>
      </w:r>
      <w:r w:rsidR="0085687B" w:rsidRPr="00F87338">
        <w:t xml:space="preserve"> the</w:t>
      </w:r>
      <w:r w:rsidRPr="00F87338">
        <w:t xml:space="preserve"> </w:t>
      </w:r>
      <w:r w:rsidR="0085687B" w:rsidRPr="00F87338">
        <w:t>changes</w:t>
      </w:r>
      <w:r w:rsidRPr="00F87338">
        <w:t xml:space="preserve"> </w:t>
      </w:r>
      <w:r w:rsidR="0085687B" w:rsidRPr="00F87338">
        <w:t xml:space="preserve">have </w:t>
      </w:r>
      <w:r w:rsidRPr="00F87338">
        <w:t>had a significant impact on lone parents</w:t>
      </w:r>
      <w:r w:rsidR="000C2487" w:rsidRPr="00F87338">
        <w:t xml:space="preserve"> who have had to transition from the OFP, on the basis of the age of their child, to a combination of other income supports, part-time or full-time work</w:t>
      </w:r>
      <w:r w:rsidRPr="00F87338">
        <w:t xml:space="preserve">. </w:t>
      </w:r>
      <w:r w:rsidR="00AD7DF5" w:rsidRPr="00F87338">
        <w:t xml:space="preserve">Many services have consistently reported cases of </w:t>
      </w:r>
      <w:r w:rsidR="0023050C">
        <w:t xml:space="preserve">financial </w:t>
      </w:r>
      <w:r w:rsidR="00684B5A">
        <w:t xml:space="preserve">losses </w:t>
      </w:r>
      <w:r w:rsidR="00AD7DF5" w:rsidRPr="00F87338">
        <w:t xml:space="preserve">caused by the age-related changes. Whilst a number of measures have been put in place to mitigate the effects of the reforms, it remains that </w:t>
      </w:r>
      <w:r w:rsidR="00101F37" w:rsidRPr="00F87338">
        <w:t xml:space="preserve">the </w:t>
      </w:r>
      <w:r w:rsidR="00AD7DF5" w:rsidRPr="00F87338">
        <w:t xml:space="preserve">ongoing lack of </w:t>
      </w:r>
      <w:r w:rsidR="00EB74EC" w:rsidRPr="00F87338">
        <w:t xml:space="preserve">accessible, </w:t>
      </w:r>
      <w:r w:rsidR="00AD7DF5" w:rsidRPr="00F87338">
        <w:t>affordable childcare combined with the prevalence of lone parents in low paid work</w:t>
      </w:r>
      <w:r w:rsidR="00101F37" w:rsidRPr="00F87338">
        <w:t xml:space="preserve"> continues to dilute the stated aim of the reforms – that is</w:t>
      </w:r>
      <w:r w:rsidR="005F33F9" w:rsidRPr="00F87338">
        <w:t>,</w:t>
      </w:r>
      <w:r w:rsidR="00101F37" w:rsidRPr="00F87338">
        <w:t xml:space="preserve"> </w:t>
      </w:r>
      <w:r w:rsidR="000C2487" w:rsidRPr="00F87338">
        <w:t xml:space="preserve">to enable lone parents </w:t>
      </w:r>
      <w:r w:rsidR="00101F37" w:rsidRPr="00F87338">
        <w:t>to access a range of education, training and employment supports with a view to obtaining or retaining employment.</w:t>
      </w:r>
    </w:p>
    <w:p w:rsidR="00D746A3" w:rsidRDefault="00EB74EC">
      <w:r w:rsidRPr="00F87338">
        <w:t>In terms of income support for lone parents, f</w:t>
      </w:r>
      <w:r w:rsidR="005B18C1" w:rsidRPr="00F87338">
        <w:t xml:space="preserve">eedback from services during the past year has highlighted the immediate financial impact </w:t>
      </w:r>
      <w:r w:rsidR="000C2487" w:rsidRPr="00F87338">
        <w:t xml:space="preserve">that </w:t>
      </w:r>
      <w:r w:rsidR="005B18C1" w:rsidRPr="00F87338">
        <w:t xml:space="preserve">the cessation of the payment </w:t>
      </w:r>
      <w:r w:rsidR="000C2487" w:rsidRPr="00F87338">
        <w:t>has had on</w:t>
      </w:r>
      <w:r w:rsidR="005B18C1" w:rsidRPr="00F87338">
        <w:t xml:space="preserve"> claimants</w:t>
      </w:r>
      <w:r w:rsidRPr="00F87338">
        <w:t xml:space="preserve"> and </w:t>
      </w:r>
      <w:r w:rsidR="005B18C1" w:rsidRPr="00F87338">
        <w:t xml:space="preserve">the complications for many who are not eligible for either the Jobseeker’s Transitional payment or FIS due to </w:t>
      </w:r>
      <w:r w:rsidR="00AF0ED0" w:rsidRPr="00F87338">
        <w:t xml:space="preserve">the number or pattern of hours </w:t>
      </w:r>
      <w:r w:rsidR="005B18C1" w:rsidRPr="00F87338">
        <w:t>work</w:t>
      </w:r>
      <w:r w:rsidR="00AF0ED0" w:rsidRPr="00F87338">
        <w:t>ed</w:t>
      </w:r>
      <w:r w:rsidRPr="00F87338">
        <w:t xml:space="preserve">. </w:t>
      </w:r>
      <w:r w:rsidR="00E25245" w:rsidRPr="00F87338">
        <w:t xml:space="preserve"> Whilst the introduction of the </w:t>
      </w:r>
      <w:r w:rsidR="00E25245" w:rsidRPr="00F87338">
        <w:rPr>
          <w:b/>
        </w:rPr>
        <w:t>Back To Work Family Dividend</w:t>
      </w:r>
      <w:r w:rsidR="00E25245" w:rsidRPr="00F87338">
        <w:t xml:space="preserve"> in 2015 has worked positively for lone parents moving from OFP and FIS to a FIS-only payment, there </w:t>
      </w:r>
      <w:r w:rsidR="00F579D2" w:rsidRPr="00F87338">
        <w:t>has been</w:t>
      </w:r>
      <w:r w:rsidR="00E25245" w:rsidRPr="00F87338">
        <w:t xml:space="preserve"> evidence from services suggesting that there is a low level of information and awareness about the payment and still some unease about the role it can play in taking up employment</w:t>
      </w:r>
      <w:r w:rsidR="001D0A98" w:rsidRPr="00F87338">
        <w:t xml:space="preserve"> beyond the immediate transition</w:t>
      </w:r>
      <w:r w:rsidR="00E25245" w:rsidRPr="00F87338">
        <w:t xml:space="preserve">. </w:t>
      </w:r>
    </w:p>
    <w:p w:rsidR="00EC5A3B" w:rsidRDefault="000C2487">
      <w:r w:rsidRPr="00F87338">
        <w:t xml:space="preserve">Another underlying </w:t>
      </w:r>
      <w:r w:rsidR="002341DD" w:rsidRPr="00F87338">
        <w:t xml:space="preserve">issue of concern for lone parents </w:t>
      </w:r>
      <w:r w:rsidR="00A92731" w:rsidRPr="00F87338">
        <w:t xml:space="preserve">who have been seeking assistance in CISs – and indeed, for all working families with young children - </w:t>
      </w:r>
      <w:r w:rsidR="00AF0ED0" w:rsidRPr="00F87338">
        <w:t>include</w:t>
      </w:r>
      <w:r w:rsidRPr="00F87338">
        <w:t>s</w:t>
      </w:r>
      <w:r w:rsidR="00EB74EC" w:rsidRPr="00F87338">
        <w:t xml:space="preserve"> the broader concern of the inadequacy of current </w:t>
      </w:r>
      <w:r w:rsidR="00EB74EC" w:rsidRPr="00F87338">
        <w:rPr>
          <w:b/>
        </w:rPr>
        <w:t>childcare provision</w:t>
      </w:r>
      <w:r w:rsidR="00EB74EC" w:rsidRPr="00F87338">
        <w:t xml:space="preserve"> across the country </w:t>
      </w:r>
      <w:r w:rsidRPr="00F87338">
        <w:t xml:space="preserve">and the extent to which this is </w:t>
      </w:r>
      <w:r w:rsidR="00C4376B" w:rsidRPr="00F87338">
        <w:t xml:space="preserve">limiting the education, activation and employment choices </w:t>
      </w:r>
      <w:r w:rsidR="00A92731" w:rsidRPr="00F87338">
        <w:t>of parents</w:t>
      </w:r>
      <w:r w:rsidR="00C4376B" w:rsidRPr="00F87338">
        <w:t xml:space="preserve">. </w:t>
      </w:r>
      <w:r w:rsidR="00D324C2" w:rsidRPr="00F87338">
        <w:t>The development of a coherent strategy and funding model for the provision of accessible, affordable childcare could serve to greatly increase the impact of the relatively high child income support payments on the high child poverty rates in Ireland</w:t>
      </w:r>
      <w:r w:rsidR="00EC5A3B">
        <w:t>.</w:t>
      </w:r>
    </w:p>
    <w:p w:rsidR="00F579D2" w:rsidRPr="00F87338" w:rsidRDefault="00C4376B">
      <w:r w:rsidRPr="00F87338">
        <w:t>For lone parents who are in work,</w:t>
      </w:r>
      <w:r w:rsidR="00821B00">
        <w:t xml:space="preserve"> staff within </w:t>
      </w:r>
      <w:r w:rsidR="00D324C2" w:rsidRPr="00F87338">
        <w:t xml:space="preserve">information services </w:t>
      </w:r>
      <w:r w:rsidR="00821B00">
        <w:t xml:space="preserve">and MABS </w:t>
      </w:r>
      <w:r w:rsidR="00D324C2" w:rsidRPr="00F87338">
        <w:t xml:space="preserve">have also expressed </w:t>
      </w:r>
      <w:r w:rsidR="001D0A98" w:rsidRPr="00F87338">
        <w:t xml:space="preserve">concerns </w:t>
      </w:r>
      <w:r w:rsidRPr="00F87338">
        <w:t xml:space="preserve">about </w:t>
      </w:r>
      <w:r w:rsidR="00EB74EC" w:rsidRPr="00F87338">
        <w:t xml:space="preserve">the more specific issue of the limitations on the availability of the </w:t>
      </w:r>
      <w:r w:rsidR="00EB74EC" w:rsidRPr="00F87338">
        <w:rPr>
          <w:b/>
        </w:rPr>
        <w:t>Single Person Child Carer Credit</w:t>
      </w:r>
      <w:r w:rsidR="00AF0ED0" w:rsidRPr="00F87338">
        <w:rPr>
          <w:b/>
        </w:rPr>
        <w:t xml:space="preserve"> </w:t>
      </w:r>
      <w:r w:rsidR="00821B00">
        <w:t>–</w:t>
      </w:r>
      <w:r w:rsidR="00B01682" w:rsidRPr="00F87338">
        <w:t xml:space="preserve"> </w:t>
      </w:r>
      <w:r w:rsidR="00821B00">
        <w:t xml:space="preserve">noting the difficulties caused by the fact that </w:t>
      </w:r>
      <w:r w:rsidR="00B01682" w:rsidRPr="00F87338">
        <w:t xml:space="preserve">the credit cannot be transferred </w:t>
      </w:r>
      <w:r w:rsidRPr="00F87338">
        <w:t xml:space="preserve">in cases of shared parenting </w:t>
      </w:r>
      <w:r w:rsidR="00B01682" w:rsidRPr="00F87338">
        <w:t>if the main carer is in a new relationship</w:t>
      </w:r>
      <w:r w:rsidR="00821B00" w:rsidRPr="00821B00">
        <w:t xml:space="preserve"> </w:t>
      </w:r>
      <w:r w:rsidR="00821B00" w:rsidRPr="00C14774">
        <w:t>or if relations are frayed between the parents</w:t>
      </w:r>
      <w:r w:rsidR="00D5450C">
        <w:t xml:space="preserve"> and the Credit will not be transferred</w:t>
      </w:r>
      <w:r w:rsidR="00821B00">
        <w:t>.</w:t>
      </w:r>
    </w:p>
    <w:p w:rsidR="00EB74EC" w:rsidRPr="00F87338" w:rsidRDefault="00F579D2" w:rsidP="0065006C">
      <w:r w:rsidRPr="00F87338">
        <w:t xml:space="preserve">With regard to the universal </w:t>
      </w:r>
      <w:r w:rsidRPr="00F87338">
        <w:rPr>
          <w:b/>
        </w:rPr>
        <w:t>Child Benefit</w:t>
      </w:r>
      <w:r w:rsidRPr="00F87338">
        <w:t xml:space="preserve"> payment, </w:t>
      </w:r>
      <w:r w:rsidR="0065006C">
        <w:t xml:space="preserve">both citizens information and money advice </w:t>
      </w:r>
      <w:r w:rsidRPr="00F87338">
        <w:t xml:space="preserve">services continue to evidence the hardship caused by its </w:t>
      </w:r>
      <w:r w:rsidR="00984402" w:rsidRPr="00F87338">
        <w:t xml:space="preserve">termination at </w:t>
      </w:r>
      <w:r w:rsidR="0065006C">
        <w:t xml:space="preserve">eighteen </w:t>
      </w:r>
      <w:r w:rsidR="00984402" w:rsidRPr="00F87338">
        <w:t>years for</w:t>
      </w:r>
      <w:r w:rsidRPr="00F87338">
        <w:t xml:space="preserve"> families who are trying to mai</w:t>
      </w:r>
      <w:r w:rsidR="0065006C">
        <w:t xml:space="preserve">ntain their child in </w:t>
      </w:r>
      <w:r w:rsidR="000410E9">
        <w:t xml:space="preserve">secondary level </w:t>
      </w:r>
      <w:r w:rsidR="0065006C">
        <w:t>education</w:t>
      </w:r>
      <w:r w:rsidRPr="00F87338">
        <w:t xml:space="preserve">. </w:t>
      </w:r>
      <w:r w:rsidR="000410E9">
        <w:t>Income from Child B</w:t>
      </w:r>
      <w:r w:rsidR="0065006C">
        <w:t>enefit plays a</w:t>
      </w:r>
      <w:r w:rsidR="000410E9">
        <w:t>n</w:t>
      </w:r>
      <w:r w:rsidR="0065006C">
        <w:t xml:space="preserve"> important role in the budgets of many low income families, allowing them to provide for their children</w:t>
      </w:r>
      <w:r w:rsidR="000410E9">
        <w:t>,</w:t>
      </w:r>
      <w:r w:rsidR="004A7771">
        <w:t xml:space="preserve"> particularly with one-</w:t>
      </w:r>
      <w:r w:rsidR="0065006C">
        <w:t>off or contingency needs. This means that</w:t>
      </w:r>
      <w:r w:rsidR="000410E9">
        <w:t>,</w:t>
      </w:r>
      <w:r w:rsidR="0065006C">
        <w:t xml:space="preserve"> for many families, a drop in income occurs at a time often deemed to be one of the most stressful and challenging times in their child’s education as they face into the Leaving Certificate. </w:t>
      </w:r>
      <w:r w:rsidR="00D5450C">
        <w:t>Not having Child B</w:t>
      </w:r>
      <w:r w:rsidR="0065006C">
        <w:t xml:space="preserve">enefit may influence decisions around taking up part-time jobs or even dropping out of education entirely. </w:t>
      </w:r>
    </w:p>
    <w:p w:rsidR="00E25245" w:rsidRPr="00D51E43" w:rsidRDefault="00AC5A41" w:rsidP="00E25245">
      <w:pPr>
        <w:pStyle w:val="IntenseQuote"/>
        <w:rPr>
          <w:sz w:val="28"/>
          <w:szCs w:val="28"/>
        </w:rPr>
      </w:pPr>
      <w:r w:rsidRPr="00D51E43">
        <w:rPr>
          <w:sz w:val="28"/>
          <w:szCs w:val="28"/>
        </w:rPr>
        <w:t>R</w:t>
      </w:r>
      <w:r w:rsidR="00E25245" w:rsidRPr="00D51E43">
        <w:rPr>
          <w:sz w:val="28"/>
          <w:szCs w:val="28"/>
        </w:rPr>
        <w:t>ecommendations</w:t>
      </w:r>
    </w:p>
    <w:p w:rsidR="00E25245" w:rsidRPr="00F87338" w:rsidRDefault="00E25245" w:rsidP="00E25245">
      <w:r w:rsidRPr="00F87338">
        <w:t>Based on the evidence of these difficulties, CIB recommends the following</w:t>
      </w:r>
      <w:r w:rsidR="00BA2A4E" w:rsidRPr="00F87338">
        <w:t xml:space="preserve"> (with the specific recommendations for FIS </w:t>
      </w:r>
      <w:r w:rsidR="00A44724" w:rsidRPr="00F87338">
        <w:t xml:space="preserve">and the Back to Work Family Dividend </w:t>
      </w:r>
      <w:r w:rsidR="00BA2A4E" w:rsidRPr="00F87338">
        <w:t xml:space="preserve">being made within the context of a </w:t>
      </w:r>
      <w:r w:rsidR="00FC0E3A">
        <w:t xml:space="preserve">reformed </w:t>
      </w:r>
      <w:r w:rsidR="00BA2A4E" w:rsidRPr="00F87338">
        <w:t>working family payment)</w:t>
      </w:r>
      <w:r w:rsidRPr="00F87338">
        <w:t>:</w:t>
      </w:r>
      <w:r w:rsidR="001D0A98" w:rsidRPr="00F87338">
        <w:t>-</w:t>
      </w:r>
    </w:p>
    <w:p w:rsidR="00E25245" w:rsidRPr="00F87338" w:rsidRDefault="00E25245" w:rsidP="00EE3055">
      <w:pPr>
        <w:pStyle w:val="ListParagraph"/>
        <w:numPr>
          <w:ilvl w:val="0"/>
          <w:numId w:val="24"/>
        </w:numPr>
        <w:shd w:val="clear" w:color="auto" w:fill="D6E3BC" w:themeFill="accent3" w:themeFillTint="66"/>
      </w:pPr>
      <w:r w:rsidRPr="00F87338">
        <w:t xml:space="preserve">Adjust the income and working hours threshold for FIS eligibility to more accurately reflect the types of employment that are now </w:t>
      </w:r>
      <w:r w:rsidR="00984402" w:rsidRPr="00F87338">
        <w:t>filled by</w:t>
      </w:r>
      <w:r w:rsidRPr="00F87338">
        <w:t xml:space="preserve"> low-income families</w:t>
      </w:r>
      <w:r w:rsidR="00132E78" w:rsidRPr="00F87338">
        <w:t xml:space="preserve">, </w:t>
      </w:r>
      <w:r w:rsidR="00EC5A3B">
        <w:t xml:space="preserve">reflecting </w:t>
      </w:r>
      <w:r w:rsidR="00132E78" w:rsidRPr="00F87338">
        <w:t>trends in earnings, social welfare rates and poverty lines</w:t>
      </w:r>
      <w:r w:rsidRPr="00F87338">
        <w:t>;</w:t>
      </w:r>
    </w:p>
    <w:p w:rsidR="00E25245" w:rsidRPr="00F87338" w:rsidRDefault="00FC0E3A" w:rsidP="00EE3055">
      <w:pPr>
        <w:pStyle w:val="ListParagraph"/>
        <w:numPr>
          <w:ilvl w:val="0"/>
          <w:numId w:val="24"/>
        </w:numPr>
        <w:shd w:val="clear" w:color="auto" w:fill="D6E3BC" w:themeFill="accent3" w:themeFillTint="66"/>
      </w:pPr>
      <w:r>
        <w:t xml:space="preserve">Extend </w:t>
      </w:r>
      <w:r w:rsidR="00E25245" w:rsidRPr="00F87338">
        <w:t>FIS to participants of employment activation programmes, such as CE and T</w:t>
      </w:r>
      <w:r w:rsidR="00EC5A3B">
        <w:t>ú</w:t>
      </w:r>
      <w:r w:rsidR="00E25245" w:rsidRPr="00F87338">
        <w:t>s schemes, in order to sustain their transition from welfare to work;</w:t>
      </w:r>
    </w:p>
    <w:p w:rsidR="00E25245" w:rsidRPr="000410E9" w:rsidRDefault="00FC0E3A" w:rsidP="00EE3055">
      <w:pPr>
        <w:pStyle w:val="ListParagraph"/>
        <w:numPr>
          <w:ilvl w:val="0"/>
          <w:numId w:val="24"/>
        </w:numPr>
        <w:shd w:val="clear" w:color="auto" w:fill="D6E3BC" w:themeFill="accent3" w:themeFillTint="66"/>
      </w:pPr>
      <w:r w:rsidRPr="000410E9">
        <w:t>Provide additional</w:t>
      </w:r>
      <w:r w:rsidR="00E25245" w:rsidRPr="000410E9">
        <w:t xml:space="preserve"> resourc</w:t>
      </w:r>
      <w:r w:rsidRPr="000410E9">
        <w:t xml:space="preserve">es to </w:t>
      </w:r>
      <w:r w:rsidR="00E25245" w:rsidRPr="000410E9">
        <w:t xml:space="preserve">the FIS section to </w:t>
      </w:r>
      <w:r w:rsidRPr="000410E9">
        <w:t>enable</w:t>
      </w:r>
      <w:r w:rsidR="00E25245" w:rsidRPr="000410E9">
        <w:t xml:space="preserve"> enhanced telephone contact hours for the FIS helpline and to allow for the reassessment of the payment within the 52 week period in cases where the claimant’s working hours or income changes;</w:t>
      </w:r>
    </w:p>
    <w:p w:rsidR="00A44724" w:rsidRPr="00F87338" w:rsidRDefault="00A44724" w:rsidP="00EE3055">
      <w:pPr>
        <w:pStyle w:val="ListParagraph"/>
        <w:numPr>
          <w:ilvl w:val="0"/>
          <w:numId w:val="24"/>
        </w:numPr>
        <w:shd w:val="clear" w:color="auto" w:fill="D6E3BC" w:themeFill="accent3" w:themeFillTint="66"/>
      </w:pPr>
      <w:r w:rsidRPr="00F87338">
        <w:t>Proactively promote the scope and availability of the Back to Work Family Dividend as a valuable incentive to taking up employment and consider extending its te</w:t>
      </w:r>
      <w:r w:rsidR="004A7771">
        <w:t xml:space="preserve">rm beyond the current two year </w:t>
      </w:r>
      <w:r w:rsidRPr="00F87338">
        <w:t xml:space="preserve">tapered period; </w:t>
      </w:r>
    </w:p>
    <w:p w:rsidR="008640B7" w:rsidRPr="00F87338" w:rsidRDefault="00FC0E3A" w:rsidP="00EE3055">
      <w:pPr>
        <w:pStyle w:val="ListParagraph"/>
        <w:numPr>
          <w:ilvl w:val="0"/>
          <w:numId w:val="24"/>
        </w:numPr>
        <w:shd w:val="clear" w:color="auto" w:fill="D6E3BC" w:themeFill="accent3" w:themeFillTint="66"/>
      </w:pPr>
      <w:r>
        <w:t>Deliver</w:t>
      </w:r>
      <w:r w:rsidR="002824D9" w:rsidRPr="00F87338">
        <w:t xml:space="preserve"> a new, </w:t>
      </w:r>
      <w:r w:rsidR="00166DAE" w:rsidRPr="00F87338">
        <w:t>streamlined</w:t>
      </w:r>
      <w:r w:rsidR="002824D9" w:rsidRPr="00F87338">
        <w:t xml:space="preserve">, over-arching system of subsidised childcare for low income families, which would </w:t>
      </w:r>
      <w:r w:rsidR="00570EF1">
        <w:t xml:space="preserve">consolidate </w:t>
      </w:r>
      <w:r w:rsidR="002824D9" w:rsidRPr="00F87338">
        <w:t>the existing schemes (including the Early Childhood Care and Education</w:t>
      </w:r>
      <w:r w:rsidR="008640B7" w:rsidRPr="00F87338">
        <w:t xml:space="preserve">, </w:t>
      </w:r>
      <w:r w:rsidR="002824D9" w:rsidRPr="00F87338">
        <w:t>the Afterschool Care Scheme</w:t>
      </w:r>
      <w:r w:rsidR="008640B7" w:rsidRPr="00F87338">
        <w:t xml:space="preserve"> and the Childcare Subvention Scheme)</w:t>
      </w:r>
      <w:r w:rsidR="002824D9" w:rsidRPr="00F87338">
        <w:t xml:space="preserve"> </w:t>
      </w:r>
      <w:r w:rsidR="008640B7" w:rsidRPr="00F87338">
        <w:t>and allow for investment in the sector via community and private providers;</w:t>
      </w:r>
    </w:p>
    <w:p w:rsidR="00166DAE" w:rsidRPr="00C14774" w:rsidRDefault="00984402" w:rsidP="00EE3055">
      <w:pPr>
        <w:pStyle w:val="ListParagraph"/>
        <w:numPr>
          <w:ilvl w:val="0"/>
          <w:numId w:val="24"/>
        </w:numPr>
        <w:shd w:val="clear" w:color="auto" w:fill="D6E3BC" w:themeFill="accent3" w:themeFillTint="66"/>
        <w:rPr>
          <w:i/>
        </w:rPr>
      </w:pPr>
      <w:r w:rsidRPr="00C14774">
        <w:t>Allow</w:t>
      </w:r>
      <w:r w:rsidR="00F579D2" w:rsidRPr="00C14774">
        <w:t xml:space="preserve"> the secondary claimant of the S</w:t>
      </w:r>
      <w:r w:rsidRPr="00C14774">
        <w:t xml:space="preserve">ingle </w:t>
      </w:r>
      <w:r w:rsidR="00F579D2" w:rsidRPr="00C14774">
        <w:t>P</w:t>
      </w:r>
      <w:r w:rsidRPr="00C14774">
        <w:t xml:space="preserve">arent </w:t>
      </w:r>
      <w:r w:rsidR="00F579D2" w:rsidRPr="00C14774">
        <w:t>C</w:t>
      </w:r>
      <w:r w:rsidRPr="00C14774">
        <w:t xml:space="preserve">hild </w:t>
      </w:r>
      <w:r w:rsidR="00F579D2" w:rsidRPr="00C14774">
        <w:t>C</w:t>
      </w:r>
      <w:r w:rsidRPr="00C14774">
        <w:t>arer T</w:t>
      </w:r>
      <w:r w:rsidR="00F579D2" w:rsidRPr="00C14774">
        <w:t>ax Credit to claim the credit even in cases where the primary claimant i</w:t>
      </w:r>
      <w:r w:rsidRPr="00C14774">
        <w:t xml:space="preserve">s in a cohabiting relationship; </w:t>
      </w:r>
    </w:p>
    <w:p w:rsidR="005C5E32" w:rsidRPr="00F603E7" w:rsidRDefault="00FC0E3A" w:rsidP="00EE3055">
      <w:pPr>
        <w:pStyle w:val="ListParagraph"/>
        <w:numPr>
          <w:ilvl w:val="0"/>
          <w:numId w:val="24"/>
        </w:numPr>
        <w:shd w:val="clear" w:color="auto" w:fill="D6E3BC" w:themeFill="accent3" w:themeFillTint="66"/>
        <w:rPr>
          <w:i/>
        </w:rPr>
      </w:pPr>
      <w:r>
        <w:t>Extend</w:t>
      </w:r>
      <w:r w:rsidR="00F579D2" w:rsidRPr="00F87338">
        <w:t xml:space="preserve"> Child Benefit for 18</w:t>
      </w:r>
      <w:r w:rsidR="0065006C">
        <w:t xml:space="preserve"> and 19 </w:t>
      </w:r>
      <w:r w:rsidR="00F579D2" w:rsidRPr="00F87338">
        <w:t xml:space="preserve">year olds </w:t>
      </w:r>
      <w:r>
        <w:t xml:space="preserve">who are in </w:t>
      </w:r>
      <w:r w:rsidR="0065006C">
        <w:t>secondary school</w:t>
      </w:r>
      <w:r>
        <w:t>.</w:t>
      </w:r>
    </w:p>
    <w:p w:rsidR="00DA75F5" w:rsidRPr="00D51E43" w:rsidRDefault="000840D4" w:rsidP="00DA75F5">
      <w:pPr>
        <w:pStyle w:val="IntenseQuote"/>
        <w:rPr>
          <w:sz w:val="32"/>
          <w:szCs w:val="32"/>
        </w:rPr>
      </w:pPr>
      <w:r w:rsidRPr="00D51E43">
        <w:rPr>
          <w:sz w:val="32"/>
          <w:szCs w:val="32"/>
        </w:rPr>
        <w:t>Working age supports</w:t>
      </w:r>
    </w:p>
    <w:p w:rsidR="00DA75F5" w:rsidRPr="00D51E43" w:rsidRDefault="00DA75F5" w:rsidP="00DA75F5">
      <w:pPr>
        <w:rPr>
          <w:rStyle w:val="IntenseEmphasis"/>
          <w:sz w:val="28"/>
          <w:szCs w:val="28"/>
        </w:rPr>
      </w:pPr>
      <w:r w:rsidRPr="00D51E43">
        <w:rPr>
          <w:rStyle w:val="IntenseEmphasis"/>
          <w:sz w:val="28"/>
          <w:szCs w:val="28"/>
        </w:rPr>
        <w:t>Priority Areas</w:t>
      </w:r>
    </w:p>
    <w:p w:rsidR="00D6522D" w:rsidRPr="006B4C21" w:rsidRDefault="00DA75F5" w:rsidP="00DA75F5">
      <w:pPr>
        <w:pStyle w:val="IntenseQuote"/>
      </w:pPr>
      <w:r w:rsidRPr="006B4C21">
        <w:t xml:space="preserve">Address the changed context of employment and underemployment for many workers and welfare recipients, through the continued integration of tax, social welfare supports </w:t>
      </w:r>
      <w:r w:rsidR="00984402" w:rsidRPr="006B4C21">
        <w:t>and activation measures;</w:t>
      </w:r>
    </w:p>
    <w:p w:rsidR="00DA75F5" w:rsidRPr="006B4C21" w:rsidRDefault="00DA75F5" w:rsidP="00DA75F5">
      <w:pPr>
        <w:pStyle w:val="IntenseQuote"/>
      </w:pPr>
      <w:r w:rsidRPr="006B4C21">
        <w:t>Develop measures to more fully integrate those who are considered to be the "hidden unemployed" into activation programmes - that is, people who are not classified as active jobseekers but are a</w:t>
      </w:r>
      <w:r w:rsidR="00984402" w:rsidRPr="006B4C21">
        <w:t>vailable and interested in work;</w:t>
      </w:r>
      <w:r w:rsidRPr="006B4C21">
        <w:t xml:space="preserve"> </w:t>
      </w:r>
    </w:p>
    <w:p w:rsidR="00DA75F5" w:rsidRPr="006B4C21" w:rsidRDefault="000840D4" w:rsidP="00DA75F5">
      <w:pPr>
        <w:pStyle w:val="IntenseQuote"/>
      </w:pPr>
      <w:r w:rsidRPr="006B4C21">
        <w:t>Review and extend social insurance provision</w:t>
      </w:r>
      <w:r w:rsidR="006B4C21">
        <w:t xml:space="preserve"> for</w:t>
      </w:r>
      <w:r w:rsidR="00DA75F5" w:rsidRPr="006B4C21">
        <w:t xml:space="preserve"> self-employed</w:t>
      </w:r>
      <w:r w:rsidRPr="006B4C21">
        <w:t xml:space="preserve"> people</w:t>
      </w:r>
      <w:r w:rsidR="00570EF1">
        <w:t>.</w:t>
      </w:r>
    </w:p>
    <w:p w:rsidR="00DA75F5" w:rsidRPr="00D51E43" w:rsidRDefault="00DA75F5" w:rsidP="00DA75F5">
      <w:pPr>
        <w:rPr>
          <w:rStyle w:val="IntenseEmphasis"/>
          <w:sz w:val="28"/>
          <w:szCs w:val="28"/>
        </w:rPr>
      </w:pPr>
      <w:r w:rsidRPr="00D51E43">
        <w:rPr>
          <w:rStyle w:val="IntenseEmphasis"/>
          <w:sz w:val="28"/>
          <w:szCs w:val="28"/>
        </w:rPr>
        <w:t>Issues</w:t>
      </w:r>
    </w:p>
    <w:p w:rsidR="00DA75F5" w:rsidRPr="00F87338" w:rsidRDefault="005A30D7" w:rsidP="00DA75F5">
      <w:r w:rsidRPr="00F87338">
        <w:t>Of the</w:t>
      </w:r>
      <w:r w:rsidR="000410E9">
        <w:t xml:space="preserve"> </w:t>
      </w:r>
      <w:r w:rsidRPr="00F87338">
        <w:t>information queries made in CISs d</w:t>
      </w:r>
      <w:r w:rsidR="00984402" w:rsidRPr="00F87338">
        <w:t xml:space="preserve">uring 2015, </w:t>
      </w:r>
      <w:r w:rsidRPr="00F87338">
        <w:t xml:space="preserve">over 63,000 were related to the broad category of </w:t>
      </w:r>
      <w:r w:rsidRPr="00F87338">
        <w:rPr>
          <w:i/>
        </w:rPr>
        <w:t>Unemployed People</w:t>
      </w:r>
      <w:r w:rsidRPr="00F87338">
        <w:t xml:space="preserve"> and services dealt with a further 13,500 queries concerning </w:t>
      </w:r>
      <w:r w:rsidRPr="00F87338">
        <w:rPr>
          <w:i/>
        </w:rPr>
        <w:t>social welfare activation schemes, education and training</w:t>
      </w:r>
      <w:r w:rsidRPr="00F87338">
        <w:t>.</w:t>
      </w:r>
      <w:r w:rsidR="00E653CC" w:rsidRPr="00F87338">
        <w:t xml:space="preserve"> In addition, CIPS handled over 8,500 queries across these categories. </w:t>
      </w:r>
      <w:r w:rsidR="00D6419B" w:rsidRPr="00F87338">
        <w:t xml:space="preserve"> </w:t>
      </w:r>
      <w:r w:rsidR="00DA75F5" w:rsidRPr="00F87338">
        <w:t>As the unemployment rate continues to fall (</w:t>
      </w:r>
      <w:r w:rsidRPr="00F87338">
        <w:t xml:space="preserve">now </w:t>
      </w:r>
      <w:r w:rsidR="00DA75F5" w:rsidRPr="00F87338">
        <w:t xml:space="preserve">standing at </w:t>
      </w:r>
      <w:r w:rsidR="00FF72A0">
        <w:t>8.3</w:t>
      </w:r>
      <w:r w:rsidR="00DA75F5" w:rsidRPr="00F87338">
        <w:t>%), the issues of conce</w:t>
      </w:r>
      <w:r w:rsidR="00FF72A0">
        <w:t>rn that were highlighted by CIB</w:t>
      </w:r>
      <w:r w:rsidR="00DA75F5" w:rsidRPr="00F87338">
        <w:t xml:space="preserve"> delivery</w:t>
      </w:r>
      <w:r w:rsidR="00FF72A0">
        <w:t xml:space="preserve"> services </w:t>
      </w:r>
      <w:r w:rsidR="00DA75F5" w:rsidRPr="00F87338">
        <w:t xml:space="preserve">during </w:t>
      </w:r>
      <w:r w:rsidRPr="00F87338">
        <w:t>the past year</w:t>
      </w:r>
      <w:r w:rsidR="00DA75F5" w:rsidRPr="00F87338">
        <w:t xml:space="preserve"> on behalf of clients have become more complex</w:t>
      </w:r>
      <w:r w:rsidRPr="00F87338">
        <w:t xml:space="preserve"> </w:t>
      </w:r>
      <w:r w:rsidR="00DA75F5" w:rsidRPr="00F87338">
        <w:t xml:space="preserve">- focussing as they do on the </w:t>
      </w:r>
      <w:r w:rsidR="00553C37" w:rsidRPr="00F87338">
        <w:t>sometimes convoluted</w:t>
      </w:r>
      <w:r w:rsidR="00DA75F5" w:rsidRPr="00F87338">
        <w:t xml:space="preserve"> interaction between tax, social welfare and activation measures</w:t>
      </w:r>
      <w:r w:rsidR="00553C37" w:rsidRPr="00F87338">
        <w:t xml:space="preserve"> and the further difficulty of combining these measures with casual and atypical working</w:t>
      </w:r>
      <w:r w:rsidR="00DA75F5" w:rsidRPr="00F87338">
        <w:t xml:space="preserve">. </w:t>
      </w:r>
    </w:p>
    <w:p w:rsidR="00DA75F5" w:rsidRPr="00F87338" w:rsidRDefault="00DA75F5" w:rsidP="00DA75F5">
      <w:r w:rsidRPr="00F87338">
        <w:t xml:space="preserve">As many previously unemployed people seek to combine part-time or low paid work with social welfare benefits (including secondary benefits), many services continue to report cases where the </w:t>
      </w:r>
      <w:r w:rsidRPr="00F87338">
        <w:rPr>
          <w:b/>
        </w:rPr>
        <w:t>three day rule</w:t>
      </w:r>
      <w:r w:rsidRPr="00F87338">
        <w:t xml:space="preserve"> for jobseekers payments acts as a disincentive to take up work. </w:t>
      </w:r>
      <w:r w:rsidR="00527C9C" w:rsidRPr="00F87338">
        <w:t>The key concern</w:t>
      </w:r>
      <w:r w:rsidR="000B52F6" w:rsidRPr="00F87338">
        <w:t>s are</w:t>
      </w:r>
      <w:r w:rsidR="00527C9C" w:rsidRPr="00F87338">
        <w:t xml:space="preserve"> that </w:t>
      </w:r>
      <w:r w:rsidR="0010432A" w:rsidRPr="00F87338">
        <w:t>this focus on days worked (</w:t>
      </w:r>
      <w:r w:rsidRPr="00F87338">
        <w:t>rather than hours worked</w:t>
      </w:r>
      <w:r w:rsidR="0010432A" w:rsidRPr="00F87338">
        <w:t>)</w:t>
      </w:r>
      <w:r w:rsidRPr="00F87338">
        <w:t>,</w:t>
      </w:r>
      <w:r w:rsidR="00553C37" w:rsidRPr="00F87338">
        <w:t xml:space="preserve"> can contribute to welfare dependency, </w:t>
      </w:r>
      <w:r w:rsidRPr="00F87338">
        <w:t>is out-of-step with current working patterns</w:t>
      </w:r>
      <w:r w:rsidR="00D6419B" w:rsidRPr="00F87338">
        <w:t>, is particularly disadvantageous to women working in the caring profession</w:t>
      </w:r>
      <w:r w:rsidRPr="00F87338">
        <w:t xml:space="preserve"> and is creating anomalous situations where some claimants are </w:t>
      </w:r>
      <w:r w:rsidR="00E92565" w:rsidRPr="00F87338">
        <w:t xml:space="preserve">left without income support whilst others </w:t>
      </w:r>
      <w:r w:rsidR="00553C37" w:rsidRPr="00F87338">
        <w:t>(</w:t>
      </w:r>
      <w:r w:rsidR="00E92565" w:rsidRPr="00F87338">
        <w:t>working the same number of hours and wages</w:t>
      </w:r>
      <w:r w:rsidR="00553C37" w:rsidRPr="00F87338">
        <w:t>)</w:t>
      </w:r>
      <w:r w:rsidR="00E92565" w:rsidRPr="00F87338">
        <w:t xml:space="preserve"> are eligible on the basis that their hours worked are based over three days or less.</w:t>
      </w:r>
      <w:r w:rsidR="00553C37" w:rsidRPr="00F87338">
        <w:t xml:space="preserve"> This type of eligibility criteria </w:t>
      </w:r>
      <w:r w:rsidR="0095540D" w:rsidRPr="00F87338">
        <w:t xml:space="preserve">can </w:t>
      </w:r>
      <w:r w:rsidR="00553C37" w:rsidRPr="00F87338">
        <w:t>also offer an incentive to claimants to engage in undisclosed employment</w:t>
      </w:r>
      <w:r w:rsidR="0095540D" w:rsidRPr="00F87338">
        <w:t xml:space="preserve">, </w:t>
      </w:r>
      <w:r w:rsidR="000B52F6" w:rsidRPr="00F87338">
        <w:t>and consequently</w:t>
      </w:r>
      <w:r w:rsidR="0095540D" w:rsidRPr="00F87338">
        <w:t xml:space="preserve"> working in situations</w:t>
      </w:r>
      <w:r w:rsidR="00553C37" w:rsidRPr="00F87338">
        <w:t xml:space="preserve"> without taxes or regulation.</w:t>
      </w:r>
      <w:r w:rsidR="00471162" w:rsidRPr="00F87338">
        <w:t xml:space="preserve"> </w:t>
      </w:r>
    </w:p>
    <w:p w:rsidR="00944411" w:rsidRDefault="00944411" w:rsidP="00DA75F5">
      <w:r w:rsidRPr="00F87338">
        <w:t xml:space="preserve">Another ongoing - though lessening – issue of concern for services on behalf of clients is the impact of the withdrawal of </w:t>
      </w:r>
      <w:r w:rsidRPr="00F87338">
        <w:rPr>
          <w:b/>
        </w:rPr>
        <w:t>Rent Supplement</w:t>
      </w:r>
      <w:r w:rsidRPr="00F87338">
        <w:t xml:space="preserve"> for those who are working in excess of 30 hours per week. Whilst the current roll-out of the Housing Assistance Payment</w:t>
      </w:r>
      <w:r w:rsidR="00570EF1">
        <w:t xml:space="preserve"> (HAP)</w:t>
      </w:r>
      <w:r w:rsidRPr="00F87338">
        <w:t xml:space="preserve"> </w:t>
      </w:r>
      <w:r w:rsidR="00DE0BA5" w:rsidRPr="00F87338">
        <w:t xml:space="preserve">(since its introduction as a pilot measure in 2014) </w:t>
      </w:r>
      <w:r w:rsidRPr="00F87338">
        <w:t xml:space="preserve">is reducing the </w:t>
      </w:r>
      <w:r w:rsidR="00D61E17" w:rsidRPr="00F87338">
        <w:t xml:space="preserve">occurrence of the conflict for </w:t>
      </w:r>
      <w:r w:rsidR="00DE0BA5" w:rsidRPr="00F87338">
        <w:t>some</w:t>
      </w:r>
      <w:r w:rsidR="00D61E17" w:rsidRPr="00F87338">
        <w:t xml:space="preserve">, it remains that there are currently close to 57,000 recipients of Rent Supplement (42,000 of whom have been in receipt of the payment for more than 18 months), </w:t>
      </w:r>
      <w:r w:rsidR="00BD6BD9" w:rsidRPr="00F87338">
        <w:t>and</w:t>
      </w:r>
      <w:r w:rsidR="00D61E17" w:rsidRPr="00F87338">
        <w:t xml:space="preserve"> over 9,000 households in receipt of the HAP.</w:t>
      </w:r>
      <w:r w:rsidR="00DE0BA5" w:rsidRPr="00F87338">
        <w:t xml:space="preserve"> </w:t>
      </w:r>
      <w:r w:rsidR="00FC0E3A">
        <w:t>In light of these numbers, i</w:t>
      </w:r>
      <w:r w:rsidR="00DE0BA5" w:rsidRPr="00F87338">
        <w:t>nformation services continue to report on many cases where the loss of Rent Supplement is proving to be a particular disincentive to recipients when offered full-time work.</w:t>
      </w:r>
    </w:p>
    <w:p w:rsidR="00CE5BB0" w:rsidRPr="00F87338" w:rsidRDefault="00CE5BB0" w:rsidP="00DA75F5">
      <w:r>
        <w:t xml:space="preserve">In supporting the transition from welfare to work, services have noted the positive impact of </w:t>
      </w:r>
      <w:r w:rsidR="00E353CF">
        <w:rPr>
          <w:b/>
        </w:rPr>
        <w:t>Medical Card r</w:t>
      </w:r>
      <w:r w:rsidRPr="00CE5BB0">
        <w:rPr>
          <w:b/>
        </w:rPr>
        <w:t xml:space="preserve">etention </w:t>
      </w:r>
      <w:r w:rsidR="00AA5909">
        <w:rPr>
          <w:b/>
        </w:rPr>
        <w:t xml:space="preserve">provisions </w:t>
      </w:r>
      <w:r>
        <w:t>for many social welfare claimants. But services have also expressed concern about the low income threshold for medical card eligibility</w:t>
      </w:r>
      <w:r w:rsidR="00EC5A3B">
        <w:rPr>
          <w:rStyle w:val="FootnoteReference"/>
        </w:rPr>
        <w:footnoteReference w:id="2"/>
      </w:r>
      <w:r>
        <w:t xml:space="preserve"> </w:t>
      </w:r>
      <w:r w:rsidR="00197BE0">
        <w:t>and t</w:t>
      </w:r>
      <w:r w:rsidR="00197BE0" w:rsidRPr="00197BE0">
        <w:t>he situation of self-employed people, particularly those with very limited trading, in terms of establishing eligibility for a Medical Card</w:t>
      </w:r>
      <w:r w:rsidR="00197BE0">
        <w:t>.</w:t>
      </w:r>
    </w:p>
    <w:p w:rsidR="00DB7FCF" w:rsidRDefault="008B71AB" w:rsidP="00DB7FCF">
      <w:r w:rsidRPr="00F87338">
        <w:t xml:space="preserve">The particular situation for </w:t>
      </w:r>
      <w:r w:rsidRPr="00F87338">
        <w:rPr>
          <w:b/>
        </w:rPr>
        <w:t>jobseekers under the age of 26</w:t>
      </w:r>
      <w:r w:rsidRPr="00F87338">
        <w:t xml:space="preserve"> </w:t>
      </w:r>
      <w:r w:rsidR="00FC0E3A">
        <w:t xml:space="preserve">(that is, the reduced rate of Jobseeker’s Allowance) </w:t>
      </w:r>
      <w:r w:rsidRPr="00F87338">
        <w:t>continues to be reported by many information services as an area of concern</w:t>
      </w:r>
      <w:r w:rsidR="00FC0E3A">
        <w:t>. D</w:t>
      </w:r>
      <w:r w:rsidR="00056550" w:rsidRPr="00F87338">
        <w:t xml:space="preserve">espite the commitments laid out in the Youth Guarantee </w:t>
      </w:r>
      <w:r w:rsidR="00DB7FCF" w:rsidRPr="00F87338">
        <w:t xml:space="preserve">(and related engagement processes) </w:t>
      </w:r>
      <w:r w:rsidR="00056550" w:rsidRPr="00F87338">
        <w:t xml:space="preserve">and the relatively higher rates </w:t>
      </w:r>
      <w:r w:rsidR="00FC0E3A">
        <w:t xml:space="preserve">of payment </w:t>
      </w:r>
      <w:r w:rsidR="00056550" w:rsidRPr="00F87338">
        <w:t>available to those who take up education or training programmes</w:t>
      </w:r>
      <w:r w:rsidR="00FC0E3A">
        <w:t>, a</w:t>
      </w:r>
      <w:r w:rsidR="00DB7FCF" w:rsidRPr="00F87338">
        <w:t xml:space="preserve">t a national level, the youth unemployment rate remains </w:t>
      </w:r>
      <w:r w:rsidR="00987B5F">
        <w:t xml:space="preserve">a good deal higher than </w:t>
      </w:r>
      <w:r w:rsidR="00DB7FCF" w:rsidRPr="00F87338">
        <w:t xml:space="preserve">that of the general population. </w:t>
      </w:r>
      <w:r w:rsidR="00056550" w:rsidRPr="00F87338">
        <w:t>Feedback from many services around the country provides evidence of particular cases o</w:t>
      </w:r>
      <w:r w:rsidR="00FC0E3A">
        <w:t xml:space="preserve">f hardship for young claimants - </w:t>
      </w:r>
      <w:r w:rsidR="00056550" w:rsidRPr="00F87338">
        <w:t>specifically for those who are not in a position to live in the family home, and who for a variety of reasons cannot benefit from the financial, physical and emotional supports that this might offer</w:t>
      </w:r>
      <w:r w:rsidR="00DB7FCF" w:rsidRPr="00F87338">
        <w:t>. These claimants are living on an income that is below the SWA rate</w:t>
      </w:r>
      <w:r w:rsidR="0082762E" w:rsidRPr="00F87338">
        <w:t xml:space="preserve"> -</w:t>
      </w:r>
      <w:r w:rsidR="00DB7FCF" w:rsidRPr="00F87338">
        <w:t xml:space="preserve"> </w:t>
      </w:r>
      <w:r w:rsidR="0082762E" w:rsidRPr="00F87338">
        <w:t xml:space="preserve">the minimum weekly income limit as laid out </w:t>
      </w:r>
      <w:r w:rsidR="00DB7FCF" w:rsidRPr="00F87338">
        <w:t>in social welfare legislation</w:t>
      </w:r>
      <w:r w:rsidR="00056550" w:rsidRPr="00F87338">
        <w:t>.</w:t>
      </w:r>
    </w:p>
    <w:p w:rsidR="00166DAE" w:rsidRPr="00F87338" w:rsidRDefault="00CE5BB0" w:rsidP="00DB7FCF">
      <w:r>
        <w:t xml:space="preserve">Services also report that this </w:t>
      </w:r>
      <w:r w:rsidR="00166DAE">
        <w:t xml:space="preserve">reduced rate of payment </w:t>
      </w:r>
      <w:r>
        <w:t xml:space="preserve">adds a further complication for some young people when they are applying for a </w:t>
      </w:r>
      <w:r w:rsidR="00197BE0">
        <w:rPr>
          <w:b/>
        </w:rPr>
        <w:t>Medical C</w:t>
      </w:r>
      <w:r w:rsidRPr="00CE5BB0">
        <w:rPr>
          <w:b/>
        </w:rPr>
        <w:t>ard</w:t>
      </w:r>
      <w:r>
        <w:t xml:space="preserve"> as their income is considered to be below the SWA threshold and consequently, they are deemed ineligible.</w:t>
      </w:r>
    </w:p>
    <w:p w:rsidR="000B20D8" w:rsidRPr="00F87338" w:rsidRDefault="00FE23C4" w:rsidP="00FE23C4">
      <w:r w:rsidRPr="00F87338">
        <w:t xml:space="preserve">Another particular group of clients that are highlighted by the reports received from our frontline services </w:t>
      </w:r>
      <w:r w:rsidR="00932A8E" w:rsidRPr="00F87338">
        <w:t>are</w:t>
      </w:r>
      <w:r w:rsidRPr="00F87338">
        <w:t xml:space="preserve"> </w:t>
      </w:r>
      <w:r w:rsidR="00932A8E" w:rsidRPr="00F87338">
        <w:t>the “</w:t>
      </w:r>
      <w:r w:rsidR="00932A8E" w:rsidRPr="00F87338">
        <w:rPr>
          <w:b/>
        </w:rPr>
        <w:t>hidden unemployed</w:t>
      </w:r>
      <w:r w:rsidR="00932A8E" w:rsidRPr="00F87338">
        <w:t xml:space="preserve">” who are not entitled to access activation </w:t>
      </w:r>
      <w:r w:rsidR="0068297F" w:rsidRPr="00F87338">
        <w:t xml:space="preserve">or income support </w:t>
      </w:r>
      <w:r w:rsidR="00932A8E" w:rsidRPr="00F87338">
        <w:t>measures</w:t>
      </w:r>
      <w:r w:rsidR="003B6E14" w:rsidRPr="00F87338">
        <w:t xml:space="preserve"> </w:t>
      </w:r>
      <w:r w:rsidR="00932A8E" w:rsidRPr="00F87338">
        <w:t xml:space="preserve">– this includes </w:t>
      </w:r>
      <w:r w:rsidR="003B6E14" w:rsidRPr="00F87338">
        <w:t xml:space="preserve">those </w:t>
      </w:r>
      <w:r w:rsidR="00932A8E" w:rsidRPr="00F87338">
        <w:t xml:space="preserve">who have exhausted Jobseeker’s </w:t>
      </w:r>
      <w:r w:rsidR="00FC0E3A">
        <w:t>Benefit</w:t>
      </w:r>
      <w:r w:rsidR="00932A8E" w:rsidRPr="00F87338">
        <w:t xml:space="preserve"> (and </w:t>
      </w:r>
      <w:r w:rsidR="003B6E14" w:rsidRPr="00F87338">
        <w:t xml:space="preserve">also </w:t>
      </w:r>
      <w:r w:rsidR="00932A8E" w:rsidRPr="00F87338">
        <w:t xml:space="preserve">previously self-employed people) who do not qualify for the means-tested JA, qualified adult dependents, </w:t>
      </w:r>
      <w:r w:rsidR="00F87338">
        <w:t xml:space="preserve">people with disabilities </w:t>
      </w:r>
      <w:r w:rsidR="003B6E14" w:rsidRPr="00F87338">
        <w:t xml:space="preserve">and </w:t>
      </w:r>
      <w:r w:rsidR="00932A8E" w:rsidRPr="00F87338">
        <w:t xml:space="preserve">people who </w:t>
      </w:r>
      <w:r w:rsidR="00CE5BB0">
        <w:t xml:space="preserve">have </w:t>
      </w:r>
      <w:r w:rsidR="003B6E14" w:rsidRPr="00F87338">
        <w:t xml:space="preserve">taken time out of the workforce to care in the home. Whilst there is considerable variety within these groups, the common thread is that </w:t>
      </w:r>
      <w:r w:rsidR="003D19FB" w:rsidRPr="00F87338">
        <w:t xml:space="preserve">many will </w:t>
      </w:r>
      <w:r w:rsidR="003B6E14" w:rsidRPr="00F87338">
        <w:t xml:space="preserve">have the </w:t>
      </w:r>
      <w:r w:rsidR="003D19FB" w:rsidRPr="00F87338">
        <w:t xml:space="preserve">preference </w:t>
      </w:r>
      <w:r w:rsidR="003B6E14" w:rsidRPr="00F87338">
        <w:t>and potential to</w:t>
      </w:r>
      <w:r w:rsidR="003D19FB" w:rsidRPr="00F87338">
        <w:t xml:space="preserve"> </w:t>
      </w:r>
      <w:r w:rsidR="0068297F" w:rsidRPr="00F87338">
        <w:t>work at some level</w:t>
      </w:r>
      <w:r w:rsidR="003D19FB" w:rsidRPr="00F87338">
        <w:t xml:space="preserve"> but </w:t>
      </w:r>
      <w:r w:rsidR="0068297F" w:rsidRPr="00F87338">
        <w:t xml:space="preserve">are, as it stands, excluded from participation in </w:t>
      </w:r>
      <w:r w:rsidR="0082762E" w:rsidRPr="00F87338">
        <w:t>activation</w:t>
      </w:r>
      <w:r w:rsidR="003B6E14" w:rsidRPr="00F87338">
        <w:t xml:space="preserve"> </w:t>
      </w:r>
      <w:r w:rsidR="0082762E" w:rsidRPr="00F87338">
        <w:t>and training programmes</w:t>
      </w:r>
      <w:r w:rsidR="00623B54">
        <w:t>. The extension of such programmes</w:t>
      </w:r>
      <w:r w:rsidR="003B6E14" w:rsidRPr="00F87338">
        <w:t xml:space="preserve"> to these </w:t>
      </w:r>
      <w:r w:rsidR="00F87338">
        <w:t xml:space="preserve">groups of </w:t>
      </w:r>
      <w:r w:rsidR="003B6E14" w:rsidRPr="00F87338">
        <w:t>people</w:t>
      </w:r>
      <w:r w:rsidR="00EF38AA" w:rsidRPr="00F87338">
        <w:t>, as</w:t>
      </w:r>
      <w:r w:rsidR="00FC0E3A">
        <w:t xml:space="preserve"> committed</w:t>
      </w:r>
      <w:r w:rsidR="00EF38AA" w:rsidRPr="00F87338">
        <w:t xml:space="preserve"> in Pathways to Work 2016 – 2020, </w:t>
      </w:r>
      <w:r w:rsidR="0082762E" w:rsidRPr="00F87338">
        <w:t>with the supports (and conditionality)</w:t>
      </w:r>
      <w:r w:rsidR="0068297F" w:rsidRPr="00F87338">
        <w:t xml:space="preserve"> that are implicit in su</w:t>
      </w:r>
      <w:r w:rsidR="00EF38AA" w:rsidRPr="00F87338">
        <w:t xml:space="preserve">ch measures will require greater coherence between the social insurance system, </w:t>
      </w:r>
      <w:r w:rsidR="00551759" w:rsidRPr="00F87338">
        <w:t>the public employment service and DSP.</w:t>
      </w:r>
      <w:r w:rsidR="000B20D8" w:rsidRPr="00F87338">
        <w:t xml:space="preserve"> </w:t>
      </w:r>
    </w:p>
    <w:p w:rsidR="00FD0789" w:rsidRDefault="00F87338" w:rsidP="000B20D8">
      <w:r>
        <w:t>With regard to the social insurance system,</w:t>
      </w:r>
      <w:r w:rsidR="00A65C69">
        <w:t xml:space="preserve"> staff in information services submit reports on a monthly basis which evidence the real struggles that many </w:t>
      </w:r>
      <w:r w:rsidR="00784855">
        <w:t xml:space="preserve">low income </w:t>
      </w:r>
      <w:r w:rsidR="00A65C69" w:rsidRPr="00A65C69">
        <w:rPr>
          <w:b/>
        </w:rPr>
        <w:t>self-employed people</w:t>
      </w:r>
      <w:r w:rsidR="00A65C69">
        <w:t xml:space="preserve"> face when they are unable to </w:t>
      </w:r>
      <w:r w:rsidR="00756047">
        <w:t xml:space="preserve">access income supports </w:t>
      </w:r>
      <w:r w:rsidR="00A65C69">
        <w:t xml:space="preserve">due to illness or </w:t>
      </w:r>
      <w:r w:rsidR="00DC4EFC">
        <w:t>disability</w:t>
      </w:r>
      <w:r w:rsidR="00623B54">
        <w:t xml:space="preserve"> </w:t>
      </w:r>
      <w:r w:rsidR="00A65C69">
        <w:t>(</w:t>
      </w:r>
      <w:r w:rsidR="00A65C69" w:rsidRPr="00F87338">
        <w:t>given the status of th</w:t>
      </w:r>
      <w:r w:rsidR="00A65C69">
        <w:t xml:space="preserve">eir Class S PRSI </w:t>
      </w:r>
      <w:r w:rsidR="003457E5">
        <w:t>c</w:t>
      </w:r>
      <w:r w:rsidR="00A65C69">
        <w:t>ontributions). Servic</w:t>
      </w:r>
      <w:r w:rsidR="00FD0789">
        <w:t xml:space="preserve">es also report on </w:t>
      </w:r>
      <w:r w:rsidR="00A65C69">
        <w:t xml:space="preserve">cases where previously self-employed people cannot access training or activation programmes </w:t>
      </w:r>
      <w:r w:rsidR="00FD0789">
        <w:t xml:space="preserve">(if they do not qualify for jobseeker’s payments), and also many instances where there seems to be a degree of inequity in the assessment of means between self-employed people </w:t>
      </w:r>
      <w:r w:rsidR="00333D5D">
        <w:t xml:space="preserve">and employees in terms of accessing Jobseeker’s Allowance. The latter issue has also been reported by services with regard to the assessment of an applicant’s means when their spouse is self-employed. </w:t>
      </w:r>
      <w:r w:rsidR="00FD0789">
        <w:t xml:space="preserve"> </w:t>
      </w:r>
    </w:p>
    <w:p w:rsidR="00A65C69" w:rsidRDefault="00333D5D" w:rsidP="000B20D8">
      <w:r>
        <w:t xml:space="preserve">Many of the difficulties </w:t>
      </w:r>
      <w:r w:rsidR="000840D4">
        <w:t xml:space="preserve">which are caused by gaps in social insurance coverage </w:t>
      </w:r>
      <w:r>
        <w:t>for self-employed people</w:t>
      </w:r>
      <w:r w:rsidR="00FC0E3A">
        <w:t xml:space="preserve"> </w:t>
      </w:r>
      <w:r w:rsidR="00F87338">
        <w:t>ha</w:t>
      </w:r>
      <w:r>
        <w:t>ve</w:t>
      </w:r>
      <w:r w:rsidR="00F87338">
        <w:t xml:space="preserve"> been acknowledged in a variety of fora and reports </w:t>
      </w:r>
      <w:r>
        <w:t xml:space="preserve">- most notably in </w:t>
      </w:r>
      <w:r w:rsidR="00E7219C">
        <w:t xml:space="preserve">the </w:t>
      </w:r>
      <w:r>
        <w:t>third report of the Tax and Social Welfare Advisory Group</w:t>
      </w:r>
      <w:r w:rsidR="00E7219C">
        <w:rPr>
          <w:rStyle w:val="FootnoteReference"/>
        </w:rPr>
        <w:footnoteReference w:id="3"/>
      </w:r>
      <w:r w:rsidR="008F0F11">
        <w:t xml:space="preserve"> and in the CIB Report </w:t>
      </w:r>
      <w:r w:rsidR="008F0F11" w:rsidRPr="00623B54">
        <w:rPr>
          <w:i/>
        </w:rPr>
        <w:t>Hard Times for the Self Employed</w:t>
      </w:r>
      <w:r w:rsidR="008F0F11">
        <w:rPr>
          <w:rStyle w:val="FootnoteReference"/>
          <w:i/>
        </w:rPr>
        <w:footnoteReference w:id="4"/>
      </w:r>
      <w:r w:rsidR="00623B54">
        <w:t>.</w:t>
      </w:r>
      <w:r>
        <w:t xml:space="preserve"> Th</w:t>
      </w:r>
      <w:r w:rsidR="00E7219C">
        <w:t>ese</w:t>
      </w:r>
      <w:r w:rsidR="000840D4">
        <w:t xml:space="preserve"> </w:t>
      </w:r>
      <w:r>
        <w:t>Report</w:t>
      </w:r>
      <w:r w:rsidR="00E7219C">
        <w:t>s</w:t>
      </w:r>
      <w:r>
        <w:t xml:space="preserve"> </w:t>
      </w:r>
      <w:r w:rsidR="000840D4">
        <w:t xml:space="preserve">also reference a related issue that </w:t>
      </w:r>
      <w:r w:rsidR="00EE34D6">
        <w:t xml:space="preserve">continues to be </w:t>
      </w:r>
      <w:r w:rsidR="000840D4">
        <w:t xml:space="preserve">reflected in the experiences noted by our </w:t>
      </w:r>
      <w:r w:rsidR="00E353CF">
        <w:t>front</w:t>
      </w:r>
      <w:r w:rsidR="000840D4">
        <w:t>line services –</w:t>
      </w:r>
      <w:r w:rsidR="00197BE0">
        <w:t xml:space="preserve"> </w:t>
      </w:r>
      <w:r w:rsidR="000840D4">
        <w:t xml:space="preserve">specifically, </w:t>
      </w:r>
      <w:r>
        <w:t xml:space="preserve">that information deficits and misconceptions persist amongst many self-employed people around </w:t>
      </w:r>
      <w:r w:rsidR="003457E5">
        <w:t xml:space="preserve">their rights, </w:t>
      </w:r>
      <w:r>
        <w:t>entitlements</w:t>
      </w:r>
      <w:r w:rsidR="003457E5">
        <w:t xml:space="preserve"> and </w:t>
      </w:r>
      <w:r w:rsidR="003B3BC0">
        <w:t xml:space="preserve">also around </w:t>
      </w:r>
      <w:r w:rsidR="003457E5">
        <w:t>the importance of maintaining their social insurance record</w:t>
      </w:r>
      <w:r w:rsidR="003B3BC0">
        <w:t xml:space="preserve">. This information gap can </w:t>
      </w:r>
      <w:r w:rsidR="00B07364">
        <w:t xml:space="preserve">serve to further compound their </w:t>
      </w:r>
      <w:r w:rsidR="000840D4">
        <w:t>difficulties</w:t>
      </w:r>
      <w:r w:rsidR="003B3BC0">
        <w:t xml:space="preserve"> and </w:t>
      </w:r>
      <w:r w:rsidR="003457E5">
        <w:t>will be particular</w:t>
      </w:r>
      <w:r w:rsidR="00570EF1">
        <w:t>ly</w:t>
      </w:r>
      <w:r w:rsidR="003457E5">
        <w:t xml:space="preserve"> </w:t>
      </w:r>
      <w:r w:rsidR="003B3BC0">
        <w:t>central in the coming years in the context of the State Pension, with the anticipated shift to a total-contributions approach.</w:t>
      </w:r>
    </w:p>
    <w:p w:rsidR="00D6522D" w:rsidRPr="00D51E43" w:rsidRDefault="00D6522D" w:rsidP="00D6522D">
      <w:pPr>
        <w:pStyle w:val="IntenseQuote"/>
        <w:rPr>
          <w:sz w:val="28"/>
          <w:szCs w:val="28"/>
        </w:rPr>
      </w:pPr>
      <w:r w:rsidRPr="00D51E43">
        <w:rPr>
          <w:sz w:val="28"/>
          <w:szCs w:val="28"/>
        </w:rPr>
        <w:t>Recommendations</w:t>
      </w:r>
    </w:p>
    <w:p w:rsidR="00D6522D" w:rsidRPr="00F87338" w:rsidRDefault="00D6522D" w:rsidP="00D6522D">
      <w:r w:rsidRPr="00F87338">
        <w:t>Based on the evidence of these difficulties, CIB recommends the following:</w:t>
      </w:r>
    </w:p>
    <w:p w:rsidR="00D6522D" w:rsidRPr="00F87338" w:rsidRDefault="00BD6BD9" w:rsidP="00EE3055">
      <w:pPr>
        <w:pStyle w:val="ListParagraph"/>
        <w:numPr>
          <w:ilvl w:val="0"/>
          <w:numId w:val="23"/>
        </w:numPr>
        <w:shd w:val="clear" w:color="auto" w:fill="D6E3BC" w:themeFill="accent3" w:themeFillTint="66"/>
      </w:pPr>
      <w:r w:rsidRPr="00F87338">
        <w:t>Change e</w:t>
      </w:r>
      <w:r w:rsidR="00471162" w:rsidRPr="00F87338">
        <w:t>ligibility</w:t>
      </w:r>
      <w:r w:rsidRPr="00F87338">
        <w:t xml:space="preserve"> </w:t>
      </w:r>
      <w:r w:rsidR="00471162" w:rsidRPr="00F87338">
        <w:t xml:space="preserve">for jobseeker’s payments </w:t>
      </w:r>
      <w:r w:rsidRPr="00F87338">
        <w:t xml:space="preserve">to criteria </w:t>
      </w:r>
      <w:r w:rsidR="00471162" w:rsidRPr="00F87338">
        <w:t>based on hours rather than the number of days worked, to better reflect part-time and casual work patterns;</w:t>
      </w:r>
      <w:r w:rsidRPr="00F87338">
        <w:t xml:space="preserve"> </w:t>
      </w:r>
    </w:p>
    <w:p w:rsidR="00471162" w:rsidRPr="00F87338" w:rsidRDefault="00BD6BD9" w:rsidP="00EE3055">
      <w:pPr>
        <w:pStyle w:val="ListParagraph"/>
        <w:numPr>
          <w:ilvl w:val="0"/>
          <w:numId w:val="23"/>
        </w:numPr>
        <w:shd w:val="clear" w:color="auto" w:fill="D6E3BC" w:themeFill="accent3" w:themeFillTint="66"/>
      </w:pPr>
      <w:r w:rsidRPr="00F87338">
        <w:t xml:space="preserve">Examine the impact and scope of the </w:t>
      </w:r>
      <w:r w:rsidR="00471162" w:rsidRPr="00F87338">
        <w:t>Part-time Job Incentive Scheme</w:t>
      </w:r>
      <w:r w:rsidRPr="00F87338">
        <w:t>, with a view to extending it beyond its current focus of those who are long-term unemployed;</w:t>
      </w:r>
      <w:r w:rsidR="00471162" w:rsidRPr="00F87338">
        <w:t xml:space="preserve"> </w:t>
      </w:r>
    </w:p>
    <w:p w:rsidR="008444E4" w:rsidRDefault="00D61E17" w:rsidP="00EE3055">
      <w:pPr>
        <w:pStyle w:val="ListParagraph"/>
        <w:numPr>
          <w:ilvl w:val="0"/>
          <w:numId w:val="23"/>
        </w:numPr>
        <w:shd w:val="clear" w:color="auto" w:fill="D6E3BC" w:themeFill="accent3" w:themeFillTint="66"/>
      </w:pPr>
      <w:r w:rsidRPr="00F87338">
        <w:t>Accelerate the roll</w:t>
      </w:r>
      <w:r w:rsidR="00BD6BD9" w:rsidRPr="00F87338">
        <w:t>-</w:t>
      </w:r>
      <w:r w:rsidRPr="00F87338">
        <w:t>out of the Housing Assistance Payment for new claimants (and existing Rent Supplement claimants) across all local authority areas;</w:t>
      </w:r>
      <w:r w:rsidR="00BD6BD9" w:rsidRPr="00F87338">
        <w:t xml:space="preserve"> </w:t>
      </w:r>
    </w:p>
    <w:p w:rsidR="00BD6BD9" w:rsidRDefault="0082762E" w:rsidP="00EE3055">
      <w:pPr>
        <w:pStyle w:val="ListParagraph"/>
        <w:numPr>
          <w:ilvl w:val="0"/>
          <w:numId w:val="23"/>
        </w:numPr>
        <w:shd w:val="clear" w:color="auto" w:fill="D6E3BC" w:themeFill="accent3" w:themeFillTint="66"/>
      </w:pPr>
      <w:r w:rsidRPr="00F87338">
        <w:t xml:space="preserve">Review </w:t>
      </w:r>
      <w:r w:rsidR="0068297F" w:rsidRPr="00F87338">
        <w:t xml:space="preserve">and report on </w:t>
      </w:r>
      <w:r w:rsidRPr="00F87338">
        <w:t xml:space="preserve">the impact of the reduced jobseeker payment rates for the </w:t>
      </w:r>
      <w:r w:rsidR="00DB7FCF" w:rsidRPr="00F87338">
        <w:t xml:space="preserve">under 26s </w:t>
      </w:r>
      <w:r w:rsidRPr="00F87338">
        <w:t>as pledged in “Pathways to Work 2016 – 2020”;</w:t>
      </w:r>
    </w:p>
    <w:p w:rsidR="003457E5" w:rsidRDefault="003457E5" w:rsidP="00EE3055">
      <w:pPr>
        <w:pStyle w:val="ListParagraph"/>
        <w:numPr>
          <w:ilvl w:val="0"/>
          <w:numId w:val="23"/>
        </w:numPr>
        <w:shd w:val="clear" w:color="auto" w:fill="D6E3BC" w:themeFill="accent3" w:themeFillTint="66"/>
      </w:pPr>
      <w:r>
        <w:t>Extend the reach of activation and training schemes to include the “hidden unemployed”;</w:t>
      </w:r>
    </w:p>
    <w:p w:rsidR="00A8003C" w:rsidRPr="00F87338" w:rsidRDefault="00A8003C" w:rsidP="00EE3055">
      <w:pPr>
        <w:pStyle w:val="ListParagraph"/>
        <w:numPr>
          <w:ilvl w:val="0"/>
          <w:numId w:val="23"/>
        </w:numPr>
        <w:shd w:val="clear" w:color="auto" w:fill="D6E3BC" w:themeFill="accent3" w:themeFillTint="66"/>
      </w:pPr>
      <w:r>
        <w:t>Review Medical Card income thresholds and eligibility guidelines</w:t>
      </w:r>
      <w:r w:rsidR="00EE34D6">
        <w:t>;</w:t>
      </w:r>
    </w:p>
    <w:p w:rsidR="00EF1FAB" w:rsidRDefault="00EF38AA" w:rsidP="00EE3055">
      <w:pPr>
        <w:pStyle w:val="ListParagraph"/>
        <w:numPr>
          <w:ilvl w:val="0"/>
          <w:numId w:val="23"/>
        </w:numPr>
        <w:shd w:val="clear" w:color="auto" w:fill="D6E3BC" w:themeFill="accent3" w:themeFillTint="66"/>
      </w:pPr>
      <w:r w:rsidRPr="00F87338">
        <w:t xml:space="preserve">Extend </w:t>
      </w:r>
      <w:r w:rsidR="00ED0683" w:rsidRPr="00F87338">
        <w:t>social insurance cover</w:t>
      </w:r>
      <w:r w:rsidR="003457E5">
        <w:t>age</w:t>
      </w:r>
      <w:r w:rsidR="00ED0683" w:rsidRPr="00F87338">
        <w:t xml:space="preserve"> to sel</w:t>
      </w:r>
      <w:r w:rsidR="008444E4">
        <w:t>f-employed people to cater for a</w:t>
      </w:r>
      <w:r w:rsidR="00ED0683" w:rsidRPr="00F87338">
        <w:t xml:space="preserve"> variety of contingencies </w:t>
      </w:r>
      <w:r w:rsidR="00EE34D6">
        <w:t>and e</w:t>
      </w:r>
      <w:r w:rsidR="003457E5">
        <w:t xml:space="preserve">ngage in a concerted public information campaign directed at </w:t>
      </w:r>
      <w:r w:rsidR="008666DD">
        <w:t>low income</w:t>
      </w:r>
      <w:r w:rsidR="00EE34D6">
        <w:t xml:space="preserve"> </w:t>
      </w:r>
      <w:r w:rsidR="003457E5">
        <w:t xml:space="preserve">self-employed </w:t>
      </w:r>
      <w:r w:rsidR="00EE34D6">
        <w:t>people, concerning their rights,</w:t>
      </w:r>
      <w:r w:rsidR="003457E5">
        <w:t xml:space="preserve"> entitlements</w:t>
      </w:r>
      <w:r w:rsidR="003B3BC0">
        <w:t xml:space="preserve"> and </w:t>
      </w:r>
      <w:r w:rsidR="00EE34D6">
        <w:t xml:space="preserve">the </w:t>
      </w:r>
      <w:r w:rsidR="003B3BC0">
        <w:t>importance of maintaining their social insurance record.</w:t>
      </w:r>
    </w:p>
    <w:p w:rsidR="00784855" w:rsidRDefault="00784855" w:rsidP="00D6522D">
      <w:pPr>
        <w:pStyle w:val="IntenseQuote"/>
        <w:rPr>
          <w:sz w:val="32"/>
          <w:szCs w:val="32"/>
        </w:rPr>
      </w:pPr>
    </w:p>
    <w:p w:rsidR="00D6522D" w:rsidRPr="00D51E43" w:rsidRDefault="00D6522D" w:rsidP="00D6522D">
      <w:pPr>
        <w:pStyle w:val="IntenseQuote"/>
        <w:rPr>
          <w:sz w:val="32"/>
          <w:szCs w:val="32"/>
        </w:rPr>
      </w:pPr>
      <w:r w:rsidRPr="00D51E43">
        <w:rPr>
          <w:sz w:val="32"/>
          <w:szCs w:val="32"/>
        </w:rPr>
        <w:t>People with disabilities, illness and carers</w:t>
      </w:r>
    </w:p>
    <w:p w:rsidR="00D6522D" w:rsidRPr="00D51E43" w:rsidRDefault="00D6522D" w:rsidP="00D6522D">
      <w:pPr>
        <w:rPr>
          <w:rStyle w:val="IntenseEmphasis"/>
          <w:sz w:val="28"/>
          <w:szCs w:val="28"/>
        </w:rPr>
      </w:pPr>
      <w:r w:rsidRPr="00D51E43">
        <w:rPr>
          <w:rStyle w:val="IntenseEmphasis"/>
          <w:sz w:val="28"/>
          <w:szCs w:val="28"/>
        </w:rPr>
        <w:t>Priority Areas</w:t>
      </w:r>
    </w:p>
    <w:p w:rsidR="00D6522D" w:rsidRPr="00EA6FFA" w:rsidRDefault="00D6522D" w:rsidP="00D6522D">
      <w:pPr>
        <w:pStyle w:val="IntenseQuote"/>
      </w:pPr>
      <w:r w:rsidRPr="00EA6FFA">
        <w:t xml:space="preserve">Address the </w:t>
      </w:r>
      <w:r w:rsidR="004262A0" w:rsidRPr="00EA6FFA">
        <w:t xml:space="preserve">administrative </w:t>
      </w:r>
      <w:r w:rsidRPr="00EA6FFA">
        <w:t>ch</w:t>
      </w:r>
      <w:r w:rsidR="00325140" w:rsidRPr="00EA6FFA">
        <w:t>allenges</w:t>
      </w:r>
      <w:r w:rsidR="004262A0" w:rsidRPr="00EA6FFA">
        <w:t xml:space="preserve"> in accessing the key supports that are encountered by people with disabilities, illnesses and their ca</w:t>
      </w:r>
      <w:r w:rsidR="00FB0CBC" w:rsidRPr="00EA6FFA">
        <w:t>rer</w:t>
      </w:r>
      <w:r w:rsidR="004262A0" w:rsidRPr="00EA6FFA">
        <w:t>s at the main transition times in their lives;</w:t>
      </w:r>
    </w:p>
    <w:p w:rsidR="00325140" w:rsidRPr="00EA6FFA" w:rsidRDefault="004262A0" w:rsidP="00D6522D">
      <w:pPr>
        <w:pStyle w:val="IntenseQuote"/>
      </w:pPr>
      <w:r w:rsidRPr="00EA6FFA">
        <w:t>Develop</w:t>
      </w:r>
      <w:r w:rsidR="00D6522D" w:rsidRPr="00EA6FFA">
        <w:t xml:space="preserve"> measures to </w:t>
      </w:r>
      <w:r w:rsidRPr="00EA6FFA">
        <w:t>enable greater participation by people with disabilities</w:t>
      </w:r>
      <w:r w:rsidR="00257A0C" w:rsidRPr="00EA6FFA">
        <w:t xml:space="preserve"> in the workforce, as laid out in the Comprehensive Employment Strategy for People with Disabilities</w:t>
      </w:r>
      <w:r w:rsidR="007C183E" w:rsidRPr="00EA6FFA">
        <w:t>, and according to their capacity</w:t>
      </w:r>
      <w:r w:rsidR="00257A0C" w:rsidRPr="00EA6FFA">
        <w:t>;</w:t>
      </w:r>
    </w:p>
    <w:p w:rsidR="00D6522D" w:rsidRPr="00EA6FFA" w:rsidRDefault="00842D0A" w:rsidP="00D6522D">
      <w:pPr>
        <w:pStyle w:val="IntenseQuote"/>
      </w:pPr>
      <w:r w:rsidRPr="00EA6FFA">
        <w:t>Address the needs of</w:t>
      </w:r>
      <w:r w:rsidR="00D6522D" w:rsidRPr="00EA6FFA">
        <w:t xml:space="preserve"> </w:t>
      </w:r>
      <w:r w:rsidR="003F77D0" w:rsidRPr="00EA6FFA">
        <w:t>carers</w:t>
      </w:r>
      <w:r w:rsidR="00680A95" w:rsidRPr="00EA6FFA">
        <w:t xml:space="preserve"> </w:t>
      </w:r>
      <w:r w:rsidRPr="00EA6FFA">
        <w:t xml:space="preserve">through the </w:t>
      </w:r>
      <w:r w:rsidR="00B026BB" w:rsidRPr="00EA6FFA">
        <w:t xml:space="preserve">enhanced </w:t>
      </w:r>
      <w:r w:rsidRPr="00EA6FFA">
        <w:t xml:space="preserve">provision of </w:t>
      </w:r>
      <w:r w:rsidR="00B026BB" w:rsidRPr="00EA6FFA">
        <w:t xml:space="preserve">community-based </w:t>
      </w:r>
      <w:r w:rsidRPr="00EA6FFA">
        <w:t xml:space="preserve">supports to enable them to care in the family home and </w:t>
      </w:r>
      <w:r w:rsidR="00B026BB" w:rsidRPr="00EA6FFA">
        <w:t>have a life outside of caring.</w:t>
      </w:r>
    </w:p>
    <w:p w:rsidR="00D6522D" w:rsidRPr="00D51E43" w:rsidRDefault="00D6522D" w:rsidP="00D6522D">
      <w:pPr>
        <w:rPr>
          <w:rStyle w:val="IntenseEmphasis"/>
          <w:sz w:val="28"/>
          <w:szCs w:val="28"/>
        </w:rPr>
      </w:pPr>
      <w:r w:rsidRPr="00D51E43">
        <w:rPr>
          <w:rStyle w:val="IntenseEmphasis"/>
          <w:sz w:val="28"/>
          <w:szCs w:val="28"/>
        </w:rPr>
        <w:t>Issues</w:t>
      </w:r>
    </w:p>
    <w:p w:rsidR="001D424D" w:rsidRDefault="001D424D" w:rsidP="001D424D">
      <w:r>
        <w:t xml:space="preserve">During 2015, </w:t>
      </w:r>
      <w:r w:rsidR="00FB4CA7">
        <w:t xml:space="preserve">a significant proportion of the social welfare related queries received in CISs were focussed on </w:t>
      </w:r>
      <w:r>
        <w:t>disability, illness and carers issues</w:t>
      </w:r>
      <w:r w:rsidR="00FB4CA7">
        <w:t xml:space="preserve"> - that is, 21% or 95,000 queries</w:t>
      </w:r>
      <w:r>
        <w:t>. The</w:t>
      </w:r>
      <w:r w:rsidR="00FB4CA7">
        <w:t>re were an additional</w:t>
      </w:r>
      <w:r>
        <w:t xml:space="preserve"> </w:t>
      </w:r>
      <w:r w:rsidR="00FB4CA7">
        <w:t>9,500</w:t>
      </w:r>
      <w:r>
        <w:t xml:space="preserve"> calls to CIPS seeking information on </w:t>
      </w:r>
      <w:r w:rsidR="00FB4CA7">
        <w:t xml:space="preserve">accessing </w:t>
      </w:r>
      <w:r>
        <w:t>the variety of income supports</w:t>
      </w:r>
      <w:r w:rsidR="00FB4CA7">
        <w:t xml:space="preserve"> </w:t>
      </w:r>
      <w:r w:rsidR="00AD61F5">
        <w:t xml:space="preserve">and </w:t>
      </w:r>
      <w:r w:rsidR="00AD61F5" w:rsidRPr="00AD61F5">
        <w:t xml:space="preserve">benefits available to people who are unable to engage fully in the work force, either temporarily or </w:t>
      </w:r>
      <w:r w:rsidR="00E677C7">
        <w:t>permanently</w:t>
      </w:r>
      <w:r w:rsidR="00421D7C">
        <w:t>, due to illness, disability or caring duties</w:t>
      </w:r>
      <w:r w:rsidR="00E2663E">
        <w:t>.</w:t>
      </w:r>
      <w:r w:rsidR="00421D7C">
        <w:t xml:space="preserve"> In addition to this, </w:t>
      </w:r>
      <w:r w:rsidR="00AE5DAB">
        <w:t xml:space="preserve">the CIB-funded National Advocacy Service for People with Disabilities supported over </w:t>
      </w:r>
      <w:r w:rsidR="00680A95">
        <w:t>1,000</w:t>
      </w:r>
      <w:r w:rsidR="00AE5DAB">
        <w:t xml:space="preserve"> people with disabilities in 2015 in accessing their rights and entitlements. </w:t>
      </w:r>
    </w:p>
    <w:p w:rsidR="00421D7C" w:rsidRDefault="00421D7C" w:rsidP="001D424D">
      <w:r>
        <w:t xml:space="preserve">Whilst the series of income supports and benefits that are provided under these schemes are </w:t>
      </w:r>
      <w:r w:rsidR="008444E4">
        <w:t>delivered</w:t>
      </w:r>
      <w:r>
        <w:t xml:space="preserve"> to a diverse range of people with very different needs, it is possible to see trends in the types of difficulties and concerns that claimants experience as they </w:t>
      </w:r>
      <w:r w:rsidR="00CA1D4D">
        <w:t xml:space="preserve">try to access supports. </w:t>
      </w:r>
      <w:r w:rsidR="00CA1D4D" w:rsidRPr="00AD61F5">
        <w:t>T</w:t>
      </w:r>
      <w:r w:rsidRPr="00AD61F5">
        <w:t xml:space="preserve">he most </w:t>
      </w:r>
      <w:r w:rsidR="00CA1D4D" w:rsidRPr="00AD61F5">
        <w:t>commonly</w:t>
      </w:r>
      <w:r w:rsidRPr="00AD61F5">
        <w:t xml:space="preserve"> reported issues from </w:t>
      </w:r>
      <w:r w:rsidR="00FB0CBC">
        <w:t>front</w:t>
      </w:r>
      <w:r w:rsidR="00E2663E" w:rsidRPr="00AD61F5">
        <w:t>line services</w:t>
      </w:r>
      <w:r w:rsidRPr="00AD61F5">
        <w:t xml:space="preserve"> </w:t>
      </w:r>
      <w:r w:rsidR="00CA1D4D" w:rsidRPr="00AD61F5">
        <w:t xml:space="preserve">are primarily operational in nature and typically refer to </w:t>
      </w:r>
      <w:r w:rsidR="00CA1D4D" w:rsidRPr="00AD61F5">
        <w:rPr>
          <w:b/>
        </w:rPr>
        <w:t>delays in applications</w:t>
      </w:r>
      <w:r w:rsidR="00B73E0B" w:rsidRPr="00AD61F5">
        <w:rPr>
          <w:b/>
        </w:rPr>
        <w:t xml:space="preserve">, reviews </w:t>
      </w:r>
      <w:r w:rsidR="00CA1D4D" w:rsidRPr="00AD61F5">
        <w:rPr>
          <w:b/>
        </w:rPr>
        <w:t>and appeals</w:t>
      </w:r>
      <w:r w:rsidR="00CA1D4D" w:rsidRPr="00AD61F5">
        <w:t>, and difficulties making contact with the relevant sections within the Department of Social Protection</w:t>
      </w:r>
      <w:r w:rsidR="00B73E0B" w:rsidRPr="00AD61F5">
        <w:t xml:space="preserve"> which </w:t>
      </w:r>
      <w:r w:rsidR="00AE71A0">
        <w:t xml:space="preserve">add to the </w:t>
      </w:r>
      <w:r w:rsidR="0065640D" w:rsidRPr="00AD61F5">
        <w:t>uncertainty</w:t>
      </w:r>
      <w:r w:rsidR="00B73E0B" w:rsidRPr="00AD61F5">
        <w:t xml:space="preserve"> in awaiting the outcome of their application</w:t>
      </w:r>
      <w:r w:rsidR="00CA1D4D" w:rsidRPr="00AD61F5">
        <w:t xml:space="preserve">. </w:t>
      </w:r>
      <w:r w:rsidR="00AE5DAB" w:rsidRPr="00AD61F5">
        <w:t>S</w:t>
      </w:r>
      <w:r w:rsidR="00AE5DAB">
        <w:t>ervices report that these delays can be strongly felt by many families who are trying to come to terms with the emotional impact of dealing with a diagnosis of a disability or serious illness</w:t>
      </w:r>
      <w:r w:rsidR="001E1684">
        <w:t xml:space="preserve"> and that timely access to income supports is crucial</w:t>
      </w:r>
      <w:r w:rsidR="00AE5DAB">
        <w:t xml:space="preserve">. </w:t>
      </w:r>
      <w:r w:rsidR="004262A0">
        <w:t>Many reported cases reference, in</w:t>
      </w:r>
      <w:r w:rsidR="00CA1D4D">
        <w:t xml:space="preserve"> particular</w:t>
      </w:r>
      <w:r w:rsidR="004262A0">
        <w:t xml:space="preserve">, </w:t>
      </w:r>
      <w:r w:rsidR="00AE71A0">
        <w:t xml:space="preserve">carer’s payments </w:t>
      </w:r>
      <w:r w:rsidR="00CA1D4D">
        <w:t xml:space="preserve">including </w:t>
      </w:r>
      <w:r w:rsidR="00AE71A0" w:rsidRPr="00AE71A0">
        <w:rPr>
          <w:bCs/>
        </w:rPr>
        <w:t>Domiciliary Care</w:t>
      </w:r>
      <w:r w:rsidR="00AE71A0">
        <w:t xml:space="preserve"> Allowance (DCA)</w:t>
      </w:r>
      <w:r w:rsidR="00CA1D4D">
        <w:t>, Disability Allowance and Invalidity Pension</w:t>
      </w:r>
      <w:r w:rsidR="004262A0">
        <w:t xml:space="preserve"> in this regard</w:t>
      </w:r>
      <w:r w:rsidR="00CA1D4D">
        <w:t xml:space="preserve">. </w:t>
      </w:r>
    </w:p>
    <w:p w:rsidR="00BC2BE5" w:rsidRPr="006B4C21" w:rsidRDefault="00E2663E" w:rsidP="001D424D">
      <w:pPr>
        <w:rPr>
          <w:i/>
        </w:rPr>
      </w:pPr>
      <w:r>
        <w:t xml:space="preserve">One of the most reported issues during 2015 (and during 2014 </w:t>
      </w:r>
      <w:r w:rsidR="00AE71A0">
        <w:t xml:space="preserve">when </w:t>
      </w:r>
      <w:r>
        <w:t xml:space="preserve">changes were introduced) is that of the hardship caused by the </w:t>
      </w:r>
      <w:r w:rsidRPr="00E2663E">
        <w:rPr>
          <w:b/>
        </w:rPr>
        <w:t>six day wait for Illness Benefit</w:t>
      </w:r>
      <w:r>
        <w:t xml:space="preserve">. </w:t>
      </w:r>
      <w:r w:rsidR="00565C5F">
        <w:t xml:space="preserve">Services </w:t>
      </w:r>
      <w:r w:rsidR="008F0F11">
        <w:t xml:space="preserve">highlight </w:t>
      </w:r>
      <w:r w:rsidR="00565C5F">
        <w:t xml:space="preserve">the difficulties with this time lag </w:t>
      </w:r>
      <w:r w:rsidR="008F0F11">
        <w:t xml:space="preserve">which </w:t>
      </w:r>
      <w:r w:rsidR="00565C5F">
        <w:t xml:space="preserve">are particularly acute for low income workers who are not provided with paid sick leave by their employers and who must also bear the increased costs of medical care at the time. </w:t>
      </w:r>
      <w:r w:rsidR="005A081D">
        <w:t xml:space="preserve"> </w:t>
      </w:r>
    </w:p>
    <w:p w:rsidR="00E2663E" w:rsidRDefault="00AE5DAB" w:rsidP="001D424D">
      <w:r>
        <w:t xml:space="preserve">Other particular </w:t>
      </w:r>
      <w:r w:rsidR="007C183E">
        <w:t>concerns</w:t>
      </w:r>
      <w:r>
        <w:t xml:space="preserve"> reported by services include the seeming anomaly whereby </w:t>
      </w:r>
      <w:r w:rsidRPr="00AE5DAB">
        <w:rPr>
          <w:b/>
        </w:rPr>
        <w:t>Free Travel</w:t>
      </w:r>
      <w:r>
        <w:t xml:space="preserve"> is provided to </w:t>
      </w:r>
      <w:r w:rsidR="00565C5F">
        <w:t xml:space="preserve">recipients of </w:t>
      </w:r>
      <w:r>
        <w:t xml:space="preserve">Carer’s Allowance and DCA but not </w:t>
      </w:r>
      <w:r w:rsidR="006F7DBB">
        <w:t xml:space="preserve">for </w:t>
      </w:r>
      <w:r>
        <w:t xml:space="preserve">the </w:t>
      </w:r>
      <w:r w:rsidR="006F7DBB">
        <w:t xml:space="preserve">child </w:t>
      </w:r>
      <w:r>
        <w:t>with the disability</w:t>
      </w:r>
      <w:r w:rsidR="00565C5F">
        <w:t xml:space="preserve"> who </w:t>
      </w:r>
      <w:r w:rsidR="007229FD">
        <w:t xml:space="preserve">is </w:t>
      </w:r>
      <w:r>
        <w:t>being cared for</w:t>
      </w:r>
      <w:r w:rsidR="00565C5F">
        <w:t xml:space="preserve"> </w:t>
      </w:r>
      <w:r w:rsidR="00AE71A0">
        <w:t xml:space="preserve">and for whom DCA is payable </w:t>
      </w:r>
      <w:r w:rsidR="00565C5F">
        <w:t xml:space="preserve">whilst, those who are over 16 and claiming Disability Allowance or Invalidity Pension are entitled to the Travel Pass. </w:t>
      </w:r>
      <w:r w:rsidR="003F77D0">
        <w:t xml:space="preserve">On the broader issues of mobility costs for people with disabilities, feedback from services continues to point to the gap created </w:t>
      </w:r>
      <w:r w:rsidR="0065640D">
        <w:t xml:space="preserve">for new applicants </w:t>
      </w:r>
      <w:r w:rsidR="003F77D0">
        <w:t xml:space="preserve">by the removal of the </w:t>
      </w:r>
      <w:r w:rsidR="003F77D0" w:rsidRPr="0065640D">
        <w:rPr>
          <w:b/>
        </w:rPr>
        <w:t>Mobility Allowance</w:t>
      </w:r>
      <w:r w:rsidR="0065640D">
        <w:rPr>
          <w:b/>
        </w:rPr>
        <w:t xml:space="preserve"> </w:t>
      </w:r>
      <w:r w:rsidR="0065640D" w:rsidRPr="0065640D">
        <w:t>(and</w:t>
      </w:r>
      <w:r w:rsidR="0065640D">
        <w:rPr>
          <w:b/>
        </w:rPr>
        <w:t xml:space="preserve"> </w:t>
      </w:r>
      <w:r w:rsidR="0065640D">
        <w:t xml:space="preserve">the </w:t>
      </w:r>
      <w:r w:rsidR="0065640D" w:rsidRPr="0065640D">
        <w:rPr>
          <w:b/>
        </w:rPr>
        <w:t>Motorised Transport Grant</w:t>
      </w:r>
      <w:r w:rsidR="0065640D" w:rsidRPr="001E1684">
        <w:t>)</w:t>
      </w:r>
      <w:r w:rsidR="0065640D">
        <w:t xml:space="preserve"> </w:t>
      </w:r>
      <w:r w:rsidR="003F77D0">
        <w:t>in 2013.</w:t>
      </w:r>
      <w:r w:rsidR="0065640D">
        <w:t xml:space="preserve"> </w:t>
      </w:r>
      <w:r w:rsidR="00DF10E3">
        <w:t xml:space="preserve">Whilst both schemes were </w:t>
      </w:r>
      <w:r w:rsidR="00FB0CBC">
        <w:t xml:space="preserve">later found </w:t>
      </w:r>
      <w:r w:rsidR="00DF10E3" w:rsidRPr="00C14774">
        <w:t>to be illegal</w:t>
      </w:r>
      <w:r w:rsidR="00DF10E3">
        <w:t xml:space="preserve"> under the Equal Status Act, they were key payments in enabling choice and independence for people with disabilities</w:t>
      </w:r>
      <w:r w:rsidR="008444E4">
        <w:t xml:space="preserve"> and for their carer</w:t>
      </w:r>
      <w:r w:rsidR="00D0395F">
        <w:t>s</w:t>
      </w:r>
      <w:r w:rsidR="00DF10E3">
        <w:t xml:space="preserve">. </w:t>
      </w:r>
      <w:r w:rsidR="0065640D">
        <w:t xml:space="preserve">Despite the publication of reports by </w:t>
      </w:r>
      <w:r w:rsidR="00DF10E3">
        <w:t xml:space="preserve">both </w:t>
      </w:r>
      <w:r w:rsidR="0065640D">
        <w:t xml:space="preserve">a Review Group and an Inter-departmental Group on the development of a new travel subsidy, legislative provisions for a new statutory scheme to replace the </w:t>
      </w:r>
      <w:r w:rsidR="00DF10E3">
        <w:t xml:space="preserve">old schemes have yet to be put in place. </w:t>
      </w:r>
    </w:p>
    <w:p w:rsidR="005C5AD5" w:rsidRPr="00F87338" w:rsidRDefault="00B45BEB" w:rsidP="005A081D">
      <w:r>
        <w:t>The key strategic priorities of the Comprehensive Employment Strategy for People with Disabilities, are focussed on building skills, capacity and independence of people with disabilities and providing pathways for entry and re-entry into work. In this context</w:t>
      </w:r>
      <w:r w:rsidR="005A081D">
        <w:t xml:space="preserve">, a number of services have reported on difficulties with </w:t>
      </w:r>
      <w:r>
        <w:t xml:space="preserve">the </w:t>
      </w:r>
      <w:r w:rsidRPr="00B45BEB">
        <w:rPr>
          <w:b/>
        </w:rPr>
        <w:t>Wage Subsidy Scheme</w:t>
      </w:r>
      <w:r>
        <w:t xml:space="preserve"> and </w:t>
      </w:r>
      <w:r w:rsidR="008A3655">
        <w:t xml:space="preserve">the </w:t>
      </w:r>
      <w:r w:rsidR="005A081D" w:rsidRPr="00C93D60">
        <w:rPr>
          <w:b/>
        </w:rPr>
        <w:t xml:space="preserve">Partial Capacity </w:t>
      </w:r>
      <w:r w:rsidR="00C93D60">
        <w:rPr>
          <w:b/>
        </w:rPr>
        <w:t>B</w:t>
      </w:r>
      <w:r w:rsidR="005A081D" w:rsidRPr="00C93D60">
        <w:rPr>
          <w:b/>
        </w:rPr>
        <w:t>enefit</w:t>
      </w:r>
      <w:r w:rsidR="00186CFB">
        <w:rPr>
          <w:b/>
        </w:rPr>
        <w:t xml:space="preserve"> (PCB)</w:t>
      </w:r>
      <w:r>
        <w:rPr>
          <w:b/>
        </w:rPr>
        <w:t xml:space="preserve"> </w:t>
      </w:r>
      <w:r w:rsidR="008A3655">
        <w:rPr>
          <w:b/>
        </w:rPr>
        <w:t xml:space="preserve">payment, </w:t>
      </w:r>
      <w:r w:rsidR="008A3655" w:rsidRPr="008A3655">
        <w:t>which are</w:t>
      </w:r>
      <w:r>
        <w:rPr>
          <w:b/>
        </w:rPr>
        <w:t xml:space="preserve"> </w:t>
      </w:r>
      <w:r w:rsidRPr="00B45BEB">
        <w:t>provided as income and employment support measures by DSP</w:t>
      </w:r>
      <w:r w:rsidR="005A081D">
        <w:t xml:space="preserve">. The </w:t>
      </w:r>
      <w:r w:rsidR="00186CFB">
        <w:t xml:space="preserve">reported </w:t>
      </w:r>
      <w:r w:rsidR="005A081D">
        <w:t xml:space="preserve">difficulties </w:t>
      </w:r>
      <w:r>
        <w:t xml:space="preserve">with </w:t>
      </w:r>
      <w:r w:rsidR="00186CFB">
        <w:t xml:space="preserve">PCB </w:t>
      </w:r>
      <w:r>
        <w:t xml:space="preserve">are </w:t>
      </w:r>
      <w:r w:rsidR="005A081D">
        <w:t>focussed around the restrict</w:t>
      </w:r>
      <w:r w:rsidR="00C93D60">
        <w:t>ive</w:t>
      </w:r>
      <w:r w:rsidR="005A081D">
        <w:t xml:space="preserve"> nature of the qualifying payments (Illness Benefit or Invalidity</w:t>
      </w:r>
      <w:r w:rsidR="00C93D60">
        <w:t xml:space="preserve"> Pension</w:t>
      </w:r>
      <w:r w:rsidR="005A081D">
        <w:t xml:space="preserve">), the timescale for processing applications (which can, in some cases, result in the loss of </w:t>
      </w:r>
      <w:r w:rsidR="00C93D60">
        <w:t xml:space="preserve">the job offer) and the fear amongst some potential applicants that the assessment could result in the withdrawal of an existing benefit. </w:t>
      </w:r>
      <w:r w:rsidR="008A3655">
        <w:t xml:space="preserve">Services have noted the potential positive impact that the Wage Subsidy Scheme can play in incentivising employers to hire people with disabilities, but have suggested the need to broaden the eligibility criteria </w:t>
      </w:r>
      <w:r w:rsidR="00990360">
        <w:t>and to promote the scheme amongst potential employers and employees.</w:t>
      </w:r>
    </w:p>
    <w:p w:rsidR="00325140" w:rsidRPr="00D51E43" w:rsidRDefault="00325140" w:rsidP="00325140">
      <w:pPr>
        <w:pStyle w:val="IntenseQuote"/>
        <w:rPr>
          <w:sz w:val="28"/>
          <w:szCs w:val="28"/>
        </w:rPr>
      </w:pPr>
      <w:r w:rsidRPr="00D51E43">
        <w:rPr>
          <w:sz w:val="28"/>
          <w:szCs w:val="28"/>
        </w:rPr>
        <w:t>Recommendations</w:t>
      </w:r>
    </w:p>
    <w:p w:rsidR="00325140" w:rsidRPr="004262A0" w:rsidRDefault="00325140" w:rsidP="00325140">
      <w:r w:rsidRPr="004262A0">
        <w:t>Based on the evidence of these difficulties, CIB recommends the following:</w:t>
      </w:r>
    </w:p>
    <w:p w:rsidR="00B73E0B" w:rsidRPr="006F73A2" w:rsidRDefault="00257A0C" w:rsidP="00EE3055">
      <w:pPr>
        <w:pStyle w:val="ListParagraph"/>
        <w:numPr>
          <w:ilvl w:val="0"/>
          <w:numId w:val="22"/>
        </w:numPr>
        <w:shd w:val="clear" w:color="auto" w:fill="D6E3BC" w:themeFill="accent3" w:themeFillTint="66"/>
      </w:pPr>
      <w:r w:rsidRPr="006F73A2">
        <w:t>Provide</w:t>
      </w:r>
      <w:r w:rsidR="00FE7B02" w:rsidRPr="006F73A2">
        <w:t xml:space="preserve"> sufficient resources to </w:t>
      </w:r>
      <w:r w:rsidR="00B73E0B" w:rsidRPr="006F73A2">
        <w:t xml:space="preserve">the </w:t>
      </w:r>
      <w:r w:rsidRPr="006F73A2">
        <w:t>disability, illness and carer</w:t>
      </w:r>
      <w:r w:rsidR="007C183E" w:rsidRPr="006F73A2">
        <w:t>’</w:t>
      </w:r>
      <w:r w:rsidRPr="006F73A2">
        <w:t>s sections within DSP</w:t>
      </w:r>
      <w:r w:rsidR="00B73E0B" w:rsidRPr="006F73A2">
        <w:t xml:space="preserve">, </w:t>
      </w:r>
      <w:r w:rsidR="00FE7B02" w:rsidRPr="006F73A2">
        <w:t>in order to expedite the processing of applications for claims, reviews and appeals and to enable greater co-ordination between sections</w:t>
      </w:r>
      <w:r w:rsidR="00B73E0B" w:rsidRPr="006F73A2">
        <w:t>;</w:t>
      </w:r>
    </w:p>
    <w:p w:rsidR="007C183E" w:rsidRDefault="003F77D0" w:rsidP="00EE3055">
      <w:pPr>
        <w:pStyle w:val="ListParagraph"/>
        <w:numPr>
          <w:ilvl w:val="0"/>
          <w:numId w:val="22"/>
        </w:numPr>
        <w:shd w:val="clear" w:color="auto" w:fill="D6E3BC" w:themeFill="accent3" w:themeFillTint="66"/>
      </w:pPr>
      <w:r>
        <w:t xml:space="preserve">Decrease the number of waiting days for entitlement to Illness Benefit from six days to three days, as per the </w:t>
      </w:r>
      <w:r w:rsidR="008444E4">
        <w:t xml:space="preserve">criteria </w:t>
      </w:r>
      <w:r>
        <w:t>prior to 2014.</w:t>
      </w:r>
    </w:p>
    <w:p w:rsidR="007C183E" w:rsidRDefault="007C183E" w:rsidP="00EE3055">
      <w:pPr>
        <w:pStyle w:val="ListParagraph"/>
        <w:numPr>
          <w:ilvl w:val="0"/>
          <w:numId w:val="22"/>
        </w:numPr>
        <w:shd w:val="clear" w:color="auto" w:fill="D6E3BC" w:themeFill="accent3" w:themeFillTint="66"/>
      </w:pPr>
      <w:r>
        <w:t>Extend the Free Travel Scheme to children for whom DCA is paid;</w:t>
      </w:r>
    </w:p>
    <w:p w:rsidR="00DF10E3" w:rsidRDefault="00DF10E3" w:rsidP="00EE3055">
      <w:pPr>
        <w:pStyle w:val="ListParagraph"/>
        <w:numPr>
          <w:ilvl w:val="0"/>
          <w:numId w:val="22"/>
        </w:numPr>
        <w:shd w:val="clear" w:color="auto" w:fill="D6E3BC" w:themeFill="accent3" w:themeFillTint="66"/>
      </w:pPr>
      <w:r>
        <w:t>Finalise the legislation required for the establishment of</w:t>
      </w:r>
      <w:r w:rsidR="008444E4">
        <w:t xml:space="preserve"> a new travel subsidy s</w:t>
      </w:r>
      <w:r w:rsidR="005A081D">
        <w:t>cheme</w:t>
      </w:r>
      <w:r>
        <w:t>, to assist</w:t>
      </w:r>
      <w:r w:rsidR="00CF7C6A">
        <w:t xml:space="preserve"> in</w:t>
      </w:r>
      <w:r>
        <w:t xml:space="preserve"> meeting the extra mobility costs incurred </w:t>
      </w:r>
      <w:r w:rsidR="005A081D">
        <w:t>for people with disabilities</w:t>
      </w:r>
      <w:r w:rsidR="00CF7C6A">
        <w:t>.</w:t>
      </w:r>
      <w:r w:rsidR="00CF7C6A" w:rsidRPr="00CF7C6A">
        <w:t xml:space="preserve"> </w:t>
      </w:r>
      <w:r w:rsidR="00CF7C6A">
        <w:t>The new scheme should function within</w:t>
      </w:r>
      <w:r w:rsidR="00CF7C6A" w:rsidRPr="00CF7C6A">
        <w:t xml:space="preserve"> the context of long-term mobility and transport supports and broader policy reforms relating to people with disabilities</w:t>
      </w:r>
      <w:r w:rsidR="008444E4">
        <w:t xml:space="preserve"> (</w:t>
      </w:r>
      <w:r w:rsidR="00CF7C6A" w:rsidRPr="00CF7C6A">
        <w:t>in particular, the move towards an individualised supports system currently under co</w:t>
      </w:r>
      <w:r w:rsidR="00CF7C6A">
        <w:t>nsideration</w:t>
      </w:r>
      <w:r w:rsidR="008444E4">
        <w:t>)</w:t>
      </w:r>
      <w:r w:rsidR="00CF7C6A">
        <w:t>;</w:t>
      </w:r>
    </w:p>
    <w:p w:rsidR="00325140" w:rsidRDefault="00C93D60" w:rsidP="00EE3055">
      <w:pPr>
        <w:pStyle w:val="ListParagraph"/>
        <w:numPr>
          <w:ilvl w:val="0"/>
          <w:numId w:val="22"/>
        </w:numPr>
        <w:shd w:val="clear" w:color="auto" w:fill="D6E3BC" w:themeFill="accent3" w:themeFillTint="66"/>
      </w:pPr>
      <w:r>
        <w:t>Proactively promote the Partial Capacity Benefit scheme, by providing detailed information on the assessment criteria to potential applicants and examine the possibility of including Disability Allowance and Blind Pension as qualifying payments;</w:t>
      </w:r>
    </w:p>
    <w:p w:rsidR="00FB0CBC" w:rsidRPr="00CC235A" w:rsidRDefault="00990360" w:rsidP="00CC235A">
      <w:pPr>
        <w:pStyle w:val="ListParagraph"/>
        <w:numPr>
          <w:ilvl w:val="0"/>
          <w:numId w:val="22"/>
        </w:numPr>
        <w:shd w:val="clear" w:color="auto" w:fill="D6E3BC" w:themeFill="accent3" w:themeFillTint="66"/>
      </w:pPr>
      <w:r>
        <w:t xml:space="preserve">Broaden the eligibility criteria for the Wage Subsidy Scheme </w:t>
      </w:r>
      <w:r w:rsidRPr="00990360">
        <w:t>by reducing the minimum employment commitment from 21 hours to 15 hours/ week and allow employees to keep a percentage of their primary and secondary payments.</w:t>
      </w:r>
    </w:p>
    <w:p w:rsidR="00325140" w:rsidRPr="00D51E43" w:rsidRDefault="00325140" w:rsidP="00325140">
      <w:pPr>
        <w:pStyle w:val="IntenseQuote"/>
        <w:rPr>
          <w:sz w:val="32"/>
          <w:szCs w:val="32"/>
        </w:rPr>
      </w:pPr>
      <w:r w:rsidRPr="00D51E43">
        <w:rPr>
          <w:sz w:val="32"/>
          <w:szCs w:val="32"/>
        </w:rPr>
        <w:t>Older people</w:t>
      </w:r>
    </w:p>
    <w:p w:rsidR="00325140" w:rsidRPr="00D51E43" w:rsidRDefault="00325140" w:rsidP="00325140">
      <w:pPr>
        <w:rPr>
          <w:rStyle w:val="IntenseEmphasis"/>
          <w:sz w:val="28"/>
          <w:szCs w:val="28"/>
        </w:rPr>
      </w:pPr>
      <w:r w:rsidRPr="00D51E43">
        <w:rPr>
          <w:rStyle w:val="IntenseEmphasis"/>
          <w:sz w:val="28"/>
          <w:szCs w:val="28"/>
        </w:rPr>
        <w:t>Priority Areas</w:t>
      </w:r>
    </w:p>
    <w:p w:rsidR="00325140" w:rsidRPr="006B4C21" w:rsidRDefault="002A4128" w:rsidP="00325140">
      <w:pPr>
        <w:pStyle w:val="IntenseQuote"/>
      </w:pPr>
      <w:r w:rsidRPr="006B4C21">
        <w:t xml:space="preserve">Address the current imbalance within the provision of long-term care for older people by providing a statutory basis for home care </w:t>
      </w:r>
      <w:r w:rsidR="00193F07" w:rsidRPr="006B4C21">
        <w:t xml:space="preserve">packages (coupled with the necessary resources) </w:t>
      </w:r>
      <w:r w:rsidRPr="006B4C21">
        <w:t>to enable older people to live independently in their own homes (</w:t>
      </w:r>
      <w:r w:rsidR="00193F07" w:rsidRPr="006B4C21">
        <w:t xml:space="preserve">as </w:t>
      </w:r>
      <w:r w:rsidRPr="006B4C21">
        <w:t>against those provided for through the Nursing Home Support Scheme)</w:t>
      </w:r>
      <w:r w:rsidR="00243006">
        <w:t>;</w:t>
      </w:r>
    </w:p>
    <w:p w:rsidR="004A7771" w:rsidRPr="006B4C21" w:rsidRDefault="004A7771" w:rsidP="004A7771">
      <w:pPr>
        <w:pStyle w:val="IntenseQuote"/>
      </w:pPr>
      <w:r w:rsidRPr="006B4C21">
        <w:t xml:space="preserve">Ensure that the </w:t>
      </w:r>
      <w:r>
        <w:t xml:space="preserve">emphasis on </w:t>
      </w:r>
      <w:r w:rsidRPr="006B4C21">
        <w:t xml:space="preserve">online access </w:t>
      </w:r>
      <w:r>
        <w:t xml:space="preserve">to </w:t>
      </w:r>
      <w:r w:rsidRPr="006B4C21">
        <w:t>public services does not serve to disempower or marginalise older people;</w:t>
      </w:r>
    </w:p>
    <w:p w:rsidR="00325140" w:rsidRPr="006B4C21" w:rsidRDefault="00CF7C6A" w:rsidP="00325140">
      <w:pPr>
        <w:pStyle w:val="IntenseQuote"/>
      </w:pPr>
      <w:r w:rsidRPr="00186CFB">
        <w:t>Ensure that the planned implementation of the Total Contributions Approach to the current State Pension (Contributory) a</w:t>
      </w:r>
      <w:r w:rsidR="002A4128" w:rsidRPr="00186CFB">
        <w:t>ddress</w:t>
      </w:r>
      <w:r w:rsidRPr="00186CFB">
        <w:t xml:space="preserve">es </w:t>
      </w:r>
      <w:r w:rsidR="00243006" w:rsidRPr="00186CFB">
        <w:t xml:space="preserve">the impact of the ‘average’ rule, which has disproportionately </w:t>
      </w:r>
      <w:r w:rsidR="009734A6" w:rsidRPr="00186CFB">
        <w:t xml:space="preserve">affected </w:t>
      </w:r>
      <w:r w:rsidR="00243006" w:rsidRPr="00186CFB">
        <w:t>women.</w:t>
      </w:r>
      <w:r w:rsidR="00243006">
        <w:t xml:space="preserve"> </w:t>
      </w:r>
    </w:p>
    <w:p w:rsidR="00325140" w:rsidRPr="00D51E43" w:rsidRDefault="00325140" w:rsidP="00325140">
      <w:pPr>
        <w:rPr>
          <w:rStyle w:val="IntenseEmphasis"/>
          <w:sz w:val="28"/>
          <w:szCs w:val="28"/>
        </w:rPr>
      </w:pPr>
      <w:r w:rsidRPr="00D51E43">
        <w:rPr>
          <w:rStyle w:val="IntenseEmphasis"/>
          <w:sz w:val="28"/>
          <w:szCs w:val="28"/>
        </w:rPr>
        <w:t>Issues</w:t>
      </w:r>
    </w:p>
    <w:p w:rsidR="00780BF7" w:rsidRPr="006B4C21" w:rsidRDefault="002A4128" w:rsidP="001B0126">
      <w:r w:rsidRPr="006B4C21">
        <w:t>During 2015, CISs d</w:t>
      </w:r>
      <w:r w:rsidR="008444E4">
        <w:t>ealt with over 50,000 queries related</w:t>
      </w:r>
      <w:r w:rsidRPr="006B4C21">
        <w:t xml:space="preserve"> to the broad category of </w:t>
      </w:r>
      <w:r w:rsidRPr="006B4C21">
        <w:rPr>
          <w:i/>
        </w:rPr>
        <w:t>Older and Retired People</w:t>
      </w:r>
      <w:r w:rsidR="00780BF7" w:rsidRPr="006B4C21">
        <w:rPr>
          <w:i/>
        </w:rPr>
        <w:t xml:space="preserve"> </w:t>
      </w:r>
      <w:r w:rsidR="00780BF7" w:rsidRPr="006B4C21">
        <w:t xml:space="preserve">(with CIPS </w:t>
      </w:r>
      <w:r w:rsidR="008444E4">
        <w:t xml:space="preserve">also </w:t>
      </w:r>
      <w:r w:rsidR="00780BF7" w:rsidRPr="006B4C21">
        <w:t xml:space="preserve">receiving </w:t>
      </w:r>
      <w:r w:rsidR="008444E4">
        <w:t>some</w:t>
      </w:r>
      <w:r w:rsidR="00780BF7" w:rsidRPr="006B4C21">
        <w:t xml:space="preserve"> 4,000 calls)</w:t>
      </w:r>
      <w:r w:rsidRPr="006B4C21">
        <w:t xml:space="preserve">. In addition to this, there were over 35,000 queries related to </w:t>
      </w:r>
      <w:r w:rsidRPr="006B4C21">
        <w:rPr>
          <w:i/>
        </w:rPr>
        <w:t>Carer’s</w:t>
      </w:r>
      <w:r w:rsidR="00780BF7" w:rsidRPr="006B4C21">
        <w:t xml:space="preserve"> issues</w:t>
      </w:r>
      <w:r w:rsidRPr="006B4C21">
        <w:t xml:space="preserve">, </w:t>
      </w:r>
      <w:r w:rsidR="00780BF7" w:rsidRPr="006B4C21">
        <w:t xml:space="preserve">and </w:t>
      </w:r>
      <w:r w:rsidRPr="006B4C21">
        <w:t xml:space="preserve">4,000 </w:t>
      </w:r>
      <w:r w:rsidR="00780BF7" w:rsidRPr="006B4C21">
        <w:t xml:space="preserve">queries concerning </w:t>
      </w:r>
      <w:r w:rsidR="00780BF7" w:rsidRPr="006B4C21">
        <w:rPr>
          <w:i/>
        </w:rPr>
        <w:t>Health Services for Older People</w:t>
      </w:r>
      <w:r w:rsidRPr="006B4C21">
        <w:t>. The main focus of the</w:t>
      </w:r>
      <w:r w:rsidR="00780BF7" w:rsidRPr="006B4C21">
        <w:t xml:space="preserve"> majority of the</w:t>
      </w:r>
      <w:r w:rsidRPr="006B4C21">
        <w:t xml:space="preserve"> queries was the State Pension - predominantly the contributory pension, but with a significant </w:t>
      </w:r>
      <w:r w:rsidR="001956C9">
        <w:t>number</w:t>
      </w:r>
      <w:r w:rsidRPr="006B4C21">
        <w:t xml:space="preserve"> </w:t>
      </w:r>
      <w:r w:rsidR="008444E4">
        <w:t>also</w:t>
      </w:r>
      <w:r w:rsidRPr="006B4C21">
        <w:t xml:space="preserve"> relating to the non-contributory pension. </w:t>
      </w:r>
    </w:p>
    <w:p w:rsidR="002A4128" w:rsidRPr="006B4C21" w:rsidRDefault="00780BF7" w:rsidP="001B0126">
      <w:r w:rsidRPr="006B4C21">
        <w:t>I</w:t>
      </w:r>
      <w:r w:rsidR="002A4128" w:rsidRPr="006B4C21">
        <w:t>t should be noted</w:t>
      </w:r>
      <w:r w:rsidRPr="006B4C21">
        <w:t xml:space="preserve"> however</w:t>
      </w:r>
      <w:r w:rsidR="002A4128" w:rsidRPr="006B4C21">
        <w:t xml:space="preserve"> that whilst these queries can be clearly categorised as "issues" for older people, it remains that older people are not an homogenous group </w:t>
      </w:r>
      <w:r w:rsidRPr="006B4C21">
        <w:t xml:space="preserve">concerned only with clearly identifiable issues – </w:t>
      </w:r>
      <w:r w:rsidR="002A4128" w:rsidRPr="006B4C21">
        <w:t>but</w:t>
      </w:r>
      <w:r w:rsidRPr="006B4C21">
        <w:t>,</w:t>
      </w:r>
      <w:r w:rsidR="002A4128" w:rsidRPr="006B4C21">
        <w:t xml:space="preserve"> rather</w:t>
      </w:r>
      <w:r w:rsidRPr="006B4C21">
        <w:t>,</w:t>
      </w:r>
      <w:r w:rsidR="002A4128" w:rsidRPr="006B4C21">
        <w:t xml:space="preserve"> seek information and assistance from information services related to the broad range of social and public services to the same extent as the general population. </w:t>
      </w:r>
    </w:p>
    <w:p w:rsidR="0075522E" w:rsidRDefault="002A4128" w:rsidP="001B0126">
      <w:r w:rsidRPr="006B4C21">
        <w:t xml:space="preserve">Notwithstanding this, in recent years information services have reported an increase in the </w:t>
      </w:r>
      <w:r w:rsidR="008F0F11">
        <w:t xml:space="preserve">number </w:t>
      </w:r>
      <w:r w:rsidRPr="006B4C21">
        <w:t xml:space="preserve">of older people who are using their services with particular reference to those older people who require assistance - and, in </w:t>
      </w:r>
      <w:r w:rsidR="00BC2BE5">
        <w:t xml:space="preserve">many </w:t>
      </w:r>
      <w:r w:rsidRPr="006B4C21">
        <w:t xml:space="preserve">cases, face-to-face help - in applying for or accessing newly introduced payments or services. This was particularly evident with the rollout of the Local Property Tax, the Water Charges and the </w:t>
      </w:r>
      <w:r w:rsidR="00A608ED" w:rsidRPr="006B4C21">
        <w:t>W</w:t>
      </w:r>
      <w:r w:rsidRPr="006B4C21">
        <w:t xml:space="preserve">ater Conservation Grant. In these instances, services have reported that the </w:t>
      </w:r>
      <w:r w:rsidR="00780BF7" w:rsidRPr="006B4C21">
        <w:t>move</w:t>
      </w:r>
      <w:r w:rsidRPr="006B4C21">
        <w:t xml:space="preserve"> </w:t>
      </w:r>
      <w:r w:rsidR="00780BF7" w:rsidRPr="006B4C21">
        <w:t xml:space="preserve">to </w:t>
      </w:r>
      <w:r w:rsidR="00780BF7" w:rsidRPr="006B4C21">
        <w:rPr>
          <w:b/>
        </w:rPr>
        <w:t>online registration and access</w:t>
      </w:r>
      <w:r w:rsidRPr="006B4C21">
        <w:t xml:space="preserve"> (</w:t>
      </w:r>
      <w:r w:rsidR="008444E4">
        <w:t xml:space="preserve">to </w:t>
      </w:r>
      <w:r w:rsidRPr="006B4C21">
        <w:t xml:space="preserve">forms and payments) has had implications for </w:t>
      </w:r>
      <w:r w:rsidR="0075522E">
        <w:t xml:space="preserve">some </w:t>
      </w:r>
      <w:r w:rsidRPr="006B4C21">
        <w:t xml:space="preserve">older people who may not be computer literate, or who may not have access to </w:t>
      </w:r>
      <w:r w:rsidR="00780BF7" w:rsidRPr="006B4C21">
        <w:t xml:space="preserve">the </w:t>
      </w:r>
      <w:r w:rsidRPr="006B4C21">
        <w:t xml:space="preserve">technology, broadband or family supports to enable them to independently access payments or services. </w:t>
      </w:r>
    </w:p>
    <w:p w:rsidR="007003AB" w:rsidRPr="006B4C21" w:rsidRDefault="0075522E" w:rsidP="001B0126">
      <w:r>
        <w:t xml:space="preserve">A </w:t>
      </w:r>
      <w:r w:rsidR="002A4128" w:rsidRPr="006B4C21">
        <w:t xml:space="preserve">key area of concern that has been highlighted by staff within information services is the lack of resources that are being provided in a coherent fashion at community level to </w:t>
      </w:r>
      <w:r w:rsidR="002A4128" w:rsidRPr="006B4C21">
        <w:rPr>
          <w:b/>
        </w:rPr>
        <w:t>enable older people to live in their own homes</w:t>
      </w:r>
      <w:r w:rsidR="002A4128" w:rsidRPr="006B4C21">
        <w:t xml:space="preserve"> as they age - an aspiration that is consistently stated as being the priority of public health policy and</w:t>
      </w:r>
      <w:r w:rsidR="00A608ED" w:rsidRPr="006B4C21">
        <w:t>,</w:t>
      </w:r>
      <w:r w:rsidR="002A4128" w:rsidRPr="006B4C21">
        <w:t xml:space="preserve"> also the desire of most older people</w:t>
      </w:r>
      <w:r w:rsidR="00D0395F">
        <w:t xml:space="preserve"> and</w:t>
      </w:r>
      <w:r w:rsidR="0051383A">
        <w:t xml:space="preserve"> </w:t>
      </w:r>
      <w:r w:rsidR="00D0395F">
        <w:t>their carers</w:t>
      </w:r>
      <w:r w:rsidR="002A4128" w:rsidRPr="006B4C21">
        <w:t>. These resources include the availability of adequate home care packages, home help supports</w:t>
      </w:r>
      <w:r w:rsidR="00A608ED" w:rsidRPr="006B4C21">
        <w:t>,</w:t>
      </w:r>
      <w:r w:rsidR="002A4128" w:rsidRPr="006B4C21">
        <w:t xml:space="preserve"> community-based therapies </w:t>
      </w:r>
      <w:r w:rsidR="00A608ED" w:rsidRPr="006B4C21">
        <w:t xml:space="preserve">and GP care </w:t>
      </w:r>
      <w:r w:rsidR="002A4128" w:rsidRPr="006B4C21">
        <w:t xml:space="preserve">based in primary care centres. Services have also reported </w:t>
      </w:r>
      <w:r w:rsidR="00A608ED" w:rsidRPr="006B4C21">
        <w:t xml:space="preserve">on the difficulties that older clients </w:t>
      </w:r>
      <w:r w:rsidR="0051383A">
        <w:t xml:space="preserve">and their carers </w:t>
      </w:r>
      <w:r w:rsidR="00A608ED" w:rsidRPr="006B4C21">
        <w:t>have with the local authority</w:t>
      </w:r>
      <w:r w:rsidR="007003AB" w:rsidRPr="006B4C21">
        <w:t>-</w:t>
      </w:r>
      <w:r w:rsidR="00A608ED" w:rsidRPr="006B4C21">
        <w:t>provided grant schemes that could enable older people to remain in their homes (or</w:t>
      </w:r>
      <w:r w:rsidR="008444E4">
        <w:t xml:space="preserve"> </w:t>
      </w:r>
      <w:r w:rsidR="00A608ED" w:rsidRPr="006B4C21">
        <w:t>sm</w:t>
      </w:r>
      <w:r w:rsidR="007003AB" w:rsidRPr="006B4C21">
        <w:t>o</w:t>
      </w:r>
      <w:r w:rsidR="00A608ED" w:rsidRPr="006B4C21">
        <w:t xml:space="preserve">oth </w:t>
      </w:r>
      <w:r w:rsidR="00186CFB">
        <w:t xml:space="preserve">the </w:t>
      </w:r>
      <w:r w:rsidR="00A608ED" w:rsidRPr="006B4C21">
        <w:t>transitio</w:t>
      </w:r>
      <w:r w:rsidR="007003AB" w:rsidRPr="006B4C21">
        <w:t>n from hospital to home after an illness)</w:t>
      </w:r>
      <w:r w:rsidR="008444E4">
        <w:t xml:space="preserve">. In particular, services have referenced </w:t>
      </w:r>
      <w:r w:rsidR="00A608ED" w:rsidRPr="006B4C21">
        <w:t>the slow administration of grant applications, the limited funding and the lack of information for those seeking access to such supports.</w:t>
      </w:r>
      <w:r w:rsidR="00630E1F">
        <w:t xml:space="preserve"> In light of this, the commitment in the recently published “Action Plan For Housing and Homelessness” to look at streamlining and simplifying the application process is welcomed.  </w:t>
      </w:r>
    </w:p>
    <w:p w:rsidR="00AD010D" w:rsidRPr="006B4C21" w:rsidRDefault="00AD010D" w:rsidP="001B0126">
      <w:r w:rsidRPr="006B4C21">
        <w:t xml:space="preserve">Staff in information services also identified a number of concerns for those older people who move to long-term nursing home care, under the </w:t>
      </w:r>
      <w:r w:rsidRPr="006B4C21">
        <w:rPr>
          <w:b/>
        </w:rPr>
        <w:t>Nursing Homes Support Scheme</w:t>
      </w:r>
      <w:r w:rsidR="007229FD">
        <w:rPr>
          <w:b/>
        </w:rPr>
        <w:t xml:space="preserve"> (NHSS)</w:t>
      </w:r>
      <w:r w:rsidRPr="006B4C21">
        <w:t xml:space="preserve"> (or the ‘Fair Deal Scheme’). These concerns are mainly focussed around the application </w:t>
      </w:r>
      <w:r w:rsidR="008B2773" w:rsidRPr="006B4C21">
        <w:t xml:space="preserve">and funding </w:t>
      </w:r>
      <w:r w:rsidRPr="006B4C21">
        <w:t>process</w:t>
      </w:r>
      <w:r w:rsidR="008B2773" w:rsidRPr="006B4C21">
        <w:t xml:space="preserve">. In particular, services have noted that </w:t>
      </w:r>
      <w:r w:rsidRPr="006B4C21">
        <w:t xml:space="preserve">the </w:t>
      </w:r>
      <w:r w:rsidR="008B2773" w:rsidRPr="006B4C21">
        <w:t>capped</w:t>
      </w:r>
      <w:r w:rsidRPr="006B4C21">
        <w:t xml:space="preserve"> NHSS budget </w:t>
      </w:r>
      <w:r w:rsidR="008B2773" w:rsidRPr="006B4C21">
        <w:t xml:space="preserve">creates </w:t>
      </w:r>
      <w:r w:rsidRPr="006B4C21">
        <w:t xml:space="preserve">a waiting list for funding, which means </w:t>
      </w:r>
      <w:r w:rsidR="008B2773" w:rsidRPr="006B4C21">
        <w:t xml:space="preserve">that some </w:t>
      </w:r>
      <w:r w:rsidRPr="006B4C21">
        <w:t xml:space="preserve">people can be left in unsuitable care situations </w:t>
      </w:r>
      <w:r w:rsidR="0075522E">
        <w:t>be</w:t>
      </w:r>
      <w:r w:rsidRPr="006B4C21">
        <w:t>for</w:t>
      </w:r>
      <w:r w:rsidR="0075522E">
        <w:t>e</w:t>
      </w:r>
      <w:r w:rsidRPr="006B4C21">
        <w:t xml:space="preserve"> a</w:t>
      </w:r>
      <w:r w:rsidR="008B2773" w:rsidRPr="006B4C21">
        <w:t>n approved nursing home</w:t>
      </w:r>
      <w:r w:rsidRPr="006B4C21">
        <w:t xml:space="preserve"> place </w:t>
      </w:r>
      <w:r w:rsidR="0075522E">
        <w:t xml:space="preserve">is made </w:t>
      </w:r>
      <w:r w:rsidRPr="006B4C21">
        <w:t>available</w:t>
      </w:r>
      <w:r w:rsidR="008B2773" w:rsidRPr="006B4C21">
        <w:t xml:space="preserve">. Many older people </w:t>
      </w:r>
      <w:r w:rsidR="0051383A">
        <w:t xml:space="preserve">and their carers </w:t>
      </w:r>
      <w:r w:rsidR="008B2773" w:rsidRPr="006B4C21">
        <w:t>also continue to experience significant delays i</w:t>
      </w:r>
      <w:r w:rsidRPr="006B4C21">
        <w:t xml:space="preserve">n processing applications </w:t>
      </w:r>
      <w:r w:rsidR="008B2773" w:rsidRPr="006B4C21">
        <w:t xml:space="preserve">(and thus </w:t>
      </w:r>
      <w:r w:rsidR="0051383A">
        <w:t>families</w:t>
      </w:r>
      <w:r w:rsidRPr="006B4C21">
        <w:t xml:space="preserve"> </w:t>
      </w:r>
      <w:r w:rsidR="008B2773" w:rsidRPr="006B4C21">
        <w:t xml:space="preserve">can </w:t>
      </w:r>
      <w:r w:rsidRPr="006B4C21">
        <w:t xml:space="preserve">get into financial difficulty </w:t>
      </w:r>
      <w:r w:rsidR="008B2773" w:rsidRPr="006B4C21">
        <w:t xml:space="preserve">in </w:t>
      </w:r>
      <w:r w:rsidRPr="006B4C21">
        <w:t>trying to pay for interim care privately</w:t>
      </w:r>
      <w:r w:rsidR="008B2773" w:rsidRPr="006B4C21">
        <w:t>, which is not subsequently reimbursed as t</w:t>
      </w:r>
      <w:r w:rsidRPr="006B4C21">
        <w:t>he Scheme does not backdate p</w:t>
      </w:r>
      <w:r w:rsidR="008B2773" w:rsidRPr="006B4C21">
        <w:t xml:space="preserve">ayments to the application date).  </w:t>
      </w:r>
      <w:r w:rsidR="0051383A">
        <w:t>S</w:t>
      </w:r>
      <w:r w:rsidR="008B2773" w:rsidRPr="006B4C21">
        <w:t>ervices also report that t</w:t>
      </w:r>
      <w:r w:rsidRPr="006B4C21">
        <w:t xml:space="preserve">he application form for the scheme is </w:t>
      </w:r>
      <w:r w:rsidR="008B2773" w:rsidRPr="006B4C21">
        <w:t>proving to be</w:t>
      </w:r>
      <w:r w:rsidRPr="006B4C21">
        <w:t xml:space="preserve"> complicated </w:t>
      </w:r>
      <w:r w:rsidR="008B2773" w:rsidRPr="006B4C21">
        <w:t xml:space="preserve">for many applicants </w:t>
      </w:r>
      <w:r w:rsidR="0051383A">
        <w:t xml:space="preserve">and their carers and that this </w:t>
      </w:r>
      <w:r w:rsidRPr="006B4C21">
        <w:t xml:space="preserve">can cause added stress for families already in a </w:t>
      </w:r>
      <w:r w:rsidR="008B2773" w:rsidRPr="006B4C21">
        <w:t>worrying</w:t>
      </w:r>
      <w:r w:rsidRPr="006B4C21">
        <w:t xml:space="preserve"> situation</w:t>
      </w:r>
      <w:r w:rsidR="008B2773" w:rsidRPr="006B4C21">
        <w:t>.</w:t>
      </w:r>
      <w:r w:rsidRPr="006B4C21">
        <w:t xml:space="preserve">  </w:t>
      </w:r>
    </w:p>
    <w:p w:rsidR="007003AB" w:rsidRPr="006B4C21" w:rsidRDefault="008444E4" w:rsidP="001B0126">
      <w:r>
        <w:t xml:space="preserve">Information </w:t>
      </w:r>
      <w:r w:rsidR="007003AB" w:rsidRPr="006B4C21">
        <w:t xml:space="preserve">services </w:t>
      </w:r>
      <w:r w:rsidR="0051383A">
        <w:t xml:space="preserve">have also </w:t>
      </w:r>
      <w:r w:rsidR="007003AB" w:rsidRPr="006B4C21">
        <w:t>highlight</w:t>
      </w:r>
      <w:r w:rsidR="0051383A">
        <w:t>ed</w:t>
      </w:r>
      <w:r w:rsidR="007003AB" w:rsidRPr="006B4C21">
        <w:t xml:space="preserve"> the role that </w:t>
      </w:r>
      <w:r w:rsidR="007003AB" w:rsidRPr="006B4C21">
        <w:rPr>
          <w:b/>
        </w:rPr>
        <w:t>accessible public transport</w:t>
      </w:r>
      <w:r w:rsidR="007003AB" w:rsidRPr="006B4C21">
        <w:t xml:space="preserve"> plays in maintaining social connectedness amongst older people – not just in the form of the Travel Pass but, in particular, the value and benefit that rural transport has in maintaining quality of life </w:t>
      </w:r>
      <w:r w:rsidR="009D5EFF" w:rsidRPr="006B4C21">
        <w:t>and enabling older people</w:t>
      </w:r>
      <w:r w:rsidR="0051383A">
        <w:t>,</w:t>
      </w:r>
      <w:r w:rsidR="009D5EFF" w:rsidRPr="006B4C21">
        <w:t xml:space="preserve"> people with disabilities</w:t>
      </w:r>
      <w:r w:rsidR="0051383A">
        <w:t xml:space="preserve"> and their carers</w:t>
      </w:r>
      <w:r w:rsidR="009D5EFF" w:rsidRPr="006B4C21">
        <w:t xml:space="preserve"> to connect with</w:t>
      </w:r>
      <w:r>
        <w:t>, and access,</w:t>
      </w:r>
      <w:r w:rsidR="009D5EFF" w:rsidRPr="006B4C21">
        <w:t xml:space="preserve"> the services and communities around them.</w:t>
      </w:r>
    </w:p>
    <w:p w:rsidR="00B12EEA" w:rsidRDefault="001B0126" w:rsidP="001B0126">
      <w:r>
        <w:t>Other</w:t>
      </w:r>
      <w:r w:rsidRPr="001B0126">
        <w:t xml:space="preserve"> reports from frontline services </w:t>
      </w:r>
      <w:r w:rsidR="0051383A" w:rsidRPr="001B0126">
        <w:t>point to</w:t>
      </w:r>
      <w:r w:rsidRPr="001B0126">
        <w:t xml:space="preserve"> the </w:t>
      </w:r>
      <w:r w:rsidR="002A4128" w:rsidRPr="006B4C21">
        <w:t xml:space="preserve">key area of </w:t>
      </w:r>
      <w:r w:rsidR="002A4128" w:rsidRPr="001F540C">
        <w:rPr>
          <w:b/>
        </w:rPr>
        <w:t>pensions</w:t>
      </w:r>
      <w:r w:rsidR="002A4128" w:rsidRPr="006B4C21">
        <w:t xml:space="preserve"> </w:t>
      </w:r>
      <w:r w:rsidR="0051383A">
        <w:t>a</w:t>
      </w:r>
      <w:r>
        <w:t>s a specific concern for many older and soon-to-retire people who are seeking information and support. The most significant issue seems to be that of the application of the ‘</w:t>
      </w:r>
      <w:r w:rsidRPr="001F540C">
        <w:rPr>
          <w:b/>
        </w:rPr>
        <w:t>average</w:t>
      </w:r>
      <w:r>
        <w:t>’ rule</w:t>
      </w:r>
      <w:r w:rsidR="001F540C">
        <w:t xml:space="preserve"> in the context of the State Pension (Contributory)</w:t>
      </w:r>
      <w:r>
        <w:t>, where claimants must have a yearly average of 48 weeks of PRSI contributi</w:t>
      </w:r>
      <w:r w:rsidR="001F540C">
        <w:t>o</w:t>
      </w:r>
      <w:r>
        <w:t xml:space="preserve">ns paid since the date of first employment. </w:t>
      </w:r>
      <w:r w:rsidR="001F540C">
        <w:t>This is, by its very nature, serving to discriminate against</w:t>
      </w:r>
      <w:r w:rsidR="00B57008">
        <w:t xml:space="preserve"> people (the majority of whom are women)</w:t>
      </w:r>
      <w:r w:rsidR="001F540C">
        <w:t xml:space="preserve"> who have spent time out of paid work caring in the home, at various intervals during their lives</w:t>
      </w:r>
      <w:r w:rsidR="00D0395F">
        <w:t>, and is putting them at an increased risk of poverty</w:t>
      </w:r>
      <w:r w:rsidR="0051383A">
        <w:t xml:space="preserve"> as they age</w:t>
      </w:r>
      <w:r w:rsidR="001F540C">
        <w:t xml:space="preserve">. Information staff have evidenced many cases where someone working for ten years without a break is awarded a full pension, as compared with a person who has worked over twenty years - but with gaps in employment – and is thus only entitled to a substantially reduced pension. The Homemakers Scheme does not benefit many of these women </w:t>
      </w:r>
      <w:r w:rsidR="00B12EEA">
        <w:t xml:space="preserve">who are currently approaching retirement </w:t>
      </w:r>
      <w:r w:rsidR="001F540C">
        <w:t>as it was not backdated to before 1994</w:t>
      </w:r>
      <w:r w:rsidR="00B12EEA">
        <w:t xml:space="preserve"> when it was introduced</w:t>
      </w:r>
      <w:r w:rsidR="001F540C">
        <w:t xml:space="preserve">. </w:t>
      </w:r>
    </w:p>
    <w:p w:rsidR="009C1536" w:rsidRDefault="009C1536" w:rsidP="001B0126">
      <w:r w:rsidRPr="0040298D">
        <w:t>Some services have also reported on the difficulties caused by the changes to the qualifying criteria for the State pension in 2012 (when</w:t>
      </w:r>
      <w:r w:rsidR="00ED5B0F" w:rsidRPr="0040298D">
        <w:t xml:space="preserve"> new rate bands were introduced which </w:t>
      </w:r>
      <w:r w:rsidR="00EF1FAB">
        <w:t xml:space="preserve">reflected </w:t>
      </w:r>
      <w:r w:rsidR="00ED5B0F" w:rsidRPr="0040298D">
        <w:t>the social insurance history of the applicant</w:t>
      </w:r>
      <w:r w:rsidR="0052188D">
        <w:t xml:space="preserve"> resulting in lower rates for those with fewer average contributions</w:t>
      </w:r>
      <w:r w:rsidR="00ED5B0F" w:rsidRPr="0040298D">
        <w:t>)</w:t>
      </w:r>
      <w:r w:rsidRPr="0040298D">
        <w:t>. MABS services</w:t>
      </w:r>
      <w:r w:rsidR="009734A6" w:rsidRPr="0040298D">
        <w:t xml:space="preserve"> in particular </w:t>
      </w:r>
      <w:r w:rsidRPr="0040298D">
        <w:t xml:space="preserve">have noted </w:t>
      </w:r>
      <w:r w:rsidR="000D6D3A" w:rsidRPr="0040298D">
        <w:t xml:space="preserve">the difficult financial circumstances </w:t>
      </w:r>
      <w:r w:rsidR="00987B5F">
        <w:t xml:space="preserve">of some of their older clients </w:t>
      </w:r>
      <w:r w:rsidR="00ED5B0F" w:rsidRPr="0040298D">
        <w:t xml:space="preserve">with fewer contributions over their lifetime who </w:t>
      </w:r>
      <w:r w:rsidR="00EF1FAB">
        <w:t xml:space="preserve">experienced lower rates of pension than expected </w:t>
      </w:r>
      <w:r w:rsidR="00422F50">
        <w:t xml:space="preserve">with </w:t>
      </w:r>
      <w:r w:rsidR="0040298D">
        <w:t>losses of as much as €30 a week.</w:t>
      </w:r>
      <w:r>
        <w:t xml:space="preserve"> </w:t>
      </w:r>
    </w:p>
    <w:p w:rsidR="00325140" w:rsidRPr="003B309C" w:rsidRDefault="00325140" w:rsidP="00325140">
      <w:pPr>
        <w:pStyle w:val="IntenseQuote"/>
        <w:rPr>
          <w:sz w:val="28"/>
          <w:szCs w:val="28"/>
        </w:rPr>
      </w:pPr>
      <w:r w:rsidRPr="003B309C">
        <w:rPr>
          <w:sz w:val="28"/>
          <w:szCs w:val="28"/>
        </w:rPr>
        <w:t>Recommendations</w:t>
      </w:r>
    </w:p>
    <w:p w:rsidR="00325140" w:rsidRPr="006B4C21" w:rsidRDefault="00325140" w:rsidP="00325140">
      <w:r w:rsidRPr="006B4C21">
        <w:t>Based on the evidence of these difficulties, CIB recommends the following:</w:t>
      </w:r>
    </w:p>
    <w:p w:rsidR="002A4128" w:rsidRPr="00821B00" w:rsidRDefault="002A4128" w:rsidP="00CC235A">
      <w:pPr>
        <w:pStyle w:val="ListParagraph"/>
        <w:numPr>
          <w:ilvl w:val="0"/>
          <w:numId w:val="25"/>
        </w:numPr>
        <w:shd w:val="clear" w:color="auto" w:fill="D6E3BC" w:themeFill="accent3" w:themeFillTint="66"/>
      </w:pPr>
      <w:r w:rsidRPr="00821B00">
        <w:t>Allow for</w:t>
      </w:r>
      <w:r w:rsidR="0075522E">
        <w:t xml:space="preserve"> </w:t>
      </w:r>
      <w:r w:rsidRPr="00821B00">
        <w:t>the continued provision of paper-based applications in tandem with the rollout of online access to public services and benefits</w:t>
      </w:r>
      <w:r w:rsidR="00193F07" w:rsidRPr="00821B00">
        <w:t>;</w:t>
      </w:r>
      <w:r w:rsidRPr="00821B00">
        <w:t xml:space="preserve"> </w:t>
      </w:r>
    </w:p>
    <w:p w:rsidR="002A4128" w:rsidRPr="006B4C21" w:rsidRDefault="002A4128" w:rsidP="00CC235A">
      <w:pPr>
        <w:pStyle w:val="ListParagraph"/>
        <w:numPr>
          <w:ilvl w:val="0"/>
          <w:numId w:val="25"/>
        </w:numPr>
        <w:shd w:val="clear" w:color="auto" w:fill="D6E3BC" w:themeFill="accent3" w:themeFillTint="66"/>
      </w:pPr>
      <w:r w:rsidRPr="006B4C21">
        <w:t>Provide a statutory footing for community and home supports for older people to the same extent as the Nursing Home Support Scheme</w:t>
      </w:r>
      <w:r w:rsidR="00AD010D" w:rsidRPr="006B4C21">
        <w:t>;</w:t>
      </w:r>
    </w:p>
    <w:p w:rsidR="00193F07" w:rsidRPr="006B4C21" w:rsidRDefault="00193F07" w:rsidP="00CC235A">
      <w:pPr>
        <w:pStyle w:val="ListParagraph"/>
        <w:numPr>
          <w:ilvl w:val="0"/>
          <w:numId w:val="25"/>
        </w:numPr>
        <w:shd w:val="clear" w:color="auto" w:fill="D6E3BC" w:themeFill="accent3" w:themeFillTint="66"/>
      </w:pPr>
      <w:r w:rsidRPr="006B4C21">
        <w:t>Remove the cap on funding for the Nursing Home Support Scheme, and progress the recommendations of the Review of the Nursing Homes Support Scheme with particular reference to the work of the Interdepartmental/Agency Working Group on the NHSS on administrative reforms and pricing arrangements;</w:t>
      </w:r>
    </w:p>
    <w:p w:rsidR="00422F50" w:rsidRDefault="002A4128" w:rsidP="00422F50">
      <w:pPr>
        <w:pStyle w:val="ListParagraph"/>
        <w:numPr>
          <w:ilvl w:val="0"/>
          <w:numId w:val="25"/>
        </w:numPr>
        <w:shd w:val="clear" w:color="auto" w:fill="D6E3BC" w:themeFill="accent3" w:themeFillTint="66"/>
      </w:pPr>
      <w:r w:rsidRPr="006B4C21">
        <w:t>Provide increased resources to local authorities to fund the Housing Adaptation Grants for Older People</w:t>
      </w:r>
      <w:r w:rsidR="00AD010D" w:rsidRPr="006B4C21">
        <w:t xml:space="preserve"> and the Mobility Aids Grant Scheme</w:t>
      </w:r>
      <w:r w:rsidR="00630E1F">
        <w:t xml:space="preserve"> and to enable a more streamlined application process</w:t>
      </w:r>
      <w:r w:rsidRPr="006B4C21">
        <w:t>;</w:t>
      </w:r>
    </w:p>
    <w:p w:rsidR="00422F50" w:rsidRPr="00422F50" w:rsidRDefault="00CF7C6A" w:rsidP="00422F50">
      <w:pPr>
        <w:pStyle w:val="ListParagraph"/>
        <w:numPr>
          <w:ilvl w:val="0"/>
          <w:numId w:val="25"/>
        </w:numPr>
        <w:shd w:val="clear" w:color="auto" w:fill="D6E3BC" w:themeFill="accent3" w:themeFillTint="66"/>
      </w:pPr>
      <w:r>
        <w:t xml:space="preserve">In planning the introduction of the Total Contributions Approach to the State Pension, </w:t>
      </w:r>
      <w:r w:rsidR="008C2180">
        <w:t xml:space="preserve">consider converting </w:t>
      </w:r>
      <w:r>
        <w:t>the Homemakers Scheme to a Homemakers Credit</w:t>
      </w:r>
      <w:r w:rsidR="00B05863">
        <w:t xml:space="preserve"> and back-dating it to a period before 1994 in order to benefit </w:t>
      </w:r>
      <w:r w:rsidR="008C2180">
        <w:t xml:space="preserve">those </w:t>
      </w:r>
      <w:r w:rsidR="00B05863">
        <w:t>who are cu</w:t>
      </w:r>
      <w:r w:rsidR="00D200A7">
        <w:t>rrently reaching retirement age;</w:t>
      </w:r>
      <w:r w:rsidR="00422F50" w:rsidRPr="00422F50">
        <w:t xml:space="preserve"> </w:t>
      </w:r>
    </w:p>
    <w:p w:rsidR="00422F50" w:rsidRPr="00F87338" w:rsidRDefault="00422F50" w:rsidP="00422F50">
      <w:pPr>
        <w:pStyle w:val="ListParagraph"/>
        <w:numPr>
          <w:ilvl w:val="0"/>
          <w:numId w:val="23"/>
        </w:numPr>
        <w:shd w:val="clear" w:color="auto" w:fill="D6E3BC" w:themeFill="accent3" w:themeFillTint="66"/>
      </w:pPr>
      <w:r>
        <w:t xml:space="preserve"> </w:t>
      </w:r>
      <w:r w:rsidR="00987B5F">
        <w:t xml:space="preserve">Review pension rates including </w:t>
      </w:r>
      <w:r>
        <w:t>the rates bands</w:t>
      </w:r>
      <w:r w:rsidR="00D200A7">
        <w:t>.</w:t>
      </w:r>
    </w:p>
    <w:p w:rsidR="009734A6" w:rsidRPr="00422F50" w:rsidRDefault="00422F50" w:rsidP="00422F50">
      <w:pPr>
        <w:shd w:val="clear" w:color="auto" w:fill="D6E3BC" w:themeFill="accent3" w:themeFillTint="66"/>
        <w:ind w:left="360"/>
        <w:rPr>
          <w:sz w:val="32"/>
          <w:szCs w:val="32"/>
        </w:rPr>
      </w:pPr>
      <w:r>
        <w:t xml:space="preserve">                                                             </w:t>
      </w:r>
    </w:p>
    <w:p w:rsidR="00BA7A0F" w:rsidRPr="003B309C" w:rsidRDefault="00BA7A0F" w:rsidP="00BA7A0F">
      <w:pPr>
        <w:pStyle w:val="IntenseQuote"/>
        <w:rPr>
          <w:sz w:val="32"/>
          <w:szCs w:val="32"/>
        </w:rPr>
      </w:pPr>
      <w:r w:rsidRPr="003B309C">
        <w:rPr>
          <w:sz w:val="32"/>
          <w:szCs w:val="32"/>
        </w:rPr>
        <w:t>Housing</w:t>
      </w:r>
    </w:p>
    <w:p w:rsidR="00BA7A0F" w:rsidRPr="003B309C" w:rsidRDefault="00BA7A0F" w:rsidP="00BA7A0F">
      <w:pPr>
        <w:rPr>
          <w:rStyle w:val="IntenseEmphasis"/>
          <w:sz w:val="28"/>
          <w:szCs w:val="28"/>
        </w:rPr>
      </w:pPr>
      <w:r w:rsidRPr="003B309C">
        <w:rPr>
          <w:rStyle w:val="IntenseEmphasis"/>
          <w:sz w:val="28"/>
          <w:szCs w:val="28"/>
        </w:rPr>
        <w:t>Priority Areas</w:t>
      </w:r>
    </w:p>
    <w:p w:rsidR="00BA7A0F" w:rsidRPr="00731A15" w:rsidRDefault="00A279C2" w:rsidP="00BA7A0F">
      <w:pPr>
        <w:pStyle w:val="IntenseQuote"/>
      </w:pPr>
      <w:r w:rsidRPr="00731A15">
        <w:t xml:space="preserve">Enable the creation of a functioning housing market through the provision of affordable, quality, accessible accommodation via government investment in social housing, </w:t>
      </w:r>
      <w:r w:rsidR="00B05B72">
        <w:t>with the long term aim of red</w:t>
      </w:r>
      <w:r w:rsidRPr="00731A15">
        <w:t xml:space="preserve">ucing </w:t>
      </w:r>
      <w:r w:rsidR="001C4C6C">
        <w:t xml:space="preserve">the </w:t>
      </w:r>
      <w:r w:rsidR="0075522E">
        <w:t xml:space="preserve">increasing </w:t>
      </w:r>
      <w:r w:rsidRPr="00731A15">
        <w:t>dependence on the private rented market;</w:t>
      </w:r>
    </w:p>
    <w:p w:rsidR="00A279C2" w:rsidRPr="00731A15" w:rsidRDefault="00A279C2" w:rsidP="00A279C2">
      <w:pPr>
        <w:pStyle w:val="IntenseQuote"/>
      </w:pPr>
      <w:r w:rsidRPr="00731A15">
        <w:t xml:space="preserve">Develop a new model for affordable rental within the social housing sector which provides for alternatives between the full state provision of social housing and the private rented or ownership model. </w:t>
      </w:r>
    </w:p>
    <w:p w:rsidR="00BA7A0F" w:rsidRPr="00731A15" w:rsidRDefault="00A279C2" w:rsidP="00A279C2">
      <w:pPr>
        <w:pStyle w:val="IntenseQuote"/>
      </w:pPr>
      <w:r w:rsidRPr="00731A15">
        <w:t xml:space="preserve">Provide for enhanced regulation of the private rented market which can </w:t>
      </w:r>
      <w:r w:rsidR="0075522E">
        <w:t xml:space="preserve">mitigate </w:t>
      </w:r>
      <w:r w:rsidRPr="00731A15">
        <w:t>market shocks and the</w:t>
      </w:r>
      <w:r w:rsidR="00B05B72">
        <w:t xml:space="preserve"> </w:t>
      </w:r>
      <w:r w:rsidR="0045285E">
        <w:t xml:space="preserve">knock-on </w:t>
      </w:r>
      <w:r w:rsidR="00B05B72">
        <w:t>e</w:t>
      </w:r>
      <w:r w:rsidR="00B05B72" w:rsidRPr="00731A15">
        <w:t>ffects</w:t>
      </w:r>
      <w:r w:rsidRPr="00731A15">
        <w:t xml:space="preserve"> on tenants</w:t>
      </w:r>
      <w:r w:rsidR="0045285E">
        <w:t xml:space="preserve"> on low incomes</w:t>
      </w:r>
      <w:r w:rsidRPr="00731A15">
        <w:t>.</w:t>
      </w:r>
    </w:p>
    <w:p w:rsidR="00BA7A0F" w:rsidRPr="003B309C" w:rsidRDefault="00BA7A0F" w:rsidP="00BA7A0F">
      <w:pPr>
        <w:rPr>
          <w:rStyle w:val="IntenseEmphasis"/>
          <w:sz w:val="28"/>
          <w:szCs w:val="28"/>
        </w:rPr>
      </w:pPr>
      <w:r w:rsidRPr="003B309C">
        <w:rPr>
          <w:rStyle w:val="IntenseEmphasis"/>
          <w:sz w:val="28"/>
          <w:szCs w:val="28"/>
        </w:rPr>
        <w:t>Issues</w:t>
      </w:r>
    </w:p>
    <w:p w:rsidR="001C4C6C" w:rsidRDefault="00A279C2" w:rsidP="00931AC5">
      <w:pPr>
        <w:ind w:left="360"/>
        <w:contextualSpacing/>
      </w:pPr>
      <w:r w:rsidRPr="0045285E">
        <w:t xml:space="preserve">During 2015, frontline staff in CISs dealt with 66,000 queries related to general housing issues and a further 25,000 queries specifically concerning Rent Supplement. When combined with the 8,000 calls made to CIPS, </w:t>
      </w:r>
      <w:r w:rsidR="001C4C6C">
        <w:t xml:space="preserve">almost </w:t>
      </w:r>
      <w:r w:rsidRPr="0045285E">
        <w:t xml:space="preserve">100,000 queries were handled by information services in relation to </w:t>
      </w:r>
    </w:p>
    <w:p w:rsidR="001C4C6C" w:rsidRDefault="001C4C6C" w:rsidP="00931AC5">
      <w:pPr>
        <w:ind w:left="360"/>
        <w:contextualSpacing/>
      </w:pPr>
    </w:p>
    <w:p w:rsidR="0045285E" w:rsidRPr="0045285E" w:rsidRDefault="00A279C2" w:rsidP="00931AC5">
      <w:pPr>
        <w:ind w:left="360"/>
        <w:contextualSpacing/>
      </w:pPr>
      <w:r w:rsidRPr="0045285E">
        <w:t xml:space="preserve">The difficulties caused by </w:t>
      </w:r>
      <w:r w:rsidR="00A46256">
        <w:t xml:space="preserve">the </w:t>
      </w:r>
      <w:r w:rsidR="0075522E">
        <w:t>State's dependence</w:t>
      </w:r>
      <w:r w:rsidRPr="0045285E">
        <w:t xml:space="preserve"> on the private rented market to deal with long term social housing needs has come into sharp focus in recent years due to the limitations on housing supply.  </w:t>
      </w:r>
      <w:r w:rsidR="00A46256">
        <w:t xml:space="preserve">CIB welcomes the </w:t>
      </w:r>
      <w:r w:rsidR="00EB3143">
        <w:t xml:space="preserve">five pillars of action set out in </w:t>
      </w:r>
      <w:r w:rsidR="00EB3143" w:rsidRPr="00EB3143">
        <w:rPr>
          <w:i/>
        </w:rPr>
        <w:t>Rebuilding Ireland</w:t>
      </w:r>
      <w:r w:rsidR="00EB3143">
        <w:t xml:space="preserve">: the Government’s Action Plan for Housing and Homelessness. </w:t>
      </w:r>
      <w:r w:rsidRPr="0045285E">
        <w:t xml:space="preserve">Staff working within information services across the country deal with hundreds of people on a weekly basis who are seeking information, advice and support on a broad range of housing issues - the most common of which are focussed on tenants renting accommodation privately, individuals and families seeking to access local authority social housing waiting lists, and people who are either at real risk, or currently experiencing, homelessness. </w:t>
      </w:r>
      <w:r w:rsidRPr="0045285E">
        <w:br/>
      </w:r>
      <w:r w:rsidRPr="0045285E">
        <w:br/>
        <w:t xml:space="preserve">For those who are living in accommodation within the private rented market, the key issue that has been reported by information services is that of accessing or maintaining secure housing within the context of rising market rents and limited supply. Throughout 2015, the predominant factor relating specifically to </w:t>
      </w:r>
      <w:r w:rsidRPr="0045285E">
        <w:rPr>
          <w:b/>
        </w:rPr>
        <w:t>Rent Supplement tenants</w:t>
      </w:r>
      <w:r w:rsidRPr="0045285E">
        <w:t xml:space="preserve"> has been the inadequacy of Rent Supplement limits and the availability of suitable private rented accommodation within these limits. Services have also been reporting many cases where tenants are being put in a position of having to provide rent top-ups to their landlord</w:t>
      </w:r>
      <w:r w:rsidR="00731A15" w:rsidRPr="0045285E">
        <w:t xml:space="preserve"> in order to secure or maintain a tenancy</w:t>
      </w:r>
      <w:r w:rsidRPr="0045285E">
        <w:t>, and also cases where landlords will not accept Rent Supplement tenants. Such cases were reported by services in the greater Dublin region, but were also reflected in reports from services across the country such as Mayo, Tipperary, Wexford, Louth and Laois. In light of the preponderance of these issues, CIB welcomes the recent decision to allow for an increase in Rent Supplement caps and, prior to that, the series of reforms introduced in late 2015 which sought to deal with rent reviews, notice periods, deposit retention and discrimination of Rent Supplement tenants. This combination of initiatives should go in some way to alleviating the pressures on some Rent Supplement tenants in the short to medium term, but will need to be enhanced by a broad range of medium to long term measures if social housing provision is to be weaned off the current dependence on the market-driven private sector.</w:t>
      </w:r>
      <w:r w:rsidRPr="0045285E">
        <w:br/>
      </w:r>
      <w:r w:rsidRPr="0045285E">
        <w:br/>
        <w:t xml:space="preserve">Beyond the broad policy concerns with the Rent Supplement scheme, services also continue to report on </w:t>
      </w:r>
      <w:r w:rsidR="00C14774">
        <w:t xml:space="preserve">administrative </w:t>
      </w:r>
      <w:r w:rsidRPr="0045285E">
        <w:t xml:space="preserve">issues that Rent Supplement claimants experience in </w:t>
      </w:r>
      <w:r w:rsidR="00C14774">
        <w:t>the processing of their claims</w:t>
      </w:r>
      <w:r w:rsidRPr="0045285E">
        <w:t xml:space="preserve">- </w:t>
      </w:r>
      <w:r w:rsidRPr="00C14774">
        <w:t>in particular, difficult</w:t>
      </w:r>
      <w:r w:rsidR="00731A15" w:rsidRPr="00C14774">
        <w:t xml:space="preserve">ies in making telephone contact, </w:t>
      </w:r>
      <w:r w:rsidRPr="00C14774">
        <w:t>the focus on email communications</w:t>
      </w:r>
      <w:r w:rsidR="00731A15" w:rsidRPr="00C14774">
        <w:t xml:space="preserve"> </w:t>
      </w:r>
      <w:r w:rsidR="0045285E" w:rsidRPr="00C14774">
        <w:t xml:space="preserve">(and delays in responses) </w:t>
      </w:r>
      <w:r w:rsidR="00731A15" w:rsidRPr="00C14774">
        <w:t>and reports of mislaid documents and of delays in both applications and reviews</w:t>
      </w:r>
      <w:r w:rsidRPr="00C14774">
        <w:t>.</w:t>
      </w:r>
      <w:r w:rsidRPr="0045285E">
        <w:t xml:space="preserve"> </w:t>
      </w:r>
    </w:p>
    <w:p w:rsidR="00C3506C" w:rsidRPr="0045285E" w:rsidRDefault="00A279C2" w:rsidP="00931AC5">
      <w:pPr>
        <w:ind w:left="360"/>
        <w:contextualSpacing/>
      </w:pPr>
      <w:r w:rsidRPr="0045285E">
        <w:br/>
        <w:t xml:space="preserve">The </w:t>
      </w:r>
      <w:r w:rsidR="00A46256">
        <w:t xml:space="preserve">roll out </w:t>
      </w:r>
      <w:r w:rsidRPr="0045285E">
        <w:t xml:space="preserve">of the </w:t>
      </w:r>
      <w:r w:rsidRPr="0045285E">
        <w:rPr>
          <w:b/>
        </w:rPr>
        <w:t>Housing Assistance Payment</w:t>
      </w:r>
      <w:r w:rsidRPr="0045285E">
        <w:t xml:space="preserve"> (HAP) is also welcomed by CIB.</w:t>
      </w:r>
      <w:r w:rsidR="00931AC5" w:rsidRPr="0045285E">
        <w:t xml:space="preserve"> The new scheme</w:t>
      </w:r>
      <w:r w:rsidRPr="0045285E">
        <w:t xml:space="preserve"> has brought about some changes for tenants within the private rented market, </w:t>
      </w:r>
      <w:r w:rsidR="00931AC5" w:rsidRPr="0045285E">
        <w:t>and this</w:t>
      </w:r>
      <w:r w:rsidRPr="0045285E">
        <w:t xml:space="preserve"> has been evident in the feedback from information services in the latter part of 2015 and early in 2016</w:t>
      </w:r>
      <w:r w:rsidR="00931AC5" w:rsidRPr="0045285E">
        <w:t>,</w:t>
      </w:r>
      <w:r w:rsidRPr="0045285E">
        <w:t xml:space="preserve"> as the roll</w:t>
      </w:r>
      <w:r w:rsidR="004A7771">
        <w:t>-</w:t>
      </w:r>
      <w:r w:rsidRPr="0045285E">
        <w:t xml:space="preserve"> out of the scheme extends across an increasing number of local authority areas. As the scheme is </w:t>
      </w:r>
      <w:r w:rsidR="00931AC5" w:rsidRPr="0045285E">
        <w:t>gradually expanded, our frontline services</w:t>
      </w:r>
      <w:r w:rsidRPr="0045285E">
        <w:t xml:space="preserve"> continue to be positive</w:t>
      </w:r>
      <w:r w:rsidR="00931AC5" w:rsidRPr="0045285E">
        <w:t>,</w:t>
      </w:r>
      <w:r w:rsidRPr="0045285E">
        <w:t xml:space="preserve"> in particular</w:t>
      </w:r>
      <w:r w:rsidR="00931AC5" w:rsidRPr="0045285E">
        <w:t>,</w:t>
      </w:r>
      <w:r w:rsidRPr="0045285E">
        <w:t xml:space="preserve"> about the abili</w:t>
      </w:r>
      <w:r w:rsidR="007229FD">
        <w:t>ty of claimants to take up full-</w:t>
      </w:r>
      <w:r w:rsidRPr="0045285E">
        <w:t xml:space="preserve">time employment without losing their payment. Given that this had been </w:t>
      </w:r>
      <w:r w:rsidR="00915A09">
        <w:t xml:space="preserve">a </w:t>
      </w:r>
      <w:r w:rsidR="00931AC5" w:rsidRPr="0045285E">
        <w:t>key</w:t>
      </w:r>
      <w:r w:rsidRPr="0045285E">
        <w:t xml:space="preserve"> difficulty that services had been reporting in connection with the Rent Supplement scheme for some time it is likely that</w:t>
      </w:r>
      <w:r w:rsidR="00931AC5" w:rsidRPr="0045285E">
        <w:t xml:space="preserve"> reported</w:t>
      </w:r>
      <w:r w:rsidRPr="0045285E">
        <w:t xml:space="preserve"> incidences of this particular employment disincentive will reduce</w:t>
      </w:r>
      <w:r w:rsidR="00731A15" w:rsidRPr="0045285E">
        <w:t xml:space="preserve"> in the medium to longer term</w:t>
      </w:r>
      <w:r w:rsidRPr="0045285E">
        <w:t>.</w:t>
      </w:r>
      <w:r w:rsidR="00731A15" w:rsidRPr="0045285E">
        <w:t xml:space="preserve"> </w:t>
      </w:r>
    </w:p>
    <w:p w:rsidR="00C3506C" w:rsidRPr="0045285E" w:rsidRDefault="00C3506C" w:rsidP="00931AC5">
      <w:pPr>
        <w:ind w:left="360"/>
        <w:contextualSpacing/>
      </w:pPr>
    </w:p>
    <w:p w:rsidR="00A92B8A" w:rsidRDefault="00931AC5" w:rsidP="00931AC5">
      <w:pPr>
        <w:ind w:left="360"/>
        <w:contextualSpacing/>
      </w:pPr>
      <w:r w:rsidRPr="0045285E">
        <w:t>As the</w:t>
      </w:r>
      <w:r w:rsidR="00A279C2" w:rsidRPr="0045285E">
        <w:t xml:space="preserve"> HA</w:t>
      </w:r>
      <w:r w:rsidRPr="0045285E">
        <w:t xml:space="preserve">P is now active in </w:t>
      </w:r>
      <w:r w:rsidR="00731A15" w:rsidRPr="0045285E">
        <w:t xml:space="preserve">well </w:t>
      </w:r>
      <w:r w:rsidRPr="0045285E">
        <w:t xml:space="preserve">over </w:t>
      </w:r>
      <w:r w:rsidR="00A279C2" w:rsidRPr="0045285E">
        <w:t xml:space="preserve">half of the local authority areas, </w:t>
      </w:r>
      <w:r w:rsidRPr="0045285E">
        <w:t xml:space="preserve">information </w:t>
      </w:r>
      <w:r w:rsidR="00A279C2" w:rsidRPr="0045285E">
        <w:t xml:space="preserve">services have provided us with an indication of the particular difficulties that HAP claimants have been experiencing </w:t>
      </w:r>
      <w:r w:rsidR="00C3506C" w:rsidRPr="0045285E">
        <w:t>at this stage</w:t>
      </w:r>
      <w:r w:rsidR="00A279C2" w:rsidRPr="0045285E">
        <w:t xml:space="preserve"> of the rollout. </w:t>
      </w:r>
      <w:r w:rsidR="00A92B8A" w:rsidRPr="00A92B8A">
        <w:t xml:space="preserve">Whilst the involvement of local authorities in the application and assessment process is welcomed, some services have also noted that HAP claimants are reporting on difficulties in accessing the relevant supports in local authority offices to guide them through the application process. </w:t>
      </w:r>
      <w:r w:rsidR="00A92B8A">
        <w:t xml:space="preserve">Other </w:t>
      </w:r>
      <w:r w:rsidR="001449A3">
        <w:t>concerns</w:t>
      </w:r>
      <w:r w:rsidR="00731A15" w:rsidRPr="0045285E">
        <w:t xml:space="preserve"> that have been highlighted in the cases relating to the HAP scheme are common to those concerning Rent Supplement, but there are also some emerging issues that appear to be caused in the transitioning of tenants from RS to HAP. </w:t>
      </w:r>
      <w:r w:rsidR="00A279C2" w:rsidRPr="0045285E">
        <w:t>These include difficulties for claimants in finding landlords who will sign up to the scheme - with cases being reported where lo</w:t>
      </w:r>
      <w:r w:rsidR="00C3506C" w:rsidRPr="0045285E">
        <w:t>ng-term Rent Supplement tenants (</w:t>
      </w:r>
      <w:r w:rsidR="00A279C2" w:rsidRPr="0045285E">
        <w:t>up</w:t>
      </w:r>
      <w:r w:rsidRPr="0045285E">
        <w:t>on being transferred to the HAP</w:t>
      </w:r>
      <w:r w:rsidR="00C3506C" w:rsidRPr="0045285E">
        <w:t>)</w:t>
      </w:r>
      <w:r w:rsidRPr="0045285E">
        <w:t xml:space="preserve"> </w:t>
      </w:r>
      <w:r w:rsidR="00A279C2" w:rsidRPr="0045285E">
        <w:t>subsequently found that their landlord was not willing to engage with the HAP scheme. There have also been reports of difficulties in finding suitable accommodation within the HAP rental limits</w:t>
      </w:r>
      <w:r w:rsidR="00A92B8A">
        <w:t xml:space="preserve"> - an issue </w:t>
      </w:r>
      <w:r w:rsidR="00A279C2" w:rsidRPr="0045285E">
        <w:t>which should be somewhat alleviated by the recent increase in the rental caps</w:t>
      </w:r>
      <w:r w:rsidR="00A92B8A">
        <w:t>. Services have also reflected clients’</w:t>
      </w:r>
      <w:r w:rsidR="00A279C2" w:rsidRPr="0045285E">
        <w:t xml:space="preserve"> concerns about the standard of </w:t>
      </w:r>
      <w:r w:rsidR="00A92B8A">
        <w:t xml:space="preserve">rental </w:t>
      </w:r>
      <w:r w:rsidR="00A279C2" w:rsidRPr="0045285E">
        <w:t xml:space="preserve">accommodation on offer and the </w:t>
      </w:r>
      <w:r w:rsidRPr="0045285E">
        <w:t xml:space="preserve">ability of </w:t>
      </w:r>
      <w:r w:rsidR="00A279C2" w:rsidRPr="0045285E">
        <w:t>local authorities to monitor standards.</w:t>
      </w:r>
      <w:r w:rsidR="00A92B8A">
        <w:t xml:space="preserve"> In light of this, the commitment in the “Action Plan on Housing and Homelessness”</w:t>
      </w:r>
      <w:r w:rsidR="00C54CBB">
        <w:t xml:space="preserve"> </w:t>
      </w:r>
      <w:r w:rsidR="00A92B8A">
        <w:t xml:space="preserve">to move towards the enforcement of quality standards on a regional basis is welcomed. </w:t>
      </w:r>
    </w:p>
    <w:p w:rsidR="00931AC5" w:rsidRDefault="00A279C2" w:rsidP="00931AC5">
      <w:pPr>
        <w:ind w:left="360"/>
        <w:contextualSpacing/>
      </w:pPr>
      <w:r w:rsidRPr="0045285E">
        <w:br/>
        <w:t>Beyond the myriad of issues related to the private rented market, services have als</w:t>
      </w:r>
      <w:r w:rsidR="00C3506C" w:rsidRPr="0045285E">
        <w:t>o been reporting on part</w:t>
      </w:r>
      <w:r w:rsidR="00B05B72" w:rsidRPr="0045285E">
        <w:t xml:space="preserve">icular concerns for many tenants in relation to </w:t>
      </w:r>
      <w:r w:rsidR="00B05B72" w:rsidRPr="0045285E">
        <w:rPr>
          <w:b/>
        </w:rPr>
        <w:t>Local Authority and Social Housing</w:t>
      </w:r>
      <w:r w:rsidR="00B05B72" w:rsidRPr="0045285E">
        <w:t xml:space="preserve"> – in particular, accessing or transferring between </w:t>
      </w:r>
      <w:r w:rsidR="00C3506C" w:rsidRPr="0045285E">
        <w:t xml:space="preserve">Social Housing Waiting </w:t>
      </w:r>
      <w:r w:rsidRPr="0045285E">
        <w:t>List</w:t>
      </w:r>
      <w:r w:rsidR="00B05B72" w:rsidRPr="0045285E">
        <w:t xml:space="preserve">s, </w:t>
      </w:r>
      <w:r w:rsidR="00DA258B">
        <w:t xml:space="preserve">the length of time that tenants spend on the list, </w:t>
      </w:r>
      <w:r w:rsidR="00B05B72" w:rsidRPr="0045285E">
        <w:t xml:space="preserve">and difficulties caused to Local Authority tenants by the limited funds available for repairs and maintenance. </w:t>
      </w:r>
      <w:r w:rsidR="00C3506C" w:rsidRPr="0045285E">
        <w:t>During</w:t>
      </w:r>
      <w:r w:rsidR="0045285E" w:rsidRPr="0045285E">
        <w:t xml:space="preserve"> the past two years </w:t>
      </w:r>
      <w:r w:rsidR="0045285E">
        <w:t xml:space="preserve">information </w:t>
      </w:r>
      <w:r w:rsidR="0045285E" w:rsidRPr="0045285E">
        <w:t>s</w:t>
      </w:r>
      <w:r w:rsidR="0045285E">
        <w:t xml:space="preserve">taff </w:t>
      </w:r>
      <w:r w:rsidR="00B05B72" w:rsidRPr="0045285E">
        <w:t xml:space="preserve">have also been reporting </w:t>
      </w:r>
      <w:r w:rsidR="00C3506C" w:rsidRPr="0045285E">
        <w:t>a signific</w:t>
      </w:r>
      <w:r w:rsidR="0045285E" w:rsidRPr="0045285E">
        <w:t xml:space="preserve">ant increase in the number of </w:t>
      </w:r>
      <w:r w:rsidR="0045285E" w:rsidRPr="0045285E">
        <w:rPr>
          <w:b/>
        </w:rPr>
        <w:t>ho</w:t>
      </w:r>
      <w:r w:rsidR="00C3506C" w:rsidRPr="0045285E">
        <w:rPr>
          <w:b/>
        </w:rPr>
        <w:t>mel</w:t>
      </w:r>
      <w:r w:rsidR="0045285E" w:rsidRPr="0045285E">
        <w:rPr>
          <w:b/>
        </w:rPr>
        <w:t>ess</w:t>
      </w:r>
      <w:r w:rsidR="0045285E" w:rsidRPr="0045285E">
        <w:t xml:space="preserve"> people using their services, with much of the focus of these reports being on the difficulty in accessing homeless services, the problems caused </w:t>
      </w:r>
      <w:r w:rsidR="00DA258B">
        <w:t xml:space="preserve">for families </w:t>
      </w:r>
      <w:r w:rsidR="0045285E" w:rsidRPr="0045285E">
        <w:t>living in unsuitable emergency accommodation and in overcrowded situations with extended family.</w:t>
      </w:r>
    </w:p>
    <w:p w:rsidR="00CC235A" w:rsidRDefault="00CC235A" w:rsidP="00931AC5">
      <w:pPr>
        <w:ind w:left="360"/>
        <w:contextualSpacing/>
      </w:pPr>
    </w:p>
    <w:p w:rsidR="00CC235A" w:rsidRPr="003B309C" w:rsidRDefault="00CC235A" w:rsidP="00931AC5">
      <w:pPr>
        <w:ind w:left="360"/>
        <w:contextualSpacing/>
        <w:rPr>
          <w:rFonts w:ascii="Calibri" w:eastAsia="Times New Roman" w:hAnsi="Calibri"/>
          <w:sz w:val="28"/>
          <w:szCs w:val="28"/>
        </w:rPr>
      </w:pPr>
    </w:p>
    <w:p w:rsidR="004A7771" w:rsidRDefault="004A7771" w:rsidP="00BA7A0F">
      <w:pPr>
        <w:pStyle w:val="IntenseQuote"/>
        <w:rPr>
          <w:sz w:val="28"/>
          <w:szCs w:val="28"/>
        </w:rPr>
      </w:pPr>
    </w:p>
    <w:p w:rsidR="00BA7A0F" w:rsidRPr="003B309C" w:rsidRDefault="00BA7A0F" w:rsidP="00BA7A0F">
      <w:pPr>
        <w:pStyle w:val="IntenseQuote"/>
        <w:rPr>
          <w:sz w:val="28"/>
          <w:szCs w:val="28"/>
        </w:rPr>
      </w:pPr>
      <w:r w:rsidRPr="003B309C">
        <w:rPr>
          <w:sz w:val="28"/>
          <w:szCs w:val="28"/>
        </w:rPr>
        <w:t>Recommendations</w:t>
      </w:r>
    </w:p>
    <w:p w:rsidR="00BA7A0F" w:rsidRDefault="00915A09" w:rsidP="00B05B72">
      <w:r>
        <w:t xml:space="preserve">Drawing </w:t>
      </w:r>
      <w:r w:rsidR="00BA7A0F" w:rsidRPr="00B05B72">
        <w:t>on the evidence of these difficulties, CIB recommends the following</w:t>
      </w:r>
      <w:r w:rsidR="005652B6">
        <w:t xml:space="preserve"> (based on the assumption</w:t>
      </w:r>
      <w:r w:rsidR="00630E1F">
        <w:t xml:space="preserve"> - as laid out in “Rebuilding Ireland: Action Plan for Housing and Homelessness”</w:t>
      </w:r>
      <w:r w:rsidR="005652B6">
        <w:t xml:space="preserve"> </w:t>
      </w:r>
      <w:r w:rsidR="00A66C52">
        <w:t xml:space="preserve">- </w:t>
      </w:r>
      <w:r w:rsidR="0075522E">
        <w:t>that the S</w:t>
      </w:r>
      <w:r w:rsidR="005652B6">
        <w:t>tate will significantly increase its capital investment in the pr</w:t>
      </w:r>
      <w:r w:rsidR="00A66C52">
        <w:t>ovision of social housing units</w:t>
      </w:r>
      <w:r w:rsidR="005652B6">
        <w:t>):-</w:t>
      </w:r>
    </w:p>
    <w:p w:rsidR="003E262C" w:rsidRDefault="003E262C" w:rsidP="00304214">
      <w:pPr>
        <w:pStyle w:val="ListParagraph"/>
        <w:numPr>
          <w:ilvl w:val="0"/>
          <w:numId w:val="27"/>
        </w:numPr>
        <w:shd w:val="clear" w:color="auto" w:fill="D6E3BC" w:themeFill="accent3" w:themeFillTint="66"/>
      </w:pPr>
      <w:r>
        <w:t>Expedite the roll-out of the Housing Assistance Payment across all Local Authority areas</w:t>
      </w:r>
      <w:r w:rsidR="000578A6">
        <w:t>, with a particular focus on the Dublin region, as committed to in the “Action Plan for Housing and Homelessness”</w:t>
      </w:r>
      <w:r>
        <w:t>;</w:t>
      </w:r>
    </w:p>
    <w:p w:rsidR="00DA258B" w:rsidRDefault="00DA258B" w:rsidP="00304214">
      <w:pPr>
        <w:pStyle w:val="ListParagraph"/>
        <w:numPr>
          <w:ilvl w:val="0"/>
          <w:numId w:val="27"/>
        </w:numPr>
        <w:shd w:val="clear" w:color="auto" w:fill="D6E3BC" w:themeFill="accent3" w:themeFillTint="66"/>
      </w:pPr>
      <w:r>
        <w:t>Provide additional resources for the administration of the HAP scheme within local authorities</w:t>
      </w:r>
      <w:r w:rsidR="00CF477F">
        <w:t>, to ensure that adequate levels of support be given to applicants – particularly those with la</w:t>
      </w:r>
      <w:r w:rsidR="007229FD">
        <w:t>nguage or literacy difficulties</w:t>
      </w:r>
      <w:r>
        <w:t>;</w:t>
      </w:r>
    </w:p>
    <w:p w:rsidR="00DA258B" w:rsidRDefault="00DA258B" w:rsidP="00304214">
      <w:pPr>
        <w:pStyle w:val="ListParagraph"/>
        <w:numPr>
          <w:ilvl w:val="0"/>
          <w:numId w:val="27"/>
        </w:numPr>
        <w:shd w:val="clear" w:color="auto" w:fill="D6E3BC" w:themeFill="accent3" w:themeFillTint="66"/>
      </w:pPr>
      <w:r>
        <w:t>Introduce</w:t>
      </w:r>
      <w:r w:rsidR="00CF477F">
        <w:t xml:space="preserve"> further</w:t>
      </w:r>
      <w:r>
        <w:t xml:space="preserve"> rent </w:t>
      </w:r>
      <w:r w:rsidR="00CF477F">
        <w:t>regulation</w:t>
      </w:r>
      <w:r>
        <w:t xml:space="preserve"> measures </w:t>
      </w:r>
      <w:r w:rsidR="00FC0E3A">
        <w:t xml:space="preserve">(such as linking rents to the Consumer Price Index) </w:t>
      </w:r>
      <w:r>
        <w:t>in conjunction with the recently introduced RS/HAP rental limits, in order to deter rent inflation;</w:t>
      </w:r>
    </w:p>
    <w:p w:rsidR="005652B6" w:rsidRDefault="005652B6" w:rsidP="00304214">
      <w:pPr>
        <w:pStyle w:val="ListParagraph"/>
        <w:numPr>
          <w:ilvl w:val="0"/>
          <w:numId w:val="27"/>
        </w:numPr>
        <w:shd w:val="clear" w:color="auto" w:fill="D6E3BC" w:themeFill="accent3" w:themeFillTint="66"/>
      </w:pPr>
      <w:r>
        <w:t>Further incentivise landlords to let their properties through schemes such as RS and HAP;</w:t>
      </w:r>
    </w:p>
    <w:p w:rsidR="00D746A3" w:rsidRDefault="00DD6CDF" w:rsidP="00304214">
      <w:pPr>
        <w:pStyle w:val="ListParagraph"/>
        <w:numPr>
          <w:ilvl w:val="0"/>
          <w:numId w:val="27"/>
        </w:numPr>
        <w:shd w:val="clear" w:color="auto" w:fill="D6E3BC" w:themeFill="accent3" w:themeFillTint="66"/>
      </w:pPr>
      <w:r>
        <w:t>Allocate adequate resources for the provision of minimum standards in local authority housing, in order to ensure the quality of standards in accommodation for tenants wh</w:t>
      </w:r>
      <w:r w:rsidR="00D746A3">
        <w:t>o are reliant on social housing</w:t>
      </w:r>
      <w:r w:rsidR="00A66C52">
        <w:t>.</w:t>
      </w:r>
    </w:p>
    <w:p w:rsidR="00D746A3" w:rsidRDefault="00D746A3" w:rsidP="00D746A3"/>
    <w:p w:rsidR="00D746A3" w:rsidRPr="00CC235A" w:rsidRDefault="00303391" w:rsidP="00CC235A">
      <w:pPr>
        <w:keepNext/>
        <w:keepLines/>
        <w:spacing w:before="200" w:after="0"/>
        <w:outlineLvl w:val="1"/>
        <w:rPr>
          <w:rFonts w:asciiTheme="majorHAnsi" w:eastAsiaTheme="majorEastAsia" w:hAnsiTheme="majorHAnsi" w:cstheme="majorBidi"/>
          <w:b/>
          <w:bCs/>
          <w:color w:val="4F81BD" w:themeColor="accent1"/>
          <w:sz w:val="36"/>
          <w:szCs w:val="36"/>
        </w:rPr>
      </w:pPr>
      <w:r w:rsidRPr="00647884">
        <w:rPr>
          <w:rFonts w:asciiTheme="majorHAnsi" w:eastAsiaTheme="majorEastAsia" w:hAnsiTheme="majorHAnsi" w:cstheme="majorBidi"/>
          <w:b/>
          <w:bCs/>
          <w:color w:val="4F81BD" w:themeColor="accent1"/>
          <w:sz w:val="36"/>
          <w:szCs w:val="36"/>
        </w:rPr>
        <w:t xml:space="preserve">Section </w:t>
      </w:r>
      <w:r>
        <w:rPr>
          <w:rFonts w:asciiTheme="majorHAnsi" w:eastAsiaTheme="majorEastAsia" w:hAnsiTheme="majorHAnsi" w:cstheme="majorBidi"/>
          <w:b/>
          <w:bCs/>
          <w:color w:val="4F81BD" w:themeColor="accent1"/>
          <w:sz w:val="36"/>
          <w:szCs w:val="36"/>
        </w:rPr>
        <w:t>Two</w:t>
      </w:r>
      <w:r w:rsidRPr="00647884">
        <w:rPr>
          <w:rFonts w:asciiTheme="majorHAnsi" w:eastAsiaTheme="majorEastAsia" w:hAnsiTheme="majorHAnsi" w:cstheme="majorBidi"/>
          <w:b/>
          <w:bCs/>
          <w:color w:val="4F81BD" w:themeColor="accent1"/>
          <w:sz w:val="36"/>
          <w:szCs w:val="36"/>
        </w:rPr>
        <w:t xml:space="preserve">: </w:t>
      </w:r>
      <w:r w:rsidR="00ED5B0F">
        <w:rPr>
          <w:rFonts w:asciiTheme="majorHAnsi" w:eastAsiaTheme="majorEastAsia" w:hAnsiTheme="majorHAnsi" w:cstheme="majorBidi"/>
          <w:b/>
          <w:bCs/>
          <w:color w:val="4F81BD" w:themeColor="accent1"/>
          <w:sz w:val="36"/>
          <w:szCs w:val="36"/>
        </w:rPr>
        <w:t xml:space="preserve"> Money advice and debt issues</w:t>
      </w:r>
    </w:p>
    <w:p w:rsidR="00ED5B0F" w:rsidRDefault="00EA6FFA" w:rsidP="005866E1">
      <w:pPr>
        <w:pStyle w:val="IntenseQuote"/>
        <w:rPr>
          <w:b w:val="0"/>
          <w:i w:val="0"/>
          <w:color w:val="auto"/>
        </w:rPr>
      </w:pPr>
      <w:r w:rsidRPr="006E728F">
        <w:rPr>
          <w:b w:val="0"/>
          <w:i w:val="0"/>
          <w:color w:val="auto"/>
        </w:rPr>
        <w:t xml:space="preserve">The following issues reflect the money </w:t>
      </w:r>
      <w:r w:rsidR="00CC33D5">
        <w:rPr>
          <w:b w:val="0"/>
          <w:i w:val="0"/>
          <w:color w:val="auto"/>
        </w:rPr>
        <w:t>advise</w:t>
      </w:r>
      <w:r w:rsidRPr="006E728F">
        <w:rPr>
          <w:b w:val="0"/>
          <w:i w:val="0"/>
          <w:color w:val="auto"/>
        </w:rPr>
        <w:t xml:space="preserve">r experience </w:t>
      </w:r>
      <w:r w:rsidR="006E728F" w:rsidRPr="006E728F">
        <w:rPr>
          <w:b w:val="0"/>
          <w:i w:val="0"/>
          <w:color w:val="auto"/>
        </w:rPr>
        <w:t xml:space="preserve">and </w:t>
      </w:r>
      <w:r w:rsidR="00627348">
        <w:rPr>
          <w:b w:val="0"/>
          <w:i w:val="0"/>
          <w:color w:val="auto"/>
        </w:rPr>
        <w:t xml:space="preserve">that of </w:t>
      </w:r>
      <w:r w:rsidRPr="006E728F">
        <w:rPr>
          <w:b w:val="0"/>
          <w:i w:val="0"/>
          <w:color w:val="auto"/>
        </w:rPr>
        <w:t>the new d</w:t>
      </w:r>
      <w:r w:rsidR="007229FD">
        <w:rPr>
          <w:b w:val="0"/>
          <w:i w:val="0"/>
          <w:color w:val="auto"/>
        </w:rPr>
        <w:t>edicated mortgage arrears advise</w:t>
      </w:r>
      <w:r w:rsidRPr="006E728F">
        <w:rPr>
          <w:b w:val="0"/>
          <w:i w:val="0"/>
          <w:color w:val="auto"/>
        </w:rPr>
        <w:t xml:space="preserve">rs </w:t>
      </w:r>
      <w:r w:rsidR="00CC33D5">
        <w:rPr>
          <w:b w:val="0"/>
          <w:i w:val="0"/>
          <w:color w:val="auto"/>
        </w:rPr>
        <w:t xml:space="preserve">and </w:t>
      </w:r>
      <w:r w:rsidRPr="006E728F">
        <w:rPr>
          <w:b w:val="0"/>
          <w:i w:val="0"/>
          <w:color w:val="auto"/>
        </w:rPr>
        <w:t>approved intermediaries</w:t>
      </w:r>
      <w:r w:rsidR="001317B3" w:rsidRPr="006E728F">
        <w:rPr>
          <w:b w:val="0"/>
          <w:i w:val="0"/>
          <w:color w:val="auto"/>
        </w:rPr>
        <w:t xml:space="preserve"> for insolvency provisions</w:t>
      </w:r>
      <w:r w:rsidRPr="006E728F">
        <w:rPr>
          <w:b w:val="0"/>
          <w:i w:val="0"/>
          <w:color w:val="auto"/>
        </w:rPr>
        <w:t xml:space="preserve"> within the MABS </w:t>
      </w:r>
      <w:r w:rsidR="00ED5B0F">
        <w:rPr>
          <w:b w:val="0"/>
          <w:i w:val="0"/>
          <w:color w:val="auto"/>
        </w:rPr>
        <w:t>service.</w:t>
      </w:r>
    </w:p>
    <w:p w:rsidR="005866E1" w:rsidRPr="006E728F" w:rsidRDefault="005866E1" w:rsidP="005866E1">
      <w:pPr>
        <w:pStyle w:val="IntenseQuote"/>
        <w:rPr>
          <w:b w:val="0"/>
          <w:i w:val="0"/>
          <w:color w:val="auto"/>
        </w:rPr>
      </w:pPr>
    </w:p>
    <w:p w:rsidR="001E35B6" w:rsidRPr="001E35B6" w:rsidRDefault="001E35B6" w:rsidP="001E35B6">
      <w:pPr>
        <w:rPr>
          <w:b/>
          <w:bCs/>
          <w:i/>
          <w:iCs/>
          <w:color w:val="4F81BD" w:themeColor="accent1"/>
          <w:sz w:val="28"/>
          <w:szCs w:val="28"/>
        </w:rPr>
      </w:pPr>
      <w:r w:rsidRPr="003B309C">
        <w:rPr>
          <w:rStyle w:val="IntenseEmphasis"/>
          <w:sz w:val="28"/>
          <w:szCs w:val="28"/>
        </w:rPr>
        <w:t>Priority Areas</w:t>
      </w:r>
    </w:p>
    <w:p w:rsidR="005866E1" w:rsidRDefault="005866E1" w:rsidP="001E35B6">
      <w:pPr>
        <w:pStyle w:val="IntenseQuote"/>
      </w:pPr>
      <w:r>
        <w:t>Insolvency Solutions – adjustments in the operation of the suite of available statutory solutions to debt, to make such solutions ac</w:t>
      </w:r>
      <w:r w:rsidR="007229FD">
        <w:t>cessible to those on low income;</w:t>
      </w:r>
    </w:p>
    <w:p w:rsidR="005866E1" w:rsidRDefault="005866E1" w:rsidP="001E35B6">
      <w:pPr>
        <w:pStyle w:val="IntenseQuote"/>
      </w:pPr>
      <w:r>
        <w:t>Mortgage Debt –</w:t>
      </w:r>
      <w:r w:rsidR="00D17E00">
        <w:t xml:space="preserve"> whilst </w:t>
      </w:r>
      <w:r>
        <w:t>recent initiatives in relat</w:t>
      </w:r>
      <w:r w:rsidR="00D17E00">
        <w:t>ion to chronic mortgage arrears are welcomed f</w:t>
      </w:r>
      <w:r>
        <w:t xml:space="preserve">urther work </w:t>
      </w:r>
      <w:r w:rsidR="00D17E00">
        <w:t xml:space="preserve">is </w:t>
      </w:r>
      <w:r>
        <w:t>required</w:t>
      </w:r>
      <w:r w:rsidR="007229FD">
        <w:t>;</w:t>
      </w:r>
    </w:p>
    <w:p w:rsidR="005866E1" w:rsidRDefault="005866E1" w:rsidP="001E35B6">
      <w:pPr>
        <w:pStyle w:val="IntenseQuote"/>
      </w:pPr>
      <w:r>
        <w:t>Financial Inclusion – access to banking services</w:t>
      </w:r>
      <w:r w:rsidR="007229FD">
        <w:t>;</w:t>
      </w:r>
    </w:p>
    <w:p w:rsidR="005866E1" w:rsidRDefault="005866E1" w:rsidP="001E35B6">
      <w:pPr>
        <w:pStyle w:val="IntenseQuote"/>
      </w:pPr>
      <w:r>
        <w:t>Bill Payment – appropriate payment facilities and supports in money management for those with extreme vulnerability</w:t>
      </w:r>
      <w:r w:rsidR="007229FD">
        <w:t>;</w:t>
      </w:r>
    </w:p>
    <w:p w:rsidR="005866E1" w:rsidRDefault="005866E1" w:rsidP="001E35B6">
      <w:pPr>
        <w:pStyle w:val="IntenseQuote"/>
      </w:pPr>
      <w:r>
        <w:t>Rural Isolation – affordable transport and income adequacy</w:t>
      </w:r>
      <w:r w:rsidR="007229FD">
        <w:t>.</w:t>
      </w:r>
    </w:p>
    <w:p w:rsidR="00582895" w:rsidRDefault="00582895" w:rsidP="003B309C">
      <w:pPr>
        <w:pStyle w:val="ListParagraph"/>
        <w:rPr>
          <w:rStyle w:val="IntenseEmphasis"/>
          <w:sz w:val="28"/>
          <w:szCs w:val="28"/>
        </w:rPr>
      </w:pPr>
    </w:p>
    <w:p w:rsidR="00805612" w:rsidRPr="003B309C" w:rsidRDefault="005866E1" w:rsidP="003B309C">
      <w:pPr>
        <w:pStyle w:val="ListParagraph"/>
        <w:rPr>
          <w:b/>
          <w:bCs/>
          <w:i/>
          <w:iCs/>
          <w:color w:val="4F81BD" w:themeColor="accent1"/>
          <w:sz w:val="28"/>
          <w:szCs w:val="28"/>
        </w:rPr>
      </w:pPr>
      <w:r w:rsidRPr="003B309C">
        <w:rPr>
          <w:rStyle w:val="IntenseEmphasis"/>
          <w:sz w:val="28"/>
          <w:szCs w:val="28"/>
        </w:rPr>
        <w:t>In</w:t>
      </w:r>
      <w:r w:rsidR="00805612" w:rsidRPr="003B309C">
        <w:rPr>
          <w:rStyle w:val="IntenseEmphasis"/>
          <w:sz w:val="28"/>
          <w:szCs w:val="28"/>
        </w:rPr>
        <w:t>solvency and Debt Solution</w:t>
      </w:r>
      <w:r w:rsidR="00625397" w:rsidRPr="003B309C">
        <w:rPr>
          <w:rStyle w:val="IntenseEmphasis"/>
          <w:sz w:val="28"/>
          <w:szCs w:val="28"/>
        </w:rPr>
        <w:t>s</w:t>
      </w:r>
      <w:r w:rsidR="00805612" w:rsidRPr="003B309C">
        <w:rPr>
          <w:rStyle w:val="IntenseEmphasis"/>
          <w:sz w:val="28"/>
          <w:szCs w:val="28"/>
        </w:rPr>
        <w:t xml:space="preserve"> – Access for those on low income</w:t>
      </w:r>
      <w:r w:rsidR="00805612" w:rsidRPr="003B309C">
        <w:rPr>
          <w:sz w:val="28"/>
          <w:szCs w:val="28"/>
        </w:rPr>
        <w:t xml:space="preserve"> </w:t>
      </w:r>
    </w:p>
    <w:p w:rsidR="00805612" w:rsidRDefault="00805612" w:rsidP="00805612">
      <w:r>
        <w:t>The range of insolvency options available under legislation provides distressed borrowers with an opportunity to properly reach arrangements on over-indebtedness, and so secure a fresh start.  Take-up of solutions remains low, with many clients of MABS displaying resistance to engaging with courts on the matter of debt, coupled with a principled stance of wishing to honour debts incurred by them and for which they do not dispute liability.</w:t>
      </w:r>
    </w:p>
    <w:p w:rsidR="00805612" w:rsidRPr="003B309C" w:rsidRDefault="00805612" w:rsidP="00805612">
      <w:pPr>
        <w:rPr>
          <w:b/>
          <w:i/>
          <w:color w:val="4F81BD" w:themeColor="accent1"/>
          <w:sz w:val="24"/>
          <w:szCs w:val="24"/>
        </w:rPr>
      </w:pPr>
      <w:r w:rsidRPr="003B309C">
        <w:rPr>
          <w:b/>
          <w:i/>
          <w:color w:val="4F81BD" w:themeColor="accent1"/>
          <w:sz w:val="24"/>
          <w:szCs w:val="24"/>
        </w:rPr>
        <w:t xml:space="preserve">Issue: </w:t>
      </w:r>
      <w:r w:rsidRPr="00CC235A">
        <w:rPr>
          <w:b/>
          <w:i/>
          <w:color w:val="4F81BD" w:themeColor="accent1"/>
        </w:rPr>
        <w:t xml:space="preserve">Residual </w:t>
      </w:r>
      <w:r w:rsidR="00CF3789">
        <w:rPr>
          <w:b/>
          <w:i/>
          <w:color w:val="4F81BD" w:themeColor="accent1"/>
        </w:rPr>
        <w:t>d</w:t>
      </w:r>
      <w:r w:rsidRPr="00CC235A">
        <w:rPr>
          <w:b/>
          <w:i/>
          <w:color w:val="4F81BD" w:themeColor="accent1"/>
        </w:rPr>
        <w:t>ebt post-</w:t>
      </w:r>
      <w:r w:rsidR="00CF3789">
        <w:rPr>
          <w:b/>
          <w:i/>
          <w:color w:val="4F81BD" w:themeColor="accent1"/>
        </w:rPr>
        <w:t>r</w:t>
      </w:r>
      <w:r w:rsidRPr="00CC235A">
        <w:rPr>
          <w:b/>
          <w:i/>
          <w:color w:val="4F81BD" w:themeColor="accent1"/>
        </w:rPr>
        <w:t>epossession</w:t>
      </w:r>
    </w:p>
    <w:p w:rsidR="00805612" w:rsidRDefault="00805612" w:rsidP="00805612">
      <w:r>
        <w:t>In situations where clients lose their homes through the granting of an order for possession, MABS is meeting many clients for whom the residual debt – that amount remaining following the sale of their sole asset – constitutes a significant barrier to resuming their lives.  In most cases, such debts exceed the DRN threshold of €35,000, and so necessitat</w:t>
      </w:r>
      <w:r w:rsidR="00125C03">
        <w:t>es</w:t>
      </w:r>
      <w:r>
        <w:t xml:space="preserve"> the services of a Personal Insolvency Practitioner (PIP).  Given the constrained financial circumstances of such borrowers, their capacity to access such services is extremely limited, and so they must continue to live with this burden, with the </w:t>
      </w:r>
      <w:r w:rsidR="00125C03">
        <w:t xml:space="preserve">consequent </w:t>
      </w:r>
      <w:r>
        <w:t>negative and adversarial relationship with a creditor, and with no hope of this debt ever being paid.</w:t>
      </w:r>
    </w:p>
    <w:p w:rsidR="00805612" w:rsidRDefault="00805612" w:rsidP="00805612">
      <w:r w:rsidRPr="00EA6FFA">
        <w:rPr>
          <w:b/>
          <w:i/>
          <w:color w:val="4F81BD" w:themeColor="accent1"/>
          <w:sz w:val="24"/>
          <w:szCs w:val="24"/>
        </w:rPr>
        <w:t>Recommendation:</w:t>
      </w:r>
      <w:r w:rsidRPr="00625397">
        <w:rPr>
          <w:color w:val="4F81BD" w:themeColor="accent1"/>
        </w:rPr>
        <w:t xml:space="preserve"> </w:t>
      </w:r>
      <w:r w:rsidRPr="00627348">
        <w:rPr>
          <w:shd w:val="clear" w:color="auto" w:fill="D6E3BC" w:themeFill="accent3" w:themeFillTint="66"/>
        </w:rPr>
        <w:t>Availability of public PIP support for such cases</w:t>
      </w:r>
      <w:r w:rsidR="00625397" w:rsidRPr="00627348">
        <w:rPr>
          <w:shd w:val="clear" w:color="auto" w:fill="D6E3BC" w:themeFill="accent3" w:themeFillTint="66"/>
        </w:rPr>
        <w:t>.</w:t>
      </w:r>
      <w:r w:rsidR="00627348">
        <w:rPr>
          <w:rStyle w:val="FootnoteReference"/>
          <w:shd w:val="clear" w:color="auto" w:fill="D6E3BC" w:themeFill="accent3" w:themeFillTint="66"/>
        </w:rPr>
        <w:footnoteReference w:id="5"/>
      </w:r>
    </w:p>
    <w:p w:rsidR="00805612" w:rsidRPr="003B309C" w:rsidRDefault="00805612" w:rsidP="00805612">
      <w:pPr>
        <w:rPr>
          <w:b/>
          <w:i/>
          <w:color w:val="4F81BD" w:themeColor="accent1"/>
        </w:rPr>
      </w:pPr>
      <w:r w:rsidRPr="003B309C">
        <w:rPr>
          <w:b/>
          <w:i/>
          <w:color w:val="4F81BD" w:themeColor="accent1"/>
        </w:rPr>
        <w:t>Issue: Financing an Arrangement</w:t>
      </w:r>
    </w:p>
    <w:p w:rsidR="00805612" w:rsidRDefault="00805612" w:rsidP="00805612">
      <w:r>
        <w:t>Borrowers who do embark on the insolvency process and f</w:t>
      </w:r>
      <w:r w:rsidR="00422F50">
        <w:t>or whom a PIP considers a PIA /</w:t>
      </w:r>
      <w:r>
        <w:t>DSA to be a possible solution, can only avail of such a solution i</w:t>
      </w:r>
      <w:r w:rsidR="00526B5B">
        <w:t>n cases where sufficient income/</w:t>
      </w:r>
      <w:r>
        <w:t>funds are available to cover the cost of the services of the PIP making the arrangement.  In effect, this gives rise to a cohort of borrowers who could be considered too poor to avail of insolvency, and so find themselves outside of the suite of statutory solutions.</w:t>
      </w:r>
      <w:r w:rsidR="00526B5B">
        <w:t xml:space="preserve"> While the new Aid and Advice Scheme is welcome and will alleviate the initial advice costs, the wider issue of </w:t>
      </w:r>
      <w:r w:rsidR="00CC235A">
        <w:t xml:space="preserve">the cost of </w:t>
      </w:r>
      <w:r w:rsidR="00526B5B">
        <w:t>engaging a PIP to avail of a solution still needs to be addressed.</w:t>
      </w:r>
    </w:p>
    <w:p w:rsidR="00805612" w:rsidRDefault="00805612" w:rsidP="00805612">
      <w:r w:rsidRPr="00EA6FFA">
        <w:rPr>
          <w:b/>
          <w:i/>
          <w:color w:val="4F81BD" w:themeColor="accent1"/>
          <w:sz w:val="24"/>
          <w:szCs w:val="24"/>
        </w:rPr>
        <w:t>Recommendation:</w:t>
      </w:r>
      <w:r w:rsidRPr="00625397">
        <w:rPr>
          <w:color w:val="4F81BD" w:themeColor="accent1"/>
        </w:rPr>
        <w:t xml:space="preserve"> </w:t>
      </w:r>
      <w:r w:rsidRPr="00EF1FAB">
        <w:rPr>
          <w:shd w:val="clear" w:color="auto" w:fill="D6E3BC" w:themeFill="accent3" w:themeFillTint="66"/>
        </w:rPr>
        <w:t>Availability of public PIP support for such cases</w:t>
      </w:r>
      <w:r w:rsidR="00625397" w:rsidRPr="00EF1FAB">
        <w:t>.</w:t>
      </w:r>
    </w:p>
    <w:p w:rsidR="00805612" w:rsidRPr="00805612" w:rsidRDefault="00805612" w:rsidP="00805612">
      <w:pPr>
        <w:rPr>
          <w:b/>
          <w:i/>
          <w:color w:val="4F81BD" w:themeColor="accent1"/>
        </w:rPr>
      </w:pPr>
      <w:r w:rsidRPr="00805612">
        <w:rPr>
          <w:b/>
          <w:i/>
          <w:color w:val="4F81BD" w:themeColor="accent1"/>
        </w:rPr>
        <w:t>Issue: Bankruptcy</w:t>
      </w:r>
    </w:p>
    <w:p w:rsidR="00805612" w:rsidRDefault="00805612" w:rsidP="00805612">
      <w:r>
        <w:t xml:space="preserve">Recent changes in relation to bankruptcy have made it possible for a borrower to secure release from a bankruptcy arrangement earlier than through a DRN, the arrangement designed for those with low levels of debt, and with very limited income.  The effect is an inequitable situation, favouring those with the resources to secure bankruptcy, over the more impoverished members of society. </w:t>
      </w:r>
    </w:p>
    <w:p w:rsidR="00526B5B" w:rsidRDefault="00805612" w:rsidP="00CC235A">
      <w:r w:rsidRPr="00526B5B">
        <w:rPr>
          <w:b/>
          <w:i/>
          <w:color w:val="4F81BD" w:themeColor="accent1"/>
          <w:sz w:val="24"/>
          <w:szCs w:val="24"/>
        </w:rPr>
        <w:t>Recommendation:</w:t>
      </w:r>
      <w:r w:rsidRPr="00625397">
        <w:rPr>
          <w:color w:val="4F81BD" w:themeColor="accent1"/>
        </w:rPr>
        <w:t xml:space="preserve"> </w:t>
      </w:r>
      <w:r w:rsidRPr="00CC235A">
        <w:rPr>
          <w:shd w:val="clear" w:color="auto" w:fill="D6E3BC" w:themeFill="accent3" w:themeFillTint="66"/>
        </w:rPr>
        <w:t>A review and re-alignment of the time periods assoc</w:t>
      </w:r>
      <w:r w:rsidR="00625397" w:rsidRPr="00CC235A">
        <w:rPr>
          <w:shd w:val="clear" w:color="auto" w:fill="D6E3BC" w:themeFill="accent3" w:themeFillTint="66"/>
        </w:rPr>
        <w:t>iated with insolvency solutions.</w:t>
      </w:r>
    </w:p>
    <w:p w:rsidR="00422F50" w:rsidRDefault="00422F50" w:rsidP="003B309C">
      <w:pPr>
        <w:pStyle w:val="ListParagraph"/>
        <w:rPr>
          <w:b/>
          <w:i/>
          <w:color w:val="4F81BD" w:themeColor="accent1"/>
          <w:sz w:val="28"/>
          <w:szCs w:val="28"/>
        </w:rPr>
      </w:pPr>
    </w:p>
    <w:p w:rsidR="00805612" w:rsidRPr="00625397" w:rsidRDefault="00805612" w:rsidP="003B309C">
      <w:pPr>
        <w:pStyle w:val="ListParagraph"/>
        <w:rPr>
          <w:b/>
          <w:i/>
          <w:color w:val="4F81BD" w:themeColor="accent1"/>
          <w:sz w:val="28"/>
          <w:szCs w:val="28"/>
        </w:rPr>
      </w:pPr>
      <w:r w:rsidRPr="00625397">
        <w:rPr>
          <w:b/>
          <w:i/>
          <w:color w:val="4F81BD" w:themeColor="accent1"/>
          <w:sz w:val="28"/>
          <w:szCs w:val="28"/>
        </w:rPr>
        <w:t>Mortgage Debt</w:t>
      </w:r>
    </w:p>
    <w:p w:rsidR="00805612" w:rsidRPr="00625397" w:rsidRDefault="00135922" w:rsidP="00805612">
      <w:pPr>
        <w:rPr>
          <w:i/>
        </w:rPr>
      </w:pPr>
      <w:r>
        <w:t xml:space="preserve">While welcoming </w:t>
      </w:r>
      <w:r w:rsidR="00805612">
        <w:t xml:space="preserve">recent government initiatives in addressing chronic mortgage arrears, </w:t>
      </w:r>
      <w:r w:rsidR="001317B3">
        <w:t>we note</w:t>
      </w:r>
      <w:r w:rsidR="00805612">
        <w:t xml:space="preserve"> the continuing distress experienced by borrowers and homeowners in such circumstances.  This issue is one not onl</w:t>
      </w:r>
      <w:r w:rsidR="001317B3">
        <w:t>y of debt, but also of housing.</w:t>
      </w:r>
      <w:r w:rsidR="001317B3">
        <w:rPr>
          <w:rStyle w:val="FootnoteReference"/>
        </w:rPr>
        <w:footnoteReference w:id="6"/>
      </w:r>
      <w:r w:rsidR="001317B3">
        <w:t xml:space="preserve"> </w:t>
      </w:r>
    </w:p>
    <w:p w:rsidR="00805612" w:rsidRPr="00805612" w:rsidRDefault="00805612" w:rsidP="00805612">
      <w:pPr>
        <w:rPr>
          <w:b/>
          <w:i/>
          <w:color w:val="4F81BD" w:themeColor="accent1"/>
        </w:rPr>
      </w:pPr>
      <w:r w:rsidRPr="00805612">
        <w:rPr>
          <w:b/>
          <w:i/>
          <w:color w:val="4F81BD" w:themeColor="accent1"/>
        </w:rPr>
        <w:t xml:space="preserve"> Issue: A Specialist Mortgage Court</w:t>
      </w:r>
    </w:p>
    <w:p w:rsidR="00135922" w:rsidRDefault="00805612" w:rsidP="00805612">
      <w:r>
        <w:t xml:space="preserve">While the number of households in mortgage arrears has been decreasing of late there are still </w:t>
      </w:r>
      <w:r w:rsidR="00AA01BA">
        <w:t xml:space="preserve">almost 86,000 </w:t>
      </w:r>
      <w:r>
        <w:t xml:space="preserve">mortgages in arrears </w:t>
      </w:r>
      <w:r w:rsidR="00D51E43">
        <w:t xml:space="preserve">with </w:t>
      </w:r>
      <w:r w:rsidR="00D51E43" w:rsidRPr="00AA01BA">
        <w:t>42% of those over 720 days</w:t>
      </w:r>
      <w:r w:rsidRPr="00AA01BA">
        <w:t>.</w:t>
      </w:r>
      <w:r>
        <w:t xml:space="preserve">  With no accepted definition of sustainability and each lender applying their own criteria MABS advisers are of the view that some mortgages deemed unsustainable by the lender, are in fact sustainable. MABS </w:t>
      </w:r>
      <w:r w:rsidR="00135922">
        <w:t xml:space="preserve">would find it useful </w:t>
      </w:r>
      <w:r w:rsidR="00AA01BA">
        <w:t xml:space="preserve">that </w:t>
      </w:r>
      <w:r>
        <w:t>something akin to a Personal Insolvency Arrangement (PIA) review/appeal by the Courts in home mortgage cases</w:t>
      </w:r>
      <w:r w:rsidR="007229FD">
        <w:t xml:space="preserve"> would be available</w:t>
      </w:r>
      <w:r>
        <w:t xml:space="preserve">. </w:t>
      </w:r>
      <w:r w:rsidR="00135922">
        <w:t xml:space="preserve">Perhaps the </w:t>
      </w:r>
      <w:r>
        <w:t xml:space="preserve">Insolvency Specialist Judges would be </w:t>
      </w:r>
      <w:r w:rsidR="00135922">
        <w:t xml:space="preserve">well </w:t>
      </w:r>
      <w:r>
        <w:t xml:space="preserve">placed to fill this role. If a PIA proposal is rejected by a sufficient majority of the creditors, the debtor now has a right to have that refusal reviewed by the Courts.   If the Court is satisfied that what the debtor is offering is better than what the creditors would get under bankruptcy, then the Courts can enforce the debtor’s proposal on the creditors.  Several mortgage arrears cases seen by MABS are now reaching the point where possession orders are imminent. While some of these cases are clearly unsustainable, others are not.   In some cases MABS advisers have put forward proposals as to how the mortgage could be restructured to make it sustainable (not all of which include write down or warehousing), only to be ignored by some lenders.  These lenders are applying their own, varying criteria as to what they regard as ‘reasonable expenditure’, which seem to be based on their own versions of insolvency reasonable living expenses (RLEs).  </w:t>
      </w:r>
      <w:r w:rsidR="00135922">
        <w:t>In practice MABS have found t</w:t>
      </w:r>
      <w:r>
        <w:t xml:space="preserve">he lenders’ RLEs </w:t>
      </w:r>
      <w:r w:rsidR="00135922">
        <w:t xml:space="preserve">to be </w:t>
      </w:r>
      <w:r>
        <w:t xml:space="preserve">arbitrary. </w:t>
      </w:r>
      <w:r w:rsidR="00135922">
        <w:t xml:space="preserve"> </w:t>
      </w:r>
    </w:p>
    <w:p w:rsidR="00805612" w:rsidRPr="00CC235A" w:rsidRDefault="00805612" w:rsidP="00805612">
      <w:pPr>
        <w:rPr>
          <w:b/>
          <w:i/>
          <w:color w:val="4F81BD" w:themeColor="accent1"/>
          <w:sz w:val="24"/>
          <w:szCs w:val="24"/>
        </w:rPr>
      </w:pPr>
      <w:r w:rsidRPr="00CC235A">
        <w:rPr>
          <w:b/>
          <w:i/>
          <w:color w:val="4F81BD" w:themeColor="accent1"/>
          <w:sz w:val="24"/>
          <w:szCs w:val="24"/>
        </w:rPr>
        <w:t>Recommendations:</w:t>
      </w:r>
    </w:p>
    <w:p w:rsidR="00805612" w:rsidRDefault="00805612" w:rsidP="00304214">
      <w:pPr>
        <w:pStyle w:val="ListParagraph"/>
        <w:numPr>
          <w:ilvl w:val="0"/>
          <w:numId w:val="30"/>
        </w:numPr>
        <w:shd w:val="clear" w:color="auto" w:fill="D6E3BC" w:themeFill="accent3" w:themeFillTint="66"/>
      </w:pPr>
      <w:r>
        <w:t xml:space="preserve">That a specialist mortgage court be set up to adjudicate on mortgage cases where there has been a proposal considered sustainable and </w:t>
      </w:r>
      <w:r w:rsidR="00625397">
        <w:t>then rejected by the lender.</w:t>
      </w:r>
    </w:p>
    <w:p w:rsidR="00805612" w:rsidRDefault="00805612" w:rsidP="00304214">
      <w:pPr>
        <w:pStyle w:val="ListParagraph"/>
        <w:numPr>
          <w:ilvl w:val="0"/>
          <w:numId w:val="30"/>
        </w:numPr>
        <w:shd w:val="clear" w:color="auto" w:fill="D6E3BC" w:themeFill="accent3" w:themeFillTint="66"/>
      </w:pPr>
      <w:r>
        <w:t>That lenders should be required to publish the RLEs they are using in deciding on the sustainability or otherwise of a mortgage.</w:t>
      </w:r>
    </w:p>
    <w:p w:rsidR="00805612" w:rsidRPr="00805612" w:rsidRDefault="00805612" w:rsidP="00805612">
      <w:pPr>
        <w:rPr>
          <w:b/>
          <w:i/>
          <w:color w:val="4F81BD" w:themeColor="accent1"/>
        </w:rPr>
      </w:pPr>
      <w:r w:rsidRPr="00805612">
        <w:rPr>
          <w:b/>
          <w:i/>
          <w:color w:val="4F81BD" w:themeColor="accent1"/>
        </w:rPr>
        <w:t xml:space="preserve">Issue: Statutory Footing for Code of Conduct on Mortgage Arrears </w:t>
      </w:r>
    </w:p>
    <w:p w:rsidR="00805612" w:rsidRDefault="00805612" w:rsidP="00805612">
      <w:r>
        <w:t xml:space="preserve">In May of 2015 the Supreme Court in a judgment has clarified the relationship between the Code of Conduct on Mortgage Arrears (“CCMA”) and the entitlement of a financial institution to take possession of a mortgaged property. The Supreme Court decided that the law does not interfere with the code save where there is a breach by the lender of the moratorium set out in in sections 45 and 47 of the code.  In his judgment on </w:t>
      </w:r>
      <w:r w:rsidR="00CC33D5">
        <w:t>behalf of the Supreme Court, Mr</w:t>
      </w:r>
      <w:r>
        <w:t xml:space="preserve"> Justice Clark</w:t>
      </w:r>
      <w:r w:rsidR="00B339B9">
        <w:t>e</w:t>
      </w:r>
      <w:r>
        <w:t xml:space="preserve"> stated: “If it is regarded, as a matter of policy, that the law governing the circumstances in which financial institutions may be entitled to possession is too heavily weighted in favour of those financial institutions then it is, in accordance with the separation of powers, a matter for the Oirea</w:t>
      </w:r>
      <w:r w:rsidR="007229FD">
        <w:t>chtas to recalibrate those laws</w:t>
      </w:r>
      <w:r>
        <w:t>.</w:t>
      </w:r>
      <w:r w:rsidR="007229FD">
        <w:t xml:space="preserve"> </w:t>
      </w:r>
      <w:r>
        <w:t>While the CCMA has given protection to households in mortgage arrears by outlining a clear process and containing safeguards for consumers, it falls short in that it has limited standing in law and so has little or no place in the construction of a defence in court. By putting the CCMA on a statutory footing, breaches of it can then form part of a defence to repossession proceedings and consequently be regulated more efficiently and clearly.</w:t>
      </w:r>
      <w:r w:rsidR="00B339B9">
        <w:t>”</w:t>
      </w:r>
    </w:p>
    <w:p w:rsidR="001E35B6" w:rsidRPr="001E35B6" w:rsidRDefault="00805612" w:rsidP="00805612">
      <w:pPr>
        <w:rPr>
          <w:shd w:val="clear" w:color="auto" w:fill="D6E3BC" w:themeFill="accent3" w:themeFillTint="66"/>
        </w:rPr>
      </w:pPr>
      <w:r w:rsidRPr="00CC235A">
        <w:rPr>
          <w:b/>
          <w:i/>
          <w:color w:val="4F81BD" w:themeColor="accent1"/>
          <w:sz w:val="24"/>
          <w:szCs w:val="24"/>
        </w:rPr>
        <w:t>Recommendation:</w:t>
      </w:r>
      <w:r w:rsidRPr="00625397">
        <w:rPr>
          <w:color w:val="4F81BD" w:themeColor="accent1"/>
        </w:rPr>
        <w:t xml:space="preserve"> </w:t>
      </w:r>
      <w:r w:rsidRPr="001E35B6">
        <w:rPr>
          <w:shd w:val="clear" w:color="auto" w:fill="D6E3BC" w:themeFill="accent3" w:themeFillTint="66"/>
        </w:rPr>
        <w:t>That the Code of Conduct on Mortgage Arrears be put on a statutory footing</w:t>
      </w:r>
      <w:r w:rsidR="00CC33D5">
        <w:rPr>
          <w:shd w:val="clear" w:color="auto" w:fill="D6E3BC" w:themeFill="accent3" w:themeFillTint="66"/>
        </w:rPr>
        <w:t>.</w:t>
      </w:r>
      <w:r w:rsidR="001E35B6">
        <w:rPr>
          <w:shd w:val="clear" w:color="auto" w:fill="D6E3BC" w:themeFill="accent3" w:themeFillTint="66"/>
        </w:rPr>
        <w:t xml:space="preserve"> </w:t>
      </w:r>
    </w:p>
    <w:p w:rsidR="00805612" w:rsidRPr="00805612" w:rsidRDefault="00CC33D5" w:rsidP="00805612">
      <w:pPr>
        <w:rPr>
          <w:b/>
          <w:i/>
          <w:color w:val="4F81BD" w:themeColor="accent1"/>
        </w:rPr>
      </w:pPr>
      <w:r>
        <w:rPr>
          <w:b/>
          <w:i/>
          <w:color w:val="4F81BD" w:themeColor="accent1"/>
        </w:rPr>
        <w:t>Issue: Psycho-s</w:t>
      </w:r>
      <w:r w:rsidR="00805612" w:rsidRPr="00805612">
        <w:rPr>
          <w:b/>
          <w:i/>
          <w:color w:val="4F81BD" w:themeColor="accent1"/>
        </w:rPr>
        <w:t>ocial Impact of the Financial Crisis</w:t>
      </w:r>
    </w:p>
    <w:p w:rsidR="00805612" w:rsidRDefault="00805612" w:rsidP="00805612">
      <w:r>
        <w:t xml:space="preserve">In </w:t>
      </w:r>
      <w:r w:rsidR="003B309C">
        <w:t xml:space="preserve">previous </w:t>
      </w:r>
      <w:r w:rsidR="00EC6D28">
        <w:t>s</w:t>
      </w:r>
      <w:r>
        <w:t>ubmission</w:t>
      </w:r>
      <w:r w:rsidR="003B309C">
        <w:t>s</w:t>
      </w:r>
      <w:r>
        <w:t xml:space="preserve"> </w:t>
      </w:r>
      <w:r w:rsidR="003B309C">
        <w:t xml:space="preserve">MABS </w:t>
      </w:r>
      <w:r w:rsidR="00CC33D5">
        <w:t>drew attention to the psycho-</w:t>
      </w:r>
      <w:r>
        <w:t xml:space="preserve">social impact of the financial crisis. This crisis, still acute in relation to mortgage debt, is having a considerable adverse effect on the health, both physical and psychological, of individuals and families. MABS </w:t>
      </w:r>
      <w:r w:rsidR="00135922">
        <w:t xml:space="preserve">is </w:t>
      </w:r>
      <w:r>
        <w:t>acutely aware of an increase in clients suffering from financial stress-related mental and physical health issues, seeking the support of MABS Services particularly in relation t</w:t>
      </w:r>
      <w:r w:rsidR="007229FD">
        <w:t>o mortgage debt. The Samaritan’s</w:t>
      </w:r>
      <w:r>
        <w:t xml:space="preserve"> Impact Report </w:t>
      </w:r>
      <w:r w:rsidR="008129F7">
        <w:rPr>
          <w:rStyle w:val="FootnoteReference"/>
        </w:rPr>
        <w:footnoteReference w:id="7"/>
      </w:r>
      <w:r>
        <w:t xml:space="preserve">reported </w:t>
      </w:r>
      <w:r w:rsidR="008129F7">
        <w:t xml:space="preserve">five </w:t>
      </w:r>
      <w:r>
        <w:t>main issues arisi</w:t>
      </w:r>
      <w:r w:rsidR="00625397">
        <w:t>ng on their Helpline as follows:</w:t>
      </w:r>
    </w:p>
    <w:p w:rsidR="00805612" w:rsidRDefault="00805612" w:rsidP="006E728F">
      <w:pPr>
        <w:pStyle w:val="ListParagraph"/>
        <w:numPr>
          <w:ilvl w:val="0"/>
          <w:numId w:val="21"/>
        </w:numPr>
      </w:pPr>
      <w:r>
        <w:t>Depression and mental health issues</w:t>
      </w:r>
    </w:p>
    <w:p w:rsidR="00805612" w:rsidRDefault="008129F7" w:rsidP="006E728F">
      <w:pPr>
        <w:pStyle w:val="ListParagraph"/>
        <w:numPr>
          <w:ilvl w:val="0"/>
          <w:numId w:val="21"/>
        </w:numPr>
      </w:pPr>
      <w:r>
        <w:t>Family Relationship problems</w:t>
      </w:r>
    </w:p>
    <w:p w:rsidR="008129F7" w:rsidRDefault="008129F7" w:rsidP="006E728F">
      <w:pPr>
        <w:pStyle w:val="ListParagraph"/>
        <w:numPr>
          <w:ilvl w:val="0"/>
          <w:numId w:val="21"/>
        </w:numPr>
      </w:pPr>
      <w:r>
        <w:t>Financial difficulties</w:t>
      </w:r>
    </w:p>
    <w:p w:rsidR="00805612" w:rsidRDefault="008129F7" w:rsidP="006E728F">
      <w:pPr>
        <w:pStyle w:val="ListParagraph"/>
        <w:numPr>
          <w:ilvl w:val="0"/>
          <w:numId w:val="21"/>
        </w:numPr>
      </w:pPr>
      <w:r>
        <w:t>Stress/</w:t>
      </w:r>
      <w:r w:rsidR="00805612">
        <w:t xml:space="preserve">Anxiety </w:t>
      </w:r>
    </w:p>
    <w:p w:rsidR="00805612" w:rsidRDefault="00805612" w:rsidP="006E728F">
      <w:pPr>
        <w:pStyle w:val="ListParagraph"/>
        <w:numPr>
          <w:ilvl w:val="0"/>
          <w:numId w:val="21"/>
        </w:numPr>
      </w:pPr>
      <w:r>
        <w:t>Loneliness</w:t>
      </w:r>
    </w:p>
    <w:p w:rsidR="00805612" w:rsidRDefault="00805612" w:rsidP="00805612">
      <w:r>
        <w:t xml:space="preserve">The finding, in </w:t>
      </w:r>
      <w:r w:rsidR="006E728F">
        <w:t xml:space="preserve">the </w:t>
      </w:r>
      <w:r>
        <w:t xml:space="preserve">report on </w:t>
      </w:r>
      <w:r w:rsidRPr="006E728F">
        <w:t>MABS Clients and Mortgage Arrears</w:t>
      </w:r>
      <w:r w:rsidR="006E728F">
        <w:rPr>
          <w:rStyle w:val="FootnoteReference"/>
        </w:rPr>
        <w:footnoteReference w:id="8"/>
      </w:r>
      <w:r>
        <w:t xml:space="preserve"> , in relation to stress and mental health associated with mortgage repayment difficulty is supported by the Mental Health Commission’s 2011 Report</w:t>
      </w:r>
      <w:r w:rsidR="00D24948">
        <w:t xml:space="preserve"> “</w:t>
      </w:r>
      <w:r>
        <w:t>The Human Cost</w:t>
      </w:r>
      <w:r w:rsidR="00D24948">
        <w:t>:</w:t>
      </w:r>
      <w:r>
        <w:t xml:space="preserve"> An overview of the evidence on economic adversity and mental health and recommendations for action</w:t>
      </w:r>
      <w:r w:rsidR="00D24948">
        <w:t>”</w:t>
      </w:r>
      <w:r w:rsidR="008129F7">
        <w:t xml:space="preserve"> (2011). This </w:t>
      </w:r>
      <w:r>
        <w:t xml:space="preserve"> referenced actions taken in the UK to address debt-related mental health issues (e.g. the Good Practice Mental Health Guidelines produced by the Money Advice Liaison Group; the Debt and Mental Health Evidence Form, approved by the UK Information Commissioner’s Office) and made a series of  recommendations, some of which explicitly reference the use of MABS resources.</w:t>
      </w:r>
    </w:p>
    <w:p w:rsidR="00805612" w:rsidRPr="00CC235A" w:rsidRDefault="00805612" w:rsidP="00805612">
      <w:pPr>
        <w:rPr>
          <w:b/>
          <w:i/>
          <w:color w:val="4F81BD" w:themeColor="accent1"/>
          <w:sz w:val="24"/>
          <w:szCs w:val="24"/>
        </w:rPr>
      </w:pPr>
      <w:r w:rsidRPr="00CC235A">
        <w:rPr>
          <w:b/>
          <w:i/>
          <w:color w:val="4F81BD" w:themeColor="accent1"/>
          <w:sz w:val="24"/>
          <w:szCs w:val="24"/>
        </w:rPr>
        <w:t>Recommendations:</w:t>
      </w:r>
    </w:p>
    <w:p w:rsidR="00805612" w:rsidRDefault="006E728F" w:rsidP="00304214">
      <w:pPr>
        <w:pStyle w:val="ListParagraph"/>
        <w:numPr>
          <w:ilvl w:val="0"/>
          <w:numId w:val="29"/>
        </w:numPr>
        <w:shd w:val="clear" w:color="auto" w:fill="D6E3BC" w:themeFill="accent3" w:themeFillTint="66"/>
      </w:pPr>
      <w:r>
        <w:t>T</w:t>
      </w:r>
      <w:r w:rsidR="00805612">
        <w:t>he introduction of robust Mental Health Guidelines, such as those introduced in the UK, would be of significant benefit to the MABS client group and others.</w:t>
      </w:r>
    </w:p>
    <w:p w:rsidR="00805612" w:rsidRDefault="00A74F04" w:rsidP="00304214">
      <w:pPr>
        <w:pStyle w:val="ListParagraph"/>
        <w:numPr>
          <w:ilvl w:val="0"/>
          <w:numId w:val="29"/>
        </w:numPr>
        <w:shd w:val="clear" w:color="auto" w:fill="D6E3BC" w:themeFill="accent3" w:themeFillTint="66"/>
      </w:pPr>
      <w:r>
        <w:t xml:space="preserve">Free access to counselling </w:t>
      </w:r>
      <w:r w:rsidR="00805612">
        <w:t xml:space="preserve">particularly in cases where a mortgage has been deemed unsustainable, </w:t>
      </w:r>
      <w:r>
        <w:t xml:space="preserve">should </w:t>
      </w:r>
      <w:r w:rsidR="00805612">
        <w:t>be made available to the adults and children affected.</w:t>
      </w:r>
    </w:p>
    <w:p w:rsidR="00805612" w:rsidRPr="00805612" w:rsidRDefault="00805612" w:rsidP="00805612">
      <w:pPr>
        <w:rPr>
          <w:b/>
          <w:i/>
          <w:color w:val="4F81BD" w:themeColor="accent1"/>
        </w:rPr>
      </w:pPr>
      <w:r w:rsidRPr="00805612">
        <w:rPr>
          <w:b/>
          <w:i/>
          <w:color w:val="4F81BD" w:themeColor="accent1"/>
        </w:rPr>
        <w:t>Issue: Certain Long-term ARAs Refused to SW Dependents</w:t>
      </w:r>
    </w:p>
    <w:p w:rsidR="00805612" w:rsidRDefault="00805612" w:rsidP="00805612">
      <w:r>
        <w:t xml:space="preserve">Currently, some Financial Institutions are refusing to enter into long-term Alternative </w:t>
      </w:r>
      <w:r w:rsidR="007656CD">
        <w:t>Rep</w:t>
      </w:r>
      <w:r>
        <w:t>ay</w:t>
      </w:r>
      <w:r w:rsidR="00020663">
        <w:t>ment Arrangements (ARA’s) with social welfare r</w:t>
      </w:r>
      <w:r>
        <w:t>ecipients on the basis that they are reliant on an income from the State.  MABS consider this to be discriminatory.  It is the MABS view that the way the income is derived should not be the issue and so should not be the s</w:t>
      </w:r>
      <w:r w:rsidR="007229FD">
        <w:t>ole grounds for refusing a long</w:t>
      </w:r>
      <w:r>
        <w:t xml:space="preserve">-term arrangement. The most important </w:t>
      </w:r>
      <w:r w:rsidR="00B339B9">
        <w:t xml:space="preserve">criterion </w:t>
      </w:r>
      <w:r>
        <w:t>to be considered is whether the mortgage is sustainable or not.</w:t>
      </w:r>
    </w:p>
    <w:p w:rsidR="00805612" w:rsidRDefault="00805612" w:rsidP="00CC235A">
      <w:pPr>
        <w:shd w:val="clear" w:color="auto" w:fill="D6E3BC" w:themeFill="accent3" w:themeFillTint="66"/>
      </w:pPr>
      <w:r w:rsidRPr="00CC235A">
        <w:rPr>
          <w:b/>
          <w:i/>
          <w:color w:val="4F81BD" w:themeColor="accent1"/>
          <w:sz w:val="24"/>
          <w:szCs w:val="24"/>
        </w:rPr>
        <w:t>Recommendation:</w:t>
      </w:r>
      <w:r w:rsidR="00F17F79" w:rsidRPr="00D24948">
        <w:rPr>
          <w:color w:val="4F81BD" w:themeColor="accent1"/>
        </w:rPr>
        <w:t xml:space="preserve"> </w:t>
      </w:r>
      <w:r>
        <w:t>That the case of any distressed borrower be assessed on the basis of his</w:t>
      </w:r>
      <w:r w:rsidR="00B339B9">
        <w:t>/her</w:t>
      </w:r>
      <w:r>
        <w:t xml:space="preserve"> circumstances, regardless of the source of his</w:t>
      </w:r>
      <w:r w:rsidR="00B339B9">
        <w:t>/her</w:t>
      </w:r>
      <w:r>
        <w:t xml:space="preserve"> income</w:t>
      </w:r>
    </w:p>
    <w:p w:rsidR="00805612" w:rsidRPr="00D24948" w:rsidRDefault="00805612" w:rsidP="00020663">
      <w:pPr>
        <w:pStyle w:val="ListParagraph"/>
        <w:rPr>
          <w:b/>
          <w:i/>
          <w:color w:val="4F81BD" w:themeColor="accent1"/>
          <w:sz w:val="28"/>
          <w:szCs w:val="28"/>
        </w:rPr>
      </w:pPr>
      <w:r w:rsidRPr="00D24948">
        <w:rPr>
          <w:b/>
          <w:i/>
          <w:color w:val="4F81BD" w:themeColor="accent1"/>
          <w:sz w:val="28"/>
          <w:szCs w:val="28"/>
        </w:rPr>
        <w:t xml:space="preserve">Financial Inclusion – Access to Banking </w:t>
      </w:r>
    </w:p>
    <w:p w:rsidR="00805612" w:rsidRDefault="00CF3789" w:rsidP="00805612">
      <w:r>
        <w:t xml:space="preserve">Each citizen should have access </w:t>
      </w:r>
      <w:r w:rsidR="00805612">
        <w:t>to affordable and regulated financ</w:t>
      </w:r>
      <w:r>
        <w:t>ial services, appropriate to their</w:t>
      </w:r>
      <w:r w:rsidR="00805612">
        <w:t xml:space="preserve"> needs.  The banking collapse of recent years has seen confidence and trust in the sector eroded, and coupled with the contracting of that market, many of the more vulnerable members of society are without access to basic banking, bill payment, savings or credit facilities.</w:t>
      </w:r>
    </w:p>
    <w:p w:rsidR="00805612" w:rsidRPr="00F17F79" w:rsidRDefault="00F17F79" w:rsidP="00805612">
      <w:pPr>
        <w:rPr>
          <w:b/>
          <w:i/>
          <w:color w:val="4F81BD" w:themeColor="accent1"/>
        </w:rPr>
      </w:pPr>
      <w:r w:rsidRPr="00F17F79">
        <w:rPr>
          <w:b/>
          <w:i/>
          <w:color w:val="4F81BD" w:themeColor="accent1"/>
        </w:rPr>
        <w:t>Issue:</w:t>
      </w:r>
      <w:r w:rsidR="00805612" w:rsidRPr="00F17F79">
        <w:rPr>
          <w:b/>
          <w:i/>
          <w:color w:val="4F81BD" w:themeColor="accent1"/>
        </w:rPr>
        <w:t xml:space="preserve"> Provision of a Basic Bank (Payment) Account </w:t>
      </w:r>
    </w:p>
    <w:p w:rsidR="00805612" w:rsidRDefault="00805612" w:rsidP="00805612">
      <w:r>
        <w:t>For a person’s full participation in society it is generally accepted that access to financial services has become more important if not essential over the last decade or so</w:t>
      </w:r>
      <w:r w:rsidR="00CF3789">
        <w:t xml:space="preserve"> - a</w:t>
      </w:r>
      <w:r>
        <w:t xml:space="preserve">ccess to financial services has become a necessary condition for </w:t>
      </w:r>
      <w:r w:rsidR="00020663">
        <w:t>participating in economic life</w:t>
      </w:r>
      <w:r w:rsidR="00CF3789">
        <w:t xml:space="preserve">. </w:t>
      </w:r>
      <w:r>
        <w:t>Lack of access to financial services has serious socio</w:t>
      </w:r>
      <w:r w:rsidR="00CF3789">
        <w:t>-</w:t>
      </w:r>
      <w:r>
        <w:t>economic consequences e.g. lack of a bank account, access to credit, goo</w:t>
      </w:r>
      <w:r w:rsidR="00CF3789">
        <w:t xml:space="preserve">ds and services cost more etc. </w:t>
      </w:r>
      <w:r>
        <w:t>Those who experience financial exclusion can find money management and bill payment more time-consuming and costly and they can face difficulties accessing affordable credit and accumulating assets (e.g. savings, insurance). Financially excluded individuals are also at risk of over indebtedness</w:t>
      </w:r>
      <w:r w:rsidR="00CF3789">
        <w:t>.</w:t>
      </w:r>
      <w:r>
        <w:t xml:space="preserve"> </w:t>
      </w:r>
    </w:p>
    <w:p w:rsidR="00F51076" w:rsidRDefault="00805612" w:rsidP="00805612">
      <w:r>
        <w:t xml:space="preserve">The Personal Micro Credit Pilot initiative, </w:t>
      </w:r>
      <w:r w:rsidR="00A74F04">
        <w:t xml:space="preserve">proposed by the CIB, </w:t>
      </w:r>
      <w:r>
        <w:t xml:space="preserve">which was supported by Government </w:t>
      </w:r>
      <w:r w:rsidR="00A74F04">
        <w:t>has been extended nationally</w:t>
      </w:r>
      <w:r w:rsidR="00E37EFA">
        <w:t xml:space="preserve"> and </w:t>
      </w:r>
      <w:r>
        <w:t>has proven to be very successful</w:t>
      </w:r>
      <w:r w:rsidR="00B339B9">
        <w:t>.  T</w:t>
      </w:r>
      <w:r>
        <w:t>he evaluation of the pilot show</w:t>
      </w:r>
      <w:r w:rsidR="00B339B9">
        <w:t>ed</w:t>
      </w:r>
      <w:r>
        <w:t xml:space="preserve"> that the effect on many customers was transformative g</w:t>
      </w:r>
      <w:r w:rsidR="00F51076">
        <w:t>iving rise to comments such as “</w:t>
      </w:r>
      <w:r>
        <w:t>the credit union treated me with re</w:t>
      </w:r>
      <w:r w:rsidR="00304214">
        <w:t>spect and as if I was a normal p</w:t>
      </w:r>
      <w:r>
        <w:t>erson</w:t>
      </w:r>
      <w:r w:rsidR="00F51076">
        <w:t>” and “</w:t>
      </w:r>
      <w:r>
        <w:t>I cannot tell you the difference this has made to me</w:t>
      </w:r>
      <w:r w:rsidR="00F51076">
        <w:t>”</w:t>
      </w:r>
      <w:r>
        <w:t>.  There were 1,200 loans issued under the pilot in 30 credit unions nationwide. Many who borrowed under the scheme had used moneylenders in the past.</w:t>
      </w:r>
      <w:r w:rsidR="00F51076">
        <w:t xml:space="preserve"> </w:t>
      </w:r>
      <w:r>
        <w:t>It is envisaged that the Personal Micro Credit product will be</w:t>
      </w:r>
      <w:r w:rsidR="00A74F04">
        <w:t xml:space="preserve"> widely </w:t>
      </w:r>
      <w:r>
        <w:t xml:space="preserve">available to social welfare </w:t>
      </w:r>
      <w:r w:rsidR="00B339B9">
        <w:t xml:space="preserve">recipients </w:t>
      </w:r>
      <w:r>
        <w:t>through the credit unions by the end of 2016.</w:t>
      </w:r>
      <w:r w:rsidR="00F17F79">
        <w:t xml:space="preserve"> </w:t>
      </w:r>
    </w:p>
    <w:p w:rsidR="00805612" w:rsidRDefault="00805612" w:rsidP="00805612">
      <w:r>
        <w:t xml:space="preserve">A recent study undertaken with MABS Service clients indicates that </w:t>
      </w:r>
      <w:r w:rsidR="00B339B9">
        <w:t xml:space="preserve">about </w:t>
      </w:r>
      <w:r>
        <w:t>20% of users at the time of the study were without current bank accounts. Preliminary findings indicate that the main reason for</w:t>
      </w:r>
      <w:r w:rsidR="00B339B9">
        <w:t xml:space="preserve"> this </w:t>
      </w:r>
      <w:r>
        <w:t xml:space="preserve">is </w:t>
      </w:r>
      <w:r w:rsidR="00B339B9">
        <w:t xml:space="preserve">because many closed their bank accounts due to low income and the level of bank fees. </w:t>
      </w:r>
      <w:r>
        <w:t>The other main reason emerging at the initial analysis stage, is the bank closure of accounts due to arrears on loans or other financial products.</w:t>
      </w:r>
    </w:p>
    <w:p w:rsidR="00EE3055" w:rsidRDefault="00F17F79" w:rsidP="00805612">
      <w:pPr>
        <w:rPr>
          <w:b/>
          <w:i/>
          <w:color w:val="4F81BD" w:themeColor="accent1"/>
        </w:rPr>
      </w:pPr>
      <w:r w:rsidRPr="00F17F79">
        <w:rPr>
          <w:b/>
          <w:i/>
          <w:color w:val="4F81BD" w:themeColor="accent1"/>
        </w:rPr>
        <w:t xml:space="preserve">Issue: </w:t>
      </w:r>
      <w:r w:rsidR="00805612" w:rsidRPr="00F17F79">
        <w:rPr>
          <w:b/>
          <w:i/>
          <w:color w:val="4F81BD" w:themeColor="accent1"/>
        </w:rPr>
        <w:t>Associated Surcharging Issue</w:t>
      </w:r>
    </w:p>
    <w:p w:rsidR="00805612" w:rsidRPr="00EE3055" w:rsidRDefault="00805612" w:rsidP="00805612">
      <w:pPr>
        <w:rPr>
          <w:b/>
          <w:i/>
          <w:color w:val="4F81BD" w:themeColor="accent1"/>
        </w:rPr>
      </w:pPr>
      <w:r>
        <w:t>All MABS clients interviewed during the research study state that they have been excluded from services, products and cheaper offers as they could not pay by way of direct debit. One third</w:t>
      </w:r>
      <w:r w:rsidR="0020647F">
        <w:t xml:space="preserve"> said </w:t>
      </w:r>
      <w:r>
        <w:t>that they pay surcharges for paying their energy and other bills by cash on a weekly basis. MABS has examined this issue c</w:t>
      </w:r>
      <w:r w:rsidR="001001CD">
        <w:t xml:space="preserve">losely and will continue to report on </w:t>
      </w:r>
      <w:r>
        <w:t xml:space="preserve"> high charges being imposed on the poorest to simply pay their regular household bills.  This has resulted in those with least income having to pay more for energy and other services.  MABS drew attention to this issue in </w:t>
      </w:r>
      <w:r w:rsidR="001001CD">
        <w:t xml:space="preserve">previous submissions </w:t>
      </w:r>
      <w:r>
        <w:t>and once again highlights the need for this to be addressed.</w:t>
      </w:r>
    </w:p>
    <w:p w:rsidR="00805612" w:rsidRPr="00A74F04" w:rsidRDefault="00805612" w:rsidP="00805612">
      <w:pPr>
        <w:rPr>
          <w:b/>
          <w:i/>
          <w:color w:val="4F81BD" w:themeColor="accent1"/>
          <w:sz w:val="24"/>
          <w:szCs w:val="24"/>
        </w:rPr>
      </w:pPr>
      <w:r w:rsidRPr="00A74F04">
        <w:rPr>
          <w:b/>
          <w:i/>
          <w:color w:val="4F81BD" w:themeColor="accent1"/>
          <w:sz w:val="24"/>
          <w:szCs w:val="24"/>
        </w:rPr>
        <w:t>Recommendation</w:t>
      </w:r>
      <w:r w:rsidR="00F17F79" w:rsidRPr="00A74F04">
        <w:rPr>
          <w:b/>
          <w:i/>
          <w:color w:val="4F81BD" w:themeColor="accent1"/>
          <w:sz w:val="24"/>
          <w:szCs w:val="24"/>
        </w:rPr>
        <w:t>s:</w:t>
      </w:r>
    </w:p>
    <w:p w:rsidR="00805612" w:rsidRDefault="00A74F04" w:rsidP="00304214">
      <w:pPr>
        <w:pStyle w:val="ListParagraph"/>
        <w:numPr>
          <w:ilvl w:val="0"/>
          <w:numId w:val="28"/>
        </w:numPr>
        <w:shd w:val="clear" w:color="auto" w:fill="D6E3BC" w:themeFill="accent3" w:themeFillTint="66"/>
      </w:pPr>
      <w:r>
        <w:t>T</w:t>
      </w:r>
      <w:r w:rsidR="00805612">
        <w:t>he provision of a basic payment a</w:t>
      </w:r>
      <w:r>
        <w:t xml:space="preserve">ccount should become an urgent </w:t>
      </w:r>
      <w:r w:rsidR="00805612">
        <w:t xml:space="preserve">priority and that the banks, credit unions and </w:t>
      </w:r>
      <w:r w:rsidR="00F51076">
        <w:t>A</w:t>
      </w:r>
      <w:r w:rsidR="00805612">
        <w:t>n Post should be facilitated and supported in the provision of such a financial facility</w:t>
      </w:r>
      <w:r w:rsidR="00D24948">
        <w:t>.</w:t>
      </w:r>
    </w:p>
    <w:p w:rsidR="00805612" w:rsidRDefault="00A74F04" w:rsidP="00304214">
      <w:pPr>
        <w:pStyle w:val="ListParagraph"/>
        <w:numPr>
          <w:ilvl w:val="0"/>
          <w:numId w:val="28"/>
        </w:numPr>
        <w:shd w:val="clear" w:color="auto" w:fill="D6E3BC" w:themeFill="accent3" w:themeFillTint="66"/>
      </w:pPr>
      <w:r>
        <w:t>T</w:t>
      </w:r>
      <w:r w:rsidR="00805612">
        <w:t>he surcharging for payment of, or the purchase of, basic services should not be permitted and legislation should be enacted urgently with the overall goal of protecting and supporting the most financially vulnerable consumers.</w:t>
      </w:r>
    </w:p>
    <w:p w:rsidR="00304214" w:rsidRDefault="00304214" w:rsidP="00020663">
      <w:pPr>
        <w:pStyle w:val="ListParagraph"/>
        <w:rPr>
          <w:b/>
          <w:i/>
          <w:color w:val="4F81BD" w:themeColor="accent1"/>
          <w:sz w:val="28"/>
          <w:szCs w:val="28"/>
        </w:rPr>
      </w:pPr>
    </w:p>
    <w:p w:rsidR="00805612" w:rsidRPr="00D24948" w:rsidRDefault="00020663" w:rsidP="00020663">
      <w:pPr>
        <w:pStyle w:val="ListParagraph"/>
        <w:rPr>
          <w:b/>
          <w:i/>
          <w:color w:val="4F81BD" w:themeColor="accent1"/>
          <w:sz w:val="28"/>
          <w:szCs w:val="28"/>
        </w:rPr>
      </w:pPr>
      <w:r>
        <w:rPr>
          <w:b/>
          <w:i/>
          <w:color w:val="4F81BD" w:themeColor="accent1"/>
          <w:sz w:val="28"/>
          <w:szCs w:val="28"/>
        </w:rPr>
        <w:t xml:space="preserve">Bill Payment and </w:t>
      </w:r>
      <w:r w:rsidR="00805612" w:rsidRPr="00D24948">
        <w:rPr>
          <w:b/>
          <w:i/>
          <w:color w:val="4F81BD" w:themeColor="accent1"/>
          <w:sz w:val="28"/>
          <w:szCs w:val="28"/>
        </w:rPr>
        <w:t>Money Management for the Vulnerable</w:t>
      </w:r>
    </w:p>
    <w:p w:rsidR="00020663" w:rsidRPr="00A74F04" w:rsidRDefault="00805612" w:rsidP="00805612">
      <w:r>
        <w:t xml:space="preserve">A significant cohort of Irish society struggle with the routine, structure and discipline associated with managing money and paying bills.  Those with some mental health difficulties, with chaotic life-styles or in periods of poor health, are often incapable of establishing, maintaining and operating the systems required, and need help to do so.  </w:t>
      </w:r>
    </w:p>
    <w:p w:rsidR="00805612" w:rsidRPr="00F17F79" w:rsidRDefault="00D24948" w:rsidP="00805612">
      <w:pPr>
        <w:rPr>
          <w:b/>
          <w:i/>
          <w:color w:val="4F81BD" w:themeColor="accent1"/>
        </w:rPr>
      </w:pPr>
      <w:r>
        <w:rPr>
          <w:b/>
          <w:i/>
          <w:color w:val="4F81BD" w:themeColor="accent1"/>
        </w:rPr>
        <w:t>Issue</w:t>
      </w:r>
      <w:r w:rsidR="00F17F79" w:rsidRPr="00F17F79">
        <w:rPr>
          <w:b/>
          <w:i/>
          <w:color w:val="4F81BD" w:themeColor="accent1"/>
        </w:rPr>
        <w:t xml:space="preserve">: </w:t>
      </w:r>
      <w:r w:rsidR="00805612" w:rsidRPr="00F17F79">
        <w:rPr>
          <w:b/>
          <w:i/>
          <w:color w:val="4F81BD" w:themeColor="accent1"/>
        </w:rPr>
        <w:t>Supported Payments Systems</w:t>
      </w:r>
    </w:p>
    <w:p w:rsidR="00805612" w:rsidRDefault="00805612" w:rsidP="00805612">
      <w:r>
        <w:t>The Household Budget Scheme as operated by An Post assists many families in ensuring that regular bills can and are paid in regular and controlled intervals.  The extent of the scheme is however limited in its reach and in its client group.</w:t>
      </w:r>
    </w:p>
    <w:p w:rsidR="00805612" w:rsidRPr="00EE3055" w:rsidRDefault="00805612" w:rsidP="00805612">
      <w:pPr>
        <w:rPr>
          <w:color w:val="4F81BD" w:themeColor="accent1"/>
        </w:rPr>
      </w:pPr>
      <w:r w:rsidRPr="00A74F04">
        <w:rPr>
          <w:b/>
          <w:i/>
          <w:color w:val="4F81BD" w:themeColor="accent1"/>
          <w:sz w:val="24"/>
          <w:szCs w:val="24"/>
        </w:rPr>
        <w:t>Recommendation</w:t>
      </w:r>
      <w:r w:rsidR="00F17F79" w:rsidRPr="00A74F04">
        <w:rPr>
          <w:b/>
          <w:i/>
          <w:color w:val="4F81BD" w:themeColor="accent1"/>
          <w:sz w:val="24"/>
          <w:szCs w:val="24"/>
        </w:rPr>
        <w:t>:</w:t>
      </w:r>
      <w:r w:rsidR="00F17F79" w:rsidRPr="00D24948">
        <w:rPr>
          <w:color w:val="4F81BD" w:themeColor="accent1"/>
        </w:rPr>
        <w:t xml:space="preserve"> </w:t>
      </w:r>
      <w:r w:rsidRPr="00EE3055">
        <w:rPr>
          <w:shd w:val="clear" w:color="auto" w:fill="D6E3BC" w:themeFill="accent3" w:themeFillTint="66"/>
        </w:rPr>
        <w:t xml:space="preserve">A review </w:t>
      </w:r>
      <w:r w:rsidR="00582895">
        <w:rPr>
          <w:shd w:val="clear" w:color="auto" w:fill="D6E3BC" w:themeFill="accent3" w:themeFillTint="66"/>
        </w:rPr>
        <w:t xml:space="preserve">by the Department of Social Protection </w:t>
      </w:r>
      <w:r w:rsidRPr="00EE3055">
        <w:rPr>
          <w:shd w:val="clear" w:color="auto" w:fill="D6E3BC" w:themeFill="accent3" w:themeFillTint="66"/>
        </w:rPr>
        <w:t>of appropriate supported payments systems for vulnerable groups</w:t>
      </w:r>
      <w:r w:rsidR="00582895">
        <w:rPr>
          <w:shd w:val="clear" w:color="auto" w:fill="D6E3BC" w:themeFill="accent3" w:themeFillTint="66"/>
        </w:rPr>
        <w:t>.</w:t>
      </w:r>
      <w:r>
        <w:t xml:space="preserve"> </w:t>
      </w:r>
    </w:p>
    <w:p w:rsidR="00805612" w:rsidRPr="00F17F79" w:rsidRDefault="00F17F79" w:rsidP="00805612">
      <w:pPr>
        <w:rPr>
          <w:b/>
          <w:i/>
          <w:color w:val="4F81BD" w:themeColor="accent1"/>
        </w:rPr>
      </w:pPr>
      <w:r w:rsidRPr="00F17F79">
        <w:rPr>
          <w:b/>
          <w:i/>
          <w:color w:val="4F81BD" w:themeColor="accent1"/>
        </w:rPr>
        <w:t xml:space="preserve">Issue: </w:t>
      </w:r>
      <w:r w:rsidR="00805612" w:rsidRPr="00F17F79">
        <w:rPr>
          <w:b/>
          <w:i/>
          <w:color w:val="4F81BD" w:themeColor="accent1"/>
        </w:rPr>
        <w:t>Self-Disconnection from Energy Supply</w:t>
      </w:r>
    </w:p>
    <w:p w:rsidR="00805612" w:rsidRDefault="00805612" w:rsidP="00805612">
      <w:r>
        <w:t>There has been a considerable decrease in the number of people approaching MABS with issues relating to their energy bills. In 2008 over 7,000 clients approached MABS with utility bill arrears difficulties while in 2015 this</w:t>
      </w:r>
      <w:r w:rsidR="00304214">
        <w:t xml:space="preserve"> had more than halved to 3,000</w:t>
      </w:r>
      <w:r>
        <w:t>.  MABS is of the view that this large decrease is the result of the widespread use of metering in the energy market in addressing arrears and affordability difficulties.</w:t>
      </w:r>
    </w:p>
    <w:p w:rsidR="00805612" w:rsidRDefault="00805612" w:rsidP="00805612">
      <w:r>
        <w:t xml:space="preserve">In </w:t>
      </w:r>
      <w:r w:rsidR="001001CD">
        <w:t xml:space="preserve">the </w:t>
      </w:r>
      <w:r>
        <w:t>Pre</w:t>
      </w:r>
      <w:r w:rsidR="00987B5F">
        <w:t>-</w:t>
      </w:r>
      <w:r>
        <w:t xml:space="preserve">Budget submission of 2016, </w:t>
      </w:r>
      <w:r w:rsidR="00A74F04">
        <w:t xml:space="preserve">we </w:t>
      </w:r>
      <w:r>
        <w:t xml:space="preserve">drew attention to the self-rationing and self-disconnection of energy supply that </w:t>
      </w:r>
      <w:r w:rsidR="00304214">
        <w:t xml:space="preserve">has </w:t>
      </w:r>
      <w:r>
        <w:t>recently become an increasing feature of th</w:t>
      </w:r>
      <w:r w:rsidR="007656CD">
        <w:t xml:space="preserve">e energy market as a result of </w:t>
      </w:r>
      <w:r>
        <w:t xml:space="preserve">the increasing use of metering to deal with customers in financial difficulty and having bill arrears. While the use of metering removes the issue of fuel poverty and  disconnection from the public eye, the fact remains that a large cohort of </w:t>
      </w:r>
      <w:r w:rsidR="007656CD">
        <w:t xml:space="preserve">people </w:t>
      </w:r>
      <w:r>
        <w:t>find it difficult to fund their energy costs and so resort to self-rationing or self-disconnection from supply, leading to ill hea</w:t>
      </w:r>
      <w:r w:rsidR="00304214">
        <w:t>lth and other negative outcomes</w:t>
      </w:r>
      <w:r>
        <w:t>.</w:t>
      </w:r>
    </w:p>
    <w:p w:rsidR="00EE3055" w:rsidRPr="00EE3055" w:rsidRDefault="00EE3055" w:rsidP="00805612">
      <w:pPr>
        <w:rPr>
          <w:color w:val="4F81BD" w:themeColor="accent1"/>
        </w:rPr>
      </w:pPr>
      <w:r w:rsidRPr="00A74F04">
        <w:rPr>
          <w:b/>
          <w:i/>
          <w:color w:val="4F81BD" w:themeColor="accent1"/>
          <w:sz w:val="24"/>
          <w:szCs w:val="24"/>
        </w:rPr>
        <w:t>Recommendation:</w:t>
      </w:r>
    </w:p>
    <w:p w:rsidR="00EE3055" w:rsidRPr="00EE3055" w:rsidRDefault="00A74F04" w:rsidP="00EE3055">
      <w:pPr>
        <w:pStyle w:val="NoSpacing"/>
        <w:shd w:val="clear" w:color="auto" w:fill="D6E3BC" w:themeFill="accent3" w:themeFillTint="66"/>
      </w:pPr>
      <w:r>
        <w:t>U</w:t>
      </w:r>
      <w:r w:rsidR="00805612">
        <w:t xml:space="preserve">tility energy providers </w:t>
      </w:r>
      <w:r>
        <w:t xml:space="preserve">should </w:t>
      </w:r>
      <w:r w:rsidR="00805612">
        <w:t xml:space="preserve">be mandated to collect data on this issue so as to ensure it remains visible to policy makers and to ensure that the most vulnerable debtors don’t become more marginalised by virtue of the fact that they are no longer appearing in data on utility disconnections. For the most financially vulnerable consumers inability to pay for basic utilities remains a key concern. </w:t>
      </w:r>
    </w:p>
    <w:p w:rsidR="00F51076" w:rsidRDefault="00F51076" w:rsidP="00020663">
      <w:pPr>
        <w:pStyle w:val="ListParagraph"/>
        <w:rPr>
          <w:b/>
          <w:i/>
          <w:color w:val="4F81BD" w:themeColor="accent1"/>
          <w:sz w:val="28"/>
          <w:szCs w:val="28"/>
        </w:rPr>
      </w:pPr>
    </w:p>
    <w:p w:rsidR="00805612" w:rsidRPr="00D24948" w:rsidRDefault="00805612" w:rsidP="00020663">
      <w:pPr>
        <w:pStyle w:val="ListParagraph"/>
        <w:rPr>
          <w:b/>
          <w:i/>
          <w:color w:val="4F81BD" w:themeColor="accent1"/>
          <w:sz w:val="28"/>
          <w:szCs w:val="28"/>
        </w:rPr>
      </w:pPr>
      <w:r w:rsidRPr="00D24948">
        <w:rPr>
          <w:b/>
          <w:i/>
          <w:color w:val="4F81BD" w:themeColor="accent1"/>
          <w:sz w:val="28"/>
          <w:szCs w:val="28"/>
        </w:rPr>
        <w:t>Rural Isolation</w:t>
      </w:r>
    </w:p>
    <w:p w:rsidR="00805612" w:rsidRDefault="00805612" w:rsidP="00805612">
      <w:r>
        <w:t>MABS services in rural locations report significant poverty experienced by clients, attributable to rural isolation.  The costs of goods and services in rural areas appears higher than in urban settings, and the opportunity to shop wisely simply is not there.  In more remote areas (north west Donegal, west Cork, south Kerry, and other places) transport is a significant difficulty, with clients unable to even access the offices of the Department of Social Protection, with no public transport available.</w:t>
      </w:r>
    </w:p>
    <w:p w:rsidR="00EE3055" w:rsidRPr="00EE3055" w:rsidRDefault="00EE3055" w:rsidP="00805612">
      <w:pPr>
        <w:rPr>
          <w:color w:val="4F81BD" w:themeColor="accent1"/>
        </w:rPr>
      </w:pPr>
      <w:r w:rsidRPr="00A74F04">
        <w:rPr>
          <w:b/>
          <w:i/>
          <w:color w:val="4F81BD" w:themeColor="accent1"/>
          <w:sz w:val="24"/>
          <w:szCs w:val="24"/>
        </w:rPr>
        <w:t>Recommendation:</w:t>
      </w:r>
    </w:p>
    <w:p w:rsidR="00805612" w:rsidRDefault="00805612" w:rsidP="00304214">
      <w:pPr>
        <w:pStyle w:val="NoSpacing"/>
        <w:numPr>
          <w:ilvl w:val="0"/>
          <w:numId w:val="31"/>
        </w:numPr>
        <w:shd w:val="clear" w:color="auto" w:fill="D6E3BC" w:themeFill="accent3" w:themeFillTint="66"/>
      </w:pPr>
      <w:r>
        <w:t>An examination of the accessibility of public services in rural locations</w:t>
      </w:r>
    </w:p>
    <w:p w:rsidR="00D746A3" w:rsidRDefault="00805612" w:rsidP="00EE3055">
      <w:pPr>
        <w:pStyle w:val="NoSpacing"/>
        <w:numPr>
          <w:ilvl w:val="0"/>
          <w:numId w:val="31"/>
        </w:numPr>
        <w:shd w:val="clear" w:color="auto" w:fill="D6E3BC" w:themeFill="accent3" w:themeFillTint="66"/>
      </w:pPr>
      <w:r>
        <w:t>Anti-poverty initiatives targeted at rural areas</w:t>
      </w:r>
    </w:p>
    <w:p w:rsidR="00D746A3" w:rsidRDefault="00D746A3" w:rsidP="00D746A3"/>
    <w:p w:rsidR="00D746A3" w:rsidRDefault="00D746A3" w:rsidP="00D746A3"/>
    <w:p w:rsidR="00D746A3" w:rsidRDefault="00D746A3" w:rsidP="00D746A3"/>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Default="00F17F79" w:rsidP="00F17F79"/>
    <w:p w:rsidR="00F17F79" w:rsidRPr="00F17F79" w:rsidRDefault="00F17F79" w:rsidP="00F17F79"/>
    <w:p w:rsidR="00D746A3" w:rsidRPr="00C54CBB" w:rsidRDefault="00D746A3" w:rsidP="00295684">
      <w:pPr>
        <w:pStyle w:val="IntenseQuote"/>
        <w:shd w:val="clear" w:color="auto" w:fill="D6E3BC" w:themeFill="accent3" w:themeFillTint="66"/>
        <w:rPr>
          <w:sz w:val="24"/>
          <w:szCs w:val="24"/>
        </w:rPr>
      </w:pPr>
      <w:r w:rsidRPr="00C54CBB">
        <w:rPr>
          <w:sz w:val="24"/>
          <w:szCs w:val="24"/>
        </w:rPr>
        <w:t>The Citizens Information Board provides independent information, advice and advocacy on public and social services through www.citizensinformation.ie, the Citizens Information Phone Service and the nationwide network of Citizens Information Service</w:t>
      </w:r>
      <w:r w:rsidR="00304214">
        <w:rPr>
          <w:sz w:val="24"/>
          <w:szCs w:val="24"/>
        </w:rPr>
        <w:t>s</w:t>
      </w:r>
      <w:r w:rsidRPr="00C54CBB">
        <w:rPr>
          <w:sz w:val="24"/>
          <w:szCs w:val="24"/>
        </w:rPr>
        <w:t xml:space="preserve"> (CISs). </w:t>
      </w:r>
    </w:p>
    <w:p w:rsidR="00295684" w:rsidRDefault="00D746A3" w:rsidP="00295684">
      <w:pPr>
        <w:pStyle w:val="IntenseQuote"/>
        <w:shd w:val="clear" w:color="auto" w:fill="D6E3BC" w:themeFill="accent3" w:themeFillTint="66"/>
        <w:rPr>
          <w:sz w:val="24"/>
          <w:szCs w:val="24"/>
        </w:rPr>
      </w:pPr>
      <w:r w:rsidRPr="00C54CBB">
        <w:rPr>
          <w:sz w:val="24"/>
          <w:szCs w:val="24"/>
        </w:rPr>
        <w:t xml:space="preserve">It also supports the provision of money advice and budgeting services through its funding of MABS, the delivery of a confidential independent advocacy service for people with disabilities via the National Advocacy Service (NAS) and the provision of a national sign language interpretive service (SLIS). </w:t>
      </w:r>
    </w:p>
    <w:p w:rsidR="00D746A3" w:rsidRPr="00C54CBB" w:rsidRDefault="00D746A3" w:rsidP="00295684">
      <w:pPr>
        <w:pStyle w:val="IntenseQuote"/>
        <w:shd w:val="clear" w:color="auto" w:fill="D6E3BC" w:themeFill="accent3" w:themeFillTint="66"/>
        <w:rPr>
          <w:sz w:val="24"/>
          <w:szCs w:val="24"/>
        </w:rPr>
      </w:pPr>
      <w:r w:rsidRPr="00C54CBB">
        <w:rPr>
          <w:sz w:val="24"/>
          <w:szCs w:val="24"/>
        </w:rPr>
        <w:t xml:space="preserve">During 2015, this variety of delivery </w:t>
      </w:r>
      <w:r w:rsidR="00295684" w:rsidRPr="00C54CBB">
        <w:rPr>
          <w:sz w:val="24"/>
          <w:szCs w:val="24"/>
        </w:rPr>
        <w:t>service</w:t>
      </w:r>
      <w:r w:rsidR="00295684">
        <w:rPr>
          <w:sz w:val="24"/>
          <w:szCs w:val="24"/>
        </w:rPr>
        <w:t>s</w:t>
      </w:r>
      <w:r w:rsidR="00295684" w:rsidRPr="00C54CBB">
        <w:rPr>
          <w:sz w:val="24"/>
          <w:szCs w:val="24"/>
        </w:rPr>
        <w:t xml:space="preserve"> </w:t>
      </w:r>
      <w:r w:rsidRPr="00C54CBB">
        <w:rPr>
          <w:sz w:val="24"/>
          <w:szCs w:val="24"/>
        </w:rPr>
        <w:t xml:space="preserve">assisted </w:t>
      </w:r>
      <w:r w:rsidR="00295684">
        <w:rPr>
          <w:sz w:val="24"/>
          <w:szCs w:val="24"/>
        </w:rPr>
        <w:t xml:space="preserve">over 800,000 </w:t>
      </w:r>
      <w:r w:rsidRPr="00C54CBB">
        <w:rPr>
          <w:sz w:val="24"/>
          <w:szCs w:val="24"/>
        </w:rPr>
        <w:t>people in asserting their rights and entitl</w:t>
      </w:r>
      <w:r w:rsidR="00C54CBB" w:rsidRPr="00C54CBB">
        <w:rPr>
          <w:sz w:val="24"/>
          <w:szCs w:val="24"/>
        </w:rPr>
        <w:t>ements to benefits and services.</w:t>
      </w:r>
    </w:p>
    <w:p w:rsidR="00815CAE" w:rsidRPr="00C54CBB" w:rsidRDefault="00815CAE" w:rsidP="00D200A7">
      <w:pPr>
        <w:jc w:val="center"/>
        <w:rPr>
          <w:sz w:val="24"/>
          <w:szCs w:val="24"/>
        </w:rPr>
      </w:pPr>
    </w:p>
    <w:sectPr w:rsidR="00815CAE" w:rsidRPr="00C54CBB" w:rsidSect="00D5450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A81" w:rsidRDefault="005C5A81" w:rsidP="00916D51">
      <w:pPr>
        <w:spacing w:after="0" w:line="240" w:lineRule="auto"/>
      </w:pPr>
      <w:r>
        <w:separator/>
      </w:r>
    </w:p>
  </w:endnote>
  <w:endnote w:type="continuationSeparator" w:id="0">
    <w:p w:rsidR="005C5A81" w:rsidRDefault="005C5A81" w:rsidP="0091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E6" w:rsidRDefault="00512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069846"/>
      <w:docPartObj>
        <w:docPartGallery w:val="Page Numbers (Bottom of Page)"/>
        <w:docPartUnique/>
      </w:docPartObj>
    </w:sdtPr>
    <w:sdtEndPr>
      <w:rPr>
        <w:noProof/>
      </w:rPr>
    </w:sdtEndPr>
    <w:sdtContent>
      <w:p w:rsidR="000578A6" w:rsidRDefault="000578A6">
        <w:pPr>
          <w:pStyle w:val="Footer"/>
          <w:jc w:val="right"/>
        </w:pPr>
        <w:r>
          <w:fldChar w:fldCharType="begin"/>
        </w:r>
        <w:r>
          <w:instrText xml:space="preserve"> PAGE   \* MERGEFORMAT </w:instrText>
        </w:r>
        <w:r>
          <w:fldChar w:fldCharType="separate"/>
        </w:r>
        <w:r w:rsidR="005123E6">
          <w:rPr>
            <w:noProof/>
          </w:rPr>
          <w:t>3</w:t>
        </w:r>
        <w:r>
          <w:rPr>
            <w:noProof/>
          </w:rPr>
          <w:fldChar w:fldCharType="end"/>
        </w:r>
      </w:p>
    </w:sdtContent>
  </w:sdt>
  <w:p w:rsidR="000578A6" w:rsidRDefault="000578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E6" w:rsidRDefault="0051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A81" w:rsidRDefault="005C5A81" w:rsidP="00916D51">
      <w:pPr>
        <w:spacing w:after="0" w:line="240" w:lineRule="auto"/>
      </w:pPr>
      <w:r>
        <w:separator/>
      </w:r>
    </w:p>
  </w:footnote>
  <w:footnote w:type="continuationSeparator" w:id="0">
    <w:p w:rsidR="005C5A81" w:rsidRDefault="005C5A81" w:rsidP="00916D51">
      <w:pPr>
        <w:spacing w:after="0" w:line="240" w:lineRule="auto"/>
      </w:pPr>
      <w:r>
        <w:continuationSeparator/>
      </w:r>
    </w:p>
  </w:footnote>
  <w:footnote w:id="1">
    <w:p w:rsidR="000578A6" w:rsidRPr="00E7219C" w:rsidRDefault="000578A6">
      <w:pPr>
        <w:pStyle w:val="FootnoteText"/>
        <w:rPr>
          <w:rFonts w:ascii="Arial" w:hAnsi="Arial" w:cs="Arial"/>
          <w:sz w:val="16"/>
          <w:szCs w:val="16"/>
        </w:rPr>
      </w:pPr>
      <w:r>
        <w:rPr>
          <w:rStyle w:val="FootnoteReference"/>
        </w:rPr>
        <w:footnoteRef/>
      </w:r>
      <w:r>
        <w:t xml:space="preserve"> </w:t>
      </w:r>
      <w:r w:rsidRPr="00E7219C">
        <w:rPr>
          <w:rFonts w:ascii="Arial" w:hAnsi="Arial" w:cs="Arial"/>
          <w:sz w:val="16"/>
          <w:szCs w:val="16"/>
        </w:rPr>
        <w:t>Better Outcomes Brighter Futures - The National Policy Framework for Children and Young People, 2014 – 2020; Department of Children and Youth Affairs, 2014.</w:t>
      </w:r>
    </w:p>
  </w:footnote>
  <w:footnote w:id="2">
    <w:p w:rsidR="00EC5A3B" w:rsidRDefault="00EC5A3B">
      <w:pPr>
        <w:pStyle w:val="FootnoteText"/>
      </w:pPr>
      <w:r>
        <w:rPr>
          <w:rStyle w:val="FootnoteReference"/>
        </w:rPr>
        <w:footnoteRef/>
      </w:r>
      <w:r>
        <w:t xml:space="preserve"> </w:t>
      </w:r>
      <w:r w:rsidRPr="00EC5A3B">
        <w:rPr>
          <w:rFonts w:ascii="Arial" w:hAnsi="Arial" w:cs="Arial"/>
          <w:sz w:val="16"/>
          <w:szCs w:val="16"/>
        </w:rPr>
        <w:t>Income thresholds have not been changed since 2006</w:t>
      </w:r>
    </w:p>
  </w:footnote>
  <w:footnote w:id="3">
    <w:p w:rsidR="000578A6" w:rsidRPr="00E7219C" w:rsidRDefault="000578A6">
      <w:pPr>
        <w:pStyle w:val="FootnoteText"/>
        <w:rPr>
          <w:rFonts w:ascii="Arial" w:hAnsi="Arial" w:cs="Arial"/>
          <w:sz w:val="16"/>
          <w:szCs w:val="16"/>
        </w:rPr>
      </w:pPr>
      <w:r w:rsidRPr="00E7219C">
        <w:rPr>
          <w:rStyle w:val="FootnoteReference"/>
          <w:rFonts w:ascii="Arial" w:hAnsi="Arial" w:cs="Arial"/>
          <w:sz w:val="16"/>
          <w:szCs w:val="16"/>
        </w:rPr>
        <w:footnoteRef/>
      </w:r>
      <w:r w:rsidRPr="00E7219C">
        <w:rPr>
          <w:rFonts w:ascii="Arial" w:hAnsi="Arial" w:cs="Arial"/>
          <w:sz w:val="16"/>
          <w:szCs w:val="16"/>
        </w:rPr>
        <w:t xml:space="preserve"> Extending Social Insurance Coverage for the Self-Employed, Advisory Group on Tax and Social Welfare, 2013;</w:t>
      </w:r>
    </w:p>
  </w:footnote>
  <w:footnote w:id="4">
    <w:p w:rsidR="008F0F11" w:rsidRPr="00E7219C" w:rsidRDefault="008F0F11" w:rsidP="008F0F11">
      <w:pPr>
        <w:pStyle w:val="FootnoteText"/>
        <w:rPr>
          <w:sz w:val="16"/>
          <w:szCs w:val="16"/>
        </w:rPr>
      </w:pPr>
      <w:r>
        <w:rPr>
          <w:rStyle w:val="FootnoteReference"/>
        </w:rPr>
        <w:footnoteRef/>
      </w:r>
      <w:r>
        <w:t xml:space="preserve">  </w:t>
      </w:r>
      <w:r w:rsidRPr="00E7219C">
        <w:rPr>
          <w:rFonts w:ascii="Arial" w:hAnsi="Arial" w:cs="Arial"/>
          <w:color w:val="333333"/>
          <w:sz w:val="16"/>
          <w:szCs w:val="16"/>
          <w:lang w:val="en"/>
        </w:rPr>
        <w:t>Hard Times for the Self-Employed: The Citizens Information and MABS Experience, Citizens Information Board, 2012;</w:t>
      </w:r>
    </w:p>
  </w:footnote>
  <w:footnote w:id="5">
    <w:p w:rsidR="00627348" w:rsidRDefault="00627348">
      <w:pPr>
        <w:pStyle w:val="FootnoteText"/>
      </w:pPr>
      <w:r>
        <w:rPr>
          <w:rStyle w:val="FootnoteReference"/>
        </w:rPr>
        <w:footnoteRef/>
      </w:r>
      <w:r>
        <w:t xml:space="preserve"> MABS </w:t>
      </w:r>
      <w:r w:rsidR="007656CD">
        <w:t>operates as a public Approv</w:t>
      </w:r>
      <w:r w:rsidR="00D200A7">
        <w:t>ed Intermediary for debt re</w:t>
      </w:r>
      <w:r w:rsidR="007656CD">
        <w:t xml:space="preserve">lief notices under insolvency provisions. </w:t>
      </w:r>
      <w:r w:rsidR="00D200A7">
        <w:t xml:space="preserve">MABS </w:t>
      </w:r>
      <w:r>
        <w:t xml:space="preserve">has piloted </w:t>
      </w:r>
      <w:r w:rsidR="00EF1FAB">
        <w:t xml:space="preserve">a </w:t>
      </w:r>
      <w:r w:rsidR="00D200A7">
        <w:t xml:space="preserve">public </w:t>
      </w:r>
      <w:r>
        <w:t>Pe</w:t>
      </w:r>
      <w:r w:rsidR="00D200A7">
        <w:t xml:space="preserve">rsonal Insolvency Practitioner </w:t>
      </w:r>
      <w:r>
        <w:t xml:space="preserve">to service </w:t>
      </w:r>
      <w:r w:rsidR="00EF1FAB">
        <w:t xml:space="preserve">their </w:t>
      </w:r>
      <w:r>
        <w:t>target group</w:t>
      </w:r>
      <w:r w:rsidR="00EF1FAB">
        <w:t xml:space="preserve"> – an evaluation of this pilot has been undertaken to consider the impact of a public PIP service.</w:t>
      </w:r>
    </w:p>
  </w:footnote>
  <w:footnote w:id="6">
    <w:p w:rsidR="001317B3" w:rsidRDefault="001317B3">
      <w:pPr>
        <w:pStyle w:val="FootnoteText"/>
      </w:pPr>
      <w:r>
        <w:rPr>
          <w:rStyle w:val="FootnoteReference"/>
        </w:rPr>
        <w:footnoteRef/>
      </w:r>
      <w:r>
        <w:t xml:space="preserve"> </w:t>
      </w:r>
      <w:r w:rsidRPr="00135922">
        <w:rPr>
          <w:rFonts w:ascii="Arial" w:hAnsi="Arial" w:cs="Arial"/>
          <w:sz w:val="16"/>
          <w:szCs w:val="16"/>
        </w:rPr>
        <w:t xml:space="preserve">The recently published </w:t>
      </w:r>
      <w:r w:rsidRPr="00135922">
        <w:rPr>
          <w:rFonts w:ascii="Arial" w:hAnsi="Arial" w:cs="Arial"/>
          <w:i/>
          <w:sz w:val="16"/>
          <w:szCs w:val="16"/>
        </w:rPr>
        <w:t xml:space="preserve">Action Plan on Housing and Homelessness </w:t>
      </w:r>
      <w:r w:rsidRPr="00135922">
        <w:rPr>
          <w:rFonts w:ascii="Arial" w:hAnsi="Arial" w:cs="Arial"/>
          <w:sz w:val="16"/>
          <w:szCs w:val="16"/>
        </w:rPr>
        <w:t>is welcomed</w:t>
      </w:r>
      <w:r>
        <w:t>.</w:t>
      </w:r>
    </w:p>
  </w:footnote>
  <w:footnote w:id="7">
    <w:p w:rsidR="008129F7" w:rsidRDefault="008129F7">
      <w:pPr>
        <w:pStyle w:val="FootnoteText"/>
      </w:pPr>
      <w:r>
        <w:rPr>
          <w:rStyle w:val="FootnoteReference"/>
        </w:rPr>
        <w:footnoteRef/>
      </w:r>
      <w:r>
        <w:t xml:space="preserve"> Samaritan’s Ireland Impact Report 2014/15</w:t>
      </w:r>
    </w:p>
  </w:footnote>
  <w:footnote w:id="8">
    <w:p w:rsidR="006E728F" w:rsidRPr="006E728F" w:rsidRDefault="006E728F">
      <w:pPr>
        <w:pStyle w:val="FootnoteText"/>
        <w:rPr>
          <w:rFonts w:ascii="Arial" w:hAnsi="Arial" w:cs="Arial"/>
          <w:sz w:val="16"/>
          <w:szCs w:val="16"/>
        </w:rPr>
      </w:pPr>
      <w:r>
        <w:rPr>
          <w:rStyle w:val="FootnoteReference"/>
        </w:rPr>
        <w:footnoteRef/>
      </w:r>
      <w:r>
        <w:t xml:space="preserve"> </w:t>
      </w:r>
      <w:hyperlink r:id="rId1" w:history="1">
        <w:r w:rsidRPr="006E728F">
          <w:rPr>
            <w:rStyle w:val="Hyperlink"/>
            <w:rFonts w:ascii="Arial" w:hAnsi="Arial" w:cs="Arial"/>
            <w:sz w:val="16"/>
            <w:szCs w:val="16"/>
          </w:rPr>
          <w:t>http://www.citizensinformationboard.ie/downloads/social_policy/MABS_Clients_and_Mortgage_Arrears_Jan2013.pdf</w:t>
        </w:r>
      </w:hyperlink>
    </w:p>
    <w:p w:rsidR="006E728F" w:rsidRDefault="006E728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E6" w:rsidRDefault="00512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E6" w:rsidRDefault="005123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E6" w:rsidRDefault="00512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6F38"/>
    <w:multiLevelType w:val="hybridMultilevel"/>
    <w:tmpl w:val="1BBC4A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363419"/>
    <w:multiLevelType w:val="hybridMultilevel"/>
    <w:tmpl w:val="A9327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760232"/>
    <w:multiLevelType w:val="hybridMultilevel"/>
    <w:tmpl w:val="091A6C16"/>
    <w:lvl w:ilvl="0" w:tplc="E104E88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2A44C3"/>
    <w:multiLevelType w:val="hybridMultilevel"/>
    <w:tmpl w:val="505EB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A024E2"/>
    <w:multiLevelType w:val="hybridMultilevel"/>
    <w:tmpl w:val="30D00F3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C33BAB"/>
    <w:multiLevelType w:val="hybridMultilevel"/>
    <w:tmpl w:val="84BA32C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681739"/>
    <w:multiLevelType w:val="hybridMultilevel"/>
    <w:tmpl w:val="7D8E181C"/>
    <w:lvl w:ilvl="0" w:tplc="E7B6CE4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382695"/>
    <w:multiLevelType w:val="hybridMultilevel"/>
    <w:tmpl w:val="2A36AE48"/>
    <w:lvl w:ilvl="0" w:tplc="6ABE96C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8A555C"/>
    <w:multiLevelType w:val="hybridMultilevel"/>
    <w:tmpl w:val="2048F1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CC49ED"/>
    <w:multiLevelType w:val="hybridMultilevel"/>
    <w:tmpl w:val="BCCEE332"/>
    <w:lvl w:ilvl="0" w:tplc="E7B6CE4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3362BF"/>
    <w:multiLevelType w:val="hybridMultilevel"/>
    <w:tmpl w:val="2ECA82D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BD2D5B"/>
    <w:multiLevelType w:val="hybridMultilevel"/>
    <w:tmpl w:val="75F6D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710927"/>
    <w:multiLevelType w:val="hybridMultilevel"/>
    <w:tmpl w:val="7C72AF5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7017B60"/>
    <w:multiLevelType w:val="hybridMultilevel"/>
    <w:tmpl w:val="BFC8F2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CE4CF2"/>
    <w:multiLevelType w:val="hybridMultilevel"/>
    <w:tmpl w:val="35685A9E"/>
    <w:lvl w:ilvl="0" w:tplc="1809000F">
      <w:start w:val="1"/>
      <w:numFmt w:val="decimal"/>
      <w:lvlText w:val="%1."/>
      <w:lvlJc w:val="left"/>
      <w:pPr>
        <w:ind w:left="1656" w:hanging="360"/>
      </w:pPr>
    </w:lvl>
    <w:lvl w:ilvl="1" w:tplc="18090019" w:tentative="1">
      <w:start w:val="1"/>
      <w:numFmt w:val="lowerLetter"/>
      <w:lvlText w:val="%2."/>
      <w:lvlJc w:val="left"/>
      <w:pPr>
        <w:ind w:left="2376" w:hanging="360"/>
      </w:pPr>
    </w:lvl>
    <w:lvl w:ilvl="2" w:tplc="1809001B" w:tentative="1">
      <w:start w:val="1"/>
      <w:numFmt w:val="lowerRoman"/>
      <w:lvlText w:val="%3."/>
      <w:lvlJc w:val="right"/>
      <w:pPr>
        <w:ind w:left="3096" w:hanging="180"/>
      </w:pPr>
    </w:lvl>
    <w:lvl w:ilvl="3" w:tplc="1809000F" w:tentative="1">
      <w:start w:val="1"/>
      <w:numFmt w:val="decimal"/>
      <w:lvlText w:val="%4."/>
      <w:lvlJc w:val="left"/>
      <w:pPr>
        <w:ind w:left="3816" w:hanging="360"/>
      </w:pPr>
    </w:lvl>
    <w:lvl w:ilvl="4" w:tplc="18090019" w:tentative="1">
      <w:start w:val="1"/>
      <w:numFmt w:val="lowerLetter"/>
      <w:lvlText w:val="%5."/>
      <w:lvlJc w:val="left"/>
      <w:pPr>
        <w:ind w:left="4536" w:hanging="360"/>
      </w:pPr>
    </w:lvl>
    <w:lvl w:ilvl="5" w:tplc="1809001B" w:tentative="1">
      <w:start w:val="1"/>
      <w:numFmt w:val="lowerRoman"/>
      <w:lvlText w:val="%6."/>
      <w:lvlJc w:val="right"/>
      <w:pPr>
        <w:ind w:left="5256" w:hanging="180"/>
      </w:pPr>
    </w:lvl>
    <w:lvl w:ilvl="6" w:tplc="1809000F" w:tentative="1">
      <w:start w:val="1"/>
      <w:numFmt w:val="decimal"/>
      <w:lvlText w:val="%7."/>
      <w:lvlJc w:val="left"/>
      <w:pPr>
        <w:ind w:left="5976" w:hanging="360"/>
      </w:pPr>
    </w:lvl>
    <w:lvl w:ilvl="7" w:tplc="18090019" w:tentative="1">
      <w:start w:val="1"/>
      <w:numFmt w:val="lowerLetter"/>
      <w:lvlText w:val="%8."/>
      <w:lvlJc w:val="left"/>
      <w:pPr>
        <w:ind w:left="6696" w:hanging="360"/>
      </w:pPr>
    </w:lvl>
    <w:lvl w:ilvl="8" w:tplc="1809001B" w:tentative="1">
      <w:start w:val="1"/>
      <w:numFmt w:val="lowerRoman"/>
      <w:lvlText w:val="%9."/>
      <w:lvlJc w:val="right"/>
      <w:pPr>
        <w:ind w:left="7416" w:hanging="180"/>
      </w:pPr>
    </w:lvl>
  </w:abstractNum>
  <w:abstractNum w:abstractNumId="15" w15:restartNumberingAfterBreak="0">
    <w:nsid w:val="2EFF29F1"/>
    <w:multiLevelType w:val="hybridMultilevel"/>
    <w:tmpl w:val="9C0E5F6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CE70FA"/>
    <w:multiLevelType w:val="hybridMultilevel"/>
    <w:tmpl w:val="E27EB1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0F0BC2"/>
    <w:multiLevelType w:val="hybridMultilevel"/>
    <w:tmpl w:val="7814F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802814"/>
    <w:multiLevelType w:val="hybridMultilevel"/>
    <w:tmpl w:val="8B8040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0F5441C"/>
    <w:multiLevelType w:val="hybridMultilevel"/>
    <w:tmpl w:val="37D0B39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EE6667"/>
    <w:multiLevelType w:val="hybridMultilevel"/>
    <w:tmpl w:val="A0AA36A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2B71A7"/>
    <w:multiLevelType w:val="hybridMultilevel"/>
    <w:tmpl w:val="B25042A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B8903ED"/>
    <w:multiLevelType w:val="hybridMultilevel"/>
    <w:tmpl w:val="8354C7B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D01714"/>
    <w:multiLevelType w:val="hybridMultilevel"/>
    <w:tmpl w:val="440A90B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D24588"/>
    <w:multiLevelType w:val="hybridMultilevel"/>
    <w:tmpl w:val="4F4EC4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564F26"/>
    <w:multiLevelType w:val="hybridMultilevel"/>
    <w:tmpl w:val="3BCEC66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3980C4F"/>
    <w:multiLevelType w:val="hybridMultilevel"/>
    <w:tmpl w:val="AEE88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5164D73"/>
    <w:multiLevelType w:val="hybridMultilevel"/>
    <w:tmpl w:val="D1ECDAE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B90D99"/>
    <w:multiLevelType w:val="hybridMultilevel"/>
    <w:tmpl w:val="C3E6E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0B46FBD"/>
    <w:multiLevelType w:val="hybridMultilevel"/>
    <w:tmpl w:val="DEB4621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9440030"/>
    <w:multiLevelType w:val="hybridMultilevel"/>
    <w:tmpl w:val="E5605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A5768F"/>
    <w:multiLevelType w:val="hybridMultilevel"/>
    <w:tmpl w:val="B748D4E8"/>
    <w:lvl w:ilvl="0" w:tplc="18090005">
      <w:start w:val="1"/>
      <w:numFmt w:val="bullet"/>
      <w:lvlText w:val=""/>
      <w:lvlJc w:val="left"/>
      <w:pPr>
        <w:ind w:left="720" w:hanging="360"/>
      </w:pPr>
      <w:rPr>
        <w:rFonts w:ascii="Wingdings" w:hAnsi="Wingdings" w:hint="default"/>
      </w:rPr>
    </w:lvl>
    <w:lvl w:ilvl="1" w:tplc="76A63678">
      <w:numFmt w:val="bullet"/>
      <w:lvlText w:val="•"/>
      <w:lvlJc w:val="left"/>
      <w:pPr>
        <w:ind w:left="1440" w:hanging="360"/>
      </w:pPr>
      <w:rPr>
        <w:rFonts w:ascii="Calibri" w:eastAsiaTheme="minorHAnsi"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0"/>
  </w:num>
  <w:num w:numId="4">
    <w:abstractNumId w:val="21"/>
  </w:num>
  <w:num w:numId="5">
    <w:abstractNumId w:val="29"/>
  </w:num>
  <w:num w:numId="6">
    <w:abstractNumId w:val="4"/>
  </w:num>
  <w:num w:numId="7">
    <w:abstractNumId w:val="26"/>
  </w:num>
  <w:num w:numId="8">
    <w:abstractNumId w:val="3"/>
  </w:num>
  <w:num w:numId="9">
    <w:abstractNumId w:val="11"/>
  </w:num>
  <w:num w:numId="10">
    <w:abstractNumId w:val="1"/>
  </w:num>
  <w:num w:numId="11">
    <w:abstractNumId w:val="30"/>
  </w:num>
  <w:num w:numId="12">
    <w:abstractNumId w:val="24"/>
  </w:num>
  <w:num w:numId="13">
    <w:abstractNumId w:val="18"/>
  </w:num>
  <w:num w:numId="14">
    <w:abstractNumId w:val="6"/>
  </w:num>
  <w:num w:numId="15">
    <w:abstractNumId w:val="7"/>
  </w:num>
  <w:num w:numId="16">
    <w:abstractNumId w:val="2"/>
  </w:num>
  <w:num w:numId="17">
    <w:abstractNumId w:val="13"/>
  </w:num>
  <w:num w:numId="18">
    <w:abstractNumId w:val="8"/>
  </w:num>
  <w:num w:numId="19">
    <w:abstractNumId w:val="14"/>
  </w:num>
  <w:num w:numId="20">
    <w:abstractNumId w:val="9"/>
  </w:num>
  <w:num w:numId="21">
    <w:abstractNumId w:val="20"/>
  </w:num>
  <w:num w:numId="22">
    <w:abstractNumId w:val="19"/>
  </w:num>
  <w:num w:numId="23">
    <w:abstractNumId w:val="22"/>
  </w:num>
  <w:num w:numId="24">
    <w:abstractNumId w:val="25"/>
  </w:num>
  <w:num w:numId="25">
    <w:abstractNumId w:val="31"/>
  </w:num>
  <w:num w:numId="26">
    <w:abstractNumId w:val="5"/>
  </w:num>
  <w:num w:numId="27">
    <w:abstractNumId w:val="27"/>
  </w:num>
  <w:num w:numId="28">
    <w:abstractNumId w:val="12"/>
  </w:num>
  <w:num w:numId="29">
    <w:abstractNumId w:val="23"/>
  </w:num>
  <w:num w:numId="30">
    <w:abstractNumId w:val="10"/>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87"/>
    <w:rsid w:val="00015073"/>
    <w:rsid w:val="00020663"/>
    <w:rsid w:val="000351FB"/>
    <w:rsid w:val="000410E9"/>
    <w:rsid w:val="000552B6"/>
    <w:rsid w:val="00056550"/>
    <w:rsid w:val="000578A6"/>
    <w:rsid w:val="000840D4"/>
    <w:rsid w:val="000B20D8"/>
    <w:rsid w:val="000B4E52"/>
    <w:rsid w:val="000B52F6"/>
    <w:rsid w:val="000C2487"/>
    <w:rsid w:val="000D6D3A"/>
    <w:rsid w:val="001001CD"/>
    <w:rsid w:val="00101F37"/>
    <w:rsid w:val="0010432A"/>
    <w:rsid w:val="0012440E"/>
    <w:rsid w:val="00125C03"/>
    <w:rsid w:val="001267CC"/>
    <w:rsid w:val="001317B3"/>
    <w:rsid w:val="00132E78"/>
    <w:rsid w:val="00135922"/>
    <w:rsid w:val="001449A3"/>
    <w:rsid w:val="0015493E"/>
    <w:rsid w:val="00166DAE"/>
    <w:rsid w:val="00186CFB"/>
    <w:rsid w:val="00193F07"/>
    <w:rsid w:val="001956C9"/>
    <w:rsid w:val="00197BE0"/>
    <w:rsid w:val="001B0126"/>
    <w:rsid w:val="001C4C6C"/>
    <w:rsid w:val="001D0A98"/>
    <w:rsid w:val="001D424D"/>
    <w:rsid w:val="001D5C78"/>
    <w:rsid w:val="001E1684"/>
    <w:rsid w:val="001E35B6"/>
    <w:rsid w:val="001F540C"/>
    <w:rsid w:val="002038CD"/>
    <w:rsid w:val="0020647F"/>
    <w:rsid w:val="0023050C"/>
    <w:rsid w:val="0023095E"/>
    <w:rsid w:val="002341DD"/>
    <w:rsid w:val="00243006"/>
    <w:rsid w:val="00257A0C"/>
    <w:rsid w:val="002824D9"/>
    <w:rsid w:val="00295684"/>
    <w:rsid w:val="002A4128"/>
    <w:rsid w:val="002B4594"/>
    <w:rsid w:val="002B536D"/>
    <w:rsid w:val="00303391"/>
    <w:rsid w:val="00304214"/>
    <w:rsid w:val="003073E7"/>
    <w:rsid w:val="00320CE8"/>
    <w:rsid w:val="00325140"/>
    <w:rsid w:val="00333D5D"/>
    <w:rsid w:val="003457E5"/>
    <w:rsid w:val="00356DB7"/>
    <w:rsid w:val="00373014"/>
    <w:rsid w:val="003B309C"/>
    <w:rsid w:val="003B3BC0"/>
    <w:rsid w:val="003B667A"/>
    <w:rsid w:val="003B6E14"/>
    <w:rsid w:val="003D19FB"/>
    <w:rsid w:val="003E262C"/>
    <w:rsid w:val="003F77D0"/>
    <w:rsid w:val="003F7D8B"/>
    <w:rsid w:val="0040298D"/>
    <w:rsid w:val="0041177B"/>
    <w:rsid w:val="00414949"/>
    <w:rsid w:val="00421D7C"/>
    <w:rsid w:val="00422F50"/>
    <w:rsid w:val="004255F0"/>
    <w:rsid w:val="004262A0"/>
    <w:rsid w:val="0045285E"/>
    <w:rsid w:val="00471162"/>
    <w:rsid w:val="00477156"/>
    <w:rsid w:val="0048418C"/>
    <w:rsid w:val="004A7771"/>
    <w:rsid w:val="004D09F3"/>
    <w:rsid w:val="004E3AC4"/>
    <w:rsid w:val="0050281B"/>
    <w:rsid w:val="005123E6"/>
    <w:rsid w:val="0051383A"/>
    <w:rsid w:val="0052188D"/>
    <w:rsid w:val="00526B5B"/>
    <w:rsid w:val="00527C9C"/>
    <w:rsid w:val="00546214"/>
    <w:rsid w:val="00551759"/>
    <w:rsid w:val="00553C37"/>
    <w:rsid w:val="005652B6"/>
    <w:rsid w:val="00565C5F"/>
    <w:rsid w:val="00570EF1"/>
    <w:rsid w:val="00582895"/>
    <w:rsid w:val="00584CC6"/>
    <w:rsid w:val="00585037"/>
    <w:rsid w:val="005866E1"/>
    <w:rsid w:val="00590427"/>
    <w:rsid w:val="00591A42"/>
    <w:rsid w:val="005A081D"/>
    <w:rsid w:val="005A30D7"/>
    <w:rsid w:val="005B18C1"/>
    <w:rsid w:val="005C3E15"/>
    <w:rsid w:val="005C5A81"/>
    <w:rsid w:val="005C5AD5"/>
    <w:rsid w:val="005C5E32"/>
    <w:rsid w:val="005C7E9F"/>
    <w:rsid w:val="005D7FD8"/>
    <w:rsid w:val="005E7EFC"/>
    <w:rsid w:val="005F33F9"/>
    <w:rsid w:val="006070CC"/>
    <w:rsid w:val="0060782F"/>
    <w:rsid w:val="00610BEC"/>
    <w:rsid w:val="006220BB"/>
    <w:rsid w:val="00623B54"/>
    <w:rsid w:val="00625397"/>
    <w:rsid w:val="00627348"/>
    <w:rsid w:val="00630E1F"/>
    <w:rsid w:val="00634933"/>
    <w:rsid w:val="00647884"/>
    <w:rsid w:val="0065006C"/>
    <w:rsid w:val="0065640D"/>
    <w:rsid w:val="00662E95"/>
    <w:rsid w:val="00662FE2"/>
    <w:rsid w:val="006646C5"/>
    <w:rsid w:val="00665E4A"/>
    <w:rsid w:val="00666162"/>
    <w:rsid w:val="00677566"/>
    <w:rsid w:val="00680A95"/>
    <w:rsid w:val="0068297F"/>
    <w:rsid w:val="00684B5A"/>
    <w:rsid w:val="006946ED"/>
    <w:rsid w:val="006B4C21"/>
    <w:rsid w:val="006E3DB1"/>
    <w:rsid w:val="006E728F"/>
    <w:rsid w:val="006F4FF0"/>
    <w:rsid w:val="006F73A2"/>
    <w:rsid w:val="006F7DBB"/>
    <w:rsid w:val="007003AB"/>
    <w:rsid w:val="00712465"/>
    <w:rsid w:val="007229FD"/>
    <w:rsid w:val="00722B35"/>
    <w:rsid w:val="00731A15"/>
    <w:rsid w:val="00732A9C"/>
    <w:rsid w:val="0073486E"/>
    <w:rsid w:val="00734A23"/>
    <w:rsid w:val="007417A5"/>
    <w:rsid w:val="00750961"/>
    <w:rsid w:val="00752286"/>
    <w:rsid w:val="0075522E"/>
    <w:rsid w:val="00756047"/>
    <w:rsid w:val="007656CD"/>
    <w:rsid w:val="00780BF7"/>
    <w:rsid w:val="00784855"/>
    <w:rsid w:val="00792D20"/>
    <w:rsid w:val="007B0A7E"/>
    <w:rsid w:val="007C183E"/>
    <w:rsid w:val="007C1EF7"/>
    <w:rsid w:val="00805612"/>
    <w:rsid w:val="008129F7"/>
    <w:rsid w:val="00815CAE"/>
    <w:rsid w:val="00821B00"/>
    <w:rsid w:val="0082762E"/>
    <w:rsid w:val="00835BA7"/>
    <w:rsid w:val="00842D0A"/>
    <w:rsid w:val="008444E4"/>
    <w:rsid w:val="0085687B"/>
    <w:rsid w:val="0086150B"/>
    <w:rsid w:val="008640B7"/>
    <w:rsid w:val="008666DD"/>
    <w:rsid w:val="00876199"/>
    <w:rsid w:val="00880D7D"/>
    <w:rsid w:val="00883486"/>
    <w:rsid w:val="008909A8"/>
    <w:rsid w:val="008A3655"/>
    <w:rsid w:val="008A606B"/>
    <w:rsid w:val="008B0D20"/>
    <w:rsid w:val="008B2773"/>
    <w:rsid w:val="008B71AB"/>
    <w:rsid w:val="008C2180"/>
    <w:rsid w:val="008C5454"/>
    <w:rsid w:val="008C7FA9"/>
    <w:rsid w:val="008D13D7"/>
    <w:rsid w:val="008E3B6F"/>
    <w:rsid w:val="008F0F11"/>
    <w:rsid w:val="008F62F9"/>
    <w:rsid w:val="00902F86"/>
    <w:rsid w:val="009030EC"/>
    <w:rsid w:val="00915A09"/>
    <w:rsid w:val="00916D51"/>
    <w:rsid w:val="00931AC5"/>
    <w:rsid w:val="00932A8E"/>
    <w:rsid w:val="009377C4"/>
    <w:rsid w:val="00944411"/>
    <w:rsid w:val="0095329D"/>
    <w:rsid w:val="0095540D"/>
    <w:rsid w:val="009734A6"/>
    <w:rsid w:val="00982FA4"/>
    <w:rsid w:val="00984402"/>
    <w:rsid w:val="00985963"/>
    <w:rsid w:val="00987B5F"/>
    <w:rsid w:val="00990360"/>
    <w:rsid w:val="009B2F3E"/>
    <w:rsid w:val="009B5AC1"/>
    <w:rsid w:val="009B67D2"/>
    <w:rsid w:val="009C1536"/>
    <w:rsid w:val="009D5EFF"/>
    <w:rsid w:val="009F08C4"/>
    <w:rsid w:val="00A279C2"/>
    <w:rsid w:val="00A44724"/>
    <w:rsid w:val="00A46256"/>
    <w:rsid w:val="00A46D6F"/>
    <w:rsid w:val="00A51650"/>
    <w:rsid w:val="00A608ED"/>
    <w:rsid w:val="00A65C69"/>
    <w:rsid w:val="00A66C52"/>
    <w:rsid w:val="00A67027"/>
    <w:rsid w:val="00A74F04"/>
    <w:rsid w:val="00A8003C"/>
    <w:rsid w:val="00A92731"/>
    <w:rsid w:val="00A92B8A"/>
    <w:rsid w:val="00A94725"/>
    <w:rsid w:val="00AA01BA"/>
    <w:rsid w:val="00AA5909"/>
    <w:rsid w:val="00AB6BD5"/>
    <w:rsid w:val="00AC0308"/>
    <w:rsid w:val="00AC5A41"/>
    <w:rsid w:val="00AD010D"/>
    <w:rsid w:val="00AD61F5"/>
    <w:rsid w:val="00AD7DF5"/>
    <w:rsid w:val="00AE5DAB"/>
    <w:rsid w:val="00AE71A0"/>
    <w:rsid w:val="00AF0ED0"/>
    <w:rsid w:val="00AF5887"/>
    <w:rsid w:val="00B01682"/>
    <w:rsid w:val="00B026BB"/>
    <w:rsid w:val="00B05863"/>
    <w:rsid w:val="00B05B72"/>
    <w:rsid w:val="00B07364"/>
    <w:rsid w:val="00B12EEA"/>
    <w:rsid w:val="00B22D2A"/>
    <w:rsid w:val="00B339B9"/>
    <w:rsid w:val="00B45BEB"/>
    <w:rsid w:val="00B46312"/>
    <w:rsid w:val="00B57008"/>
    <w:rsid w:val="00B64678"/>
    <w:rsid w:val="00B73E0B"/>
    <w:rsid w:val="00B740A6"/>
    <w:rsid w:val="00B9520D"/>
    <w:rsid w:val="00BA2A4E"/>
    <w:rsid w:val="00BA7A0F"/>
    <w:rsid w:val="00BC2BE5"/>
    <w:rsid w:val="00BD6BD9"/>
    <w:rsid w:val="00BF4DBC"/>
    <w:rsid w:val="00C14774"/>
    <w:rsid w:val="00C20E37"/>
    <w:rsid w:val="00C2503B"/>
    <w:rsid w:val="00C3506C"/>
    <w:rsid w:val="00C4376B"/>
    <w:rsid w:val="00C54CBB"/>
    <w:rsid w:val="00C87B28"/>
    <w:rsid w:val="00C93D60"/>
    <w:rsid w:val="00C94678"/>
    <w:rsid w:val="00CA1D4D"/>
    <w:rsid w:val="00CC235A"/>
    <w:rsid w:val="00CC33D5"/>
    <w:rsid w:val="00CC6932"/>
    <w:rsid w:val="00CE5BB0"/>
    <w:rsid w:val="00CF06A2"/>
    <w:rsid w:val="00CF3789"/>
    <w:rsid w:val="00CF477F"/>
    <w:rsid w:val="00CF7C6A"/>
    <w:rsid w:val="00D02036"/>
    <w:rsid w:val="00D0395F"/>
    <w:rsid w:val="00D13207"/>
    <w:rsid w:val="00D17E00"/>
    <w:rsid w:val="00D200A7"/>
    <w:rsid w:val="00D20D1A"/>
    <w:rsid w:val="00D24948"/>
    <w:rsid w:val="00D324C2"/>
    <w:rsid w:val="00D51E43"/>
    <w:rsid w:val="00D5450C"/>
    <w:rsid w:val="00D55873"/>
    <w:rsid w:val="00D61E17"/>
    <w:rsid w:val="00D6255E"/>
    <w:rsid w:val="00D63365"/>
    <w:rsid w:val="00D6419B"/>
    <w:rsid w:val="00D6522D"/>
    <w:rsid w:val="00D746A3"/>
    <w:rsid w:val="00DA258B"/>
    <w:rsid w:val="00DA2956"/>
    <w:rsid w:val="00DA75F5"/>
    <w:rsid w:val="00DB3B7A"/>
    <w:rsid w:val="00DB7A5C"/>
    <w:rsid w:val="00DB7FCF"/>
    <w:rsid w:val="00DC4EFC"/>
    <w:rsid w:val="00DD6C0B"/>
    <w:rsid w:val="00DD6CDF"/>
    <w:rsid w:val="00DE0BA5"/>
    <w:rsid w:val="00DE2CBB"/>
    <w:rsid w:val="00DF1043"/>
    <w:rsid w:val="00DF10E3"/>
    <w:rsid w:val="00E25245"/>
    <w:rsid w:val="00E2663E"/>
    <w:rsid w:val="00E270B3"/>
    <w:rsid w:val="00E353CF"/>
    <w:rsid w:val="00E37EFA"/>
    <w:rsid w:val="00E41953"/>
    <w:rsid w:val="00E448CF"/>
    <w:rsid w:val="00E550ED"/>
    <w:rsid w:val="00E57583"/>
    <w:rsid w:val="00E653CC"/>
    <w:rsid w:val="00E677C7"/>
    <w:rsid w:val="00E7219C"/>
    <w:rsid w:val="00E92565"/>
    <w:rsid w:val="00EA6FFA"/>
    <w:rsid w:val="00EB3143"/>
    <w:rsid w:val="00EB74EC"/>
    <w:rsid w:val="00EB7C9D"/>
    <w:rsid w:val="00EC5A3B"/>
    <w:rsid w:val="00EC6D28"/>
    <w:rsid w:val="00ED0683"/>
    <w:rsid w:val="00ED5B0F"/>
    <w:rsid w:val="00EE2C5F"/>
    <w:rsid w:val="00EE3055"/>
    <w:rsid w:val="00EE34D6"/>
    <w:rsid w:val="00EF1FAB"/>
    <w:rsid w:val="00EF38AA"/>
    <w:rsid w:val="00F00268"/>
    <w:rsid w:val="00F00ABD"/>
    <w:rsid w:val="00F011D1"/>
    <w:rsid w:val="00F07AE3"/>
    <w:rsid w:val="00F17F79"/>
    <w:rsid w:val="00F42518"/>
    <w:rsid w:val="00F475E9"/>
    <w:rsid w:val="00F51076"/>
    <w:rsid w:val="00F579D2"/>
    <w:rsid w:val="00F603E7"/>
    <w:rsid w:val="00F72794"/>
    <w:rsid w:val="00F87338"/>
    <w:rsid w:val="00F90A01"/>
    <w:rsid w:val="00FB0CBC"/>
    <w:rsid w:val="00FB4CA7"/>
    <w:rsid w:val="00FC0E3A"/>
    <w:rsid w:val="00FD0789"/>
    <w:rsid w:val="00FE23C4"/>
    <w:rsid w:val="00FE7B02"/>
    <w:rsid w:val="00FF707F"/>
    <w:rsid w:val="00FF72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6E1"/>
  </w:style>
  <w:style w:type="paragraph" w:styleId="Heading1">
    <w:name w:val="heading 1"/>
    <w:basedOn w:val="Normal"/>
    <w:next w:val="Normal"/>
    <w:link w:val="Heading1Char"/>
    <w:uiPriority w:val="9"/>
    <w:qFormat/>
    <w:rsid w:val="00E575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75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887"/>
    <w:rPr>
      <w:color w:val="0000FF" w:themeColor="hyperlink"/>
      <w:u w:val="single"/>
    </w:rPr>
  </w:style>
  <w:style w:type="paragraph" w:styleId="BalloonText">
    <w:name w:val="Balloon Text"/>
    <w:basedOn w:val="Normal"/>
    <w:link w:val="BalloonTextChar"/>
    <w:uiPriority w:val="99"/>
    <w:semiHidden/>
    <w:unhideWhenUsed/>
    <w:rsid w:val="0075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286"/>
    <w:rPr>
      <w:rFonts w:ascii="Tahoma" w:hAnsi="Tahoma" w:cs="Tahoma"/>
      <w:sz w:val="16"/>
      <w:szCs w:val="16"/>
    </w:rPr>
  </w:style>
  <w:style w:type="paragraph" w:styleId="ListParagraph">
    <w:name w:val="List Paragraph"/>
    <w:basedOn w:val="Normal"/>
    <w:uiPriority w:val="34"/>
    <w:qFormat/>
    <w:rsid w:val="00792D20"/>
    <w:pPr>
      <w:ind w:left="720"/>
      <w:contextualSpacing/>
    </w:pPr>
  </w:style>
  <w:style w:type="character" w:customStyle="1" w:styleId="Heading1Char">
    <w:name w:val="Heading 1 Char"/>
    <w:basedOn w:val="DefaultParagraphFont"/>
    <w:link w:val="Heading1"/>
    <w:uiPriority w:val="9"/>
    <w:rsid w:val="00E57583"/>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E5758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57583"/>
    <w:rPr>
      <w:b/>
      <w:bCs/>
      <w:i/>
      <w:iCs/>
      <w:color w:val="4F81BD" w:themeColor="accent1"/>
    </w:rPr>
  </w:style>
  <w:style w:type="character" w:styleId="IntenseEmphasis">
    <w:name w:val="Intense Emphasis"/>
    <w:basedOn w:val="DefaultParagraphFont"/>
    <w:uiPriority w:val="21"/>
    <w:qFormat/>
    <w:rsid w:val="00E57583"/>
    <w:rPr>
      <w:b/>
      <w:bCs/>
      <w:i/>
      <w:iCs/>
      <w:color w:val="4F81BD" w:themeColor="accent1"/>
    </w:rPr>
  </w:style>
  <w:style w:type="paragraph" w:styleId="PlainText">
    <w:name w:val="Plain Text"/>
    <w:basedOn w:val="Normal"/>
    <w:link w:val="PlainTextChar"/>
    <w:uiPriority w:val="99"/>
    <w:semiHidden/>
    <w:unhideWhenUsed/>
    <w:rsid w:val="00E5758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57583"/>
    <w:rPr>
      <w:rFonts w:ascii="Calibri" w:hAnsi="Calibri"/>
      <w:szCs w:val="21"/>
    </w:rPr>
  </w:style>
  <w:style w:type="character" w:customStyle="1" w:styleId="Heading2Char">
    <w:name w:val="Heading 2 Char"/>
    <w:basedOn w:val="DefaultParagraphFont"/>
    <w:link w:val="Heading2"/>
    <w:uiPriority w:val="9"/>
    <w:rsid w:val="00E5758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916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D51"/>
  </w:style>
  <w:style w:type="paragraph" w:styleId="Footer">
    <w:name w:val="footer"/>
    <w:basedOn w:val="Normal"/>
    <w:link w:val="FooterChar"/>
    <w:uiPriority w:val="99"/>
    <w:unhideWhenUsed/>
    <w:rsid w:val="00916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D51"/>
  </w:style>
  <w:style w:type="paragraph" w:styleId="FootnoteText">
    <w:name w:val="footnote text"/>
    <w:basedOn w:val="Normal"/>
    <w:link w:val="FootnoteTextChar"/>
    <w:uiPriority w:val="99"/>
    <w:semiHidden/>
    <w:unhideWhenUsed/>
    <w:rsid w:val="00B463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312"/>
    <w:rPr>
      <w:sz w:val="20"/>
      <w:szCs w:val="20"/>
    </w:rPr>
  </w:style>
  <w:style w:type="character" w:styleId="FootnoteReference">
    <w:name w:val="footnote reference"/>
    <w:basedOn w:val="DefaultParagraphFont"/>
    <w:uiPriority w:val="99"/>
    <w:semiHidden/>
    <w:unhideWhenUsed/>
    <w:rsid w:val="00B46312"/>
    <w:rPr>
      <w:vertAlign w:val="superscript"/>
    </w:rPr>
  </w:style>
  <w:style w:type="character" w:styleId="CommentReference">
    <w:name w:val="annotation reference"/>
    <w:basedOn w:val="DefaultParagraphFont"/>
    <w:uiPriority w:val="99"/>
    <w:semiHidden/>
    <w:unhideWhenUsed/>
    <w:rsid w:val="00C2503B"/>
    <w:rPr>
      <w:sz w:val="16"/>
      <w:szCs w:val="16"/>
    </w:rPr>
  </w:style>
  <w:style w:type="paragraph" w:styleId="CommentText">
    <w:name w:val="annotation text"/>
    <w:basedOn w:val="Normal"/>
    <w:link w:val="CommentTextChar"/>
    <w:uiPriority w:val="99"/>
    <w:semiHidden/>
    <w:unhideWhenUsed/>
    <w:rsid w:val="00C2503B"/>
    <w:pPr>
      <w:spacing w:line="240" w:lineRule="auto"/>
    </w:pPr>
    <w:rPr>
      <w:sz w:val="20"/>
      <w:szCs w:val="20"/>
    </w:rPr>
  </w:style>
  <w:style w:type="character" w:customStyle="1" w:styleId="CommentTextChar">
    <w:name w:val="Comment Text Char"/>
    <w:basedOn w:val="DefaultParagraphFont"/>
    <w:link w:val="CommentText"/>
    <w:uiPriority w:val="99"/>
    <w:semiHidden/>
    <w:rsid w:val="00C2503B"/>
    <w:rPr>
      <w:sz w:val="20"/>
      <w:szCs w:val="20"/>
    </w:rPr>
  </w:style>
  <w:style w:type="paragraph" w:styleId="CommentSubject">
    <w:name w:val="annotation subject"/>
    <w:basedOn w:val="CommentText"/>
    <w:next w:val="CommentText"/>
    <w:link w:val="CommentSubjectChar"/>
    <w:uiPriority w:val="99"/>
    <w:semiHidden/>
    <w:unhideWhenUsed/>
    <w:rsid w:val="00C2503B"/>
    <w:rPr>
      <w:b/>
      <w:bCs/>
    </w:rPr>
  </w:style>
  <w:style w:type="character" w:customStyle="1" w:styleId="CommentSubjectChar">
    <w:name w:val="Comment Subject Char"/>
    <w:basedOn w:val="CommentTextChar"/>
    <w:link w:val="CommentSubject"/>
    <w:uiPriority w:val="99"/>
    <w:semiHidden/>
    <w:rsid w:val="00C2503B"/>
    <w:rPr>
      <w:b/>
      <w:bCs/>
      <w:sz w:val="20"/>
      <w:szCs w:val="20"/>
    </w:rPr>
  </w:style>
  <w:style w:type="paragraph" w:styleId="NoSpacing">
    <w:name w:val="No Spacing"/>
    <w:uiPriority w:val="1"/>
    <w:qFormat/>
    <w:rsid w:val="00EE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0821">
      <w:bodyDiv w:val="1"/>
      <w:marLeft w:val="0"/>
      <w:marRight w:val="0"/>
      <w:marTop w:val="0"/>
      <w:marBottom w:val="0"/>
      <w:divBdr>
        <w:top w:val="none" w:sz="0" w:space="0" w:color="auto"/>
        <w:left w:val="none" w:sz="0" w:space="0" w:color="auto"/>
        <w:bottom w:val="none" w:sz="0" w:space="0" w:color="auto"/>
        <w:right w:val="none" w:sz="0" w:space="0" w:color="auto"/>
      </w:divBdr>
    </w:div>
    <w:div w:id="4758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tizensinformation.ie" TargetMode="External"/><Relationship Id="rId4" Type="http://schemas.openxmlformats.org/officeDocument/2006/relationships/settings" Target="settings.xml"/><Relationship Id="rId9" Type="http://schemas.openxmlformats.org/officeDocument/2006/relationships/hyperlink" Target="http://www.citizensinformation.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itizensinformationboard.ie/downloads/social_policy/MABS_Clients_and_Mortgage_Arrears_Jan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9F8F-6C3D-461D-9AFC-F9F97EEC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8685</Words>
  <Characters>49509</Characters>
  <Application>Microsoft Office Word</Application>
  <DocSecurity>0</DocSecurity>
  <Lines>412</Lines>
  <Paragraphs>116</Paragraphs>
  <ScaleCrop>false</ScaleCrop>
  <Company/>
  <LinksUpToDate>false</LinksUpToDate>
  <CharactersWithSpaces>58078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2016-09-05T14:25:00Z</dcterms:created>
  <dcterms:modified xsi:type="dcterms:W3CDTF">2016-09-05T14:25:00Z</dcterms:modified>
</cp:coreProperties>
</file>