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B49" w:rsidRDefault="00247CF3" w:rsidP="001E35A1">
      <w:pPr>
        <w:pStyle w:val="Subtitle"/>
        <w:jc w:val="right"/>
        <w:rPr>
          <w:color w:val="1F497D" w:themeColor="text2"/>
          <w:sz w:val="52"/>
          <w:szCs w:val="52"/>
        </w:rPr>
      </w:pPr>
      <w:bookmarkStart w:id="0" w:name="_GoBack"/>
      <w:bookmarkEnd w:id="0"/>
      <w:r w:rsidRPr="003E39E9">
        <w:rPr>
          <w:rFonts w:ascii="Candara" w:hAnsi="Candara"/>
          <w:noProof/>
          <w:lang w:eastAsia="en-IE"/>
        </w:rPr>
        <mc:AlternateContent>
          <mc:Choice Requires="wps">
            <w:drawing>
              <wp:anchor distT="0" distB="0" distL="114300" distR="114300" simplePos="0" relativeHeight="251677696" behindDoc="0" locked="0" layoutInCell="1" allowOverlap="1" wp14:anchorId="35F66FCA" wp14:editId="4A2B6C9A">
                <wp:simplePos x="0" y="0"/>
                <wp:positionH relativeFrom="column">
                  <wp:posOffset>-76200</wp:posOffset>
                </wp:positionH>
                <wp:positionV relativeFrom="paragraph">
                  <wp:posOffset>739775</wp:posOffset>
                </wp:positionV>
                <wp:extent cx="6766560" cy="1403985"/>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1403985"/>
                        </a:xfrm>
                        <a:prstGeom prst="rect">
                          <a:avLst/>
                        </a:prstGeom>
                        <a:solidFill>
                          <a:srgbClr val="FFFFFF"/>
                        </a:solidFill>
                        <a:ln w="9525">
                          <a:noFill/>
                          <a:miter lim="800000"/>
                          <a:headEnd/>
                          <a:tailEnd/>
                        </a:ln>
                      </wps:spPr>
                      <wps:txbx>
                        <w:txbxContent>
                          <w:p w:rsidR="00FE63F9" w:rsidRDefault="003E39E9" w:rsidP="003E39E9">
                            <w:pPr>
                              <w:jc w:val="center"/>
                              <w:rPr>
                                <w:rFonts w:asciiTheme="majorHAnsi" w:hAnsiTheme="majorHAnsi"/>
                                <w:sz w:val="20"/>
                                <w:szCs w:val="20"/>
                              </w:rPr>
                            </w:pPr>
                            <w:r w:rsidRPr="003E39E9">
                              <w:rPr>
                                <w:rFonts w:asciiTheme="majorHAnsi" w:hAnsiTheme="majorHAnsi"/>
                                <w:sz w:val="20"/>
                                <w:szCs w:val="20"/>
                              </w:rPr>
                              <w:t xml:space="preserve">Social Policy Update focuses on the social policy work of CIB and our delivery services throughout the country. </w:t>
                            </w:r>
                          </w:p>
                          <w:p w:rsidR="003E39E9" w:rsidRPr="003E39E9" w:rsidRDefault="003E39E9" w:rsidP="003E39E9">
                            <w:pPr>
                              <w:jc w:val="center"/>
                              <w:rPr>
                                <w:rFonts w:asciiTheme="majorHAnsi" w:hAnsiTheme="majorHAnsi"/>
                                <w:sz w:val="20"/>
                                <w:szCs w:val="20"/>
                              </w:rPr>
                            </w:pPr>
                            <w:r w:rsidRPr="003E39E9">
                              <w:rPr>
                                <w:rFonts w:asciiTheme="majorHAnsi" w:hAnsiTheme="majorHAnsi"/>
                                <w:sz w:val="20"/>
                                <w:szCs w:val="20"/>
                              </w:rPr>
                              <w:t>It also provides information on national social policy news and developments.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F66FCA" id="_x0000_t202" coordsize="21600,21600" o:spt="202" path="m,l,21600r21600,l21600,xe">
                <v:stroke joinstyle="miter"/>
                <v:path gradientshapeok="t" o:connecttype="rect"/>
              </v:shapetype>
              <v:shape id="Text Box 2" o:spid="_x0000_s1026" type="#_x0000_t202" style="position:absolute;left:0;text-align:left;margin-left:-6pt;margin-top:58.25pt;width:532.8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" stroked="f">
                <v:textbox style="mso-fit-shape-to-text:t">
                  <w:txbxContent>
                    <w:p w:rsidR="00FE63F9" w:rsidRDefault="003E39E9" w:rsidP="003E39E9">
                      <w:pPr>
                        <w:jc w:val="center"/>
                        <w:rPr>
                          <w:rFonts w:asciiTheme="majorHAnsi" w:hAnsiTheme="majorHAnsi"/>
                          <w:sz w:val="20"/>
                          <w:szCs w:val="20"/>
                        </w:rPr>
                      </w:pPr>
                      <w:r w:rsidRPr="003E39E9">
                        <w:rPr>
                          <w:rFonts w:asciiTheme="majorHAnsi" w:hAnsiTheme="majorHAnsi"/>
                          <w:sz w:val="20"/>
                          <w:szCs w:val="20"/>
                        </w:rPr>
                        <w:t xml:space="preserve">Social Policy Update focuses on the social policy work of CIB and our delivery services throughout the country. </w:t>
                      </w:r>
                    </w:p>
                    <w:p w:rsidR="003E39E9" w:rsidRPr="003E39E9" w:rsidRDefault="003E39E9" w:rsidP="003E39E9">
                      <w:pPr>
                        <w:jc w:val="center"/>
                        <w:rPr>
                          <w:rFonts w:asciiTheme="majorHAnsi" w:hAnsiTheme="majorHAnsi"/>
                          <w:sz w:val="20"/>
                          <w:szCs w:val="20"/>
                        </w:rPr>
                      </w:pPr>
                      <w:r w:rsidRPr="003E39E9">
                        <w:rPr>
                          <w:rFonts w:asciiTheme="majorHAnsi" w:hAnsiTheme="majorHAnsi"/>
                          <w:sz w:val="20"/>
                          <w:szCs w:val="20"/>
                        </w:rPr>
                        <w:t>It also provides information on national social policy news and developments.</w:t>
                      </w:r>
                    </w:p>
                  </w:txbxContent>
                </v:textbox>
              </v:shape>
            </w:pict>
          </mc:Fallback>
        </mc:AlternateContent>
      </w:r>
      <w:r w:rsidR="001E35A1" w:rsidRPr="001E35A1">
        <w:rPr>
          <w:noProof/>
          <w:color w:val="1F497D" w:themeColor="text2"/>
          <w:sz w:val="52"/>
          <w:szCs w:val="52"/>
          <w:lang w:eastAsia="en-IE"/>
        </w:rPr>
        <mc:AlternateContent>
          <mc:Choice Requires="wps">
            <w:drawing>
              <wp:anchor distT="0" distB="0" distL="114300" distR="114300" simplePos="0" relativeHeight="251668480" behindDoc="0" locked="0" layoutInCell="1" allowOverlap="1" wp14:anchorId="7EF23013" wp14:editId="2C2B4AD4">
                <wp:simplePos x="0" y="0"/>
                <wp:positionH relativeFrom="column">
                  <wp:posOffset>-76200</wp:posOffset>
                </wp:positionH>
                <wp:positionV relativeFrom="paragraph">
                  <wp:posOffset>-137160</wp:posOffset>
                </wp:positionV>
                <wp:extent cx="4122420" cy="101346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2420" cy="1013460"/>
                        </a:xfrm>
                        <a:prstGeom prst="rect">
                          <a:avLst/>
                        </a:prstGeom>
                        <a:solidFill>
                          <a:srgbClr val="FFFFFF"/>
                        </a:solidFill>
                        <a:ln w="9525">
                          <a:noFill/>
                          <a:miter lim="800000"/>
                          <a:headEnd/>
                          <a:tailEnd/>
                        </a:ln>
                      </wps:spPr>
                      <wps:txbx>
                        <w:txbxContent>
                          <w:p w:rsidR="001E35A1" w:rsidRPr="00A26DBD" w:rsidRDefault="001E35A1">
                            <w:pPr>
                              <w:rPr>
                                <w:rFonts w:asciiTheme="majorHAnsi" w:hAnsiTheme="majorHAnsi"/>
                                <w:b/>
                                <w:color w:val="0070C0"/>
                                <w:sz w:val="56"/>
                                <w:szCs w:val="56"/>
                              </w:rPr>
                            </w:pPr>
                            <w:r w:rsidRPr="00A26DBD">
                              <w:rPr>
                                <w:rFonts w:asciiTheme="majorHAnsi" w:hAnsiTheme="majorHAnsi"/>
                                <w:b/>
                                <w:color w:val="0070C0"/>
                                <w:sz w:val="56"/>
                                <w:szCs w:val="56"/>
                              </w:rPr>
                              <w:t>Social Policy Update</w:t>
                            </w:r>
                          </w:p>
                          <w:p w:rsidR="001E35A1" w:rsidRPr="00A26DBD" w:rsidRDefault="005A14C8">
                            <w:pPr>
                              <w:rPr>
                                <w:rFonts w:asciiTheme="majorHAnsi" w:hAnsiTheme="majorHAnsi"/>
                                <w:b/>
                                <w:i/>
                                <w:color w:val="0070C0"/>
                                <w:sz w:val="52"/>
                                <w:szCs w:val="52"/>
                              </w:rPr>
                            </w:pPr>
                            <w:r>
                              <w:rPr>
                                <w:rFonts w:asciiTheme="majorHAnsi" w:hAnsiTheme="majorHAnsi"/>
                                <w:b/>
                                <w:i/>
                                <w:color w:val="0070C0"/>
                                <w:sz w:val="52"/>
                                <w:szCs w:val="52"/>
                              </w:rPr>
                              <w:t>October</w:t>
                            </w:r>
                            <w:r w:rsidR="001E35A1" w:rsidRPr="00A26DBD">
                              <w:rPr>
                                <w:rFonts w:asciiTheme="majorHAnsi" w:hAnsiTheme="majorHAnsi"/>
                                <w:b/>
                                <w:i/>
                                <w:color w:val="0070C0"/>
                                <w:sz w:val="52"/>
                                <w:szCs w:val="52"/>
                              </w:rPr>
                              <w:t xml:space="preserve">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23013" id="_x0000_s1027" type="#_x0000_t202" style="position:absolute;left:0;text-align:left;margin-left:-6pt;margin-top:-10.8pt;width:324.6pt;height:7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" stroked="f">
                <v:textbox>
                  <w:txbxContent>
                    <w:p w:rsidR="001E35A1" w:rsidRPr="00A26DBD" w:rsidRDefault="001E35A1">
                      <w:pPr>
                        <w:rPr>
                          <w:rFonts w:asciiTheme="majorHAnsi" w:hAnsiTheme="majorHAnsi"/>
                          <w:b/>
                          <w:color w:val="0070C0"/>
                          <w:sz w:val="56"/>
                          <w:szCs w:val="56"/>
                        </w:rPr>
                      </w:pPr>
                      <w:r w:rsidRPr="00A26DBD">
                        <w:rPr>
                          <w:rFonts w:asciiTheme="majorHAnsi" w:hAnsiTheme="majorHAnsi"/>
                          <w:b/>
                          <w:color w:val="0070C0"/>
                          <w:sz w:val="56"/>
                          <w:szCs w:val="56"/>
                        </w:rPr>
                        <w:t>Social Policy Update</w:t>
                      </w:r>
                    </w:p>
                    <w:p w:rsidR="001E35A1" w:rsidRPr="00A26DBD" w:rsidRDefault="005A14C8">
                      <w:pPr>
                        <w:rPr>
                          <w:rFonts w:asciiTheme="majorHAnsi" w:hAnsiTheme="majorHAnsi"/>
                          <w:b/>
                          <w:i/>
                          <w:color w:val="0070C0"/>
                          <w:sz w:val="52"/>
                          <w:szCs w:val="52"/>
                        </w:rPr>
                      </w:pPr>
                      <w:r>
                        <w:rPr>
                          <w:rFonts w:asciiTheme="majorHAnsi" w:hAnsiTheme="majorHAnsi"/>
                          <w:b/>
                          <w:i/>
                          <w:color w:val="0070C0"/>
                          <w:sz w:val="52"/>
                          <w:szCs w:val="52"/>
                        </w:rPr>
                        <w:t>October</w:t>
                      </w:r>
                      <w:r w:rsidR="001E35A1" w:rsidRPr="00A26DBD">
                        <w:rPr>
                          <w:rFonts w:asciiTheme="majorHAnsi" w:hAnsiTheme="majorHAnsi"/>
                          <w:b/>
                          <w:i/>
                          <w:color w:val="0070C0"/>
                          <w:sz w:val="52"/>
                          <w:szCs w:val="52"/>
                        </w:rPr>
                        <w:t xml:space="preserve"> 2017</w:t>
                      </w:r>
                    </w:p>
                  </w:txbxContent>
                </v:textbox>
              </v:shape>
            </w:pict>
          </mc:Fallback>
        </mc:AlternateContent>
      </w:r>
      <w:r w:rsidR="001E35A1">
        <w:rPr>
          <w:noProof/>
          <w:color w:val="1F497D" w:themeColor="text2"/>
          <w:sz w:val="52"/>
          <w:szCs w:val="52"/>
          <w:lang w:eastAsia="en-IE"/>
        </w:rPr>
        <w:drawing>
          <wp:inline distT="0" distB="0" distL="0" distR="0" wp14:anchorId="13E27FA9" wp14:editId="7348254C">
            <wp:extent cx="2689860" cy="8077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7456" cy="810001"/>
                    </a:xfrm>
                    <a:prstGeom prst="rect">
                      <a:avLst/>
                    </a:prstGeom>
                    <a:noFill/>
                  </pic:spPr>
                </pic:pic>
              </a:graphicData>
            </a:graphic>
          </wp:inline>
        </w:drawing>
      </w:r>
    </w:p>
    <w:p w:rsidR="003E39E9" w:rsidRPr="003E39E9" w:rsidRDefault="003E39E9" w:rsidP="003E39E9">
      <w:pPr>
        <w:rPr>
          <w:lang w:eastAsia="en-GB"/>
        </w:rPr>
      </w:pPr>
    </w:p>
    <w:p w:rsidR="00A26DBD" w:rsidRDefault="00A26DBD" w:rsidP="00A26DBD">
      <w:pPr>
        <w:rPr>
          <w:lang w:eastAsia="en-GB"/>
        </w:rPr>
      </w:pPr>
    </w:p>
    <w:p w:rsidR="00476B49" w:rsidRPr="00F042DE" w:rsidRDefault="00476B49" w:rsidP="00DF79BE">
      <w:pPr>
        <w:pBdr>
          <w:top w:val="single" w:sz="4" w:space="0" w:color="auto"/>
          <w:left w:val="single" w:sz="4" w:space="4" w:color="auto"/>
          <w:bottom w:val="single" w:sz="4" w:space="1" w:color="auto"/>
          <w:right w:val="single" w:sz="4" w:space="0" w:color="auto"/>
        </w:pBdr>
        <w:shd w:val="clear" w:color="auto" w:fill="C6D9F1" w:themeFill="text2" w:themeFillTint="33"/>
        <w:jc w:val="center"/>
        <w:rPr>
          <w:rFonts w:ascii="Candara" w:hAnsi="Candara"/>
          <w:b/>
          <w:sz w:val="28"/>
          <w:szCs w:val="28"/>
        </w:rPr>
      </w:pPr>
      <w:r w:rsidRPr="00C93D3D">
        <w:rPr>
          <w:rFonts w:ascii="Candara" w:hAnsi="Candara"/>
          <w:b/>
          <w:sz w:val="28"/>
          <w:szCs w:val="28"/>
        </w:rPr>
        <w:t>Contents</w:t>
      </w:r>
    </w:p>
    <w:p w:rsidR="00331E9F" w:rsidRDefault="00476B49" w:rsidP="00DF79BE">
      <w:pPr>
        <w:pBdr>
          <w:top w:val="single" w:sz="4" w:space="0" w:color="auto"/>
          <w:left w:val="single" w:sz="4" w:space="4" w:color="auto"/>
          <w:bottom w:val="single" w:sz="4" w:space="1" w:color="auto"/>
          <w:right w:val="single" w:sz="4" w:space="0" w:color="auto"/>
        </w:pBdr>
        <w:rPr>
          <w:rFonts w:ascii="Candara" w:hAnsi="Candara"/>
          <w:b/>
          <w:color w:val="1F497D" w:themeColor="text2"/>
        </w:rPr>
      </w:pPr>
      <w:r w:rsidRPr="000274A3">
        <w:rPr>
          <w:rFonts w:ascii="Candara" w:hAnsi="Candara"/>
          <w:b/>
          <w:color w:val="1F497D" w:themeColor="text2"/>
        </w:rPr>
        <w:t xml:space="preserve">CIB </w:t>
      </w:r>
      <w:r w:rsidR="00813DF9" w:rsidRPr="000274A3">
        <w:rPr>
          <w:rFonts w:ascii="Candara" w:hAnsi="Candara"/>
          <w:b/>
          <w:color w:val="1F497D" w:themeColor="text2"/>
        </w:rPr>
        <w:t>So</w:t>
      </w:r>
      <w:r w:rsidR="00331E9F" w:rsidRPr="000274A3">
        <w:rPr>
          <w:rFonts w:ascii="Candara" w:hAnsi="Candara"/>
          <w:b/>
          <w:color w:val="1F497D" w:themeColor="text2"/>
        </w:rPr>
        <w:t xml:space="preserve">cial Policy and Research News  </w:t>
      </w:r>
      <w:r w:rsidR="001719B4">
        <w:rPr>
          <w:rFonts w:ascii="Candara" w:hAnsi="Candara"/>
          <w:b/>
          <w:color w:val="1F497D" w:themeColor="text2"/>
        </w:rPr>
        <w:tab/>
      </w:r>
      <w:r w:rsidR="00632340">
        <w:rPr>
          <w:rFonts w:ascii="Candara" w:hAnsi="Candara"/>
          <w:b/>
        </w:rPr>
        <w:tab/>
      </w:r>
      <w:r w:rsidR="00167A7E">
        <w:rPr>
          <w:rFonts w:ascii="Candara" w:hAnsi="Candara"/>
          <w:b/>
        </w:rPr>
        <w:tab/>
      </w:r>
      <w:r w:rsidR="00167A7E">
        <w:rPr>
          <w:rFonts w:ascii="Candara" w:hAnsi="Candara"/>
          <w:b/>
        </w:rPr>
        <w:tab/>
      </w:r>
      <w:r w:rsidR="00167A7E">
        <w:rPr>
          <w:rFonts w:ascii="Candara" w:hAnsi="Candara"/>
          <w:b/>
        </w:rPr>
        <w:tab/>
      </w:r>
      <w:r w:rsidR="00167A7E">
        <w:rPr>
          <w:rFonts w:ascii="Candara" w:hAnsi="Candara"/>
          <w:b/>
        </w:rPr>
        <w:tab/>
      </w:r>
      <w:r w:rsidR="00167A7E">
        <w:rPr>
          <w:rFonts w:ascii="Candara" w:hAnsi="Candara"/>
          <w:b/>
        </w:rPr>
        <w:tab/>
      </w:r>
      <w:r w:rsidR="00167A7E">
        <w:rPr>
          <w:rFonts w:ascii="Candara" w:hAnsi="Candara"/>
          <w:b/>
        </w:rPr>
        <w:tab/>
      </w:r>
      <w:r w:rsidR="00167A7E">
        <w:rPr>
          <w:rFonts w:ascii="Candara" w:hAnsi="Candara"/>
          <w:b/>
        </w:rPr>
        <w:tab/>
      </w:r>
      <w:r w:rsidR="00167A7E" w:rsidRPr="000274A3">
        <w:rPr>
          <w:rFonts w:ascii="Candara" w:hAnsi="Candara"/>
          <w:b/>
          <w:color w:val="1F497D" w:themeColor="text2"/>
        </w:rPr>
        <w:t xml:space="preserve">1 – </w:t>
      </w:r>
      <w:r w:rsidR="00697E4C">
        <w:rPr>
          <w:rFonts w:ascii="Candara" w:hAnsi="Candara"/>
          <w:b/>
          <w:color w:val="1F497D" w:themeColor="text2"/>
        </w:rPr>
        <w:t>4</w:t>
      </w:r>
    </w:p>
    <w:p w:rsidR="00DF79BE" w:rsidRDefault="000033B2" w:rsidP="00DF79BE">
      <w:pPr>
        <w:pBdr>
          <w:top w:val="single" w:sz="4" w:space="0" w:color="auto"/>
          <w:left w:val="single" w:sz="4" w:space="4" w:color="auto"/>
          <w:bottom w:val="single" w:sz="4" w:space="1" w:color="auto"/>
          <w:right w:val="single" w:sz="4" w:space="0" w:color="auto"/>
        </w:pBdr>
        <w:ind w:firstLine="720"/>
        <w:rPr>
          <w:rFonts w:ascii="Candara" w:hAnsi="Candara"/>
          <w:i/>
          <w:sz w:val="20"/>
          <w:szCs w:val="20"/>
        </w:rPr>
      </w:pPr>
      <w:r>
        <w:rPr>
          <w:rFonts w:ascii="Candara" w:hAnsi="Candara"/>
          <w:i/>
          <w:sz w:val="20"/>
          <w:szCs w:val="20"/>
        </w:rPr>
        <w:t>Budget 20</w:t>
      </w:r>
      <w:r w:rsidR="00F54FC0">
        <w:rPr>
          <w:rFonts w:ascii="Candara" w:hAnsi="Candara"/>
          <w:i/>
          <w:sz w:val="20"/>
          <w:szCs w:val="20"/>
        </w:rPr>
        <w:t xml:space="preserve">18; Consultations on </w:t>
      </w:r>
      <w:r w:rsidR="00697E4C">
        <w:rPr>
          <w:rFonts w:ascii="Candara" w:hAnsi="Candara"/>
          <w:i/>
          <w:sz w:val="20"/>
          <w:szCs w:val="20"/>
        </w:rPr>
        <w:t>P</w:t>
      </w:r>
      <w:r w:rsidR="00F54FC0">
        <w:rPr>
          <w:rFonts w:ascii="Candara" w:hAnsi="Candara"/>
          <w:i/>
          <w:sz w:val="20"/>
          <w:szCs w:val="20"/>
        </w:rPr>
        <w:t xml:space="preserve">ersonalised </w:t>
      </w:r>
      <w:r w:rsidR="00697E4C">
        <w:rPr>
          <w:rFonts w:ascii="Candara" w:hAnsi="Candara"/>
          <w:i/>
          <w:sz w:val="20"/>
          <w:szCs w:val="20"/>
        </w:rPr>
        <w:t>B</w:t>
      </w:r>
      <w:r w:rsidR="00F54FC0">
        <w:rPr>
          <w:rFonts w:ascii="Candara" w:hAnsi="Candara"/>
          <w:i/>
          <w:sz w:val="20"/>
          <w:szCs w:val="20"/>
        </w:rPr>
        <w:t>udgets</w:t>
      </w:r>
      <w:r w:rsidR="0008616A">
        <w:rPr>
          <w:rFonts w:ascii="Candara" w:hAnsi="Candara"/>
          <w:i/>
          <w:sz w:val="20"/>
          <w:szCs w:val="20"/>
        </w:rPr>
        <w:t>,</w:t>
      </w:r>
      <w:r w:rsidR="00F54FC0">
        <w:rPr>
          <w:rFonts w:ascii="Candara" w:hAnsi="Candara"/>
          <w:i/>
          <w:sz w:val="20"/>
          <w:szCs w:val="20"/>
        </w:rPr>
        <w:t xml:space="preserve"> </w:t>
      </w:r>
      <w:r w:rsidR="00697E4C">
        <w:rPr>
          <w:rFonts w:ascii="Candara" w:hAnsi="Candara"/>
          <w:i/>
          <w:sz w:val="20"/>
          <w:szCs w:val="20"/>
        </w:rPr>
        <w:t>R</w:t>
      </w:r>
      <w:r w:rsidR="00F54FC0">
        <w:rPr>
          <w:rFonts w:ascii="Candara" w:hAnsi="Candara"/>
          <w:i/>
          <w:sz w:val="20"/>
          <w:szCs w:val="20"/>
        </w:rPr>
        <w:t xml:space="preserve">eturning </w:t>
      </w:r>
      <w:r w:rsidR="0008616A">
        <w:rPr>
          <w:rFonts w:ascii="Candara" w:hAnsi="Candara"/>
          <w:i/>
          <w:sz w:val="20"/>
          <w:szCs w:val="20"/>
        </w:rPr>
        <w:t>Migrants,</w:t>
      </w:r>
      <w:r w:rsidR="00F54FC0">
        <w:rPr>
          <w:rFonts w:ascii="Candara" w:hAnsi="Candara"/>
          <w:i/>
          <w:sz w:val="20"/>
          <w:szCs w:val="20"/>
        </w:rPr>
        <w:t xml:space="preserve"> </w:t>
      </w:r>
    </w:p>
    <w:p w:rsidR="00645D71" w:rsidRPr="00B75FC0" w:rsidRDefault="00F54FC0" w:rsidP="00DF79BE">
      <w:pPr>
        <w:pBdr>
          <w:top w:val="single" w:sz="4" w:space="0" w:color="auto"/>
          <w:left w:val="single" w:sz="4" w:space="4" w:color="auto"/>
          <w:bottom w:val="single" w:sz="4" w:space="1" w:color="auto"/>
          <w:right w:val="single" w:sz="4" w:space="0" w:color="auto"/>
        </w:pBdr>
        <w:ind w:firstLine="720"/>
        <w:rPr>
          <w:rFonts w:ascii="Candara" w:hAnsi="Candara"/>
          <w:i/>
          <w:sz w:val="20"/>
          <w:szCs w:val="20"/>
        </w:rPr>
      </w:pPr>
      <w:r>
        <w:rPr>
          <w:rFonts w:ascii="Candara" w:hAnsi="Candara"/>
          <w:i/>
          <w:sz w:val="20"/>
          <w:szCs w:val="20"/>
        </w:rPr>
        <w:t>Non-Geographic Numbers</w:t>
      </w:r>
      <w:r w:rsidR="0008616A">
        <w:rPr>
          <w:rFonts w:ascii="Candara" w:hAnsi="Candara"/>
          <w:i/>
          <w:sz w:val="20"/>
          <w:szCs w:val="20"/>
        </w:rPr>
        <w:t>,</w:t>
      </w:r>
      <w:r>
        <w:rPr>
          <w:rFonts w:ascii="Candara" w:hAnsi="Candara"/>
          <w:i/>
          <w:sz w:val="20"/>
          <w:szCs w:val="20"/>
        </w:rPr>
        <w:t xml:space="preserve"> CIS National Activity Reports; </w:t>
      </w:r>
    </w:p>
    <w:p w:rsidR="001719B4" w:rsidRDefault="007E5E40" w:rsidP="00DF79BE">
      <w:pPr>
        <w:pBdr>
          <w:top w:val="single" w:sz="4" w:space="0" w:color="auto"/>
          <w:left w:val="single" w:sz="4" w:space="4" w:color="auto"/>
          <w:bottom w:val="single" w:sz="4" w:space="1" w:color="auto"/>
          <w:right w:val="single" w:sz="4" w:space="0" w:color="auto"/>
        </w:pBdr>
        <w:rPr>
          <w:rFonts w:ascii="Candara" w:hAnsi="Candara"/>
          <w:i/>
          <w:sz w:val="20"/>
          <w:szCs w:val="20"/>
        </w:rPr>
      </w:pPr>
      <w:r>
        <w:rPr>
          <w:rFonts w:ascii="Candara" w:hAnsi="Candara"/>
          <w:b/>
          <w:color w:val="1F497D" w:themeColor="text2"/>
        </w:rPr>
        <w:t>O</w:t>
      </w:r>
      <w:r w:rsidR="00476B49" w:rsidRPr="000274A3">
        <w:rPr>
          <w:rFonts w:ascii="Candara" w:hAnsi="Candara"/>
          <w:b/>
          <w:color w:val="1F497D" w:themeColor="text2"/>
        </w:rPr>
        <w:t xml:space="preserve">n the Ground: </w:t>
      </w:r>
      <w:r w:rsidR="00D5136D" w:rsidRPr="000274A3">
        <w:rPr>
          <w:rFonts w:ascii="Candara" w:hAnsi="Candara"/>
          <w:b/>
          <w:color w:val="1F497D" w:themeColor="text2"/>
        </w:rPr>
        <w:t xml:space="preserve">Social policy </w:t>
      </w:r>
      <w:r w:rsidR="00414041" w:rsidRPr="000274A3">
        <w:rPr>
          <w:rFonts w:ascii="Candara" w:hAnsi="Candara"/>
          <w:b/>
          <w:color w:val="1F497D" w:themeColor="text2"/>
        </w:rPr>
        <w:t>feedback from delivery</w:t>
      </w:r>
      <w:r w:rsidR="008C6FDF">
        <w:rPr>
          <w:rFonts w:ascii="Candara" w:hAnsi="Candara"/>
          <w:b/>
          <w:color w:val="1F497D" w:themeColor="text2"/>
        </w:rPr>
        <w:t xml:space="preserve"> services </w:t>
      </w:r>
      <w:r w:rsidR="0008336A" w:rsidRPr="00B540FA">
        <w:rPr>
          <w:rFonts w:ascii="Candara" w:hAnsi="Candara"/>
        </w:rPr>
        <w:tab/>
      </w:r>
      <w:r w:rsidR="00582869">
        <w:rPr>
          <w:rFonts w:ascii="Candara" w:hAnsi="Candara"/>
        </w:rPr>
        <w:tab/>
      </w:r>
      <w:r w:rsidR="00582869">
        <w:rPr>
          <w:rFonts w:ascii="Candara" w:hAnsi="Candara"/>
        </w:rPr>
        <w:tab/>
      </w:r>
      <w:r w:rsidR="00582869">
        <w:rPr>
          <w:rFonts w:ascii="Candara" w:hAnsi="Candara"/>
        </w:rPr>
        <w:tab/>
      </w:r>
      <w:r w:rsidR="00582869">
        <w:rPr>
          <w:rFonts w:ascii="Candara" w:hAnsi="Candara"/>
        </w:rPr>
        <w:tab/>
      </w:r>
      <w:r w:rsidR="00582869">
        <w:rPr>
          <w:rFonts w:ascii="Candara" w:hAnsi="Candara"/>
        </w:rPr>
        <w:tab/>
      </w:r>
      <w:r w:rsidR="00697E4C">
        <w:rPr>
          <w:rFonts w:ascii="Candara" w:hAnsi="Candara"/>
          <w:b/>
          <w:color w:val="244061" w:themeColor="accent1" w:themeShade="80"/>
        </w:rPr>
        <w:t>5</w:t>
      </w:r>
      <w:r>
        <w:rPr>
          <w:rFonts w:ascii="Candara" w:hAnsi="Candara"/>
          <w:b/>
          <w:color w:val="1F497D" w:themeColor="text2"/>
        </w:rPr>
        <w:t xml:space="preserve"> - </w:t>
      </w:r>
      <w:r w:rsidR="001719B4">
        <w:rPr>
          <w:rFonts w:ascii="Candara" w:hAnsi="Candara"/>
          <w:b/>
          <w:color w:val="1F497D" w:themeColor="text2"/>
        </w:rPr>
        <w:t>6</w:t>
      </w:r>
      <w:r>
        <w:rPr>
          <w:rFonts w:ascii="Candara" w:hAnsi="Candara"/>
          <w:b/>
          <w:color w:val="1F497D" w:themeColor="text2"/>
        </w:rPr>
        <w:t xml:space="preserve"> </w:t>
      </w:r>
      <w:r w:rsidR="00476B49" w:rsidRPr="00EF21F4">
        <w:rPr>
          <w:rFonts w:ascii="Candara" w:hAnsi="Candara"/>
          <w:i/>
          <w:sz w:val="20"/>
          <w:szCs w:val="20"/>
        </w:rPr>
        <w:tab/>
      </w:r>
    </w:p>
    <w:p w:rsidR="00DF79BE" w:rsidRDefault="001719B4" w:rsidP="00DF79BE">
      <w:pPr>
        <w:pBdr>
          <w:top w:val="single" w:sz="4" w:space="0" w:color="auto"/>
          <w:left w:val="single" w:sz="4" w:space="4" w:color="auto"/>
          <w:bottom w:val="single" w:sz="4" w:space="1" w:color="auto"/>
          <w:right w:val="single" w:sz="4" w:space="0" w:color="auto"/>
        </w:pBdr>
        <w:ind w:firstLine="720"/>
        <w:rPr>
          <w:rFonts w:ascii="Candara" w:hAnsi="Candara"/>
          <w:i/>
          <w:sz w:val="20"/>
          <w:szCs w:val="20"/>
        </w:rPr>
      </w:pPr>
      <w:r w:rsidRPr="00B75FC0">
        <w:rPr>
          <w:rFonts w:ascii="Candara" w:hAnsi="Candara"/>
          <w:i/>
          <w:sz w:val="20"/>
          <w:szCs w:val="20"/>
        </w:rPr>
        <w:t xml:space="preserve">Social Policy Returns from services </w:t>
      </w:r>
      <w:r w:rsidR="005A14C8">
        <w:rPr>
          <w:rFonts w:ascii="Candara" w:hAnsi="Candara"/>
          <w:i/>
          <w:sz w:val="20"/>
          <w:szCs w:val="20"/>
        </w:rPr>
        <w:t>July - September</w:t>
      </w:r>
      <w:r w:rsidRPr="00B75FC0">
        <w:rPr>
          <w:rFonts w:ascii="Candara" w:hAnsi="Candara"/>
          <w:i/>
          <w:sz w:val="20"/>
          <w:szCs w:val="20"/>
        </w:rPr>
        <w:t xml:space="preserve"> 2017; </w:t>
      </w:r>
    </w:p>
    <w:p w:rsidR="001719B4" w:rsidRDefault="001719B4" w:rsidP="00DF79BE">
      <w:pPr>
        <w:pBdr>
          <w:top w:val="single" w:sz="4" w:space="0" w:color="auto"/>
          <w:left w:val="single" w:sz="4" w:space="4" w:color="auto"/>
          <w:bottom w:val="single" w:sz="4" w:space="1" w:color="auto"/>
          <w:right w:val="single" w:sz="4" w:space="0" w:color="auto"/>
        </w:pBdr>
        <w:ind w:firstLine="720"/>
        <w:rPr>
          <w:rFonts w:ascii="Candara" w:hAnsi="Candara"/>
          <w:i/>
          <w:sz w:val="20"/>
          <w:szCs w:val="20"/>
        </w:rPr>
      </w:pPr>
      <w:r w:rsidRPr="00B75FC0">
        <w:rPr>
          <w:rFonts w:ascii="Candara" w:hAnsi="Candara"/>
          <w:i/>
          <w:sz w:val="20"/>
          <w:szCs w:val="20"/>
        </w:rPr>
        <w:t xml:space="preserve">Focus on local policy work in Co </w:t>
      </w:r>
      <w:r w:rsidR="005A14C8">
        <w:rPr>
          <w:rFonts w:ascii="Candara" w:hAnsi="Candara"/>
          <w:i/>
          <w:sz w:val="20"/>
          <w:szCs w:val="20"/>
        </w:rPr>
        <w:t>Mayo</w:t>
      </w:r>
      <w:r w:rsidRPr="00B75FC0">
        <w:rPr>
          <w:rFonts w:ascii="Candara" w:hAnsi="Candara"/>
          <w:i/>
          <w:sz w:val="20"/>
          <w:szCs w:val="20"/>
        </w:rPr>
        <w:t xml:space="preserve"> CIS;</w:t>
      </w:r>
    </w:p>
    <w:p w:rsidR="0008616A" w:rsidRPr="0008616A" w:rsidRDefault="0008616A" w:rsidP="00DF79BE">
      <w:pPr>
        <w:pBdr>
          <w:top w:val="single" w:sz="4" w:space="0" w:color="auto"/>
          <w:left w:val="single" w:sz="4" w:space="4" w:color="auto"/>
          <w:bottom w:val="single" w:sz="4" w:space="1" w:color="auto"/>
          <w:right w:val="single" w:sz="4" w:space="0" w:color="auto"/>
        </w:pBdr>
        <w:rPr>
          <w:rFonts w:ascii="Candara" w:hAnsi="Candara"/>
          <w:b/>
          <w:color w:val="1F497D" w:themeColor="text2"/>
        </w:rPr>
      </w:pPr>
      <w:r w:rsidRPr="0008616A">
        <w:rPr>
          <w:rFonts w:ascii="Candara" w:hAnsi="Candara"/>
          <w:b/>
          <w:i/>
          <w:color w:val="1F497D" w:themeColor="text2"/>
        </w:rPr>
        <w:t>In the Oireachtas</w:t>
      </w:r>
      <w:r w:rsidRPr="0008616A">
        <w:rPr>
          <w:rFonts w:ascii="Candara" w:hAnsi="Candara"/>
          <w:i/>
          <w:color w:val="1F497D" w:themeColor="text2"/>
          <w:sz w:val="20"/>
          <w:szCs w:val="20"/>
        </w:rPr>
        <w:t xml:space="preserve">  </w:t>
      </w:r>
      <w:r w:rsidRPr="0008616A">
        <w:rPr>
          <w:rFonts w:ascii="Candara" w:hAnsi="Candara"/>
          <w:i/>
          <w:sz w:val="20"/>
          <w:szCs w:val="20"/>
        </w:rPr>
        <w:tab/>
      </w:r>
      <w:r w:rsidRPr="0008616A">
        <w:rPr>
          <w:rFonts w:ascii="Candara" w:hAnsi="Candara"/>
          <w:i/>
          <w:sz w:val="20"/>
          <w:szCs w:val="20"/>
        </w:rPr>
        <w:tab/>
      </w:r>
      <w:r w:rsidRPr="0008616A">
        <w:rPr>
          <w:rFonts w:ascii="Candara" w:hAnsi="Candara"/>
          <w:i/>
          <w:sz w:val="20"/>
          <w:szCs w:val="20"/>
        </w:rPr>
        <w:tab/>
      </w:r>
      <w:r w:rsidRPr="0008616A">
        <w:rPr>
          <w:rFonts w:ascii="Candara" w:hAnsi="Candara"/>
          <w:i/>
          <w:sz w:val="20"/>
          <w:szCs w:val="20"/>
        </w:rPr>
        <w:tab/>
      </w:r>
      <w:r w:rsidRPr="0008616A">
        <w:rPr>
          <w:rFonts w:ascii="Candara" w:hAnsi="Candara"/>
          <w:i/>
          <w:sz w:val="20"/>
          <w:szCs w:val="20"/>
        </w:rPr>
        <w:tab/>
      </w:r>
      <w:r w:rsidRPr="0008616A">
        <w:rPr>
          <w:rFonts w:ascii="Candara" w:hAnsi="Candara"/>
          <w:i/>
          <w:sz w:val="20"/>
          <w:szCs w:val="20"/>
        </w:rPr>
        <w:tab/>
      </w:r>
      <w:r w:rsidRPr="0008616A">
        <w:rPr>
          <w:rFonts w:ascii="Candara" w:hAnsi="Candara"/>
          <w:i/>
          <w:sz w:val="20"/>
          <w:szCs w:val="20"/>
        </w:rPr>
        <w:tab/>
      </w:r>
      <w:r w:rsidRPr="0008616A">
        <w:rPr>
          <w:rFonts w:ascii="Candara" w:hAnsi="Candara"/>
          <w:i/>
          <w:sz w:val="20"/>
          <w:szCs w:val="20"/>
        </w:rPr>
        <w:tab/>
      </w:r>
      <w:r w:rsidRPr="0008616A">
        <w:rPr>
          <w:rFonts w:ascii="Candara" w:hAnsi="Candara"/>
          <w:i/>
          <w:sz w:val="20"/>
          <w:szCs w:val="20"/>
        </w:rPr>
        <w:tab/>
      </w:r>
      <w:r w:rsidRPr="0008616A">
        <w:rPr>
          <w:rFonts w:ascii="Candara" w:hAnsi="Candara"/>
          <w:i/>
          <w:sz w:val="20"/>
          <w:szCs w:val="20"/>
        </w:rPr>
        <w:tab/>
      </w:r>
      <w:r w:rsidRPr="0008616A">
        <w:rPr>
          <w:rFonts w:ascii="Candara" w:hAnsi="Candara"/>
          <w:i/>
          <w:sz w:val="20"/>
          <w:szCs w:val="20"/>
        </w:rPr>
        <w:tab/>
      </w:r>
      <w:r w:rsidRPr="0008616A">
        <w:rPr>
          <w:rFonts w:ascii="Candara" w:hAnsi="Candara"/>
          <w:b/>
          <w:color w:val="1F497D" w:themeColor="text2"/>
        </w:rPr>
        <w:t>7 - 8</w:t>
      </w:r>
    </w:p>
    <w:p w:rsidR="00DF79BE" w:rsidRDefault="0008616A" w:rsidP="00DF79BE">
      <w:pPr>
        <w:pBdr>
          <w:top w:val="single" w:sz="4" w:space="0" w:color="auto"/>
          <w:left w:val="single" w:sz="4" w:space="4" w:color="auto"/>
          <w:bottom w:val="single" w:sz="4" w:space="1" w:color="auto"/>
          <w:right w:val="single" w:sz="4" w:space="0" w:color="auto"/>
        </w:pBdr>
        <w:ind w:firstLine="720"/>
        <w:rPr>
          <w:rFonts w:ascii="Candara" w:hAnsi="Candara"/>
          <w:i/>
          <w:sz w:val="20"/>
          <w:szCs w:val="20"/>
        </w:rPr>
      </w:pPr>
      <w:r w:rsidRPr="0008616A">
        <w:rPr>
          <w:rFonts w:ascii="Candara" w:hAnsi="Candara"/>
          <w:i/>
          <w:sz w:val="20"/>
          <w:szCs w:val="20"/>
        </w:rPr>
        <w:t xml:space="preserve">FIS and CE scheme eligibility, Motorised Transport Grant, </w:t>
      </w:r>
    </w:p>
    <w:p w:rsidR="0008616A" w:rsidRDefault="0008616A" w:rsidP="00DF79BE">
      <w:pPr>
        <w:pBdr>
          <w:top w:val="single" w:sz="4" w:space="0" w:color="auto"/>
          <w:left w:val="single" w:sz="4" w:space="4" w:color="auto"/>
          <w:bottom w:val="single" w:sz="4" w:space="1" w:color="auto"/>
          <w:right w:val="single" w:sz="4" w:space="0" w:color="auto"/>
        </w:pBdr>
        <w:ind w:firstLine="720"/>
        <w:rPr>
          <w:rFonts w:ascii="Candara" w:hAnsi="Candara"/>
          <w:i/>
          <w:sz w:val="20"/>
          <w:szCs w:val="20"/>
        </w:rPr>
      </w:pPr>
      <w:r w:rsidRPr="0008616A">
        <w:rPr>
          <w:rFonts w:ascii="Candara" w:hAnsi="Candara"/>
          <w:i/>
          <w:sz w:val="20"/>
          <w:szCs w:val="20"/>
        </w:rPr>
        <w:t>Exceptional Needs Payment, Child Poverty;</w:t>
      </w:r>
    </w:p>
    <w:p w:rsidR="0008616A" w:rsidRPr="0008616A" w:rsidRDefault="0008616A" w:rsidP="00DF79BE">
      <w:pPr>
        <w:pBdr>
          <w:top w:val="single" w:sz="4" w:space="0" w:color="auto"/>
          <w:left w:val="single" w:sz="4" w:space="4" w:color="auto"/>
          <w:bottom w:val="single" w:sz="4" w:space="1" w:color="auto"/>
          <w:right w:val="single" w:sz="4" w:space="0" w:color="auto"/>
        </w:pBdr>
        <w:rPr>
          <w:rFonts w:ascii="Candara" w:hAnsi="Candara"/>
          <w:i/>
          <w:sz w:val="20"/>
          <w:szCs w:val="20"/>
        </w:rPr>
      </w:pPr>
      <w:r w:rsidRPr="0008616A">
        <w:rPr>
          <w:rFonts w:ascii="Candara" w:hAnsi="Candara"/>
          <w:b/>
          <w:i/>
          <w:color w:val="1F497D" w:themeColor="text2"/>
        </w:rPr>
        <w:t xml:space="preserve">Policy News, Resources and Opinion                                                                                                                             </w:t>
      </w:r>
      <w:r>
        <w:rPr>
          <w:rFonts w:ascii="Candara" w:hAnsi="Candara"/>
          <w:b/>
          <w:i/>
          <w:color w:val="1F497D" w:themeColor="text2"/>
        </w:rPr>
        <w:tab/>
      </w:r>
      <w:r w:rsidRPr="0008616A">
        <w:rPr>
          <w:rFonts w:ascii="Candara" w:hAnsi="Candara"/>
          <w:b/>
          <w:color w:val="1F497D" w:themeColor="text2"/>
        </w:rPr>
        <w:t>9 - 10</w:t>
      </w:r>
      <w:r w:rsidRPr="0008616A">
        <w:rPr>
          <w:rFonts w:ascii="Candara" w:hAnsi="Candara"/>
          <w:i/>
          <w:sz w:val="20"/>
          <w:szCs w:val="20"/>
        </w:rPr>
        <w:tab/>
      </w:r>
    </w:p>
    <w:p w:rsidR="0008616A" w:rsidRPr="0008616A" w:rsidRDefault="0008616A" w:rsidP="00DF79BE">
      <w:pPr>
        <w:pBdr>
          <w:top w:val="single" w:sz="4" w:space="0" w:color="auto"/>
          <w:left w:val="single" w:sz="4" w:space="4" w:color="auto"/>
          <w:bottom w:val="single" w:sz="4" w:space="1" w:color="auto"/>
          <w:right w:val="single" w:sz="4" w:space="0" w:color="auto"/>
        </w:pBdr>
        <w:ind w:firstLine="720"/>
        <w:rPr>
          <w:rFonts w:ascii="Candara" w:hAnsi="Candara"/>
          <w:i/>
          <w:sz w:val="20"/>
          <w:szCs w:val="20"/>
        </w:rPr>
      </w:pPr>
      <w:r w:rsidRPr="0008616A">
        <w:rPr>
          <w:rFonts w:ascii="Candara" w:hAnsi="Candara"/>
          <w:i/>
          <w:sz w:val="20"/>
          <w:szCs w:val="20"/>
        </w:rPr>
        <w:t xml:space="preserve">Review of One-parent Family Payment reforms, Decision Support Service, Residential Mortgage Arrears, </w:t>
      </w:r>
    </w:p>
    <w:p w:rsidR="0008616A" w:rsidRPr="00B75FC0" w:rsidRDefault="0008616A" w:rsidP="00DF79BE">
      <w:pPr>
        <w:pBdr>
          <w:top w:val="single" w:sz="4" w:space="0" w:color="auto"/>
          <w:left w:val="single" w:sz="4" w:space="4" w:color="auto"/>
          <w:bottom w:val="single" w:sz="4" w:space="1" w:color="auto"/>
          <w:right w:val="single" w:sz="4" w:space="0" w:color="auto"/>
        </w:pBdr>
        <w:ind w:firstLine="720"/>
        <w:rPr>
          <w:rFonts w:ascii="Candara" w:hAnsi="Candara"/>
          <w:i/>
          <w:sz w:val="20"/>
          <w:szCs w:val="20"/>
        </w:rPr>
      </w:pPr>
      <w:r w:rsidRPr="0008616A">
        <w:rPr>
          <w:rFonts w:ascii="Candara" w:hAnsi="Candara"/>
          <w:i/>
          <w:sz w:val="20"/>
          <w:szCs w:val="20"/>
        </w:rPr>
        <w:t>Pre-activation Programme for Young People with Disabilities, CSO reports, Ombudsman’s Casebook.</w:t>
      </w:r>
    </w:p>
    <w:p w:rsidR="00DF79BE" w:rsidRPr="00DF79BE" w:rsidRDefault="00DF79BE" w:rsidP="00476B49">
      <w:pPr>
        <w:pStyle w:val="Title"/>
        <w:spacing w:after="0"/>
        <w:rPr>
          <w:b/>
          <w:color w:val="002060"/>
          <w:sz w:val="24"/>
          <w:szCs w:val="24"/>
        </w:rPr>
      </w:pPr>
    </w:p>
    <w:p w:rsidR="00476B49" w:rsidRPr="00042B11" w:rsidRDefault="00476B49" w:rsidP="00476B49">
      <w:pPr>
        <w:pStyle w:val="Title"/>
        <w:spacing w:after="0"/>
        <w:rPr>
          <w:b/>
          <w:color w:val="002060"/>
        </w:rPr>
      </w:pPr>
      <w:r w:rsidRPr="00042B11">
        <w:rPr>
          <w:b/>
          <w:color w:val="002060"/>
        </w:rPr>
        <w:t>CIB Social Policy and Research News</w:t>
      </w:r>
    </w:p>
    <w:p w:rsidR="002340D9" w:rsidRPr="00E463F4" w:rsidRDefault="004A66AC" w:rsidP="002340D9">
      <w:pPr>
        <w:shd w:val="clear" w:color="auto" w:fill="C2D69B" w:themeFill="accent3" w:themeFillTint="99"/>
        <w:rPr>
          <w:rFonts w:ascii="Candara" w:eastAsia="Times New Roman" w:hAnsi="Candara"/>
          <w:b/>
          <w:sz w:val="32"/>
          <w:szCs w:val="32"/>
          <w:lang w:eastAsia="en-IE"/>
        </w:rPr>
      </w:pPr>
      <w:r>
        <w:rPr>
          <w:rFonts w:ascii="Candara" w:hAnsi="Candara"/>
          <w:b/>
          <w:sz w:val="32"/>
          <w:szCs w:val="32"/>
        </w:rPr>
        <w:t>Budget 2018 measures and CIB recommendations</w:t>
      </w:r>
    </w:p>
    <w:p w:rsidR="00960254" w:rsidRPr="000033B2" w:rsidRDefault="00960254" w:rsidP="0008616A">
      <w:pPr>
        <w:spacing w:after="120" w:line="276" w:lineRule="auto"/>
        <w:rPr>
          <w:rFonts w:ascii="Candara" w:hAnsi="Candara"/>
        </w:rPr>
      </w:pPr>
      <w:r w:rsidRPr="00960254">
        <w:rPr>
          <w:rFonts w:ascii="Candara" w:hAnsi="Candara"/>
        </w:rPr>
        <w:t>Budget 2018, as announced on 10 October, contained a number of budgetary changes in the context of CIB’s Pre-Budget Submission entitled “</w:t>
      </w:r>
      <w:r w:rsidRPr="00AD014B">
        <w:rPr>
          <w:rFonts w:ascii="Candara" w:hAnsi="Candara"/>
          <w:i/>
        </w:rPr>
        <w:t>Supporting people in transition</w:t>
      </w:r>
      <w:r w:rsidR="0008616A">
        <w:rPr>
          <w:rFonts w:ascii="Candara" w:hAnsi="Candara"/>
        </w:rPr>
        <w:t xml:space="preserve">”. The submission was based on feedback from CIB’s delivery services and incorporated issues that were highlighted by MABS in their pre-budget report to CIB. </w:t>
      </w:r>
    </w:p>
    <w:p w:rsidR="00960254" w:rsidRPr="00960254" w:rsidRDefault="00960254" w:rsidP="00960254">
      <w:pPr>
        <w:spacing w:after="120" w:line="276" w:lineRule="auto"/>
        <w:rPr>
          <w:rFonts w:ascii="Candara" w:hAnsi="Candara"/>
        </w:rPr>
      </w:pPr>
      <w:r w:rsidRPr="00960254">
        <w:rPr>
          <w:rFonts w:ascii="Candara" w:hAnsi="Candara"/>
        </w:rPr>
        <w:t xml:space="preserve">The main social protection provisions in Budget 2018 included a </w:t>
      </w:r>
      <w:r w:rsidRPr="000033B2">
        <w:rPr>
          <w:rFonts w:ascii="Candara" w:hAnsi="Candara"/>
          <w:b/>
        </w:rPr>
        <w:t>€5 weekly increase</w:t>
      </w:r>
      <w:r w:rsidRPr="00960254">
        <w:rPr>
          <w:rFonts w:ascii="Candara" w:hAnsi="Candara"/>
        </w:rPr>
        <w:t xml:space="preserve"> across all basic welfare payments. For those on jobseeker payments, this will bring the full adult rate to €198 (still slightly short of the 2009 rate of €204.30). The age-differentiated, reduced rate of payment is maintained for jobseekers who are under 26, but the €5 increase is to be applied in full (rather than pro rata as was the case in Budget 2017). The CIB Pre-Budget Submission highlighted the particular difficulties caused by the reduced rate of jobseekers payments for those aged under 26. </w:t>
      </w:r>
    </w:p>
    <w:p w:rsidR="00960254" w:rsidRPr="00960254" w:rsidRDefault="00960254" w:rsidP="00960254">
      <w:pPr>
        <w:spacing w:after="120" w:line="276" w:lineRule="auto"/>
        <w:rPr>
          <w:rFonts w:ascii="Candara" w:hAnsi="Candara"/>
        </w:rPr>
      </w:pPr>
      <w:r w:rsidRPr="00960254">
        <w:rPr>
          <w:rFonts w:ascii="Candara" w:hAnsi="Candara"/>
        </w:rPr>
        <w:t xml:space="preserve">Budget 2018 also allowed for a </w:t>
      </w:r>
      <w:r w:rsidRPr="000033B2">
        <w:rPr>
          <w:rFonts w:ascii="Candara" w:hAnsi="Candara"/>
          <w:b/>
        </w:rPr>
        <w:t xml:space="preserve">€2 </w:t>
      </w:r>
      <w:r w:rsidR="00697E4C">
        <w:rPr>
          <w:rFonts w:ascii="Candara" w:hAnsi="Candara"/>
          <w:b/>
        </w:rPr>
        <w:t xml:space="preserve">weekly </w:t>
      </w:r>
      <w:r w:rsidRPr="000033B2">
        <w:rPr>
          <w:rFonts w:ascii="Candara" w:hAnsi="Candara"/>
          <w:b/>
        </w:rPr>
        <w:t>increase for each qualified dependent child</w:t>
      </w:r>
      <w:r w:rsidRPr="00960254">
        <w:rPr>
          <w:rFonts w:ascii="Candara" w:hAnsi="Candara"/>
        </w:rPr>
        <w:t xml:space="preserve"> on all relevant weekly payments – a measure reflected in our recommendation to increase the rate of Qualified Child Increase for teenagers, which is aimed at supporting parents to maintain their children through primary and secondary education. There was also an increase of </w:t>
      </w:r>
      <w:r w:rsidRPr="000033B2">
        <w:rPr>
          <w:rFonts w:ascii="Candara" w:hAnsi="Candara"/>
          <w:b/>
        </w:rPr>
        <w:t>€20 in the income disregard</w:t>
      </w:r>
      <w:r w:rsidRPr="00960254">
        <w:rPr>
          <w:rFonts w:ascii="Candara" w:hAnsi="Candara"/>
        </w:rPr>
        <w:t xml:space="preserve"> for those in receipt of the One-Parent Family Payment and Jobseeker’s Transition Payment (bringing it to €130/week) – which should help to mitigate in some way the negative financial impact of the age-related changes to the OFP in recent years, as evidenced in our Pre-Budget Submissions for the past number of years. In the broader context of assisting people in moving from welfare to work, the CIB submission highlighted the crucial role that accessible, affordable childcare provision has in enabling this transition, and thus we welcome the extra funding provided to Department of Children and Youth Affairs to provide a </w:t>
      </w:r>
      <w:r w:rsidRPr="000033B2">
        <w:rPr>
          <w:rFonts w:ascii="Candara" w:hAnsi="Candara"/>
          <w:b/>
        </w:rPr>
        <w:t>full second year of the ECCE free pre-school scheme</w:t>
      </w:r>
      <w:r w:rsidRPr="00960254">
        <w:rPr>
          <w:rFonts w:ascii="Candara" w:hAnsi="Candara"/>
        </w:rPr>
        <w:t xml:space="preserve">, along with an increased capitation grant of 7% for all ECCE services. </w:t>
      </w:r>
    </w:p>
    <w:p w:rsidR="00960254" w:rsidRPr="00960254" w:rsidRDefault="00960254" w:rsidP="00960254">
      <w:pPr>
        <w:spacing w:after="120" w:line="276" w:lineRule="auto"/>
        <w:rPr>
          <w:rFonts w:ascii="Candara" w:hAnsi="Candara"/>
        </w:rPr>
      </w:pPr>
      <w:r w:rsidRPr="00960254">
        <w:rPr>
          <w:rFonts w:ascii="Candara" w:hAnsi="Candara"/>
        </w:rPr>
        <w:t xml:space="preserve">In terms of supporting low paid working families, the </w:t>
      </w:r>
      <w:r w:rsidRPr="000033B2">
        <w:rPr>
          <w:rFonts w:ascii="Candara" w:hAnsi="Candara"/>
          <w:b/>
        </w:rPr>
        <w:t>minimum wage</w:t>
      </w:r>
      <w:r w:rsidRPr="00960254">
        <w:rPr>
          <w:rFonts w:ascii="Candara" w:hAnsi="Candara"/>
        </w:rPr>
        <w:t xml:space="preserve"> has been increased to €9.55/hour, the Family Income Supplement has been renamed the </w:t>
      </w:r>
      <w:r w:rsidRPr="000033B2">
        <w:rPr>
          <w:rFonts w:ascii="Candara" w:hAnsi="Candara"/>
          <w:b/>
        </w:rPr>
        <w:t>Working Family Payment</w:t>
      </w:r>
      <w:r w:rsidRPr="00960254">
        <w:rPr>
          <w:rFonts w:ascii="Candara" w:hAnsi="Candara"/>
        </w:rPr>
        <w:t xml:space="preserve">, and there has been an increase of </w:t>
      </w:r>
      <w:r w:rsidRPr="000033B2">
        <w:rPr>
          <w:rFonts w:ascii="Candara" w:hAnsi="Candara"/>
          <w:b/>
        </w:rPr>
        <w:t>€10 in the income threshold</w:t>
      </w:r>
      <w:r w:rsidRPr="00960254">
        <w:rPr>
          <w:rFonts w:ascii="Candara" w:hAnsi="Candara"/>
        </w:rPr>
        <w:t xml:space="preserve"> for this payment in respect of families with up to three children. The Department of Employment Affairs and Social Protection has also announced that the </w:t>
      </w:r>
      <w:r w:rsidRPr="000033B2">
        <w:rPr>
          <w:rFonts w:ascii="Candara" w:hAnsi="Candara"/>
          <w:b/>
        </w:rPr>
        <w:t>Back To Work Family Dividend</w:t>
      </w:r>
      <w:r w:rsidRPr="00960254">
        <w:rPr>
          <w:rFonts w:ascii="Candara" w:hAnsi="Candara"/>
        </w:rPr>
        <w:t xml:space="preserve">, which </w:t>
      </w:r>
      <w:r w:rsidRPr="00960254">
        <w:rPr>
          <w:rFonts w:ascii="Candara" w:hAnsi="Candara"/>
        </w:rPr>
        <w:lastRenderedPageBreak/>
        <w:t>was due to end in March 2018, has been retained. The CIB Pre-Budget Submission pointed to the need to increase awareness of the availability of in-work supports and the retention of secondary benefits amongst those transitioning from welfare to work and these measures should go in some way to provide for consistency and security of support for low income families when taking up employment – that is, pending the further development and refinement of the Working Family Payment.</w:t>
      </w:r>
    </w:p>
    <w:p w:rsidR="00DF79BE" w:rsidRDefault="00960254" w:rsidP="00960254">
      <w:pPr>
        <w:spacing w:after="120" w:line="276" w:lineRule="auto"/>
        <w:rPr>
          <w:rFonts w:ascii="Candara" w:hAnsi="Candara"/>
        </w:rPr>
      </w:pPr>
      <w:r w:rsidRPr="00960254">
        <w:rPr>
          <w:rFonts w:ascii="Candara" w:hAnsi="Candara"/>
        </w:rPr>
        <w:t xml:space="preserve">Other welfare measures announced in Budget 2018 included the extension of the </w:t>
      </w:r>
      <w:r w:rsidRPr="000033B2">
        <w:rPr>
          <w:rFonts w:ascii="Candara" w:hAnsi="Candara"/>
          <w:b/>
        </w:rPr>
        <w:t>Fuel Allowance</w:t>
      </w:r>
      <w:r w:rsidRPr="00960254">
        <w:rPr>
          <w:rFonts w:ascii="Candara" w:hAnsi="Candara"/>
        </w:rPr>
        <w:t xml:space="preserve"> payment by one week, the partial restoration of the Telephone Allowance to those in receipt of the Living Alone Allowance and the Fuel Allowance (in the form of the </w:t>
      </w:r>
      <w:r w:rsidRPr="000033B2">
        <w:rPr>
          <w:rFonts w:ascii="Candara" w:hAnsi="Candara"/>
          <w:b/>
        </w:rPr>
        <w:t>Telephone Support Allowance</w:t>
      </w:r>
      <w:r w:rsidRPr="00960254">
        <w:rPr>
          <w:rFonts w:ascii="Candara" w:hAnsi="Candara"/>
        </w:rPr>
        <w:t xml:space="preserve"> at a rate of €2.50/ week) and confirmation of the payment of a </w:t>
      </w:r>
      <w:r w:rsidRPr="000033B2">
        <w:rPr>
          <w:rFonts w:ascii="Candara" w:hAnsi="Candara"/>
          <w:b/>
        </w:rPr>
        <w:t>Christmas Bonus</w:t>
      </w:r>
      <w:r w:rsidRPr="00960254">
        <w:rPr>
          <w:rFonts w:ascii="Candara" w:hAnsi="Candara"/>
        </w:rPr>
        <w:t xml:space="preserve"> of 85% to be paid to long-term social welfare recipients. </w:t>
      </w:r>
    </w:p>
    <w:p w:rsidR="00960254" w:rsidRPr="00960254" w:rsidRDefault="00960254" w:rsidP="00960254">
      <w:pPr>
        <w:spacing w:after="120" w:line="276" w:lineRule="auto"/>
        <w:rPr>
          <w:rFonts w:ascii="Candara" w:hAnsi="Candara"/>
        </w:rPr>
      </w:pPr>
      <w:r w:rsidRPr="00960254">
        <w:rPr>
          <w:rFonts w:ascii="Candara" w:hAnsi="Candara"/>
        </w:rPr>
        <w:t xml:space="preserve">Along with these welfare measures, the core </w:t>
      </w:r>
      <w:r w:rsidRPr="000033B2">
        <w:rPr>
          <w:rFonts w:ascii="Candara" w:hAnsi="Candara"/>
          <w:b/>
        </w:rPr>
        <w:t>tax measures</w:t>
      </w:r>
      <w:r w:rsidRPr="00960254">
        <w:rPr>
          <w:rFonts w:ascii="Candara" w:hAnsi="Candara"/>
        </w:rPr>
        <w:t xml:space="preserve"> of the 2018 budget included cuts to the Universal Social Charge (USC), as well as an increase to the entry point at which the higher rate of income tax is paid. Other provisions announced in Budget 2018 that were reflected in the variety of concerns as laid out in the CIB submission included enhanced employment programmes for young long-term jobseekers and older jobseekers (over 50), an increase of €10 million in funding for the Free Travel scheme, an increase of €5 million for housing adaptation grants (to €53 million, which will fund up to 11,000 home adaptations) and an increase of €5 million to support the expansion of the Mortgage to Rent Scheme (which will allow for a further 250 transactions under the Approved Housing Bodies scheme). </w:t>
      </w:r>
    </w:p>
    <w:p w:rsidR="00960254" w:rsidRPr="00960254" w:rsidRDefault="00960254" w:rsidP="00960254">
      <w:pPr>
        <w:spacing w:after="120" w:line="276" w:lineRule="auto"/>
        <w:rPr>
          <w:rFonts w:ascii="Candara" w:hAnsi="Candara"/>
        </w:rPr>
      </w:pPr>
      <w:r w:rsidRPr="00960254">
        <w:rPr>
          <w:rFonts w:ascii="Candara" w:hAnsi="Candara"/>
        </w:rPr>
        <w:t xml:space="preserve">Some of the key budget provisions in relation to </w:t>
      </w:r>
      <w:r w:rsidRPr="000033B2">
        <w:rPr>
          <w:rFonts w:ascii="Candara" w:hAnsi="Candara"/>
          <w:b/>
        </w:rPr>
        <w:t xml:space="preserve">health </w:t>
      </w:r>
      <w:r w:rsidRPr="00960254">
        <w:rPr>
          <w:rFonts w:ascii="Candara" w:hAnsi="Candara"/>
        </w:rPr>
        <w:t xml:space="preserve">included increased funding of €37 million to provide for Home Care Packages and Transitional Beds and also increased funding for the Nursing Home Support Scheme. In terms of the costs of medication for patients, there will be a reduced prescription charge for those on medical cards (under the age of 70) and a reduction in the monthly threshold for the Drugs Payment Scheme. </w:t>
      </w:r>
    </w:p>
    <w:p w:rsidR="00DF79BE" w:rsidRDefault="00960254" w:rsidP="00960254">
      <w:pPr>
        <w:spacing w:after="120" w:line="276" w:lineRule="auto"/>
        <w:rPr>
          <w:rFonts w:ascii="Candara" w:hAnsi="Candara"/>
        </w:rPr>
      </w:pPr>
      <w:r w:rsidRPr="00960254">
        <w:rPr>
          <w:rFonts w:ascii="Candara" w:hAnsi="Candara"/>
        </w:rPr>
        <w:t xml:space="preserve">Under </w:t>
      </w:r>
      <w:r w:rsidRPr="000033B2">
        <w:rPr>
          <w:rFonts w:ascii="Candara" w:hAnsi="Candara"/>
          <w:b/>
        </w:rPr>
        <w:t>housing</w:t>
      </w:r>
      <w:r w:rsidRPr="00960254">
        <w:rPr>
          <w:rFonts w:ascii="Candara" w:hAnsi="Candara"/>
        </w:rPr>
        <w:t>, the funding measures as announced in Budget 2018 will provide €1.83 billion for the implementation of the measures contained in “Rebuilding Ireland Housing Action Plan”, which the Department of Housing estimates will meet the social housing needs of an additional 25,000 households during 2018. This includes combined efforts by way of the construction and acquisition of 5,900 homes and supporting over 17,000 households in the private rented sector - though RAS, HAP and long-term leasing – in addition to the 32,000 existing HAP tenancies. There was also an increase of €18 million in relation to services for homelessness, and funding of €12 million (an increase of €3 million on 2017) to support a range of Traveller specific accommodation schemes</w:t>
      </w:r>
      <w:r w:rsidR="00697E4C">
        <w:rPr>
          <w:rFonts w:ascii="Candara" w:hAnsi="Candara"/>
        </w:rPr>
        <w:t>.</w:t>
      </w:r>
      <w:r w:rsidR="00DF79BE">
        <w:rPr>
          <w:rFonts w:ascii="Candara" w:hAnsi="Candara"/>
        </w:rPr>
        <w:t xml:space="preserve"> </w:t>
      </w:r>
    </w:p>
    <w:p w:rsidR="004A66AC" w:rsidRDefault="00697E4C" w:rsidP="00960254">
      <w:pPr>
        <w:spacing w:after="120" w:line="276" w:lineRule="auto"/>
        <w:rPr>
          <w:rFonts w:ascii="Candara" w:hAnsi="Candara"/>
        </w:rPr>
      </w:pPr>
      <w:r>
        <w:rPr>
          <w:rFonts w:ascii="Candara" w:hAnsi="Candara"/>
        </w:rPr>
        <w:t>T</w:t>
      </w:r>
      <w:r w:rsidR="00960254" w:rsidRPr="00960254">
        <w:rPr>
          <w:rFonts w:ascii="Candara" w:hAnsi="Candara"/>
        </w:rPr>
        <w:t xml:space="preserve">he extent to which many of the concerns were dealt with in </w:t>
      </w:r>
      <w:r w:rsidR="006825B7">
        <w:rPr>
          <w:rFonts w:ascii="Candara" w:hAnsi="Candara"/>
        </w:rPr>
        <w:t xml:space="preserve">the </w:t>
      </w:r>
      <w:r w:rsidR="00960254" w:rsidRPr="00960254">
        <w:rPr>
          <w:rFonts w:ascii="Candara" w:hAnsi="Candara"/>
        </w:rPr>
        <w:t>Government’s budgetary provisions for 2018 is reflective of the relevance and impact of the work of frontline delivery services throughout the country.</w:t>
      </w:r>
    </w:p>
    <w:p w:rsidR="009152EC" w:rsidRPr="00DF79BE" w:rsidRDefault="009152EC" w:rsidP="00960254">
      <w:pPr>
        <w:spacing w:after="120" w:line="276" w:lineRule="auto"/>
        <w:rPr>
          <w:rFonts w:ascii="Candara" w:hAnsi="Candara"/>
          <w:b/>
          <w:sz w:val="24"/>
          <w:szCs w:val="24"/>
        </w:rPr>
      </w:pPr>
      <w:r w:rsidRPr="00DF79BE">
        <w:rPr>
          <w:rFonts w:ascii="Candara" w:hAnsi="Candara"/>
          <w:b/>
          <w:sz w:val="24"/>
          <w:szCs w:val="24"/>
        </w:rPr>
        <w:t>Pensions anomaly and pension reform plans</w:t>
      </w:r>
    </w:p>
    <w:p w:rsidR="009152EC" w:rsidRPr="00BA408A" w:rsidRDefault="009152EC" w:rsidP="00960254">
      <w:pPr>
        <w:spacing w:after="120" w:line="276" w:lineRule="auto"/>
        <w:rPr>
          <w:rFonts w:ascii="Candara" w:hAnsi="Candara"/>
        </w:rPr>
      </w:pPr>
      <w:r>
        <w:rPr>
          <w:rFonts w:ascii="Candara" w:hAnsi="Candara"/>
        </w:rPr>
        <w:t xml:space="preserve">Following on from the announcement of Budget 2018, there </w:t>
      </w:r>
      <w:r w:rsidR="005F5AFB">
        <w:rPr>
          <w:rFonts w:ascii="Candara" w:hAnsi="Candara"/>
        </w:rPr>
        <w:t>has been</w:t>
      </w:r>
      <w:r>
        <w:rPr>
          <w:rFonts w:ascii="Candara" w:hAnsi="Candara"/>
        </w:rPr>
        <w:t xml:space="preserve"> some debate</w:t>
      </w:r>
      <w:r w:rsidR="00F340B5">
        <w:rPr>
          <w:rFonts w:ascii="Candara" w:hAnsi="Candara"/>
        </w:rPr>
        <w:t xml:space="preserve"> within the media and in the </w:t>
      </w:r>
      <w:r w:rsidR="00F340B5" w:rsidRPr="00F340B5">
        <w:rPr>
          <w:rFonts w:ascii="Candara" w:hAnsi="Candara"/>
        </w:rPr>
        <w:t>Oireachtas</w:t>
      </w:r>
      <w:r w:rsidR="00F340B5">
        <w:rPr>
          <w:rFonts w:ascii="Candara" w:hAnsi="Candara"/>
        </w:rPr>
        <w:t xml:space="preserve"> around the need for the Government to address the pensions ‘anomaly’ that </w:t>
      </w:r>
      <w:r w:rsidR="006825B7">
        <w:rPr>
          <w:rFonts w:ascii="Candara" w:hAnsi="Candara"/>
        </w:rPr>
        <w:t>exists due to changes in pension eligibility in recent years</w:t>
      </w:r>
      <w:r w:rsidR="00F340B5">
        <w:rPr>
          <w:rFonts w:ascii="Candara" w:hAnsi="Candara"/>
        </w:rPr>
        <w:t xml:space="preserve">, which </w:t>
      </w:r>
      <w:r w:rsidR="006825B7">
        <w:rPr>
          <w:rFonts w:ascii="Candara" w:hAnsi="Candara"/>
        </w:rPr>
        <w:t xml:space="preserve">has </w:t>
      </w:r>
      <w:r w:rsidR="00F340B5">
        <w:rPr>
          <w:rFonts w:ascii="Candara" w:hAnsi="Candara"/>
        </w:rPr>
        <w:t xml:space="preserve">resulted in pension cuts of up to €30 per week for many thousands of people. CIB has raised this issue on a number of occasions during the past number of years in various submissions – most recently in the 2018 Pre-Budget Submission, which </w:t>
      </w:r>
      <w:r w:rsidR="000E0506">
        <w:rPr>
          <w:rFonts w:ascii="Candara" w:hAnsi="Candara"/>
        </w:rPr>
        <w:t xml:space="preserve">pointed to the </w:t>
      </w:r>
      <w:r w:rsidR="00DF79BE" w:rsidRPr="00DF79BE">
        <w:rPr>
          <w:rFonts w:ascii="Candara" w:hAnsi="Candara"/>
        </w:rPr>
        <w:t>“</w:t>
      </w:r>
      <w:r w:rsidR="000E0506" w:rsidRPr="00DF79BE">
        <w:rPr>
          <w:rFonts w:ascii="Candara" w:hAnsi="Candara"/>
        </w:rPr>
        <w:t xml:space="preserve">difficulties caused  by </w:t>
      </w:r>
      <w:r w:rsidRPr="00DF79BE">
        <w:rPr>
          <w:rFonts w:ascii="Candara" w:hAnsi="Candara"/>
        </w:rPr>
        <w:t>the application of the ‘average’ rule, the 2012 changes to eligibility criteria (which delivered an effective cut in pension income for many pensioners), the limited application of the Homemaker’s Scheme for the current/ upcoming generation of pensioners and also the complexity of various PRSI classes</w:t>
      </w:r>
      <w:r w:rsidR="000E0506" w:rsidRPr="00DF79BE">
        <w:rPr>
          <w:rFonts w:ascii="Candara" w:hAnsi="Candara"/>
        </w:rPr>
        <w:t>”</w:t>
      </w:r>
      <w:r w:rsidR="00DF79BE">
        <w:rPr>
          <w:rFonts w:ascii="Candara" w:hAnsi="Candara"/>
          <w:i/>
        </w:rPr>
        <w:t>.</w:t>
      </w:r>
      <w:r w:rsidRPr="00F340B5">
        <w:rPr>
          <w:rFonts w:ascii="Candara" w:hAnsi="Candara"/>
          <w:i/>
        </w:rPr>
        <w:t xml:space="preserve"> </w:t>
      </w:r>
      <w:r w:rsidR="000E0506" w:rsidRPr="00DF79BE">
        <w:rPr>
          <w:rFonts w:ascii="Candara" w:hAnsi="Candara"/>
        </w:rPr>
        <w:t xml:space="preserve">The submission </w:t>
      </w:r>
      <w:r w:rsidR="00DF79BE" w:rsidRPr="00DF79BE">
        <w:rPr>
          <w:rFonts w:ascii="Candara" w:hAnsi="Candara"/>
        </w:rPr>
        <w:t xml:space="preserve">also </w:t>
      </w:r>
      <w:r w:rsidR="000E0506" w:rsidRPr="00DF79BE">
        <w:rPr>
          <w:rFonts w:ascii="Candara" w:hAnsi="Candara"/>
        </w:rPr>
        <w:t>note</w:t>
      </w:r>
      <w:r w:rsidR="00DF79BE" w:rsidRPr="00DF79BE">
        <w:rPr>
          <w:rFonts w:ascii="Candara" w:hAnsi="Candara"/>
        </w:rPr>
        <w:t>d</w:t>
      </w:r>
      <w:r w:rsidR="000E0506" w:rsidRPr="00DF79BE">
        <w:rPr>
          <w:rFonts w:ascii="Candara" w:hAnsi="Candara"/>
        </w:rPr>
        <w:t xml:space="preserve"> that</w:t>
      </w:r>
      <w:r w:rsidR="000E0506">
        <w:rPr>
          <w:rFonts w:ascii="Candara" w:hAnsi="Candara"/>
          <w:i/>
        </w:rPr>
        <w:t xml:space="preserve"> </w:t>
      </w:r>
      <w:r w:rsidR="00DF79BE" w:rsidRPr="00DF79BE">
        <w:rPr>
          <w:rFonts w:ascii="Candara" w:hAnsi="Candara"/>
        </w:rPr>
        <w:t>“t</w:t>
      </w:r>
      <w:r w:rsidRPr="00DF79BE">
        <w:rPr>
          <w:rFonts w:ascii="Candara" w:hAnsi="Candara"/>
        </w:rPr>
        <w:t>hese complications are serving to disproportionately affect women who took time out of paid work to care in the home, at various intervals in their working lives and services continue to submit case studies from clients which evidence such a gender gap in pension provision</w:t>
      </w:r>
      <w:r w:rsidR="00DF79BE">
        <w:rPr>
          <w:rFonts w:ascii="Candara" w:hAnsi="Candara"/>
        </w:rPr>
        <w:t>”</w:t>
      </w:r>
      <w:r w:rsidRPr="00DF79BE">
        <w:rPr>
          <w:rFonts w:ascii="Candara" w:hAnsi="Candara"/>
        </w:rPr>
        <w:t>.</w:t>
      </w:r>
      <w:r w:rsidR="00BA408A">
        <w:rPr>
          <w:rFonts w:ascii="Candara" w:hAnsi="Candara"/>
          <w:i/>
        </w:rPr>
        <w:t xml:space="preserve"> </w:t>
      </w:r>
      <w:r w:rsidR="00BA408A">
        <w:rPr>
          <w:rFonts w:ascii="Candara" w:hAnsi="Candara"/>
        </w:rPr>
        <w:t xml:space="preserve">Minister Regina Doherty has re-stated the </w:t>
      </w:r>
      <w:r w:rsidR="00BA408A">
        <w:rPr>
          <w:rFonts w:ascii="Candara" w:hAnsi="Candara"/>
        </w:rPr>
        <w:lastRenderedPageBreak/>
        <w:t xml:space="preserve">Government’s intention to move to a total contributions approach from 2020 – but </w:t>
      </w:r>
      <w:r w:rsidR="00E2048C">
        <w:rPr>
          <w:rFonts w:ascii="Candara" w:hAnsi="Candara"/>
        </w:rPr>
        <w:t xml:space="preserve">has noted </w:t>
      </w:r>
      <w:r w:rsidR="00BA408A">
        <w:rPr>
          <w:rFonts w:ascii="Candara" w:hAnsi="Candara"/>
        </w:rPr>
        <w:t>that this would only apply to new entrants in the workforce from that time.</w:t>
      </w:r>
    </w:p>
    <w:p w:rsidR="002708FB" w:rsidRDefault="002708FB" w:rsidP="002708FB">
      <w:pPr>
        <w:spacing w:after="120" w:line="276" w:lineRule="auto"/>
        <w:rPr>
          <w:rFonts w:ascii="Candara" w:hAnsi="Candara"/>
          <w:b/>
          <w:sz w:val="24"/>
          <w:szCs w:val="24"/>
        </w:rPr>
      </w:pPr>
      <w:r w:rsidRPr="000033B2">
        <w:rPr>
          <w:rFonts w:ascii="Candara" w:hAnsi="Candara"/>
          <w:b/>
          <w:sz w:val="24"/>
          <w:szCs w:val="24"/>
        </w:rPr>
        <w:t>Public Consultation on Personalised Budgets for People with Disabilities</w:t>
      </w:r>
    </w:p>
    <w:p w:rsidR="00DF79BE" w:rsidRDefault="002708FB" w:rsidP="002708FB">
      <w:pPr>
        <w:spacing w:after="120" w:line="276" w:lineRule="auto"/>
        <w:rPr>
          <w:rFonts w:ascii="Candara" w:hAnsi="Candara"/>
        </w:rPr>
      </w:pPr>
      <w:r>
        <w:rPr>
          <w:rFonts w:ascii="Candara" w:hAnsi="Candara"/>
        </w:rPr>
        <w:t xml:space="preserve">In October 2017, CIB responded to a Consultation Questionnaire issued by the Department of Health in relation to </w:t>
      </w:r>
      <w:r w:rsidRPr="00EE7405">
        <w:rPr>
          <w:rFonts w:ascii="Candara" w:hAnsi="Candara"/>
        </w:rPr>
        <w:t>the introduction of personalised budgets for people with disabilit</w:t>
      </w:r>
      <w:r>
        <w:rPr>
          <w:rFonts w:ascii="Candara" w:hAnsi="Candara"/>
        </w:rPr>
        <w:t xml:space="preserve">ies. </w:t>
      </w:r>
      <w:r w:rsidR="000E0506">
        <w:rPr>
          <w:rFonts w:ascii="Candara" w:hAnsi="Candara"/>
        </w:rPr>
        <w:t xml:space="preserve">A </w:t>
      </w:r>
      <w:r w:rsidRPr="00EE7405">
        <w:rPr>
          <w:rFonts w:ascii="Candara" w:hAnsi="Candara"/>
        </w:rPr>
        <w:t xml:space="preserve">Task Force </w:t>
      </w:r>
      <w:r w:rsidR="000E0506">
        <w:rPr>
          <w:rFonts w:ascii="Candara" w:hAnsi="Candara"/>
        </w:rPr>
        <w:t xml:space="preserve">is </w:t>
      </w:r>
      <w:r w:rsidRPr="00EE7405">
        <w:rPr>
          <w:rFonts w:ascii="Candara" w:hAnsi="Candara"/>
        </w:rPr>
        <w:t>develop</w:t>
      </w:r>
      <w:r w:rsidR="000E0506">
        <w:rPr>
          <w:rFonts w:ascii="Candara" w:hAnsi="Candara"/>
        </w:rPr>
        <w:t>ing</w:t>
      </w:r>
      <w:r w:rsidRPr="00EE7405">
        <w:rPr>
          <w:rFonts w:ascii="Candara" w:hAnsi="Candara"/>
        </w:rPr>
        <w:t xml:space="preserve"> plans for the introduction of a system of personalised budgets in Ireland</w:t>
      </w:r>
      <w:r w:rsidR="00DF79BE">
        <w:rPr>
          <w:rFonts w:ascii="Candara" w:hAnsi="Candara"/>
        </w:rPr>
        <w:t>,</w:t>
      </w:r>
      <w:r>
        <w:rPr>
          <w:rFonts w:ascii="Candara" w:hAnsi="Candara"/>
        </w:rPr>
        <w:t xml:space="preserve"> with an initial focus on HSE funded services</w:t>
      </w:r>
      <w:r w:rsidRPr="00EE7405">
        <w:rPr>
          <w:rFonts w:ascii="Candara" w:hAnsi="Candara"/>
        </w:rPr>
        <w:t xml:space="preserve">. </w:t>
      </w:r>
      <w:r>
        <w:rPr>
          <w:rFonts w:ascii="Candara" w:hAnsi="Candara"/>
        </w:rPr>
        <w:t xml:space="preserve">The questionnaire sought responses on issues such as the likely use of budgets by individuals, the advantages and challenges of such an approach to service provision, and the supports and planning necessary for people with disabilities to effectively use this model. </w:t>
      </w:r>
    </w:p>
    <w:p w:rsidR="002708FB" w:rsidRDefault="002708FB" w:rsidP="002708FB">
      <w:pPr>
        <w:spacing w:after="120" w:line="276" w:lineRule="auto"/>
        <w:rPr>
          <w:rFonts w:ascii="Candara" w:hAnsi="Candara"/>
        </w:rPr>
      </w:pPr>
      <w:r>
        <w:rPr>
          <w:rFonts w:ascii="Candara" w:hAnsi="Candara"/>
        </w:rPr>
        <w:t>While</w:t>
      </w:r>
      <w:r w:rsidR="00AD014B">
        <w:rPr>
          <w:rFonts w:ascii="Candara" w:hAnsi="Candara"/>
        </w:rPr>
        <w:t xml:space="preserve"> noting that a key advantage </w:t>
      </w:r>
      <w:r>
        <w:rPr>
          <w:rFonts w:ascii="Candara" w:hAnsi="Candara"/>
        </w:rPr>
        <w:t>is that it is aimed at empow</w:t>
      </w:r>
      <w:r w:rsidR="00AD014B">
        <w:rPr>
          <w:rFonts w:ascii="Candara" w:hAnsi="Candara"/>
        </w:rPr>
        <w:t>ering clients and family carers (</w:t>
      </w:r>
      <w:r>
        <w:rPr>
          <w:rFonts w:ascii="Candara" w:hAnsi="Candara"/>
        </w:rPr>
        <w:t>giving them maximum control over the what, who and when of care</w:t>
      </w:r>
      <w:r w:rsidR="00AD014B">
        <w:rPr>
          <w:rFonts w:ascii="Candara" w:hAnsi="Candara"/>
        </w:rPr>
        <w:t>)</w:t>
      </w:r>
      <w:r>
        <w:rPr>
          <w:rFonts w:ascii="Candara" w:hAnsi="Candara"/>
        </w:rPr>
        <w:t xml:space="preserve"> the CIB response </w:t>
      </w:r>
      <w:r w:rsidR="00AD014B">
        <w:rPr>
          <w:rFonts w:ascii="Candara" w:hAnsi="Candara"/>
        </w:rPr>
        <w:t xml:space="preserve">suggested </w:t>
      </w:r>
      <w:r>
        <w:rPr>
          <w:rFonts w:ascii="Candara" w:hAnsi="Candara"/>
        </w:rPr>
        <w:t xml:space="preserve">the need to ensure that the voice of people with disabilities is embedded in the service delivery system – and </w:t>
      </w:r>
      <w:r w:rsidR="00AD014B">
        <w:rPr>
          <w:rFonts w:ascii="Candara" w:hAnsi="Candara"/>
        </w:rPr>
        <w:t>noted</w:t>
      </w:r>
      <w:r>
        <w:rPr>
          <w:rFonts w:ascii="Candara" w:hAnsi="Candara"/>
        </w:rPr>
        <w:t xml:space="preserve"> that this presents a significant challenge for people with</w:t>
      </w:r>
      <w:r w:rsidR="00AD014B">
        <w:rPr>
          <w:rFonts w:ascii="Candara" w:hAnsi="Candara"/>
        </w:rPr>
        <w:t xml:space="preserve"> more complex care needs. Thus, </w:t>
      </w:r>
      <w:r>
        <w:rPr>
          <w:rFonts w:ascii="Candara" w:hAnsi="Candara"/>
        </w:rPr>
        <w:t xml:space="preserve">access to independent advocacy support may be necessary to ensure that provision is made for the full exploration of choices and options – in tandem with supported decision-making in accordance with the Assisted Decision-making (Capacity) Act 2015. The CIB paper also noted that a crucial element in implementing the personalised budget approach would be “an objective, independent, comprehensive, consistent, integrated and nationally standardised needs assessment process” and referenced the Law Reform Commission’s 2011 Report on the </w:t>
      </w:r>
      <w:r w:rsidRPr="002708FB">
        <w:rPr>
          <w:rFonts w:ascii="Candara" w:hAnsi="Candara"/>
        </w:rPr>
        <w:t>legal aspects of professional home care</w:t>
      </w:r>
      <w:r>
        <w:rPr>
          <w:rFonts w:ascii="Candara" w:hAnsi="Candara"/>
        </w:rPr>
        <w:t xml:space="preserve"> with regard to the assessment of care needs. </w:t>
      </w:r>
    </w:p>
    <w:p w:rsidR="004A66AC" w:rsidRPr="003C4396" w:rsidRDefault="00F54FC0" w:rsidP="004A66AC">
      <w:pPr>
        <w:spacing w:after="120" w:line="276" w:lineRule="auto"/>
        <w:rPr>
          <w:rFonts w:ascii="Candara" w:hAnsi="Candara"/>
          <w:b/>
          <w:sz w:val="24"/>
          <w:szCs w:val="24"/>
        </w:rPr>
      </w:pPr>
      <w:r>
        <w:rPr>
          <w:rFonts w:ascii="Candara" w:hAnsi="Candara"/>
          <w:b/>
          <w:sz w:val="24"/>
          <w:szCs w:val="24"/>
        </w:rPr>
        <w:t>Indecon c</w:t>
      </w:r>
      <w:r w:rsidR="00DF1777" w:rsidRPr="003C4396">
        <w:rPr>
          <w:rFonts w:ascii="Candara" w:hAnsi="Candara"/>
          <w:b/>
          <w:sz w:val="24"/>
          <w:szCs w:val="24"/>
        </w:rPr>
        <w:t xml:space="preserve">onsultation on </w:t>
      </w:r>
      <w:r w:rsidR="00FD0087" w:rsidRPr="003C4396">
        <w:rPr>
          <w:rFonts w:ascii="Candara" w:hAnsi="Candara"/>
          <w:b/>
          <w:sz w:val="24"/>
          <w:szCs w:val="24"/>
        </w:rPr>
        <w:t>returning Irish emigrants</w:t>
      </w:r>
    </w:p>
    <w:p w:rsidR="00AD014B" w:rsidRDefault="001C7FF9" w:rsidP="004A66AC">
      <w:pPr>
        <w:spacing w:after="120" w:line="276" w:lineRule="auto"/>
        <w:rPr>
          <w:rFonts w:ascii="Candara" w:hAnsi="Candara"/>
        </w:rPr>
      </w:pPr>
      <w:r>
        <w:rPr>
          <w:rFonts w:ascii="Candara" w:hAnsi="Candara"/>
        </w:rPr>
        <w:t xml:space="preserve">In August 2017, the </w:t>
      </w:r>
      <w:r w:rsidRPr="001C7FF9">
        <w:rPr>
          <w:rFonts w:ascii="Candara" w:hAnsi="Candara"/>
        </w:rPr>
        <w:t>Department of Foreign Affairs and Trade announced the appoin</w:t>
      </w:r>
      <w:r>
        <w:rPr>
          <w:rFonts w:ascii="Candara" w:hAnsi="Candara"/>
        </w:rPr>
        <w:t xml:space="preserve">tment of Indecon </w:t>
      </w:r>
      <w:r w:rsidR="00C14240">
        <w:rPr>
          <w:rFonts w:ascii="Candara" w:hAnsi="Candara"/>
        </w:rPr>
        <w:t xml:space="preserve">Economic Consultants </w:t>
      </w:r>
      <w:r>
        <w:rPr>
          <w:rFonts w:ascii="Candara" w:hAnsi="Candara"/>
        </w:rPr>
        <w:t>to undertake an</w:t>
      </w:r>
      <w:r w:rsidRPr="001C7FF9">
        <w:rPr>
          <w:rFonts w:ascii="Candara" w:hAnsi="Candara"/>
        </w:rPr>
        <w:t xml:space="preserve"> economic report on barriers </w:t>
      </w:r>
      <w:r w:rsidR="00C14240">
        <w:rPr>
          <w:rFonts w:ascii="Candara" w:hAnsi="Candara"/>
        </w:rPr>
        <w:t>that exist for</w:t>
      </w:r>
      <w:r w:rsidRPr="001C7FF9">
        <w:rPr>
          <w:rFonts w:ascii="Candara" w:hAnsi="Candara"/>
        </w:rPr>
        <w:t xml:space="preserve"> returning Irish emigrants. The report </w:t>
      </w:r>
      <w:r w:rsidR="00C14240">
        <w:rPr>
          <w:rFonts w:ascii="Candara" w:hAnsi="Candara"/>
        </w:rPr>
        <w:t xml:space="preserve">aims to identify - and provide solutions to - unnecessary </w:t>
      </w:r>
      <w:r w:rsidRPr="001C7FF9">
        <w:rPr>
          <w:rFonts w:ascii="Candara" w:hAnsi="Candara"/>
        </w:rPr>
        <w:t>administrative burdens that negatively affect people wishing to return to Ireland to live.</w:t>
      </w:r>
      <w:r w:rsidR="00C14240">
        <w:rPr>
          <w:rFonts w:ascii="Candara" w:hAnsi="Candara"/>
        </w:rPr>
        <w:t xml:space="preserve"> As part of the consultative process, Indecon </w:t>
      </w:r>
      <w:r w:rsidR="00FD0087">
        <w:rPr>
          <w:rFonts w:ascii="Candara" w:hAnsi="Candara"/>
        </w:rPr>
        <w:t>has sought the views of</w:t>
      </w:r>
      <w:r w:rsidR="00C14240">
        <w:rPr>
          <w:rFonts w:ascii="Candara" w:hAnsi="Candara"/>
        </w:rPr>
        <w:t xml:space="preserve"> </w:t>
      </w:r>
      <w:r w:rsidR="00FD0087">
        <w:rPr>
          <w:rFonts w:ascii="Candara" w:hAnsi="Candara"/>
        </w:rPr>
        <w:t xml:space="preserve">CIB in respect of the experience of delivery services, as they provide information and advice/ assistance to people who have returned to Ireland or who are thinking about returning. The CIB submission noted that most of the concerns of returning emigrants were common to that of the general population – for instance, the availability and cost of housing, access to schools and childcare, and access to public health services. </w:t>
      </w:r>
    </w:p>
    <w:p w:rsidR="004A66AC" w:rsidRDefault="00AD014B" w:rsidP="004A66AC">
      <w:pPr>
        <w:spacing w:after="120" w:line="276" w:lineRule="auto"/>
        <w:rPr>
          <w:rFonts w:ascii="Candara" w:hAnsi="Candara"/>
        </w:rPr>
      </w:pPr>
      <w:r>
        <w:rPr>
          <w:rFonts w:ascii="Candara" w:hAnsi="Candara"/>
        </w:rPr>
        <w:t>T</w:t>
      </w:r>
      <w:r w:rsidR="00FD0087">
        <w:rPr>
          <w:rFonts w:ascii="Candara" w:hAnsi="Candara"/>
        </w:rPr>
        <w:t>he submission also went on to address the specific administrative difficulties for this cohort</w:t>
      </w:r>
      <w:r w:rsidR="00DF79BE">
        <w:rPr>
          <w:rFonts w:ascii="Candara" w:hAnsi="Candara"/>
        </w:rPr>
        <w:t xml:space="preserve"> </w:t>
      </w:r>
      <w:r w:rsidR="00FD0087">
        <w:rPr>
          <w:rFonts w:ascii="Candara" w:hAnsi="Candara"/>
        </w:rPr>
        <w:t>that have been evidenced in feedback from information services during the past number of years. These difficulties include regaining their Irish driving licence</w:t>
      </w:r>
      <w:r w:rsidR="00225AD6">
        <w:rPr>
          <w:rFonts w:ascii="Candara" w:hAnsi="Candara"/>
        </w:rPr>
        <w:t xml:space="preserve">, accessing affordable motor insurance (in the context of benefitting from claims-free driving while living abroad), returning to live with a non-EEA spouse or civil partner (who has no automatic entitlement under Irish law to join them in Ireland) and awareness and clarity around the Habitual Residence Condition when applying for social welfare benefits. The submission concluded by noting that the need for integrated information is particularly important because of the fragmentation of the service delivery system and the diversity of the returning emigrant population. </w:t>
      </w:r>
    </w:p>
    <w:p w:rsidR="004A66AC" w:rsidRDefault="00BF26D1" w:rsidP="00AD0459">
      <w:pPr>
        <w:spacing w:after="120" w:line="276" w:lineRule="auto"/>
        <w:rPr>
          <w:rFonts w:ascii="Candara" w:hAnsi="Candara"/>
          <w:b/>
          <w:sz w:val="24"/>
          <w:szCs w:val="24"/>
        </w:rPr>
      </w:pPr>
      <w:r>
        <w:rPr>
          <w:rFonts w:ascii="Candara" w:hAnsi="Candara"/>
          <w:b/>
          <w:sz w:val="24"/>
          <w:szCs w:val="24"/>
        </w:rPr>
        <w:t>Com</w:t>
      </w:r>
      <w:r w:rsidR="003C4396">
        <w:rPr>
          <w:rFonts w:ascii="Candara" w:hAnsi="Candara"/>
          <w:b/>
          <w:sz w:val="24"/>
          <w:szCs w:val="24"/>
        </w:rPr>
        <w:t>Reg Review of Non-Geographic Numbers</w:t>
      </w:r>
    </w:p>
    <w:p w:rsidR="00E75FB1" w:rsidRDefault="00E75FB1" w:rsidP="00E75FB1">
      <w:pPr>
        <w:spacing w:after="120" w:line="276" w:lineRule="auto"/>
        <w:rPr>
          <w:rFonts w:ascii="Candara" w:hAnsi="Candara"/>
        </w:rPr>
      </w:pPr>
      <w:r>
        <w:rPr>
          <w:rFonts w:ascii="Candara" w:hAnsi="Candara"/>
        </w:rPr>
        <w:t>In October 2017</w:t>
      </w:r>
      <w:r w:rsidR="005F5AFB">
        <w:rPr>
          <w:rFonts w:ascii="Candara" w:hAnsi="Candara"/>
        </w:rPr>
        <w:t>,</w:t>
      </w:r>
      <w:r>
        <w:rPr>
          <w:rFonts w:ascii="Candara" w:hAnsi="Candara"/>
        </w:rPr>
        <w:t xml:space="preserve"> CIB made a submission to the Commission for Communications Regulation (ComReg) on </w:t>
      </w:r>
      <w:r w:rsidRPr="00E75FB1">
        <w:rPr>
          <w:rFonts w:ascii="Candara" w:hAnsi="Candara"/>
        </w:rPr>
        <w:t xml:space="preserve">five </w:t>
      </w:r>
      <w:r>
        <w:rPr>
          <w:rFonts w:ascii="Candara" w:hAnsi="Candara"/>
        </w:rPr>
        <w:t>categories</w:t>
      </w:r>
      <w:r w:rsidRPr="00E75FB1">
        <w:rPr>
          <w:rFonts w:ascii="Candara" w:hAnsi="Candara"/>
        </w:rPr>
        <w:t xml:space="preserve"> of “Non-Geographic Number” (NGN)</w:t>
      </w:r>
      <w:r w:rsidR="005F5AFB">
        <w:rPr>
          <w:rFonts w:ascii="Candara" w:hAnsi="Candara"/>
        </w:rPr>
        <w:t xml:space="preserve"> -</w:t>
      </w:r>
      <w:r>
        <w:rPr>
          <w:rFonts w:ascii="Candara" w:hAnsi="Candara"/>
        </w:rPr>
        <w:t xml:space="preserve"> name</w:t>
      </w:r>
      <w:r w:rsidR="004E68D8">
        <w:rPr>
          <w:rFonts w:ascii="Candara" w:hAnsi="Candara"/>
        </w:rPr>
        <w:t>l</w:t>
      </w:r>
      <w:r>
        <w:rPr>
          <w:rFonts w:ascii="Candara" w:hAnsi="Candara"/>
        </w:rPr>
        <w:t>y</w:t>
      </w:r>
      <w:r w:rsidRPr="00E75FB1">
        <w:rPr>
          <w:rFonts w:ascii="Candara" w:hAnsi="Candara"/>
        </w:rPr>
        <w:t xml:space="preserve"> ‘1800’, ‘1850’, ‘1890’, ‘0818’ and ‘076’</w:t>
      </w:r>
      <w:r>
        <w:rPr>
          <w:rFonts w:ascii="Candara" w:hAnsi="Candara"/>
        </w:rPr>
        <w:t xml:space="preserve"> telephone numbers</w:t>
      </w:r>
      <w:r w:rsidRPr="00E75FB1">
        <w:rPr>
          <w:rFonts w:ascii="Candara" w:hAnsi="Candara"/>
        </w:rPr>
        <w:t>.</w:t>
      </w:r>
      <w:r>
        <w:rPr>
          <w:rFonts w:ascii="Candara" w:hAnsi="Candara"/>
        </w:rPr>
        <w:t xml:space="preserve"> In announcing the review earlier in 2017, ComReg </w:t>
      </w:r>
      <w:r w:rsidR="005F5AFB">
        <w:rPr>
          <w:rFonts w:ascii="Candara" w:hAnsi="Candara"/>
        </w:rPr>
        <w:t>stated</w:t>
      </w:r>
      <w:r>
        <w:rPr>
          <w:rFonts w:ascii="Candara" w:hAnsi="Candara"/>
        </w:rPr>
        <w:t xml:space="preserve"> that </w:t>
      </w:r>
      <w:r w:rsidRPr="00E75FB1">
        <w:rPr>
          <w:rFonts w:ascii="Candara" w:hAnsi="Candara"/>
        </w:rPr>
        <w:t xml:space="preserve">preliminary </w:t>
      </w:r>
      <w:r w:rsidR="004E68D8">
        <w:rPr>
          <w:rFonts w:ascii="Candara" w:hAnsi="Candara"/>
        </w:rPr>
        <w:t xml:space="preserve">research </w:t>
      </w:r>
      <w:r w:rsidRPr="00E75FB1">
        <w:rPr>
          <w:rFonts w:ascii="Candara" w:hAnsi="Candara"/>
        </w:rPr>
        <w:t xml:space="preserve">findings </w:t>
      </w:r>
      <w:r>
        <w:rPr>
          <w:rFonts w:ascii="Candara" w:hAnsi="Candara"/>
        </w:rPr>
        <w:t xml:space="preserve">had </w:t>
      </w:r>
      <w:r w:rsidRPr="00E75FB1">
        <w:rPr>
          <w:rFonts w:ascii="Candara" w:hAnsi="Candara"/>
        </w:rPr>
        <w:t>suggest</w:t>
      </w:r>
      <w:r>
        <w:rPr>
          <w:rFonts w:ascii="Candara" w:hAnsi="Candara"/>
        </w:rPr>
        <w:t>ed</w:t>
      </w:r>
      <w:r w:rsidRPr="00E75FB1">
        <w:rPr>
          <w:rFonts w:ascii="Candara" w:hAnsi="Candara"/>
        </w:rPr>
        <w:t xml:space="preserve"> that there may be some issues with N</w:t>
      </w:r>
      <w:r>
        <w:rPr>
          <w:rFonts w:ascii="Candara" w:hAnsi="Candara"/>
        </w:rPr>
        <w:t xml:space="preserve">GNs which are harming consumers and that the </w:t>
      </w:r>
      <w:r w:rsidRPr="00E75FB1">
        <w:rPr>
          <w:rFonts w:ascii="Candara" w:hAnsi="Candara"/>
        </w:rPr>
        <w:t xml:space="preserve">NGN platform </w:t>
      </w:r>
      <w:r>
        <w:rPr>
          <w:rFonts w:ascii="Candara" w:hAnsi="Candara"/>
        </w:rPr>
        <w:t>wa</w:t>
      </w:r>
      <w:r w:rsidRPr="00E75FB1">
        <w:rPr>
          <w:rFonts w:ascii="Candara" w:hAnsi="Candara"/>
        </w:rPr>
        <w:t>s not working effectively for either the consumer or for the organisations using NGNs to provide services</w:t>
      </w:r>
      <w:r>
        <w:rPr>
          <w:rFonts w:ascii="Candara" w:hAnsi="Candara"/>
        </w:rPr>
        <w:t xml:space="preserve">. </w:t>
      </w:r>
    </w:p>
    <w:p w:rsidR="00DF79BE" w:rsidRDefault="00640465" w:rsidP="005E25B0">
      <w:pPr>
        <w:spacing w:after="120" w:line="276" w:lineRule="auto"/>
        <w:rPr>
          <w:rFonts w:ascii="Candara" w:hAnsi="Candara"/>
        </w:rPr>
      </w:pPr>
      <w:r>
        <w:rPr>
          <w:rFonts w:ascii="Candara" w:hAnsi="Candara"/>
        </w:rPr>
        <w:lastRenderedPageBreak/>
        <w:t xml:space="preserve">The CIB submission noted that the overall experience of Non Geographic Numbers within CIB delivery services was broadly similar to ComReg’s initial research – that </w:t>
      </w:r>
      <w:r w:rsidR="005F5AFB">
        <w:rPr>
          <w:rFonts w:ascii="Candara" w:hAnsi="Candara"/>
        </w:rPr>
        <w:t>service user</w:t>
      </w:r>
      <w:r>
        <w:rPr>
          <w:rFonts w:ascii="Candara" w:hAnsi="Candara"/>
        </w:rPr>
        <w:t xml:space="preserve"> attitudes to these numbers are negative and that the lack of transparency around costs </w:t>
      </w:r>
      <w:r w:rsidR="005F5AFB">
        <w:rPr>
          <w:rFonts w:ascii="Candara" w:hAnsi="Candara"/>
        </w:rPr>
        <w:t xml:space="preserve">seems to discourage </w:t>
      </w:r>
      <w:r>
        <w:rPr>
          <w:rFonts w:ascii="Candara" w:hAnsi="Candara"/>
        </w:rPr>
        <w:t>the use of NGN numbers.</w:t>
      </w:r>
      <w:r w:rsidR="004E68D8">
        <w:rPr>
          <w:rFonts w:ascii="Candara" w:hAnsi="Candara"/>
        </w:rPr>
        <w:t xml:space="preserve"> The submission also highlighted that people </w:t>
      </w:r>
      <w:r w:rsidR="005E25B0">
        <w:rPr>
          <w:rFonts w:ascii="Candara" w:hAnsi="Candara"/>
        </w:rPr>
        <w:t>on low incomes and those experienc</w:t>
      </w:r>
      <w:r w:rsidR="005F5AFB">
        <w:rPr>
          <w:rFonts w:ascii="Candara" w:hAnsi="Candara"/>
        </w:rPr>
        <w:t>ing</w:t>
      </w:r>
      <w:r w:rsidR="005E25B0">
        <w:rPr>
          <w:rFonts w:ascii="Candara" w:hAnsi="Candara"/>
        </w:rPr>
        <w:t xml:space="preserve"> indebtedness were particularly vulnerable when trying to access public services by telephone. </w:t>
      </w:r>
    </w:p>
    <w:p w:rsidR="003C4396" w:rsidRPr="003C4396" w:rsidRDefault="00E75FB1" w:rsidP="005E25B0">
      <w:pPr>
        <w:spacing w:after="120" w:line="276" w:lineRule="auto"/>
        <w:rPr>
          <w:rFonts w:ascii="Candara" w:hAnsi="Candara"/>
        </w:rPr>
      </w:pPr>
      <w:r>
        <w:rPr>
          <w:rFonts w:ascii="Candara" w:hAnsi="Candara"/>
        </w:rPr>
        <w:t xml:space="preserve">The public consultation proposed by ComReg </w:t>
      </w:r>
      <w:r w:rsidR="00640465">
        <w:rPr>
          <w:rFonts w:ascii="Candara" w:hAnsi="Candara"/>
        </w:rPr>
        <w:t xml:space="preserve">suggested two </w:t>
      </w:r>
      <w:r w:rsidR="00640465" w:rsidRPr="00640465">
        <w:rPr>
          <w:rFonts w:ascii="Candara" w:hAnsi="Candara"/>
        </w:rPr>
        <w:t>regulatory measures</w:t>
      </w:r>
      <w:r w:rsidR="00640465">
        <w:rPr>
          <w:rFonts w:ascii="Candara" w:hAnsi="Candara"/>
        </w:rPr>
        <w:t xml:space="preserve"> which it plan</w:t>
      </w:r>
      <w:r w:rsidR="005F5AFB">
        <w:rPr>
          <w:rFonts w:ascii="Candara" w:hAnsi="Candara"/>
        </w:rPr>
        <w:t>s</w:t>
      </w:r>
      <w:r w:rsidR="00640465">
        <w:rPr>
          <w:rFonts w:ascii="Candara" w:hAnsi="Candara"/>
        </w:rPr>
        <w:t xml:space="preserve"> on phasing </w:t>
      </w:r>
      <w:r w:rsidR="005E25B0">
        <w:rPr>
          <w:rFonts w:ascii="Candara" w:hAnsi="Candara"/>
        </w:rPr>
        <w:t xml:space="preserve">in – that is, to </w:t>
      </w:r>
      <w:r w:rsidR="005E25B0" w:rsidRPr="005E25B0">
        <w:rPr>
          <w:rFonts w:ascii="Candara" w:hAnsi="Candara"/>
        </w:rPr>
        <w:t xml:space="preserve">retain the ‘1800’ NGN class as Freephone (i.e. free to call from landline and mobile) and </w:t>
      </w:r>
      <w:r w:rsidR="005F5AFB">
        <w:rPr>
          <w:rFonts w:ascii="Candara" w:hAnsi="Candara"/>
        </w:rPr>
        <w:t xml:space="preserve">also </w:t>
      </w:r>
      <w:r w:rsidR="005E25B0" w:rsidRPr="005E25B0">
        <w:rPr>
          <w:rFonts w:ascii="Candara" w:hAnsi="Candara"/>
        </w:rPr>
        <w:t>to introduce a new linked pricing tariff (“Geo-Linked”) for the 1850</w:t>
      </w:r>
      <w:r w:rsidR="005E25B0">
        <w:rPr>
          <w:rFonts w:ascii="Candara" w:hAnsi="Candara"/>
        </w:rPr>
        <w:t xml:space="preserve">, 1890, </w:t>
      </w:r>
      <w:r w:rsidR="005E25B0" w:rsidRPr="005E25B0">
        <w:rPr>
          <w:rFonts w:ascii="Candara" w:hAnsi="Candara"/>
        </w:rPr>
        <w:t>0818, and</w:t>
      </w:r>
      <w:r w:rsidR="005E25B0">
        <w:rPr>
          <w:rFonts w:ascii="Candara" w:hAnsi="Candara"/>
        </w:rPr>
        <w:t xml:space="preserve"> </w:t>
      </w:r>
      <w:r w:rsidR="005E25B0" w:rsidRPr="005E25B0">
        <w:rPr>
          <w:rFonts w:ascii="Candara" w:hAnsi="Candara"/>
        </w:rPr>
        <w:t>076 NGNs</w:t>
      </w:r>
      <w:r w:rsidR="005F5AFB">
        <w:rPr>
          <w:rFonts w:ascii="Candara" w:hAnsi="Candara"/>
        </w:rPr>
        <w:t xml:space="preserve">. ComReg also </w:t>
      </w:r>
      <w:r w:rsidR="008C1038">
        <w:rPr>
          <w:rFonts w:ascii="Candara" w:hAnsi="Candara"/>
        </w:rPr>
        <w:t xml:space="preserve">noted </w:t>
      </w:r>
      <w:r w:rsidR="005F5AFB">
        <w:rPr>
          <w:rFonts w:ascii="Candara" w:hAnsi="Candara"/>
        </w:rPr>
        <w:t>the intention</w:t>
      </w:r>
      <w:r w:rsidR="008C1038">
        <w:rPr>
          <w:rFonts w:ascii="Candara" w:hAnsi="Candara"/>
        </w:rPr>
        <w:t xml:space="preserve">, over time, </w:t>
      </w:r>
      <w:r w:rsidR="005F5AFB">
        <w:rPr>
          <w:rFonts w:ascii="Candara" w:hAnsi="Candara"/>
        </w:rPr>
        <w:t>to reduce</w:t>
      </w:r>
      <w:r w:rsidR="005E25B0" w:rsidRPr="005E25B0">
        <w:rPr>
          <w:rFonts w:ascii="Candara" w:hAnsi="Candara"/>
        </w:rPr>
        <w:t xml:space="preserve"> the five classes of NGN to two, so that consumers will more readily understand the cost of the calls they are making</w:t>
      </w:r>
      <w:r w:rsidR="005E25B0">
        <w:rPr>
          <w:rFonts w:ascii="Candara" w:hAnsi="Candara"/>
        </w:rPr>
        <w:t xml:space="preserve">. The CIB submission was broadly supportive of these moves and also stressed the need to regulate </w:t>
      </w:r>
      <w:r w:rsidR="005F5AFB" w:rsidRPr="005F5AFB">
        <w:rPr>
          <w:rFonts w:ascii="Candara" w:hAnsi="Candara"/>
        </w:rPr>
        <w:t>the costs and conditions of these numbers</w:t>
      </w:r>
      <w:r w:rsidR="005F5AFB">
        <w:rPr>
          <w:rFonts w:ascii="Candara" w:hAnsi="Candara"/>
        </w:rPr>
        <w:t xml:space="preserve">, in the interests of </w:t>
      </w:r>
      <w:r w:rsidR="005E25B0">
        <w:rPr>
          <w:rFonts w:ascii="Candara" w:hAnsi="Candara"/>
        </w:rPr>
        <w:t xml:space="preserve">transparency for consumers. Further, it suggested that all telecommunications providers should provide specific details for what is (and is not) included in pricing packages or ‘bundles’. </w:t>
      </w:r>
    </w:p>
    <w:p w:rsidR="004A66AC" w:rsidRPr="00E463F4" w:rsidRDefault="004A66AC" w:rsidP="004A66AC">
      <w:pPr>
        <w:shd w:val="clear" w:color="auto" w:fill="C2D69B" w:themeFill="accent3" w:themeFillTint="99"/>
        <w:rPr>
          <w:rFonts w:ascii="Candara" w:eastAsia="Times New Roman" w:hAnsi="Candara"/>
          <w:b/>
          <w:sz w:val="32"/>
          <w:szCs w:val="32"/>
          <w:lang w:eastAsia="en-IE"/>
        </w:rPr>
      </w:pPr>
      <w:r>
        <w:rPr>
          <w:rFonts w:ascii="Candara" w:hAnsi="Candara"/>
          <w:b/>
          <w:sz w:val="32"/>
          <w:szCs w:val="32"/>
        </w:rPr>
        <w:t>CIS Act</w:t>
      </w:r>
      <w:r w:rsidR="00B31AC2">
        <w:rPr>
          <w:rFonts w:ascii="Candara" w:hAnsi="Candara"/>
          <w:b/>
          <w:sz w:val="32"/>
          <w:szCs w:val="32"/>
        </w:rPr>
        <w:t>ivity Report January - June 2017</w:t>
      </w:r>
      <w:r>
        <w:rPr>
          <w:rFonts w:ascii="Candara" w:hAnsi="Candara"/>
          <w:b/>
          <w:sz w:val="32"/>
          <w:szCs w:val="32"/>
        </w:rPr>
        <w:t xml:space="preserve"> </w:t>
      </w:r>
    </w:p>
    <w:p w:rsidR="00DF79BE" w:rsidRDefault="004A66AC" w:rsidP="004A66AC">
      <w:pPr>
        <w:spacing w:after="200" w:line="276" w:lineRule="auto"/>
        <w:rPr>
          <w:rFonts w:ascii="Candara" w:hAnsi="Candara"/>
          <w:shd w:val="clear" w:color="auto" w:fill="FFFFFF" w:themeFill="background1"/>
        </w:rPr>
      </w:pPr>
      <w:r>
        <w:rPr>
          <w:rFonts w:ascii="Candara" w:hAnsi="Candara"/>
          <w:shd w:val="clear" w:color="auto" w:fill="FFFFFF" w:themeFill="background1"/>
        </w:rPr>
        <w:t>The National CIS Activity Report for the first six months of 201</w:t>
      </w:r>
      <w:r w:rsidR="00DF1777">
        <w:rPr>
          <w:rFonts w:ascii="Candara" w:hAnsi="Candara"/>
          <w:shd w:val="clear" w:color="auto" w:fill="FFFFFF" w:themeFill="background1"/>
        </w:rPr>
        <w:t>7</w:t>
      </w:r>
      <w:r>
        <w:rPr>
          <w:rFonts w:ascii="Candara" w:hAnsi="Candara"/>
          <w:shd w:val="clear" w:color="auto" w:fill="FFFFFF" w:themeFill="background1"/>
        </w:rPr>
        <w:t xml:space="preserve"> has been presented to the CIB Board. This Report lays out an analysis of the key caller and query data that is routinely captured by CISs throughout the country. </w:t>
      </w:r>
    </w:p>
    <w:p w:rsidR="004A66AC" w:rsidRDefault="004A66AC" w:rsidP="004A66AC">
      <w:pPr>
        <w:spacing w:after="200" w:line="276" w:lineRule="auto"/>
        <w:rPr>
          <w:rFonts w:ascii="Candara" w:hAnsi="Candara"/>
          <w:shd w:val="clear" w:color="auto" w:fill="FFFFFF" w:themeFill="background1"/>
        </w:rPr>
      </w:pPr>
      <w:r>
        <w:rPr>
          <w:rFonts w:ascii="Candara" w:hAnsi="Candara"/>
          <w:shd w:val="clear" w:color="auto" w:fill="FFFFFF" w:themeFill="background1"/>
        </w:rPr>
        <w:t>Some of the key service highlights from the Report include the following:-</w:t>
      </w:r>
    </w:p>
    <w:p w:rsidR="004A66AC" w:rsidRDefault="004A66AC" w:rsidP="002D0DED">
      <w:pPr>
        <w:pStyle w:val="ListParagraph"/>
        <w:numPr>
          <w:ilvl w:val="0"/>
          <w:numId w:val="5"/>
        </w:numPr>
        <w:rPr>
          <w:rFonts w:ascii="Candara" w:hAnsi="Candara"/>
        </w:rPr>
      </w:pPr>
      <w:r w:rsidRPr="00FA3AB0">
        <w:rPr>
          <w:rFonts w:ascii="Candara" w:hAnsi="Candara"/>
        </w:rPr>
        <w:t>There were 5</w:t>
      </w:r>
      <w:r w:rsidR="00DF1777">
        <w:rPr>
          <w:rFonts w:ascii="Candara" w:hAnsi="Candara"/>
        </w:rPr>
        <w:t>31,764</w:t>
      </w:r>
      <w:r w:rsidRPr="00FA3AB0">
        <w:rPr>
          <w:rFonts w:ascii="Candara" w:hAnsi="Candara"/>
        </w:rPr>
        <w:t xml:space="preserve"> queries made to CISs (a </w:t>
      </w:r>
      <w:r w:rsidR="00DF1777">
        <w:rPr>
          <w:rFonts w:ascii="Candara" w:hAnsi="Candara"/>
        </w:rPr>
        <w:t>2</w:t>
      </w:r>
      <w:r w:rsidRPr="00FA3AB0">
        <w:rPr>
          <w:rFonts w:ascii="Candara" w:hAnsi="Candara"/>
        </w:rPr>
        <w:t>% increase on the same period in 201</w:t>
      </w:r>
      <w:r w:rsidR="00DF1777">
        <w:rPr>
          <w:rFonts w:ascii="Candara" w:hAnsi="Candara"/>
        </w:rPr>
        <w:t>6</w:t>
      </w:r>
      <w:r w:rsidRPr="00FA3AB0">
        <w:rPr>
          <w:rFonts w:ascii="Candara" w:hAnsi="Candara"/>
        </w:rPr>
        <w:t xml:space="preserve">) and 45% of these were related to </w:t>
      </w:r>
      <w:r w:rsidRPr="00FA3AB0">
        <w:rPr>
          <w:rFonts w:ascii="Candara" w:hAnsi="Candara"/>
          <w:i/>
        </w:rPr>
        <w:t>social welfare</w:t>
      </w:r>
      <w:r w:rsidRPr="00FA3AB0">
        <w:rPr>
          <w:rFonts w:ascii="Candara" w:hAnsi="Candara"/>
        </w:rPr>
        <w:t xml:space="preserve"> issues; </w:t>
      </w:r>
    </w:p>
    <w:p w:rsidR="00DF79BE" w:rsidRPr="00DF79BE" w:rsidRDefault="004A66AC" w:rsidP="002D0DED">
      <w:pPr>
        <w:pStyle w:val="ListParagraph"/>
        <w:numPr>
          <w:ilvl w:val="0"/>
          <w:numId w:val="5"/>
        </w:numPr>
        <w:rPr>
          <w:rFonts w:ascii="Candara" w:hAnsi="Candara" w:cstheme="minorHAnsi"/>
          <w:i/>
          <w:lang w:eastAsia="en-IE"/>
        </w:rPr>
      </w:pPr>
      <w:r w:rsidRPr="00FA3AB0">
        <w:rPr>
          <w:rFonts w:ascii="Candara" w:hAnsi="Candara" w:cstheme="minorHAnsi"/>
          <w:lang w:eastAsia="en-IE"/>
        </w:rPr>
        <w:t>The next highest query categories were</w:t>
      </w:r>
      <w:r w:rsidR="00DF79BE">
        <w:rPr>
          <w:rFonts w:ascii="Candara" w:hAnsi="Candara" w:cstheme="minorHAnsi"/>
          <w:lang w:eastAsia="en-IE"/>
        </w:rPr>
        <w:t>:</w:t>
      </w:r>
    </w:p>
    <w:p w:rsidR="00DF79BE" w:rsidRDefault="004A66AC" w:rsidP="00DF79BE">
      <w:pPr>
        <w:pStyle w:val="ListParagraph"/>
        <w:ind w:left="1440"/>
        <w:rPr>
          <w:rFonts w:ascii="Candara" w:hAnsi="Candara" w:cstheme="minorHAnsi"/>
          <w:lang w:eastAsia="en-IE"/>
        </w:rPr>
      </w:pPr>
      <w:r w:rsidRPr="00FA3AB0">
        <w:rPr>
          <w:rFonts w:ascii="Candara" w:hAnsi="Candara" w:cstheme="minorHAnsi"/>
          <w:i/>
          <w:lang w:eastAsia="en-IE"/>
        </w:rPr>
        <w:t>Health</w:t>
      </w:r>
      <w:r w:rsidR="00DF1777">
        <w:rPr>
          <w:rFonts w:ascii="Candara" w:hAnsi="Candara" w:cstheme="minorHAnsi"/>
          <w:lang w:eastAsia="en-IE"/>
        </w:rPr>
        <w:t xml:space="preserve"> </w:t>
      </w:r>
      <w:r w:rsidR="00DF79BE">
        <w:rPr>
          <w:rFonts w:ascii="Candara" w:hAnsi="Candara" w:cstheme="minorHAnsi"/>
          <w:lang w:eastAsia="en-IE"/>
        </w:rPr>
        <w:t>-</w:t>
      </w:r>
      <w:r w:rsidR="00DF1777">
        <w:rPr>
          <w:rFonts w:ascii="Candara" w:hAnsi="Candara" w:cstheme="minorHAnsi"/>
          <w:lang w:eastAsia="en-IE"/>
        </w:rPr>
        <w:t xml:space="preserve"> 46,297 queries (9</w:t>
      </w:r>
      <w:r w:rsidRPr="00FA3AB0">
        <w:rPr>
          <w:rFonts w:ascii="Candara" w:hAnsi="Candara" w:cstheme="minorHAnsi"/>
          <w:lang w:eastAsia="en-IE"/>
        </w:rPr>
        <w:t>%)</w:t>
      </w:r>
      <w:r>
        <w:rPr>
          <w:rFonts w:ascii="Candara" w:hAnsi="Candara" w:cstheme="minorHAnsi"/>
          <w:lang w:eastAsia="en-IE"/>
        </w:rPr>
        <w:t xml:space="preserve">, </w:t>
      </w:r>
    </w:p>
    <w:p w:rsidR="00DF79BE" w:rsidRDefault="004A66AC" w:rsidP="00DF79BE">
      <w:pPr>
        <w:pStyle w:val="ListParagraph"/>
        <w:ind w:left="1440"/>
        <w:rPr>
          <w:rFonts w:ascii="Candara" w:hAnsi="Candara" w:cstheme="minorHAnsi"/>
          <w:lang w:eastAsia="en-IE"/>
        </w:rPr>
      </w:pPr>
      <w:r w:rsidRPr="00FA3AB0">
        <w:rPr>
          <w:rFonts w:ascii="Candara" w:hAnsi="Candara" w:cstheme="minorHAnsi"/>
          <w:i/>
          <w:lang w:eastAsia="en-IE"/>
        </w:rPr>
        <w:t>Housing</w:t>
      </w:r>
      <w:r w:rsidRPr="00FA3AB0">
        <w:rPr>
          <w:rFonts w:ascii="Candara" w:hAnsi="Candara" w:cstheme="minorHAnsi"/>
          <w:lang w:eastAsia="en-IE"/>
        </w:rPr>
        <w:t xml:space="preserve"> </w:t>
      </w:r>
      <w:r w:rsidR="00DF79BE">
        <w:rPr>
          <w:rFonts w:ascii="Candara" w:hAnsi="Candara" w:cstheme="minorHAnsi"/>
          <w:lang w:eastAsia="en-IE"/>
        </w:rPr>
        <w:t xml:space="preserve">- </w:t>
      </w:r>
      <w:r w:rsidR="00DF1777">
        <w:rPr>
          <w:rFonts w:ascii="Candara" w:hAnsi="Candara" w:cstheme="minorHAnsi"/>
          <w:lang w:eastAsia="en-IE"/>
        </w:rPr>
        <w:t>45,297</w:t>
      </w:r>
      <w:r w:rsidRPr="00FA3AB0">
        <w:rPr>
          <w:rFonts w:ascii="Candara" w:hAnsi="Candara" w:cstheme="minorHAnsi"/>
          <w:lang w:eastAsia="en-IE"/>
        </w:rPr>
        <w:t xml:space="preserve"> (</w:t>
      </w:r>
      <w:r w:rsidR="00DF1777">
        <w:rPr>
          <w:rFonts w:ascii="Candara" w:hAnsi="Candara" w:cstheme="minorHAnsi"/>
          <w:lang w:eastAsia="en-IE"/>
        </w:rPr>
        <w:t xml:space="preserve">9%), </w:t>
      </w:r>
    </w:p>
    <w:p w:rsidR="00DF79BE" w:rsidRDefault="004A66AC" w:rsidP="00DF79BE">
      <w:pPr>
        <w:pStyle w:val="ListParagraph"/>
        <w:ind w:left="1440"/>
        <w:rPr>
          <w:rFonts w:ascii="Candara" w:hAnsi="Candara" w:cstheme="minorHAnsi"/>
          <w:lang w:eastAsia="en-IE"/>
        </w:rPr>
      </w:pPr>
      <w:r w:rsidRPr="00DF1777">
        <w:rPr>
          <w:rFonts w:ascii="Candara" w:hAnsi="Candara" w:cstheme="minorHAnsi"/>
          <w:i/>
          <w:lang w:eastAsia="en-IE"/>
        </w:rPr>
        <w:t>Employment</w:t>
      </w:r>
      <w:r w:rsidRPr="00DF1777">
        <w:rPr>
          <w:rFonts w:ascii="Candara" w:hAnsi="Candara" w:cstheme="minorHAnsi"/>
          <w:lang w:eastAsia="en-IE"/>
        </w:rPr>
        <w:t xml:space="preserve"> </w:t>
      </w:r>
      <w:r w:rsidR="00DF79BE">
        <w:rPr>
          <w:rFonts w:ascii="Candara" w:hAnsi="Candara" w:cstheme="minorHAnsi"/>
          <w:lang w:eastAsia="en-IE"/>
        </w:rPr>
        <w:t xml:space="preserve">- </w:t>
      </w:r>
      <w:r w:rsidRPr="00DF1777">
        <w:rPr>
          <w:rFonts w:ascii="Candara" w:hAnsi="Candara" w:cstheme="minorHAnsi"/>
          <w:lang w:eastAsia="en-IE"/>
        </w:rPr>
        <w:t>3</w:t>
      </w:r>
      <w:r w:rsidR="00DF1777">
        <w:rPr>
          <w:rFonts w:ascii="Candara" w:hAnsi="Candara" w:cstheme="minorHAnsi"/>
          <w:lang w:eastAsia="en-IE"/>
        </w:rPr>
        <w:t>8,502</w:t>
      </w:r>
      <w:r w:rsidRPr="00DF1777">
        <w:rPr>
          <w:rFonts w:ascii="Candara" w:hAnsi="Candara" w:cstheme="minorHAnsi"/>
          <w:lang w:eastAsia="en-IE"/>
        </w:rPr>
        <w:t xml:space="preserve"> queries (7%), </w:t>
      </w:r>
    </w:p>
    <w:p w:rsidR="00DF79BE" w:rsidRDefault="004A66AC" w:rsidP="00DF79BE">
      <w:pPr>
        <w:pStyle w:val="ListParagraph"/>
        <w:ind w:left="1440"/>
        <w:rPr>
          <w:rFonts w:ascii="Candara" w:hAnsi="Candara" w:cstheme="minorHAnsi"/>
          <w:lang w:eastAsia="en-IE"/>
        </w:rPr>
      </w:pPr>
      <w:r w:rsidRPr="00DF1777">
        <w:rPr>
          <w:rFonts w:ascii="Candara" w:hAnsi="Candara" w:cstheme="minorHAnsi"/>
          <w:i/>
          <w:lang w:eastAsia="en-IE"/>
        </w:rPr>
        <w:t>Money and Tax</w:t>
      </w:r>
      <w:r w:rsidRPr="00DF1777">
        <w:rPr>
          <w:rFonts w:ascii="Candara" w:hAnsi="Candara" w:cstheme="minorHAnsi"/>
          <w:lang w:eastAsia="en-IE"/>
        </w:rPr>
        <w:t xml:space="preserve"> </w:t>
      </w:r>
      <w:r w:rsidR="00DF79BE">
        <w:rPr>
          <w:rFonts w:ascii="Candara" w:hAnsi="Candara" w:cstheme="minorHAnsi"/>
          <w:lang w:eastAsia="en-IE"/>
        </w:rPr>
        <w:t xml:space="preserve">- </w:t>
      </w:r>
      <w:r w:rsidRPr="00DF1777">
        <w:rPr>
          <w:rFonts w:ascii="Candara" w:hAnsi="Candara" w:cstheme="minorHAnsi"/>
          <w:lang w:eastAsia="en-IE"/>
        </w:rPr>
        <w:t>31,</w:t>
      </w:r>
      <w:r w:rsidR="00DF1777">
        <w:rPr>
          <w:rFonts w:ascii="Candara" w:hAnsi="Candara" w:cstheme="minorHAnsi"/>
          <w:lang w:eastAsia="en-IE"/>
        </w:rPr>
        <w:t>083</w:t>
      </w:r>
      <w:r w:rsidRPr="00DF1777">
        <w:rPr>
          <w:rFonts w:ascii="Candara" w:hAnsi="Candara" w:cstheme="minorHAnsi"/>
          <w:lang w:eastAsia="en-IE"/>
        </w:rPr>
        <w:t xml:space="preserve"> queries (6%)</w:t>
      </w:r>
      <w:r w:rsidR="00F54FC0">
        <w:rPr>
          <w:rFonts w:ascii="Candara" w:hAnsi="Candara" w:cstheme="minorHAnsi"/>
          <w:lang w:eastAsia="en-IE"/>
        </w:rPr>
        <w:t xml:space="preserve">, </w:t>
      </w:r>
    </w:p>
    <w:p w:rsidR="004A66AC" w:rsidRDefault="00DF1777" w:rsidP="00DF79BE">
      <w:pPr>
        <w:pStyle w:val="ListParagraph"/>
        <w:ind w:left="1440"/>
        <w:rPr>
          <w:rFonts w:ascii="Candara" w:hAnsi="Candara" w:cstheme="minorHAnsi"/>
          <w:lang w:eastAsia="en-IE"/>
        </w:rPr>
      </w:pPr>
      <w:r w:rsidRPr="00DF1777">
        <w:rPr>
          <w:rFonts w:ascii="Candara" w:hAnsi="Candara" w:cstheme="minorHAnsi"/>
          <w:i/>
          <w:lang w:eastAsia="en-IE"/>
        </w:rPr>
        <w:t>Local</w:t>
      </w:r>
      <w:r w:rsidRPr="00DF1777">
        <w:rPr>
          <w:rFonts w:ascii="Candara" w:hAnsi="Candara" w:cstheme="minorHAnsi"/>
          <w:lang w:eastAsia="en-IE"/>
        </w:rPr>
        <w:t xml:space="preserve"> </w:t>
      </w:r>
      <w:r w:rsidR="00DF79BE">
        <w:rPr>
          <w:rFonts w:ascii="Candara" w:hAnsi="Candara" w:cstheme="minorHAnsi"/>
          <w:lang w:eastAsia="en-IE"/>
        </w:rPr>
        <w:t xml:space="preserve">- </w:t>
      </w:r>
      <w:r>
        <w:rPr>
          <w:rFonts w:ascii="Candara" w:hAnsi="Candara" w:cstheme="minorHAnsi"/>
          <w:lang w:eastAsia="en-IE"/>
        </w:rPr>
        <w:t>29,316</w:t>
      </w:r>
      <w:r w:rsidRPr="00DF1777">
        <w:rPr>
          <w:rFonts w:ascii="Candara" w:hAnsi="Candara" w:cstheme="minorHAnsi"/>
          <w:lang w:eastAsia="en-IE"/>
        </w:rPr>
        <w:t xml:space="preserve"> queries (6%)</w:t>
      </w:r>
      <w:r w:rsidR="004A66AC" w:rsidRPr="00DF1777">
        <w:rPr>
          <w:rFonts w:ascii="Candara" w:hAnsi="Candara" w:cstheme="minorHAnsi"/>
          <w:lang w:eastAsia="en-IE"/>
        </w:rPr>
        <w:t xml:space="preserve">; </w:t>
      </w:r>
    </w:p>
    <w:p w:rsidR="00DF79BE" w:rsidRPr="00DF79BE" w:rsidRDefault="004A66AC" w:rsidP="002D0DED">
      <w:pPr>
        <w:pStyle w:val="ListParagraph"/>
        <w:numPr>
          <w:ilvl w:val="0"/>
          <w:numId w:val="3"/>
        </w:numPr>
        <w:spacing w:after="0"/>
        <w:contextualSpacing w:val="0"/>
        <w:rPr>
          <w:rFonts w:ascii="Candara" w:hAnsi="Candara" w:cstheme="minorHAnsi"/>
          <w:i/>
          <w:lang w:eastAsia="en-IE"/>
        </w:rPr>
      </w:pPr>
      <w:r w:rsidRPr="00BC0180">
        <w:rPr>
          <w:rFonts w:ascii="Candara" w:hAnsi="Candara" w:cstheme="minorHAnsi"/>
          <w:lang w:eastAsia="en-IE"/>
        </w:rPr>
        <w:t xml:space="preserve">All combined </w:t>
      </w:r>
      <w:r w:rsidRPr="00BC0180">
        <w:rPr>
          <w:rFonts w:ascii="Candara" w:hAnsi="Candara" w:cstheme="minorHAnsi"/>
          <w:i/>
          <w:lang w:eastAsia="en-IE"/>
        </w:rPr>
        <w:t>Housing</w:t>
      </w:r>
      <w:r w:rsidR="00DF1777">
        <w:rPr>
          <w:rFonts w:ascii="Candara" w:hAnsi="Candara" w:cstheme="minorHAnsi"/>
          <w:lang w:eastAsia="en-IE"/>
        </w:rPr>
        <w:t xml:space="preserve"> related queries increased by 20</w:t>
      </w:r>
      <w:r w:rsidRPr="00BC0180">
        <w:rPr>
          <w:rFonts w:ascii="Candara" w:hAnsi="Candara" w:cstheme="minorHAnsi"/>
          <w:lang w:eastAsia="en-IE"/>
        </w:rPr>
        <w:t>% when compared with the same period last year</w:t>
      </w:r>
      <w:r w:rsidR="00DF1777">
        <w:rPr>
          <w:rFonts w:ascii="Candara" w:hAnsi="Candara" w:cstheme="minorHAnsi"/>
          <w:lang w:eastAsia="en-IE"/>
        </w:rPr>
        <w:t xml:space="preserve"> </w:t>
      </w:r>
    </w:p>
    <w:p w:rsidR="004A66AC" w:rsidRDefault="00DF1777" w:rsidP="00DF79BE">
      <w:pPr>
        <w:pStyle w:val="ListParagraph"/>
        <w:spacing w:after="0"/>
        <w:ind w:left="360"/>
        <w:contextualSpacing w:val="0"/>
        <w:rPr>
          <w:rFonts w:ascii="Candara" w:hAnsi="Candara" w:cstheme="minorHAnsi"/>
          <w:lang w:eastAsia="en-IE"/>
        </w:rPr>
      </w:pPr>
      <w:r>
        <w:rPr>
          <w:rFonts w:ascii="Candara" w:hAnsi="Candara" w:cstheme="minorHAnsi"/>
          <w:lang w:eastAsia="en-IE"/>
        </w:rPr>
        <w:t>(which was, in itself, a 27% increase on 2015)</w:t>
      </w:r>
      <w:r w:rsidR="004A66AC" w:rsidRPr="00BC0180">
        <w:rPr>
          <w:rFonts w:ascii="Candara" w:hAnsi="Candara" w:cstheme="minorHAnsi"/>
          <w:lang w:eastAsia="en-IE"/>
        </w:rPr>
        <w:t>;</w:t>
      </w:r>
    </w:p>
    <w:p w:rsidR="0044372C" w:rsidRPr="00BC0180" w:rsidRDefault="0044372C" w:rsidP="00DF79BE">
      <w:pPr>
        <w:pStyle w:val="ListParagraph"/>
        <w:spacing w:after="0"/>
        <w:ind w:left="360"/>
        <w:contextualSpacing w:val="0"/>
        <w:rPr>
          <w:rFonts w:ascii="Candara" w:hAnsi="Candara" w:cstheme="minorHAnsi"/>
          <w:i/>
          <w:lang w:eastAsia="en-IE"/>
        </w:rPr>
      </w:pPr>
    </w:p>
    <w:p w:rsidR="004A66AC" w:rsidRPr="00BC0180" w:rsidRDefault="004A66AC" w:rsidP="002D0DED">
      <w:pPr>
        <w:pStyle w:val="ListParagraph"/>
        <w:numPr>
          <w:ilvl w:val="0"/>
          <w:numId w:val="3"/>
        </w:numPr>
        <w:spacing w:after="0"/>
        <w:contextualSpacing w:val="0"/>
        <w:rPr>
          <w:rFonts w:ascii="Candara" w:hAnsi="Candara" w:cstheme="minorHAnsi"/>
          <w:i/>
          <w:lang w:eastAsia="en-IE"/>
        </w:rPr>
      </w:pPr>
      <w:r w:rsidRPr="00BC0180">
        <w:rPr>
          <w:rFonts w:ascii="Candara" w:hAnsi="Candara" w:cs="Candara"/>
          <w:lang w:val="en-US"/>
        </w:rPr>
        <w:t xml:space="preserve">The </w:t>
      </w:r>
      <w:r w:rsidR="000E0506">
        <w:rPr>
          <w:rFonts w:ascii="Candara" w:hAnsi="Candara" w:cs="Candara"/>
          <w:lang w:val="en-US"/>
        </w:rPr>
        <w:t>t</w:t>
      </w:r>
      <w:r w:rsidRPr="00BC0180">
        <w:rPr>
          <w:rFonts w:ascii="Candara" w:hAnsi="Candara" w:cs="Candara"/>
          <w:lang w:val="en-US"/>
        </w:rPr>
        <w:t xml:space="preserve">op </w:t>
      </w:r>
      <w:r w:rsidR="00DF79BE">
        <w:rPr>
          <w:rFonts w:ascii="Candara" w:hAnsi="Candara" w:cs="Candara"/>
          <w:lang w:val="en-US"/>
        </w:rPr>
        <w:t>f</w:t>
      </w:r>
      <w:r w:rsidRPr="00BC0180">
        <w:rPr>
          <w:rFonts w:ascii="Candara" w:hAnsi="Candara" w:cs="Candara"/>
          <w:lang w:val="en-US"/>
        </w:rPr>
        <w:t xml:space="preserve">ive single query areas </w:t>
      </w:r>
      <w:r>
        <w:rPr>
          <w:rFonts w:ascii="Candara" w:hAnsi="Candara" w:cs="Candara"/>
          <w:lang w:val="en-US"/>
        </w:rPr>
        <w:t>were:-</w:t>
      </w:r>
    </w:p>
    <w:p w:rsidR="004A66AC" w:rsidRDefault="004A66AC" w:rsidP="00DF79BE">
      <w:pPr>
        <w:pStyle w:val="ListParagraph"/>
        <w:numPr>
          <w:ilvl w:val="0"/>
          <w:numId w:val="4"/>
        </w:numPr>
        <w:spacing w:after="0" w:line="360" w:lineRule="auto"/>
        <w:contextualSpacing w:val="0"/>
        <w:rPr>
          <w:rFonts w:ascii="Candara" w:hAnsi="Candara" w:cs="Candara"/>
          <w:i/>
          <w:lang w:val="en-US"/>
        </w:rPr>
      </w:pPr>
      <w:r w:rsidRPr="00E10AE3">
        <w:rPr>
          <w:rFonts w:ascii="Candara" w:hAnsi="Candara" w:cs="Candara"/>
          <w:i/>
          <w:lang w:val="en-US"/>
        </w:rPr>
        <w:t>Medical Card</w:t>
      </w:r>
      <w:r w:rsidR="00DF1777">
        <w:rPr>
          <w:rFonts w:ascii="Candara" w:hAnsi="Candara" w:cs="Candara"/>
          <w:i/>
          <w:lang w:val="en-US"/>
        </w:rPr>
        <w:t xml:space="preserve"> (30,811</w:t>
      </w:r>
      <w:r>
        <w:rPr>
          <w:rFonts w:ascii="Candara" w:hAnsi="Candara" w:cs="Candara"/>
          <w:i/>
          <w:lang w:val="en-US"/>
        </w:rPr>
        <w:t>)</w:t>
      </w:r>
    </w:p>
    <w:p w:rsidR="004A66AC" w:rsidRPr="00E10AE3" w:rsidRDefault="004A66AC" w:rsidP="00DF79BE">
      <w:pPr>
        <w:pStyle w:val="ListParagraph"/>
        <w:numPr>
          <w:ilvl w:val="0"/>
          <w:numId w:val="4"/>
        </w:numPr>
        <w:spacing w:after="0" w:line="360" w:lineRule="auto"/>
        <w:contextualSpacing w:val="0"/>
        <w:rPr>
          <w:rFonts w:ascii="Candara" w:hAnsi="Candara" w:cs="Candara"/>
          <w:i/>
          <w:lang w:val="en-US"/>
        </w:rPr>
      </w:pPr>
      <w:r w:rsidRPr="00E10AE3">
        <w:rPr>
          <w:rFonts w:ascii="Candara" w:hAnsi="Candara" w:cs="Candara"/>
          <w:i/>
          <w:lang w:val="en-US"/>
        </w:rPr>
        <w:t>State Pension (Contributory)  (18,</w:t>
      </w:r>
      <w:r w:rsidR="00DF1777">
        <w:rPr>
          <w:rFonts w:ascii="Candara" w:hAnsi="Candara" w:cs="Candara"/>
          <w:i/>
          <w:lang w:val="en-US"/>
        </w:rPr>
        <w:t>857</w:t>
      </w:r>
      <w:r w:rsidRPr="00E10AE3">
        <w:rPr>
          <w:rFonts w:ascii="Candara" w:hAnsi="Candara" w:cs="Candara"/>
          <w:i/>
          <w:lang w:val="en-US"/>
        </w:rPr>
        <w:t>)</w:t>
      </w:r>
    </w:p>
    <w:p w:rsidR="004A66AC" w:rsidRDefault="004A66AC" w:rsidP="00DF79BE">
      <w:pPr>
        <w:pStyle w:val="ListParagraph"/>
        <w:numPr>
          <w:ilvl w:val="0"/>
          <w:numId w:val="4"/>
        </w:numPr>
        <w:spacing w:after="0" w:line="360" w:lineRule="auto"/>
        <w:contextualSpacing w:val="0"/>
        <w:rPr>
          <w:rFonts w:ascii="Candara" w:hAnsi="Candara" w:cs="Candara"/>
          <w:i/>
          <w:lang w:val="en-US"/>
        </w:rPr>
      </w:pPr>
      <w:r w:rsidRPr="00BC0180">
        <w:rPr>
          <w:rFonts w:ascii="Candara" w:hAnsi="Candara" w:cs="Candara"/>
          <w:i/>
          <w:lang w:val="en-US"/>
        </w:rPr>
        <w:t>Carer’s Allowance (16,</w:t>
      </w:r>
      <w:r w:rsidR="00DF1777">
        <w:rPr>
          <w:rFonts w:ascii="Candara" w:hAnsi="Candara" w:cs="Candara"/>
          <w:i/>
          <w:lang w:val="en-US"/>
        </w:rPr>
        <w:t>791</w:t>
      </w:r>
      <w:r w:rsidRPr="00BC0180">
        <w:rPr>
          <w:rFonts w:ascii="Candara" w:hAnsi="Candara" w:cs="Candara"/>
          <w:i/>
          <w:lang w:val="en-US"/>
        </w:rPr>
        <w:t>)</w:t>
      </w:r>
    </w:p>
    <w:p w:rsidR="00DF1777" w:rsidRPr="00DF1777" w:rsidRDefault="00DF1777" w:rsidP="00DF79BE">
      <w:pPr>
        <w:pStyle w:val="ListParagraph"/>
        <w:numPr>
          <w:ilvl w:val="0"/>
          <w:numId w:val="4"/>
        </w:numPr>
        <w:spacing w:line="360" w:lineRule="auto"/>
        <w:rPr>
          <w:rFonts w:ascii="Candara" w:hAnsi="Candara" w:cs="Candara"/>
          <w:i/>
          <w:lang w:val="en-US"/>
        </w:rPr>
      </w:pPr>
      <w:r w:rsidRPr="00DF1777">
        <w:rPr>
          <w:rFonts w:ascii="Candara" w:hAnsi="Candara" w:cs="Candara"/>
          <w:i/>
          <w:lang w:val="en-US"/>
        </w:rPr>
        <w:t>Jobseeker</w:t>
      </w:r>
      <w:r>
        <w:rPr>
          <w:rFonts w:ascii="Candara" w:hAnsi="Candara" w:cs="Candara"/>
          <w:i/>
          <w:lang w:val="en-US"/>
        </w:rPr>
        <w:t>’s Allowance (16,766</w:t>
      </w:r>
      <w:r w:rsidRPr="00DF1777">
        <w:rPr>
          <w:rFonts w:ascii="Candara" w:hAnsi="Candara" w:cs="Candara"/>
          <w:i/>
          <w:lang w:val="en-US"/>
        </w:rPr>
        <w:t>)</w:t>
      </w:r>
    </w:p>
    <w:p w:rsidR="004A66AC" w:rsidRPr="00BC0180" w:rsidRDefault="004A66AC" w:rsidP="00DF79BE">
      <w:pPr>
        <w:pStyle w:val="ListParagraph"/>
        <w:numPr>
          <w:ilvl w:val="0"/>
          <w:numId w:val="4"/>
        </w:numPr>
        <w:spacing w:after="0" w:line="360" w:lineRule="auto"/>
        <w:contextualSpacing w:val="0"/>
        <w:rPr>
          <w:rFonts w:ascii="Candara" w:hAnsi="Candara" w:cs="Candara"/>
          <w:i/>
          <w:lang w:val="en-US"/>
        </w:rPr>
      </w:pPr>
      <w:r w:rsidRPr="00BC0180">
        <w:rPr>
          <w:rFonts w:ascii="Candara" w:hAnsi="Candara" w:cs="Candara"/>
          <w:i/>
          <w:lang w:val="en-US"/>
        </w:rPr>
        <w:t>Disability Allowance (1</w:t>
      </w:r>
      <w:r w:rsidR="00DF1777">
        <w:rPr>
          <w:rFonts w:ascii="Candara" w:hAnsi="Candara" w:cs="Candara"/>
          <w:i/>
          <w:lang w:val="en-US"/>
        </w:rPr>
        <w:t>6,200</w:t>
      </w:r>
      <w:r w:rsidRPr="00BC0180">
        <w:rPr>
          <w:rFonts w:ascii="Candara" w:hAnsi="Candara" w:cs="Candara"/>
          <w:i/>
          <w:lang w:val="en-US"/>
        </w:rPr>
        <w:t>)</w:t>
      </w:r>
    </w:p>
    <w:p w:rsidR="00DF79BE" w:rsidRDefault="004A66AC" w:rsidP="002D0DED">
      <w:pPr>
        <w:pStyle w:val="ListParagraph"/>
        <w:numPr>
          <w:ilvl w:val="0"/>
          <w:numId w:val="2"/>
        </w:numPr>
        <w:spacing w:after="120"/>
        <w:rPr>
          <w:rFonts w:ascii="Candara" w:hAnsi="Candara"/>
        </w:rPr>
      </w:pPr>
      <w:r w:rsidRPr="00BC0180">
        <w:rPr>
          <w:rFonts w:ascii="Candara" w:hAnsi="Candara"/>
        </w:rPr>
        <w:t>There were 3</w:t>
      </w:r>
      <w:r w:rsidR="00DF1777">
        <w:rPr>
          <w:rFonts w:ascii="Candara" w:hAnsi="Candara"/>
        </w:rPr>
        <w:t>08,588</w:t>
      </w:r>
      <w:r w:rsidRPr="00BC0180">
        <w:rPr>
          <w:rFonts w:ascii="Candara" w:hAnsi="Candara"/>
        </w:rPr>
        <w:t xml:space="preserve"> callers to CISs nationwide. </w:t>
      </w:r>
    </w:p>
    <w:p w:rsidR="004A66AC" w:rsidRDefault="004A66AC" w:rsidP="002D0DED">
      <w:pPr>
        <w:pStyle w:val="ListParagraph"/>
        <w:numPr>
          <w:ilvl w:val="0"/>
          <w:numId w:val="2"/>
        </w:numPr>
        <w:spacing w:after="120"/>
        <w:rPr>
          <w:rFonts w:ascii="Candara" w:hAnsi="Candara"/>
        </w:rPr>
      </w:pPr>
      <w:r>
        <w:rPr>
          <w:rFonts w:ascii="Candara" w:hAnsi="Candara"/>
        </w:rPr>
        <w:t>W</w:t>
      </w:r>
      <w:r w:rsidRPr="00BC0180">
        <w:rPr>
          <w:rFonts w:ascii="Candara" w:hAnsi="Candara"/>
        </w:rPr>
        <w:t>here nationality was recorded</w:t>
      </w:r>
      <w:r w:rsidR="00DF79BE">
        <w:rPr>
          <w:rFonts w:ascii="Candara" w:hAnsi="Candara"/>
        </w:rPr>
        <w:t xml:space="preserve"> amongst these callers</w:t>
      </w:r>
      <w:r w:rsidRPr="00BC0180">
        <w:rPr>
          <w:rFonts w:ascii="Candara" w:hAnsi="Candara"/>
        </w:rPr>
        <w:t>, over 2</w:t>
      </w:r>
      <w:r w:rsidR="00DF1777">
        <w:rPr>
          <w:rFonts w:ascii="Candara" w:hAnsi="Candara"/>
        </w:rPr>
        <w:t>3</w:t>
      </w:r>
      <w:r w:rsidRPr="00BC0180">
        <w:rPr>
          <w:rFonts w:ascii="Candara" w:hAnsi="Candara"/>
        </w:rPr>
        <w:t xml:space="preserve">% were from outside of Ireland; </w:t>
      </w:r>
    </w:p>
    <w:p w:rsidR="0044372C" w:rsidRDefault="0044372C" w:rsidP="002D0DED">
      <w:pPr>
        <w:pStyle w:val="ListParagraph"/>
        <w:numPr>
          <w:ilvl w:val="0"/>
          <w:numId w:val="2"/>
        </w:numPr>
        <w:spacing w:after="120"/>
        <w:rPr>
          <w:rFonts w:ascii="Candara" w:hAnsi="Candara"/>
        </w:rPr>
      </w:pPr>
      <w:r>
        <w:rPr>
          <w:rFonts w:ascii="Candara" w:hAnsi="Candara"/>
        </w:rPr>
        <w:t>Ethnicity was recorded for 6% of callers and Travellers represented over 3% of callers where ethnicity was recorded;</w:t>
      </w:r>
    </w:p>
    <w:p w:rsidR="0044372C" w:rsidRPr="00BC0180" w:rsidRDefault="0044372C" w:rsidP="002D0DED">
      <w:pPr>
        <w:pStyle w:val="ListParagraph"/>
        <w:numPr>
          <w:ilvl w:val="0"/>
          <w:numId w:val="2"/>
        </w:numPr>
        <w:spacing w:after="120"/>
        <w:rPr>
          <w:rFonts w:ascii="Candara" w:hAnsi="Candara"/>
        </w:rPr>
      </w:pPr>
      <w:r>
        <w:rPr>
          <w:rFonts w:ascii="Candara" w:hAnsi="Candara"/>
        </w:rPr>
        <w:t>Some 9% of callers were recorded as having access difficulties, with language counting for 38% of these;</w:t>
      </w:r>
    </w:p>
    <w:p w:rsidR="004A66AC" w:rsidRPr="00BC0180" w:rsidRDefault="00DF1777" w:rsidP="002D0DED">
      <w:pPr>
        <w:pStyle w:val="ListParagraph"/>
        <w:numPr>
          <w:ilvl w:val="0"/>
          <w:numId w:val="2"/>
        </w:numPr>
        <w:spacing w:after="120"/>
        <w:rPr>
          <w:rFonts w:ascii="Candara" w:hAnsi="Candara"/>
        </w:rPr>
      </w:pPr>
      <w:r>
        <w:rPr>
          <w:rFonts w:ascii="Candara" w:hAnsi="Candara"/>
        </w:rPr>
        <w:t>Nine</w:t>
      </w:r>
      <w:r w:rsidR="004A66AC" w:rsidRPr="00BC0180">
        <w:rPr>
          <w:rFonts w:ascii="Candara" w:hAnsi="Candara"/>
        </w:rPr>
        <w:t xml:space="preserve"> CISs had</w:t>
      </w:r>
      <w:r w:rsidR="004A66AC">
        <w:rPr>
          <w:rFonts w:ascii="Candara" w:hAnsi="Candara"/>
        </w:rPr>
        <w:t xml:space="preserve"> dealt with</w:t>
      </w:r>
      <w:r w:rsidR="004A66AC" w:rsidRPr="00BC0180">
        <w:rPr>
          <w:rFonts w:ascii="Candara" w:hAnsi="Candara"/>
        </w:rPr>
        <w:t xml:space="preserve"> over 10,000 users during this six month period;</w:t>
      </w:r>
    </w:p>
    <w:p w:rsidR="004A66AC" w:rsidRPr="00BC0180" w:rsidRDefault="004A66AC" w:rsidP="002D0DED">
      <w:pPr>
        <w:pStyle w:val="ListParagraph"/>
        <w:numPr>
          <w:ilvl w:val="0"/>
          <w:numId w:val="2"/>
        </w:numPr>
        <w:spacing w:after="120"/>
        <w:rPr>
          <w:rFonts w:ascii="Candara" w:hAnsi="Candara"/>
        </w:rPr>
      </w:pPr>
      <w:r w:rsidRPr="00BC0180">
        <w:rPr>
          <w:rFonts w:ascii="Candara" w:hAnsi="Candara"/>
        </w:rPr>
        <w:t>Nearly one half (48%) of all callers were in the 2</w:t>
      </w:r>
      <w:r>
        <w:rPr>
          <w:rFonts w:ascii="Candara" w:hAnsi="Candara"/>
        </w:rPr>
        <w:t>6</w:t>
      </w:r>
      <w:r w:rsidRPr="00BC0180">
        <w:rPr>
          <w:rFonts w:ascii="Candara" w:hAnsi="Candara"/>
        </w:rPr>
        <w:t>-45 age group and 13% were over 66;</w:t>
      </w:r>
    </w:p>
    <w:p w:rsidR="004A66AC" w:rsidRDefault="00133C28" w:rsidP="002D0DED">
      <w:pPr>
        <w:pStyle w:val="ListParagraph"/>
        <w:numPr>
          <w:ilvl w:val="0"/>
          <w:numId w:val="2"/>
        </w:numPr>
        <w:spacing w:after="120"/>
        <w:rPr>
          <w:rFonts w:ascii="Candara" w:hAnsi="Candara"/>
        </w:rPr>
      </w:pPr>
      <w:r>
        <w:rPr>
          <w:rFonts w:ascii="Candara" w:hAnsi="Candara"/>
        </w:rPr>
        <w:lastRenderedPageBreak/>
        <w:t xml:space="preserve">Just under </w:t>
      </w:r>
      <w:r w:rsidR="004A66AC" w:rsidRPr="00BC0180">
        <w:rPr>
          <w:rFonts w:ascii="Candara" w:hAnsi="Candara"/>
        </w:rPr>
        <w:t>half (</w:t>
      </w:r>
      <w:r w:rsidR="00DF1777">
        <w:rPr>
          <w:rFonts w:ascii="Candara" w:hAnsi="Candara"/>
        </w:rPr>
        <w:t>48</w:t>
      </w:r>
      <w:r w:rsidR="004A66AC" w:rsidRPr="00BC0180">
        <w:rPr>
          <w:rFonts w:ascii="Candara" w:hAnsi="Candara"/>
        </w:rPr>
        <w:t xml:space="preserve">%) of all queries </w:t>
      </w:r>
      <w:r w:rsidR="00DF1777" w:rsidRPr="00BC0180">
        <w:rPr>
          <w:rFonts w:ascii="Candara" w:hAnsi="Candara"/>
        </w:rPr>
        <w:t xml:space="preserve">involved the provision of </w:t>
      </w:r>
      <w:r w:rsidR="004A66AC" w:rsidRPr="00BC0180">
        <w:rPr>
          <w:rFonts w:ascii="Candara" w:hAnsi="Candara"/>
        </w:rPr>
        <w:t xml:space="preserve"> information, </w:t>
      </w:r>
      <w:r w:rsidR="00FE1756">
        <w:rPr>
          <w:rFonts w:ascii="Candara" w:hAnsi="Candara"/>
        </w:rPr>
        <w:t>51% were categorised as requiring</w:t>
      </w:r>
      <w:r w:rsidR="004A66AC" w:rsidRPr="00BC0180">
        <w:rPr>
          <w:rFonts w:ascii="Candara" w:hAnsi="Candara"/>
        </w:rPr>
        <w:t xml:space="preserve"> advice/assistance and 1% required an advocacy intervention</w:t>
      </w:r>
      <w:r w:rsidR="00FE1756">
        <w:rPr>
          <w:rFonts w:ascii="Candara" w:hAnsi="Candara"/>
        </w:rPr>
        <w:t>;</w:t>
      </w:r>
    </w:p>
    <w:p w:rsidR="004A66AC" w:rsidRDefault="004A66AC" w:rsidP="002D0DED">
      <w:pPr>
        <w:pStyle w:val="ListParagraph"/>
        <w:numPr>
          <w:ilvl w:val="0"/>
          <w:numId w:val="2"/>
        </w:numPr>
        <w:spacing w:after="120"/>
        <w:rPr>
          <w:rFonts w:ascii="Candara" w:hAnsi="Candara"/>
        </w:rPr>
      </w:pPr>
      <w:r w:rsidRPr="00FE1756">
        <w:rPr>
          <w:rFonts w:ascii="Candara" w:hAnsi="Candara"/>
        </w:rPr>
        <w:t>Some</w:t>
      </w:r>
      <w:r w:rsidR="00FE1756" w:rsidRPr="00FE1756">
        <w:rPr>
          <w:rFonts w:ascii="Candara" w:hAnsi="Candara"/>
        </w:rPr>
        <w:t xml:space="preserve"> 2,141</w:t>
      </w:r>
      <w:r w:rsidRPr="00FE1756">
        <w:rPr>
          <w:rFonts w:ascii="Candara" w:hAnsi="Candara"/>
        </w:rPr>
        <w:t xml:space="preserve"> Social Policy Records were submitted by CISs –</w:t>
      </w:r>
      <w:r w:rsidR="00FE1756" w:rsidRPr="00FE1756">
        <w:rPr>
          <w:rFonts w:ascii="Candara" w:hAnsi="Candara"/>
        </w:rPr>
        <w:t xml:space="preserve"> an analysis of the issues raised by CISs in these SPRs was included in Social Policy Update (September 2017)</w:t>
      </w:r>
      <w:r w:rsidRPr="00FE1756">
        <w:rPr>
          <w:rFonts w:ascii="Candara" w:hAnsi="Candara"/>
        </w:rPr>
        <w:t>.</w:t>
      </w:r>
    </w:p>
    <w:p w:rsidR="0044372C" w:rsidRDefault="0044372C" w:rsidP="0044372C">
      <w:pPr>
        <w:pStyle w:val="ListParagraph"/>
        <w:spacing w:after="120"/>
        <w:ind w:left="360"/>
        <w:rPr>
          <w:rFonts w:ascii="Candara" w:hAnsi="Candara"/>
        </w:rPr>
      </w:pPr>
    </w:p>
    <w:p w:rsidR="003C5132" w:rsidRDefault="003C5132" w:rsidP="003C5132">
      <w:pPr>
        <w:pStyle w:val="Title"/>
        <w:spacing w:line="276" w:lineRule="auto"/>
        <w:rPr>
          <w:rFonts w:ascii="Candara" w:hAnsi="Candara" w:cstheme="minorHAnsi"/>
          <w:b/>
          <w:color w:val="1F497D" w:themeColor="text2"/>
          <w:sz w:val="36"/>
          <w:szCs w:val="36"/>
          <w:shd w:val="clear" w:color="auto" w:fill="FFFFFF" w:themeFill="background1"/>
        </w:rPr>
      </w:pPr>
      <w:r w:rsidRPr="00552597">
        <w:rPr>
          <w:b/>
          <w:noProof/>
          <w:color w:val="002060"/>
          <w:sz w:val="56"/>
          <w:szCs w:val="56"/>
          <w:shd w:val="clear" w:color="auto" w:fill="FFFFFF" w:themeFill="background1"/>
          <w:lang w:eastAsia="en-IE"/>
        </w:rPr>
        <mc:AlternateContent>
          <mc:Choice Requires="wps">
            <w:drawing>
              <wp:anchor distT="0" distB="0" distL="114300" distR="114300" simplePos="0" relativeHeight="251670528" behindDoc="0" locked="0" layoutInCell="1" allowOverlap="1" wp14:anchorId="08A899C6" wp14:editId="47200125">
                <wp:simplePos x="0" y="0"/>
                <wp:positionH relativeFrom="column">
                  <wp:posOffset>38735</wp:posOffset>
                </wp:positionH>
                <wp:positionV relativeFrom="paragraph">
                  <wp:posOffset>572770</wp:posOffset>
                </wp:positionV>
                <wp:extent cx="6568440" cy="219075"/>
                <wp:effectExtent l="0" t="0" r="381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219075"/>
                        </a:xfrm>
                        <a:prstGeom prst="rect">
                          <a:avLst/>
                        </a:prstGeom>
                        <a:solidFill>
                          <a:srgbClr val="FFFFFF"/>
                        </a:solidFill>
                        <a:ln w="9525">
                          <a:noFill/>
                          <a:miter lim="800000"/>
                          <a:headEnd/>
                          <a:tailEnd/>
                        </a:ln>
                      </wps:spPr>
                      <wps:txbx>
                        <w:txbxContent>
                          <w:p w:rsidR="00552597" w:rsidRPr="00552597" w:rsidRDefault="00552597" w:rsidP="00F231C0">
                            <w:pPr>
                              <w:jc w:val="center"/>
                              <w:rPr>
                                <w:color w:val="002060"/>
                              </w:rPr>
                            </w:pPr>
                            <w:r w:rsidRPr="00552597">
                              <w:rPr>
                                <w:color w:val="002060"/>
                                <w:sz w:val="16"/>
                                <w:szCs w:val="16"/>
                              </w:rPr>
                              <w:t>This section features an overview of recent social policy returns from CISs and CIPS.  The views expressed are those of the individual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899C6" id="_x0000_s1028" type="#_x0000_t202" style="position:absolute;margin-left:3.05pt;margin-top:45.1pt;width:517.2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" stroked="f">
                <v:textbox>
                  <w:txbxContent>
                    <w:p w:rsidR="00552597" w:rsidRPr="00552597" w:rsidRDefault="00552597" w:rsidP="00F231C0">
                      <w:pPr>
                        <w:jc w:val="center"/>
                        <w:rPr>
                          <w:color w:val="002060"/>
                        </w:rPr>
                      </w:pPr>
                      <w:r w:rsidRPr="00552597">
                        <w:rPr>
                          <w:color w:val="002060"/>
                          <w:sz w:val="16"/>
                          <w:szCs w:val="16"/>
                        </w:rPr>
                        <w:t>This section features an overview of recent social policy returns from CISs and CIPS.  The views expressed are those of the individual services.</w:t>
                      </w:r>
                    </w:p>
                  </w:txbxContent>
                </v:textbox>
              </v:shape>
            </w:pict>
          </mc:Fallback>
        </mc:AlternateContent>
      </w:r>
      <w:r w:rsidR="00E463F4" w:rsidRPr="00042B11">
        <w:rPr>
          <w:b/>
          <w:color w:val="002060"/>
          <w:sz w:val="56"/>
          <w:szCs w:val="56"/>
          <w:shd w:val="clear" w:color="auto" w:fill="FFFFFF" w:themeFill="background1"/>
        </w:rPr>
        <w:t xml:space="preserve">On the Ground: </w:t>
      </w:r>
      <w:r w:rsidR="00C9776E" w:rsidRPr="0011087D">
        <w:rPr>
          <w:b/>
          <w:color w:val="002060"/>
          <w:sz w:val="44"/>
          <w:szCs w:val="44"/>
          <w:shd w:val="clear" w:color="auto" w:fill="FFFFFF" w:themeFill="background1"/>
        </w:rPr>
        <w:t>feedback from</w:t>
      </w:r>
      <w:r w:rsidR="00E463F4" w:rsidRPr="0011087D">
        <w:rPr>
          <w:b/>
          <w:color w:val="002060"/>
          <w:sz w:val="44"/>
          <w:szCs w:val="44"/>
          <w:shd w:val="clear" w:color="auto" w:fill="FFFFFF" w:themeFill="background1"/>
        </w:rPr>
        <w:t xml:space="preserve"> CISs and CIPS</w:t>
      </w:r>
    </w:p>
    <w:p w:rsidR="00912099" w:rsidRPr="00DF3BDD" w:rsidRDefault="00A856DB" w:rsidP="0000238E">
      <w:pPr>
        <w:spacing w:after="200"/>
        <w:rPr>
          <w:rFonts w:ascii="Candara" w:hAnsi="Candara" w:cstheme="minorHAnsi"/>
          <w:color w:val="1F497D" w:themeColor="text2"/>
          <w:shd w:val="clear" w:color="auto" w:fill="FFFFFF" w:themeFill="background1"/>
        </w:rPr>
      </w:pPr>
      <w:r w:rsidRPr="00DF3BDD">
        <w:rPr>
          <w:rFonts w:ascii="Candara" w:hAnsi="Candara" w:cstheme="minorHAnsi"/>
          <w:b/>
          <w:color w:val="1F497D" w:themeColor="text2"/>
          <w:sz w:val="36"/>
          <w:szCs w:val="36"/>
          <w:shd w:val="clear" w:color="auto" w:fill="FFFFFF" w:themeFill="background1"/>
        </w:rPr>
        <w:t>Social Policy Returns</w:t>
      </w:r>
      <w:r w:rsidR="001D3C4C">
        <w:rPr>
          <w:rFonts w:ascii="Candara" w:hAnsi="Candara" w:cstheme="minorHAnsi"/>
          <w:b/>
          <w:color w:val="1F497D" w:themeColor="text2"/>
          <w:sz w:val="36"/>
          <w:szCs w:val="36"/>
          <w:shd w:val="clear" w:color="auto" w:fill="FFFFFF" w:themeFill="background1"/>
        </w:rPr>
        <w:t xml:space="preserve">: </w:t>
      </w:r>
      <w:r w:rsidR="00F552A5">
        <w:rPr>
          <w:rFonts w:ascii="Candara" w:hAnsi="Candara" w:cstheme="minorHAnsi"/>
          <w:b/>
          <w:color w:val="1F497D" w:themeColor="text2"/>
          <w:sz w:val="36"/>
          <w:szCs w:val="36"/>
          <w:shd w:val="clear" w:color="auto" w:fill="FFFFFF" w:themeFill="background1"/>
        </w:rPr>
        <w:t>J</w:t>
      </w:r>
      <w:r w:rsidR="004A66AC">
        <w:rPr>
          <w:rFonts w:ascii="Candara" w:hAnsi="Candara" w:cstheme="minorHAnsi"/>
          <w:b/>
          <w:color w:val="1F497D" w:themeColor="text2"/>
          <w:sz w:val="36"/>
          <w:szCs w:val="36"/>
          <w:shd w:val="clear" w:color="auto" w:fill="FFFFFF" w:themeFill="background1"/>
        </w:rPr>
        <w:t xml:space="preserve">uly </w:t>
      </w:r>
      <w:r w:rsidR="001D3C4C">
        <w:rPr>
          <w:rFonts w:ascii="Candara" w:hAnsi="Candara" w:cstheme="minorHAnsi"/>
          <w:b/>
          <w:color w:val="1F497D" w:themeColor="text2"/>
          <w:sz w:val="36"/>
          <w:szCs w:val="36"/>
          <w:shd w:val="clear" w:color="auto" w:fill="FFFFFF" w:themeFill="background1"/>
        </w:rPr>
        <w:t xml:space="preserve">- </w:t>
      </w:r>
      <w:r w:rsidR="004A66AC">
        <w:rPr>
          <w:rFonts w:ascii="Candara" w:hAnsi="Candara" w:cstheme="minorHAnsi"/>
          <w:b/>
          <w:color w:val="1F497D" w:themeColor="text2"/>
          <w:sz w:val="36"/>
          <w:szCs w:val="36"/>
          <w:shd w:val="clear" w:color="auto" w:fill="FFFFFF" w:themeFill="background1"/>
        </w:rPr>
        <w:t>September</w:t>
      </w:r>
      <w:r w:rsidR="00F552A5">
        <w:rPr>
          <w:rFonts w:ascii="Candara" w:hAnsi="Candara" w:cstheme="minorHAnsi"/>
          <w:b/>
          <w:color w:val="1F497D" w:themeColor="text2"/>
          <w:sz w:val="36"/>
          <w:szCs w:val="36"/>
          <w:shd w:val="clear" w:color="auto" w:fill="FFFFFF" w:themeFill="background1"/>
        </w:rPr>
        <w:t xml:space="preserve"> 2017</w:t>
      </w:r>
    </w:p>
    <w:p w:rsidR="000A5D65" w:rsidRDefault="007A0857" w:rsidP="00B31AC2">
      <w:pPr>
        <w:spacing w:after="200" w:line="276" w:lineRule="auto"/>
        <w:rPr>
          <w:rFonts w:ascii="Candara" w:hAnsi="Candara" w:cstheme="minorHAnsi"/>
          <w:shd w:val="clear" w:color="auto" w:fill="FFFFFF" w:themeFill="background1"/>
        </w:rPr>
      </w:pPr>
      <w:r w:rsidRPr="00711984">
        <w:rPr>
          <w:rFonts w:ascii="Candara" w:hAnsi="Candara" w:cstheme="minorHAnsi"/>
          <w:shd w:val="clear" w:color="auto" w:fill="FFFFFF" w:themeFill="background1"/>
        </w:rPr>
        <w:t>During</w:t>
      </w:r>
      <w:r w:rsidR="00711984">
        <w:rPr>
          <w:rFonts w:ascii="Candara" w:hAnsi="Candara" w:cstheme="minorHAnsi"/>
          <w:color w:val="FF0000"/>
          <w:shd w:val="clear" w:color="auto" w:fill="FFFFFF" w:themeFill="background1"/>
        </w:rPr>
        <w:t xml:space="preserve"> </w:t>
      </w:r>
      <w:r w:rsidR="001D3C4C" w:rsidRPr="001D3C4C">
        <w:rPr>
          <w:rFonts w:ascii="Candara" w:hAnsi="Candara" w:cstheme="minorHAnsi"/>
          <w:shd w:val="clear" w:color="auto" w:fill="FFFFFF" w:themeFill="background1"/>
        </w:rPr>
        <w:t xml:space="preserve">the </w:t>
      </w:r>
      <w:r w:rsidR="005B5ADA">
        <w:rPr>
          <w:rFonts w:ascii="Candara" w:hAnsi="Candara" w:cstheme="minorHAnsi"/>
          <w:shd w:val="clear" w:color="auto" w:fill="FFFFFF" w:themeFill="background1"/>
        </w:rPr>
        <w:t>third quarter of 2017 (July, August and September),</w:t>
      </w:r>
      <w:r w:rsidR="001D3C4C" w:rsidRPr="001D3C4C">
        <w:rPr>
          <w:rFonts w:ascii="Candara" w:hAnsi="Candara" w:cstheme="minorHAnsi"/>
          <w:shd w:val="clear" w:color="auto" w:fill="FFFFFF" w:themeFill="background1"/>
        </w:rPr>
        <w:t xml:space="preserve"> </w:t>
      </w:r>
      <w:r w:rsidR="0043257A" w:rsidRPr="001D3C4C">
        <w:rPr>
          <w:rFonts w:ascii="Candara" w:hAnsi="Candara" w:cstheme="minorHAnsi"/>
          <w:shd w:val="clear" w:color="auto" w:fill="FFFFFF" w:themeFill="background1"/>
        </w:rPr>
        <w:t xml:space="preserve">CIB received </w:t>
      </w:r>
      <w:r w:rsidR="005B5ADA">
        <w:rPr>
          <w:rFonts w:ascii="Candara" w:hAnsi="Candara" w:cstheme="minorHAnsi"/>
          <w:shd w:val="clear" w:color="auto" w:fill="FFFFFF" w:themeFill="background1"/>
        </w:rPr>
        <w:t>a total of 1,542</w:t>
      </w:r>
      <w:r w:rsidR="006B24C0">
        <w:rPr>
          <w:rFonts w:ascii="Candara" w:hAnsi="Candara" w:cstheme="minorHAnsi"/>
          <w:shd w:val="clear" w:color="auto" w:fill="FFFFFF" w:themeFill="background1"/>
        </w:rPr>
        <w:t xml:space="preserve"> </w:t>
      </w:r>
      <w:r w:rsidR="006B24C0" w:rsidRPr="006B24C0">
        <w:rPr>
          <w:rFonts w:ascii="Candara" w:hAnsi="Candara" w:cstheme="minorHAnsi"/>
          <w:shd w:val="clear" w:color="auto" w:fill="FFFFFF" w:themeFill="background1"/>
        </w:rPr>
        <w:t>So</w:t>
      </w:r>
      <w:r w:rsidR="0043257A" w:rsidRPr="006B24C0">
        <w:rPr>
          <w:rFonts w:ascii="Candara" w:hAnsi="Candara" w:cstheme="minorHAnsi"/>
          <w:shd w:val="clear" w:color="auto" w:fill="FFFFFF" w:themeFill="background1"/>
        </w:rPr>
        <w:t>cial Policy Re</w:t>
      </w:r>
      <w:r w:rsidR="00A069C7" w:rsidRPr="006B24C0">
        <w:rPr>
          <w:rFonts w:ascii="Candara" w:hAnsi="Candara" w:cstheme="minorHAnsi"/>
          <w:shd w:val="clear" w:color="auto" w:fill="FFFFFF" w:themeFill="background1"/>
        </w:rPr>
        <w:t xml:space="preserve">turns (SPRs) from CISs </w:t>
      </w:r>
      <w:r w:rsidR="005B5ADA">
        <w:rPr>
          <w:rFonts w:ascii="Candara" w:hAnsi="Candara" w:cstheme="minorHAnsi"/>
          <w:shd w:val="clear" w:color="auto" w:fill="FFFFFF" w:themeFill="background1"/>
        </w:rPr>
        <w:t>(1,445) and CIPS (97)</w:t>
      </w:r>
      <w:r w:rsidR="00B671F0">
        <w:rPr>
          <w:rFonts w:ascii="Candara" w:hAnsi="Candara" w:cstheme="minorHAnsi"/>
          <w:shd w:val="clear" w:color="auto" w:fill="FFFFFF" w:themeFill="background1"/>
        </w:rPr>
        <w:t>. This</w:t>
      </w:r>
      <w:r w:rsidR="006B24C0">
        <w:rPr>
          <w:rFonts w:ascii="Candara" w:hAnsi="Candara" w:cstheme="minorHAnsi"/>
          <w:shd w:val="clear" w:color="auto" w:fill="FFFFFF" w:themeFill="background1"/>
        </w:rPr>
        <w:t xml:space="preserve"> is an increase of </w:t>
      </w:r>
      <w:r w:rsidR="005B5ADA">
        <w:rPr>
          <w:rFonts w:ascii="Candara" w:hAnsi="Candara" w:cstheme="minorHAnsi"/>
          <w:shd w:val="clear" w:color="auto" w:fill="FFFFFF" w:themeFill="background1"/>
        </w:rPr>
        <w:t>41</w:t>
      </w:r>
      <w:r w:rsidR="006B24C0">
        <w:rPr>
          <w:rFonts w:ascii="Candara" w:hAnsi="Candara" w:cstheme="minorHAnsi"/>
          <w:shd w:val="clear" w:color="auto" w:fill="FFFFFF" w:themeFill="background1"/>
        </w:rPr>
        <w:t xml:space="preserve">% on the same period in 2016. </w:t>
      </w:r>
      <w:r w:rsidR="00875D26">
        <w:rPr>
          <w:rFonts w:ascii="Candara" w:hAnsi="Candara" w:cstheme="minorHAnsi"/>
          <w:shd w:val="clear" w:color="auto" w:fill="FFFFFF" w:themeFill="background1"/>
        </w:rPr>
        <w:t>T</w:t>
      </w:r>
      <w:r w:rsidR="00875D26" w:rsidRPr="0071741D">
        <w:rPr>
          <w:rFonts w:ascii="Candara" w:hAnsi="Candara" w:cstheme="minorHAnsi"/>
          <w:shd w:val="clear" w:color="auto" w:fill="FFFFFF" w:themeFill="background1"/>
        </w:rPr>
        <w:t xml:space="preserve">he most reported general areas of concern were </w:t>
      </w:r>
      <w:r w:rsidR="00875D26" w:rsidRPr="005C5B99">
        <w:rPr>
          <w:rFonts w:ascii="Candara" w:hAnsi="Candara" w:cstheme="minorHAnsi"/>
          <w:i/>
          <w:shd w:val="clear" w:color="auto" w:fill="FFFFFF" w:themeFill="background1"/>
        </w:rPr>
        <w:t>Social Welfare</w:t>
      </w:r>
      <w:r w:rsidR="00875D26" w:rsidRPr="0071741D">
        <w:rPr>
          <w:rFonts w:ascii="Candara" w:hAnsi="Candara" w:cstheme="minorHAnsi"/>
          <w:shd w:val="clear" w:color="auto" w:fill="FFFFFF" w:themeFill="background1"/>
        </w:rPr>
        <w:t xml:space="preserve"> </w:t>
      </w:r>
      <w:r w:rsidR="00875D26" w:rsidRPr="00870E2C">
        <w:rPr>
          <w:rFonts w:ascii="Candara" w:hAnsi="Candara" w:cstheme="minorHAnsi"/>
          <w:shd w:val="clear" w:color="auto" w:fill="FFFFFF" w:themeFill="background1"/>
        </w:rPr>
        <w:t>(5</w:t>
      </w:r>
      <w:r w:rsidR="009246B6" w:rsidRPr="00870E2C">
        <w:rPr>
          <w:rFonts w:ascii="Candara" w:hAnsi="Candara" w:cstheme="minorHAnsi"/>
          <w:shd w:val="clear" w:color="auto" w:fill="FFFFFF" w:themeFill="background1"/>
        </w:rPr>
        <w:t>9</w:t>
      </w:r>
      <w:r w:rsidR="00875D26" w:rsidRPr="00870E2C">
        <w:rPr>
          <w:rFonts w:ascii="Candara" w:hAnsi="Candara" w:cstheme="minorHAnsi"/>
          <w:shd w:val="clear" w:color="auto" w:fill="FFFFFF" w:themeFill="background1"/>
        </w:rPr>
        <w:t xml:space="preserve">%), </w:t>
      </w:r>
      <w:r w:rsidR="00875D26" w:rsidRPr="00870E2C">
        <w:rPr>
          <w:rFonts w:ascii="Candara" w:hAnsi="Candara" w:cstheme="minorHAnsi"/>
          <w:i/>
          <w:shd w:val="clear" w:color="auto" w:fill="FFFFFF" w:themeFill="background1"/>
        </w:rPr>
        <w:t>Housing</w:t>
      </w:r>
      <w:r w:rsidR="00875D26" w:rsidRPr="00870E2C">
        <w:rPr>
          <w:rFonts w:ascii="Candara" w:hAnsi="Candara" w:cstheme="minorHAnsi"/>
          <w:shd w:val="clear" w:color="auto" w:fill="FFFFFF" w:themeFill="background1"/>
        </w:rPr>
        <w:t xml:space="preserve"> (1</w:t>
      </w:r>
      <w:r w:rsidR="009246B6" w:rsidRPr="00870E2C">
        <w:rPr>
          <w:rFonts w:ascii="Candara" w:hAnsi="Candara" w:cstheme="minorHAnsi"/>
          <w:shd w:val="clear" w:color="auto" w:fill="FFFFFF" w:themeFill="background1"/>
        </w:rPr>
        <w:t>1</w:t>
      </w:r>
      <w:r w:rsidR="00875D26" w:rsidRPr="00870E2C">
        <w:rPr>
          <w:rFonts w:ascii="Candara" w:hAnsi="Candara" w:cstheme="minorHAnsi"/>
          <w:shd w:val="clear" w:color="auto" w:fill="FFFFFF" w:themeFill="background1"/>
        </w:rPr>
        <w:t xml:space="preserve">%), </w:t>
      </w:r>
      <w:r w:rsidR="00875D26" w:rsidRPr="00870E2C">
        <w:rPr>
          <w:rFonts w:ascii="Candara" w:hAnsi="Candara" w:cstheme="minorHAnsi"/>
          <w:i/>
          <w:shd w:val="clear" w:color="auto" w:fill="FFFFFF" w:themeFill="background1"/>
        </w:rPr>
        <w:t>Health</w:t>
      </w:r>
      <w:r w:rsidR="00875D26" w:rsidRPr="00870E2C">
        <w:rPr>
          <w:rFonts w:ascii="Candara" w:hAnsi="Candara" w:cstheme="minorHAnsi"/>
          <w:shd w:val="clear" w:color="auto" w:fill="FFFFFF" w:themeFill="background1"/>
        </w:rPr>
        <w:t xml:space="preserve"> (</w:t>
      </w:r>
      <w:r w:rsidR="009246B6" w:rsidRPr="00870E2C">
        <w:rPr>
          <w:rFonts w:ascii="Candara" w:hAnsi="Candara" w:cstheme="minorHAnsi"/>
          <w:shd w:val="clear" w:color="auto" w:fill="FFFFFF" w:themeFill="background1"/>
        </w:rPr>
        <w:t>10</w:t>
      </w:r>
      <w:r w:rsidR="00875D26" w:rsidRPr="00870E2C">
        <w:rPr>
          <w:rFonts w:ascii="Candara" w:hAnsi="Candara" w:cstheme="minorHAnsi"/>
          <w:shd w:val="clear" w:color="auto" w:fill="FFFFFF" w:themeFill="background1"/>
        </w:rPr>
        <w:t xml:space="preserve">%) and </w:t>
      </w:r>
      <w:r w:rsidR="00875D26" w:rsidRPr="00870E2C">
        <w:rPr>
          <w:rFonts w:ascii="Candara" w:hAnsi="Candara" w:cstheme="minorHAnsi"/>
          <w:i/>
          <w:shd w:val="clear" w:color="auto" w:fill="FFFFFF" w:themeFill="background1"/>
        </w:rPr>
        <w:t>Money &amp; Tax</w:t>
      </w:r>
      <w:r w:rsidR="00875D26" w:rsidRPr="00870E2C">
        <w:rPr>
          <w:rFonts w:ascii="Candara" w:hAnsi="Candara" w:cstheme="minorHAnsi"/>
          <w:shd w:val="clear" w:color="auto" w:fill="FFFFFF" w:themeFill="background1"/>
        </w:rPr>
        <w:t xml:space="preserve"> (</w:t>
      </w:r>
      <w:r w:rsidR="00870E2C" w:rsidRPr="00870E2C">
        <w:rPr>
          <w:rFonts w:ascii="Candara" w:hAnsi="Candara" w:cstheme="minorHAnsi"/>
          <w:shd w:val="clear" w:color="auto" w:fill="FFFFFF" w:themeFill="background1"/>
        </w:rPr>
        <w:t>6</w:t>
      </w:r>
      <w:r w:rsidR="00875D26" w:rsidRPr="00870E2C">
        <w:rPr>
          <w:rFonts w:ascii="Candara" w:hAnsi="Candara" w:cstheme="minorHAnsi"/>
          <w:shd w:val="clear" w:color="auto" w:fill="FFFFFF" w:themeFill="background1"/>
        </w:rPr>
        <w:t xml:space="preserve">%). </w:t>
      </w:r>
      <w:r w:rsidR="00875D26" w:rsidRPr="0071741D">
        <w:rPr>
          <w:rFonts w:ascii="Candara" w:hAnsi="Candara" w:cstheme="minorHAnsi"/>
          <w:shd w:val="clear" w:color="auto" w:fill="FFFFFF" w:themeFill="background1"/>
        </w:rPr>
        <w:t>These four broad information categories accounted for 8</w:t>
      </w:r>
      <w:r w:rsidR="00870E2C">
        <w:rPr>
          <w:rFonts w:ascii="Candara" w:hAnsi="Candara" w:cstheme="minorHAnsi"/>
          <w:shd w:val="clear" w:color="auto" w:fill="FFFFFF" w:themeFill="background1"/>
        </w:rPr>
        <w:t>6</w:t>
      </w:r>
      <w:r w:rsidR="00875D26" w:rsidRPr="0071741D">
        <w:rPr>
          <w:rFonts w:ascii="Candara" w:hAnsi="Candara" w:cstheme="minorHAnsi"/>
          <w:shd w:val="clear" w:color="auto" w:fill="FFFFFF" w:themeFill="background1"/>
        </w:rPr>
        <w:t>% of all Social Policy Returns.</w:t>
      </w:r>
      <w:r w:rsidR="002F54BA">
        <w:rPr>
          <w:rFonts w:ascii="Candara" w:hAnsi="Candara" w:cstheme="minorHAnsi"/>
          <w:shd w:val="clear" w:color="auto" w:fill="FFFFFF" w:themeFill="background1"/>
        </w:rPr>
        <w:t xml:space="preserve"> </w:t>
      </w:r>
      <w:r w:rsidR="00F8182C">
        <w:rPr>
          <w:rFonts w:ascii="Candara" w:hAnsi="Candara" w:cstheme="minorHAnsi"/>
          <w:shd w:val="clear" w:color="auto" w:fill="FFFFFF" w:themeFill="background1"/>
        </w:rPr>
        <w:t xml:space="preserve">When these categories are compared with the SPRs from the same period in 2016, we can see where the focus of the general increase has been – health-related SPRs nearly doubled over the time </w:t>
      </w:r>
      <w:r w:rsidR="00563B2C">
        <w:rPr>
          <w:rFonts w:ascii="Candara" w:hAnsi="Candara" w:cstheme="minorHAnsi"/>
          <w:shd w:val="clear" w:color="auto" w:fill="FFFFFF" w:themeFill="background1"/>
        </w:rPr>
        <w:t>and</w:t>
      </w:r>
      <w:r w:rsidR="00F8182C">
        <w:rPr>
          <w:rFonts w:ascii="Candara" w:hAnsi="Candara" w:cstheme="minorHAnsi"/>
          <w:shd w:val="clear" w:color="auto" w:fill="FFFFFF" w:themeFill="background1"/>
        </w:rPr>
        <w:t xml:space="preserve"> social welfare related feedback increased </w:t>
      </w:r>
      <w:r w:rsidR="005F26F0">
        <w:rPr>
          <w:rFonts w:ascii="Candara" w:hAnsi="Candara" w:cstheme="minorHAnsi"/>
          <w:shd w:val="clear" w:color="auto" w:fill="FFFFFF" w:themeFill="background1"/>
        </w:rPr>
        <w:t>by 43%.</w:t>
      </w:r>
      <w:r w:rsidR="00563B2C">
        <w:rPr>
          <w:rFonts w:ascii="Candara" w:hAnsi="Candara" w:cstheme="minorHAnsi"/>
          <w:shd w:val="clear" w:color="auto" w:fill="FFFFFF" w:themeFill="background1"/>
        </w:rPr>
        <w:t xml:space="preserve"> H</w:t>
      </w:r>
      <w:r w:rsidR="00F8182C">
        <w:rPr>
          <w:rFonts w:ascii="Candara" w:hAnsi="Candara" w:cstheme="minorHAnsi"/>
          <w:shd w:val="clear" w:color="auto" w:fill="FFFFFF" w:themeFill="background1"/>
        </w:rPr>
        <w:t xml:space="preserve">ousing issues </w:t>
      </w:r>
      <w:r w:rsidR="00563B2C">
        <w:rPr>
          <w:rFonts w:ascii="Candara" w:hAnsi="Candara" w:cstheme="minorHAnsi"/>
          <w:shd w:val="clear" w:color="auto" w:fill="FFFFFF" w:themeFill="background1"/>
        </w:rPr>
        <w:t>continue</w:t>
      </w:r>
      <w:r w:rsidR="00B671F0">
        <w:rPr>
          <w:rFonts w:ascii="Candara" w:hAnsi="Candara" w:cstheme="minorHAnsi"/>
          <w:shd w:val="clear" w:color="auto" w:fill="FFFFFF" w:themeFill="background1"/>
        </w:rPr>
        <w:t>d</w:t>
      </w:r>
      <w:r w:rsidR="00563B2C">
        <w:rPr>
          <w:rFonts w:ascii="Candara" w:hAnsi="Candara" w:cstheme="minorHAnsi"/>
          <w:shd w:val="clear" w:color="auto" w:fill="FFFFFF" w:themeFill="background1"/>
        </w:rPr>
        <w:t xml:space="preserve"> to log a significant amount of Returns and Money &amp; Tax SPR</w:t>
      </w:r>
      <w:r w:rsidR="000A5D65">
        <w:rPr>
          <w:rFonts w:ascii="Candara" w:hAnsi="Candara" w:cstheme="minorHAnsi"/>
          <w:shd w:val="clear" w:color="auto" w:fill="FFFFFF" w:themeFill="background1"/>
        </w:rPr>
        <w:t>s</w:t>
      </w:r>
      <w:r w:rsidR="00563B2C">
        <w:rPr>
          <w:rFonts w:ascii="Candara" w:hAnsi="Candara" w:cstheme="minorHAnsi"/>
          <w:shd w:val="clear" w:color="auto" w:fill="FFFFFF" w:themeFill="background1"/>
        </w:rPr>
        <w:t xml:space="preserve"> more than doubled over the period</w:t>
      </w:r>
      <w:r w:rsidR="000A5D65">
        <w:rPr>
          <w:rFonts w:ascii="Candara" w:hAnsi="Candara" w:cstheme="minorHAnsi"/>
          <w:shd w:val="clear" w:color="auto" w:fill="FFFFFF" w:themeFill="background1"/>
        </w:rPr>
        <w:t xml:space="preserve">. </w:t>
      </w:r>
      <w:r w:rsidR="00133C28">
        <w:rPr>
          <w:rFonts w:ascii="Candara" w:hAnsi="Candara" w:cstheme="minorHAnsi"/>
          <w:shd w:val="clear" w:color="auto" w:fill="FFFFFF" w:themeFill="background1"/>
        </w:rPr>
        <w:t xml:space="preserve">Two thirds </w:t>
      </w:r>
      <w:r w:rsidR="000A5D65">
        <w:rPr>
          <w:rFonts w:ascii="Candara" w:hAnsi="Candara" w:cstheme="minorHAnsi"/>
          <w:shd w:val="clear" w:color="auto" w:fill="FFFFFF" w:themeFill="background1"/>
        </w:rPr>
        <w:t>of the health</w:t>
      </w:r>
      <w:r w:rsidR="00A60786">
        <w:rPr>
          <w:rFonts w:ascii="Candara" w:hAnsi="Candara" w:cstheme="minorHAnsi"/>
          <w:shd w:val="clear" w:color="auto" w:fill="FFFFFF" w:themeFill="background1"/>
        </w:rPr>
        <w:t xml:space="preserve">-related </w:t>
      </w:r>
      <w:r w:rsidR="000A5D65">
        <w:rPr>
          <w:rFonts w:ascii="Candara" w:hAnsi="Candara" w:cstheme="minorHAnsi"/>
          <w:shd w:val="clear" w:color="auto" w:fill="FFFFFF" w:themeFill="background1"/>
        </w:rPr>
        <w:t xml:space="preserve">SPRs were highlighting difficulties that CIS clients had with </w:t>
      </w:r>
      <w:r w:rsidR="000A5D65" w:rsidRPr="00BF4A33">
        <w:rPr>
          <w:rFonts w:ascii="Candara" w:hAnsi="Candara" w:cstheme="minorHAnsi"/>
          <w:b/>
          <w:shd w:val="clear" w:color="auto" w:fill="FFFFFF" w:themeFill="background1"/>
        </w:rPr>
        <w:t>medical cards</w:t>
      </w:r>
      <w:r w:rsidR="00A60786">
        <w:rPr>
          <w:rFonts w:ascii="Candara" w:hAnsi="Candara" w:cstheme="minorHAnsi"/>
          <w:shd w:val="clear" w:color="auto" w:fill="FFFFFF" w:themeFill="background1"/>
        </w:rPr>
        <w:t xml:space="preserve"> – with a total of 92 SPRs detailing individual cases</w:t>
      </w:r>
      <w:r w:rsidR="00B671F0">
        <w:rPr>
          <w:rFonts w:ascii="Candara" w:hAnsi="Candara" w:cstheme="minorHAnsi"/>
          <w:shd w:val="clear" w:color="auto" w:fill="FFFFFF" w:themeFill="background1"/>
        </w:rPr>
        <w:t xml:space="preserve"> that information staff felt were indicative of broader difficulties</w:t>
      </w:r>
      <w:r w:rsidR="000A5D65">
        <w:rPr>
          <w:rFonts w:ascii="Candara" w:hAnsi="Candara" w:cstheme="minorHAnsi"/>
          <w:shd w:val="clear" w:color="auto" w:fill="FFFFFF" w:themeFill="background1"/>
        </w:rPr>
        <w:t>.</w:t>
      </w:r>
      <w:r w:rsidR="00AF2B6F">
        <w:rPr>
          <w:rFonts w:ascii="Candara" w:hAnsi="Candara" w:cstheme="minorHAnsi"/>
          <w:shd w:val="clear" w:color="auto" w:fill="FFFFFF" w:themeFill="background1"/>
        </w:rPr>
        <w:t xml:space="preserve"> The main issues that were evidenced in these SPRs included:-</w:t>
      </w:r>
    </w:p>
    <w:p w:rsidR="006D58F2" w:rsidRDefault="006D58F2" w:rsidP="006D58F2">
      <w:pPr>
        <w:pStyle w:val="ListParagraph"/>
        <w:numPr>
          <w:ilvl w:val="0"/>
          <w:numId w:val="8"/>
        </w:numPr>
        <w:rPr>
          <w:rFonts w:ascii="Candara" w:hAnsi="Candara" w:cstheme="minorHAnsi"/>
          <w:shd w:val="clear" w:color="auto" w:fill="FFFFFF" w:themeFill="background1"/>
        </w:rPr>
      </w:pPr>
      <w:r w:rsidRPr="006D58F2">
        <w:rPr>
          <w:rFonts w:ascii="Candara" w:hAnsi="Candara" w:cstheme="minorHAnsi"/>
          <w:shd w:val="clear" w:color="auto" w:fill="FFFFFF" w:themeFill="background1"/>
        </w:rPr>
        <w:t xml:space="preserve">Awareness of the medical card retention scheme – some medical card holders who take up work may be able to retain their card for up to three years, but services report that this </w:t>
      </w:r>
      <w:r w:rsidR="00D94EED">
        <w:rPr>
          <w:rFonts w:ascii="Candara" w:hAnsi="Candara" w:cstheme="minorHAnsi"/>
          <w:shd w:val="clear" w:color="auto" w:fill="FFFFFF" w:themeFill="background1"/>
        </w:rPr>
        <w:t>does not appear to be widely known amongst its clients and is not clearly signposted for those who are seeking to renew their cards;</w:t>
      </w:r>
    </w:p>
    <w:p w:rsidR="0021231A" w:rsidRPr="0021231A" w:rsidRDefault="0021231A" w:rsidP="0021231A">
      <w:pPr>
        <w:pStyle w:val="ListParagraph"/>
        <w:rPr>
          <w:rFonts w:ascii="Candara" w:hAnsi="Candara" w:cstheme="minorHAnsi"/>
          <w:b/>
          <w:i/>
          <w:color w:val="1F497D" w:themeColor="text2"/>
          <w:sz w:val="20"/>
          <w:szCs w:val="20"/>
          <w:shd w:val="clear" w:color="auto" w:fill="FFFFFF" w:themeFill="background1"/>
        </w:rPr>
      </w:pPr>
      <w:r w:rsidRPr="0021231A">
        <w:rPr>
          <w:rFonts w:ascii="Candara" w:hAnsi="Candara" w:cstheme="minorHAnsi"/>
          <w:b/>
          <w:i/>
          <w:color w:val="1F497D" w:themeColor="text2"/>
          <w:sz w:val="20"/>
          <w:szCs w:val="20"/>
          <w:shd w:val="clear" w:color="auto" w:fill="FFFFFF" w:themeFill="background1"/>
        </w:rPr>
        <w:t xml:space="preserve">NOTE: The NMCU has confirmed that applicants who feel that they are eligible under the retention process should attach a note to </w:t>
      </w:r>
      <w:r>
        <w:rPr>
          <w:rFonts w:ascii="Candara" w:hAnsi="Candara" w:cstheme="minorHAnsi"/>
          <w:b/>
          <w:i/>
          <w:color w:val="1F497D" w:themeColor="text2"/>
          <w:sz w:val="20"/>
          <w:szCs w:val="20"/>
          <w:shd w:val="clear" w:color="auto" w:fill="FFFFFF" w:themeFill="background1"/>
        </w:rPr>
        <w:t xml:space="preserve">the form to </w:t>
      </w:r>
      <w:r w:rsidRPr="0021231A">
        <w:rPr>
          <w:rFonts w:ascii="Candara" w:hAnsi="Candara" w:cstheme="minorHAnsi"/>
          <w:b/>
          <w:i/>
          <w:color w:val="1F497D" w:themeColor="text2"/>
          <w:sz w:val="20"/>
          <w:szCs w:val="20"/>
          <w:shd w:val="clear" w:color="auto" w:fill="FFFFFF" w:themeFill="background1"/>
        </w:rPr>
        <w:t xml:space="preserve">that effect and submit supporting documentation, in the absence of </w:t>
      </w:r>
      <w:r>
        <w:rPr>
          <w:rFonts w:ascii="Candara" w:hAnsi="Candara" w:cstheme="minorHAnsi"/>
          <w:b/>
          <w:i/>
          <w:color w:val="1F497D" w:themeColor="text2"/>
          <w:sz w:val="20"/>
          <w:szCs w:val="20"/>
          <w:shd w:val="clear" w:color="auto" w:fill="FFFFFF" w:themeFill="background1"/>
        </w:rPr>
        <w:t xml:space="preserve">specific </w:t>
      </w:r>
      <w:r w:rsidRPr="0021231A">
        <w:rPr>
          <w:rFonts w:ascii="Candara" w:hAnsi="Candara" w:cstheme="minorHAnsi"/>
          <w:b/>
          <w:i/>
          <w:color w:val="1F497D" w:themeColor="text2"/>
          <w:sz w:val="20"/>
          <w:szCs w:val="20"/>
          <w:shd w:val="clear" w:color="auto" w:fill="FFFFFF" w:themeFill="background1"/>
        </w:rPr>
        <w:t xml:space="preserve">field </w:t>
      </w:r>
      <w:r>
        <w:rPr>
          <w:rFonts w:ascii="Candara" w:hAnsi="Candara" w:cstheme="minorHAnsi"/>
          <w:b/>
          <w:i/>
          <w:color w:val="1F497D" w:themeColor="text2"/>
          <w:sz w:val="20"/>
          <w:szCs w:val="20"/>
          <w:shd w:val="clear" w:color="auto" w:fill="FFFFFF" w:themeFill="background1"/>
        </w:rPr>
        <w:t>o</w:t>
      </w:r>
      <w:r w:rsidRPr="0021231A">
        <w:rPr>
          <w:rFonts w:ascii="Candara" w:hAnsi="Candara" w:cstheme="minorHAnsi"/>
          <w:b/>
          <w:i/>
          <w:color w:val="1F497D" w:themeColor="text2"/>
          <w:sz w:val="20"/>
          <w:szCs w:val="20"/>
          <w:shd w:val="clear" w:color="auto" w:fill="FFFFFF" w:themeFill="background1"/>
        </w:rPr>
        <w:t>n the form to indicate eligibility</w:t>
      </w:r>
      <w:r>
        <w:rPr>
          <w:rFonts w:ascii="Candara" w:hAnsi="Candara" w:cstheme="minorHAnsi"/>
          <w:b/>
          <w:i/>
          <w:color w:val="1F497D" w:themeColor="text2"/>
          <w:sz w:val="20"/>
          <w:szCs w:val="20"/>
          <w:shd w:val="clear" w:color="auto" w:fill="FFFFFF" w:themeFill="background1"/>
        </w:rPr>
        <w:t xml:space="preserve"> for retention.</w:t>
      </w:r>
    </w:p>
    <w:p w:rsidR="00D94EED" w:rsidRDefault="00D94EED" w:rsidP="00D94EED">
      <w:pPr>
        <w:pStyle w:val="ListParagraph"/>
        <w:numPr>
          <w:ilvl w:val="0"/>
          <w:numId w:val="8"/>
        </w:numPr>
        <w:rPr>
          <w:rFonts w:ascii="Candara" w:hAnsi="Candara" w:cstheme="minorHAnsi"/>
          <w:shd w:val="clear" w:color="auto" w:fill="FFFFFF" w:themeFill="background1"/>
        </w:rPr>
      </w:pPr>
      <w:r>
        <w:rPr>
          <w:rFonts w:ascii="Candara" w:hAnsi="Candara" w:cstheme="minorHAnsi"/>
          <w:shd w:val="clear" w:color="auto" w:fill="FFFFFF" w:themeFill="background1"/>
        </w:rPr>
        <w:t>Cases where clients have not received review forms or have not received requests for additional information and have only found out that their card has been revoked when visiting the GP or pharmacy;</w:t>
      </w:r>
    </w:p>
    <w:p w:rsidR="00D94EED" w:rsidRDefault="00D94EED" w:rsidP="00D94EED">
      <w:pPr>
        <w:pStyle w:val="ListParagraph"/>
        <w:numPr>
          <w:ilvl w:val="0"/>
          <w:numId w:val="8"/>
        </w:numPr>
        <w:rPr>
          <w:rFonts w:ascii="Candara" w:hAnsi="Candara" w:cstheme="minorHAnsi"/>
          <w:shd w:val="clear" w:color="auto" w:fill="FFFFFF" w:themeFill="background1"/>
        </w:rPr>
      </w:pPr>
      <w:r>
        <w:rPr>
          <w:rFonts w:ascii="Candara" w:hAnsi="Candara" w:cstheme="minorHAnsi"/>
          <w:shd w:val="clear" w:color="auto" w:fill="FFFFFF" w:themeFill="background1"/>
        </w:rPr>
        <w:t>Cases where documentation sent by clients has not been</w:t>
      </w:r>
      <w:r w:rsidRPr="00D94EED">
        <w:rPr>
          <w:rFonts w:ascii="Candara" w:hAnsi="Candara" w:cstheme="minorHAnsi"/>
          <w:shd w:val="clear" w:color="auto" w:fill="FFFFFF" w:themeFill="background1"/>
        </w:rPr>
        <w:t xml:space="preserve"> </w:t>
      </w:r>
      <w:r>
        <w:rPr>
          <w:rFonts w:ascii="Candara" w:hAnsi="Candara" w:cstheme="minorHAnsi"/>
          <w:shd w:val="clear" w:color="auto" w:fill="FFFFFF" w:themeFill="background1"/>
        </w:rPr>
        <w:t xml:space="preserve">received by </w:t>
      </w:r>
      <w:r w:rsidR="00AD014B">
        <w:rPr>
          <w:rFonts w:ascii="Candara" w:hAnsi="Candara" w:cstheme="minorHAnsi"/>
          <w:shd w:val="clear" w:color="auto" w:fill="FFFFFF" w:themeFill="background1"/>
        </w:rPr>
        <w:t xml:space="preserve">the </w:t>
      </w:r>
      <w:r w:rsidR="00133C28">
        <w:rPr>
          <w:rFonts w:ascii="Candara" w:hAnsi="Candara" w:cstheme="minorHAnsi"/>
          <w:shd w:val="clear" w:color="auto" w:fill="FFFFFF" w:themeFill="background1"/>
        </w:rPr>
        <w:t xml:space="preserve">National Medical Card </w:t>
      </w:r>
      <w:r w:rsidR="00133C28" w:rsidRPr="0021231A">
        <w:rPr>
          <w:rFonts w:ascii="Candara" w:hAnsi="Candara" w:cstheme="minorHAnsi"/>
          <w:shd w:val="clear" w:color="auto" w:fill="FFFFFF" w:themeFill="background1"/>
        </w:rPr>
        <w:t xml:space="preserve">Unit </w:t>
      </w:r>
      <w:r w:rsidR="0021231A">
        <w:rPr>
          <w:rFonts w:ascii="Candara" w:hAnsi="Candara" w:cstheme="minorHAnsi"/>
          <w:shd w:val="clear" w:color="auto" w:fill="FFFFFF" w:themeFill="background1"/>
        </w:rPr>
        <w:t>o</w:t>
      </w:r>
      <w:r>
        <w:rPr>
          <w:rFonts w:ascii="Candara" w:hAnsi="Candara" w:cstheme="minorHAnsi"/>
          <w:shd w:val="clear" w:color="auto" w:fill="FFFFFF" w:themeFill="background1"/>
        </w:rPr>
        <w:t xml:space="preserve">r has been lost, in some cases leading to clients having to re-send the full application </w:t>
      </w:r>
      <w:r w:rsidR="00B671F0">
        <w:rPr>
          <w:rFonts w:ascii="Candara" w:hAnsi="Candara" w:cstheme="minorHAnsi"/>
          <w:shd w:val="clear" w:color="auto" w:fill="FFFFFF" w:themeFill="background1"/>
        </w:rPr>
        <w:t>and supporting documentation</w:t>
      </w:r>
      <w:r>
        <w:rPr>
          <w:rFonts w:ascii="Candara" w:hAnsi="Candara" w:cstheme="minorHAnsi"/>
          <w:shd w:val="clear" w:color="auto" w:fill="FFFFFF" w:themeFill="background1"/>
        </w:rPr>
        <w:t>;</w:t>
      </w:r>
    </w:p>
    <w:p w:rsidR="00BF4A33" w:rsidRDefault="00D94EED" w:rsidP="00D94EED">
      <w:pPr>
        <w:pStyle w:val="ListParagraph"/>
        <w:numPr>
          <w:ilvl w:val="0"/>
          <w:numId w:val="8"/>
        </w:numPr>
        <w:rPr>
          <w:rFonts w:ascii="Candara" w:hAnsi="Candara" w:cstheme="minorHAnsi"/>
          <w:shd w:val="clear" w:color="auto" w:fill="FFFFFF" w:themeFill="background1"/>
        </w:rPr>
      </w:pPr>
      <w:r>
        <w:rPr>
          <w:rFonts w:ascii="Candara" w:hAnsi="Candara" w:cstheme="minorHAnsi"/>
          <w:shd w:val="clear" w:color="auto" w:fill="FFFFFF" w:themeFill="background1"/>
        </w:rPr>
        <w:t xml:space="preserve">Difficulties for clients </w:t>
      </w:r>
      <w:r w:rsidR="00B671F0">
        <w:rPr>
          <w:rFonts w:ascii="Candara" w:hAnsi="Candara" w:cstheme="minorHAnsi"/>
          <w:shd w:val="clear" w:color="auto" w:fill="FFFFFF" w:themeFill="background1"/>
        </w:rPr>
        <w:t>who cannot access GPs who are in a position to take on medical card patients</w:t>
      </w:r>
      <w:r w:rsidR="00BF4A33">
        <w:rPr>
          <w:rFonts w:ascii="Candara" w:hAnsi="Candara" w:cstheme="minorHAnsi"/>
          <w:shd w:val="clear" w:color="auto" w:fill="FFFFFF" w:themeFill="background1"/>
        </w:rPr>
        <w:t>;</w:t>
      </w:r>
    </w:p>
    <w:p w:rsidR="00BF4A33" w:rsidRPr="00BF4A33" w:rsidRDefault="00BF4A33" w:rsidP="00BF4A33">
      <w:pPr>
        <w:pStyle w:val="ListParagraph"/>
        <w:numPr>
          <w:ilvl w:val="0"/>
          <w:numId w:val="8"/>
        </w:numPr>
        <w:rPr>
          <w:rFonts w:ascii="Candara" w:hAnsi="Candara" w:cstheme="minorHAnsi"/>
          <w:shd w:val="clear" w:color="auto" w:fill="FFFFFF" w:themeFill="background1"/>
        </w:rPr>
      </w:pPr>
      <w:r w:rsidRPr="00BF4A33">
        <w:rPr>
          <w:rFonts w:ascii="Candara" w:hAnsi="Candara" w:cstheme="minorHAnsi"/>
          <w:shd w:val="clear" w:color="auto" w:fill="FFFFFF" w:themeFill="background1"/>
        </w:rPr>
        <w:t>Difficulties for clients in renewing their medical card online – with some services reporting that clients who were not in a position to renew their card online (due to lack of skills, broadband or IT access) had to send in the full application form, even though there has not been any change in their circumstances;</w:t>
      </w:r>
    </w:p>
    <w:p w:rsidR="00BF4A33" w:rsidRPr="00BF4A33" w:rsidRDefault="00BF4A33" w:rsidP="00BF4A33">
      <w:pPr>
        <w:spacing w:after="200" w:line="276" w:lineRule="auto"/>
        <w:rPr>
          <w:rFonts w:ascii="Candara" w:hAnsi="Candara" w:cstheme="minorHAnsi"/>
          <w:b/>
          <w:color w:val="1F497D" w:themeColor="text2"/>
          <w:sz w:val="20"/>
          <w:szCs w:val="20"/>
          <w:shd w:val="clear" w:color="auto" w:fill="FFFFFF" w:themeFill="background1"/>
        </w:rPr>
      </w:pPr>
      <w:r w:rsidRPr="00BF4A33">
        <w:rPr>
          <w:rFonts w:ascii="Candara" w:hAnsi="Candara" w:cstheme="minorHAnsi"/>
          <w:b/>
          <w:color w:val="1F497D" w:themeColor="text2"/>
          <w:sz w:val="20"/>
          <w:szCs w:val="20"/>
          <w:shd w:val="clear" w:color="auto" w:fill="FFFFFF" w:themeFill="background1"/>
        </w:rPr>
        <w:t>NOTE: The NMCU has informed us that “a new online application system will be launched in the next two weeks. Currently this system is in use by a small cohort of people reviewing their eligibility by invitation.  The invitation includes a pin number which</w:t>
      </w:r>
      <w:r>
        <w:rPr>
          <w:rFonts w:ascii="Candara" w:hAnsi="Candara" w:cstheme="minorHAnsi"/>
          <w:b/>
          <w:color w:val="1F497D" w:themeColor="text2"/>
          <w:sz w:val="20"/>
          <w:szCs w:val="20"/>
          <w:shd w:val="clear" w:color="auto" w:fill="FFFFFF" w:themeFill="background1"/>
        </w:rPr>
        <w:t>,</w:t>
      </w:r>
      <w:r w:rsidRPr="00BF4A33">
        <w:rPr>
          <w:rFonts w:ascii="Candara" w:hAnsi="Candara" w:cstheme="minorHAnsi"/>
          <w:b/>
          <w:color w:val="1F497D" w:themeColor="text2"/>
          <w:sz w:val="20"/>
          <w:szCs w:val="20"/>
          <w:shd w:val="clear" w:color="auto" w:fill="FFFFFF" w:themeFill="background1"/>
        </w:rPr>
        <w:t xml:space="preserve"> together with their email address</w:t>
      </w:r>
      <w:r>
        <w:rPr>
          <w:rFonts w:ascii="Candara" w:hAnsi="Candara" w:cstheme="minorHAnsi"/>
          <w:b/>
          <w:color w:val="1F497D" w:themeColor="text2"/>
          <w:sz w:val="20"/>
          <w:szCs w:val="20"/>
          <w:shd w:val="clear" w:color="auto" w:fill="FFFFFF" w:themeFill="background1"/>
        </w:rPr>
        <w:t>,</w:t>
      </w:r>
      <w:r w:rsidRPr="00BF4A33">
        <w:rPr>
          <w:rFonts w:ascii="Candara" w:hAnsi="Candara" w:cstheme="minorHAnsi"/>
          <w:b/>
          <w:color w:val="1F497D" w:themeColor="text2"/>
          <w:sz w:val="20"/>
          <w:szCs w:val="20"/>
          <w:shd w:val="clear" w:color="auto" w:fill="FFFFFF" w:themeFill="background1"/>
        </w:rPr>
        <w:t xml:space="preserve"> enables the client to set up an account. The system will now be extended to all people, whether they are applying for the first time, or reviewing their eligibility. It will be open to those applying under the General Medical Card scheme and also those applying under the Over 70s scheme. </w:t>
      </w:r>
      <w:r w:rsidRPr="00BF4A33">
        <w:rPr>
          <w:rFonts w:ascii="Candara" w:hAnsi="Candara" w:cstheme="minorHAnsi"/>
          <w:b/>
          <w:color w:val="1F497D" w:themeColor="text2"/>
          <w:sz w:val="20"/>
          <w:szCs w:val="20"/>
          <w:u w:val="single"/>
          <w:shd w:val="clear" w:color="auto" w:fill="FFFFFF" w:themeFill="background1"/>
        </w:rPr>
        <w:t>Reviews s</w:t>
      </w:r>
      <w:r w:rsidR="005A641D">
        <w:rPr>
          <w:rFonts w:ascii="Candara" w:hAnsi="Candara" w:cstheme="minorHAnsi"/>
          <w:b/>
          <w:color w:val="1F497D" w:themeColor="text2"/>
          <w:sz w:val="20"/>
          <w:szCs w:val="20"/>
          <w:u w:val="single"/>
          <w:shd w:val="clear" w:color="auto" w:fill="FFFFFF" w:themeFill="background1"/>
        </w:rPr>
        <w:t>ent out to clients aged over 70</w:t>
      </w:r>
      <w:r w:rsidRPr="00BF4A33">
        <w:rPr>
          <w:rFonts w:ascii="Candara" w:hAnsi="Candara" w:cstheme="minorHAnsi"/>
          <w:b/>
          <w:color w:val="1F497D" w:themeColor="text2"/>
          <w:sz w:val="20"/>
          <w:szCs w:val="20"/>
          <w:u w:val="single"/>
          <w:shd w:val="clear" w:color="auto" w:fill="FFFFFF" w:themeFill="background1"/>
        </w:rPr>
        <w:t xml:space="preserve"> will include the paper review form so they have both options. </w:t>
      </w:r>
      <w:r w:rsidRPr="00BF4A33">
        <w:rPr>
          <w:rFonts w:ascii="Candara" w:hAnsi="Candara" w:cstheme="minorHAnsi"/>
          <w:b/>
          <w:color w:val="1F497D" w:themeColor="text2"/>
          <w:sz w:val="20"/>
          <w:szCs w:val="20"/>
          <w:shd w:val="clear" w:color="auto" w:fill="FFFFFF" w:themeFill="background1"/>
        </w:rPr>
        <w:t xml:space="preserve">For other reviews, a form will not be sent, but a manual application form can be used should they wish to pursue that option instead. </w:t>
      </w:r>
      <w:r w:rsidR="005A641D">
        <w:rPr>
          <w:rFonts w:ascii="Candara" w:hAnsi="Candara" w:cstheme="minorHAnsi"/>
          <w:b/>
          <w:color w:val="1F497D" w:themeColor="text2"/>
          <w:sz w:val="20"/>
          <w:szCs w:val="20"/>
          <w:shd w:val="clear" w:color="auto" w:fill="FFFFFF" w:themeFill="background1"/>
        </w:rPr>
        <w:t>Some of t</w:t>
      </w:r>
      <w:r w:rsidRPr="00BF4A33">
        <w:rPr>
          <w:rFonts w:ascii="Candara" w:hAnsi="Candara" w:cstheme="minorHAnsi"/>
          <w:b/>
          <w:color w:val="1F497D" w:themeColor="text2"/>
          <w:sz w:val="20"/>
          <w:szCs w:val="20"/>
          <w:shd w:val="clear" w:color="auto" w:fill="FFFFFF" w:themeFill="background1"/>
        </w:rPr>
        <w:t>he advantages o</w:t>
      </w:r>
      <w:r w:rsidR="005A641D">
        <w:rPr>
          <w:rFonts w:ascii="Candara" w:hAnsi="Candara" w:cstheme="minorHAnsi"/>
          <w:b/>
          <w:color w:val="1F497D" w:themeColor="text2"/>
          <w:sz w:val="20"/>
          <w:szCs w:val="20"/>
          <w:shd w:val="clear" w:color="auto" w:fill="FFFFFF" w:themeFill="background1"/>
        </w:rPr>
        <w:t>f the new system are that s</w:t>
      </w:r>
      <w:r w:rsidRPr="00BF4A33">
        <w:rPr>
          <w:rFonts w:ascii="Candara" w:hAnsi="Candara" w:cstheme="minorHAnsi"/>
          <w:b/>
          <w:color w:val="1F497D" w:themeColor="text2"/>
          <w:sz w:val="20"/>
          <w:szCs w:val="20"/>
          <w:shd w:val="clear" w:color="auto" w:fill="FFFFFF" w:themeFill="background1"/>
        </w:rPr>
        <w:t>upporting document</w:t>
      </w:r>
      <w:r w:rsidR="005A641D">
        <w:rPr>
          <w:rFonts w:ascii="Candara" w:hAnsi="Candara" w:cstheme="minorHAnsi"/>
          <w:b/>
          <w:color w:val="1F497D" w:themeColor="text2"/>
          <w:sz w:val="20"/>
          <w:szCs w:val="20"/>
          <w:shd w:val="clear" w:color="auto" w:fill="FFFFFF" w:themeFill="background1"/>
        </w:rPr>
        <w:t>s</w:t>
      </w:r>
      <w:r w:rsidRPr="00BF4A33">
        <w:rPr>
          <w:rFonts w:ascii="Candara" w:hAnsi="Candara" w:cstheme="minorHAnsi"/>
          <w:b/>
          <w:color w:val="1F497D" w:themeColor="text2"/>
          <w:sz w:val="20"/>
          <w:szCs w:val="20"/>
          <w:shd w:val="clear" w:color="auto" w:fill="FFFFFF" w:themeFill="background1"/>
        </w:rPr>
        <w:t xml:space="preserve"> can be scanned to the online application.  </w:t>
      </w:r>
      <w:r w:rsidR="005A641D">
        <w:rPr>
          <w:rFonts w:ascii="Candara" w:hAnsi="Candara" w:cstheme="minorHAnsi"/>
          <w:b/>
          <w:color w:val="1F497D" w:themeColor="text2"/>
          <w:sz w:val="20"/>
          <w:szCs w:val="20"/>
          <w:shd w:val="clear" w:color="auto" w:fill="FFFFFF" w:themeFill="background1"/>
        </w:rPr>
        <w:t xml:space="preserve">(e.g, </w:t>
      </w:r>
      <w:r w:rsidRPr="00BF4A33">
        <w:rPr>
          <w:rFonts w:ascii="Candara" w:hAnsi="Candara" w:cstheme="minorHAnsi"/>
          <w:b/>
          <w:color w:val="1F497D" w:themeColor="text2"/>
          <w:sz w:val="20"/>
          <w:szCs w:val="20"/>
          <w:shd w:val="clear" w:color="auto" w:fill="FFFFFF" w:themeFill="background1"/>
        </w:rPr>
        <w:t>a picture of the document could be taken and then uploaded</w:t>
      </w:r>
      <w:r w:rsidR="005A641D">
        <w:rPr>
          <w:rFonts w:ascii="Candara" w:hAnsi="Candara" w:cstheme="minorHAnsi"/>
          <w:b/>
          <w:color w:val="1F497D" w:themeColor="text2"/>
          <w:sz w:val="20"/>
          <w:szCs w:val="20"/>
          <w:shd w:val="clear" w:color="auto" w:fill="FFFFFF" w:themeFill="background1"/>
        </w:rPr>
        <w:t>), in cases where an applicants</w:t>
      </w:r>
      <w:r w:rsidRPr="00BF4A33">
        <w:rPr>
          <w:rFonts w:ascii="Candara" w:hAnsi="Candara" w:cstheme="minorHAnsi"/>
          <w:b/>
          <w:color w:val="1F497D" w:themeColor="text2"/>
          <w:sz w:val="20"/>
          <w:szCs w:val="20"/>
          <w:shd w:val="clear" w:color="auto" w:fill="FFFFFF" w:themeFill="background1"/>
        </w:rPr>
        <w:t xml:space="preserve"> GP</w:t>
      </w:r>
      <w:r w:rsidR="005A641D">
        <w:rPr>
          <w:rFonts w:ascii="Candara" w:hAnsi="Candara" w:cstheme="minorHAnsi"/>
          <w:b/>
          <w:color w:val="1F497D" w:themeColor="text2"/>
          <w:sz w:val="20"/>
          <w:szCs w:val="20"/>
          <w:shd w:val="clear" w:color="auto" w:fill="FFFFFF" w:themeFill="background1"/>
        </w:rPr>
        <w:t>-</w:t>
      </w:r>
      <w:r w:rsidRPr="00BF4A33">
        <w:rPr>
          <w:rFonts w:ascii="Candara" w:hAnsi="Candara" w:cstheme="minorHAnsi"/>
          <w:b/>
          <w:color w:val="1F497D" w:themeColor="text2"/>
          <w:sz w:val="20"/>
          <w:szCs w:val="20"/>
          <w:shd w:val="clear" w:color="auto" w:fill="FFFFFF" w:themeFill="background1"/>
        </w:rPr>
        <w:t>of</w:t>
      </w:r>
      <w:r w:rsidR="005A641D">
        <w:rPr>
          <w:rFonts w:ascii="Candara" w:hAnsi="Candara" w:cstheme="minorHAnsi"/>
          <w:b/>
          <w:color w:val="1F497D" w:themeColor="text2"/>
          <w:sz w:val="20"/>
          <w:szCs w:val="20"/>
          <w:shd w:val="clear" w:color="auto" w:fill="FFFFFF" w:themeFill="background1"/>
        </w:rPr>
        <w:t>-</w:t>
      </w:r>
      <w:r w:rsidRPr="00BF4A33">
        <w:rPr>
          <w:rFonts w:ascii="Candara" w:hAnsi="Candara" w:cstheme="minorHAnsi"/>
          <w:b/>
          <w:color w:val="1F497D" w:themeColor="text2"/>
          <w:sz w:val="20"/>
          <w:szCs w:val="20"/>
          <w:shd w:val="clear" w:color="auto" w:fill="FFFFFF" w:themeFill="background1"/>
        </w:rPr>
        <w:t xml:space="preserve">choice has an online presence, an </w:t>
      </w:r>
      <w:r w:rsidRPr="00BF4A33">
        <w:rPr>
          <w:rFonts w:ascii="Candara" w:hAnsi="Candara" w:cstheme="minorHAnsi"/>
          <w:b/>
          <w:color w:val="1F497D" w:themeColor="text2"/>
          <w:sz w:val="20"/>
          <w:szCs w:val="20"/>
          <w:shd w:val="clear" w:color="auto" w:fill="FFFFFF" w:themeFill="background1"/>
        </w:rPr>
        <w:lastRenderedPageBreak/>
        <w:t xml:space="preserve">electronic request goes to the </w:t>
      </w:r>
      <w:r w:rsidR="005A641D">
        <w:rPr>
          <w:rFonts w:ascii="Candara" w:hAnsi="Candara" w:cstheme="minorHAnsi"/>
          <w:b/>
          <w:color w:val="1F497D" w:themeColor="text2"/>
          <w:sz w:val="20"/>
          <w:szCs w:val="20"/>
          <w:shd w:val="clear" w:color="auto" w:fill="FFFFFF" w:themeFill="background1"/>
        </w:rPr>
        <w:t>GP (</w:t>
      </w:r>
      <w:r w:rsidRPr="00BF4A33">
        <w:rPr>
          <w:rFonts w:ascii="Candara" w:hAnsi="Candara" w:cstheme="minorHAnsi"/>
          <w:b/>
          <w:color w:val="1F497D" w:themeColor="text2"/>
          <w:sz w:val="20"/>
          <w:szCs w:val="20"/>
          <w:shd w:val="clear" w:color="auto" w:fill="FFFFFF" w:themeFill="background1"/>
        </w:rPr>
        <w:t>rather than the client having to go to get their form stamped</w:t>
      </w:r>
      <w:r w:rsidR="005A641D">
        <w:rPr>
          <w:rFonts w:ascii="Candara" w:hAnsi="Candara" w:cstheme="minorHAnsi"/>
          <w:b/>
          <w:color w:val="1F497D" w:themeColor="text2"/>
          <w:sz w:val="20"/>
          <w:szCs w:val="20"/>
          <w:shd w:val="clear" w:color="auto" w:fill="FFFFFF" w:themeFill="background1"/>
        </w:rPr>
        <w:t>) and also u</w:t>
      </w:r>
      <w:r w:rsidRPr="00BF4A33">
        <w:rPr>
          <w:rFonts w:ascii="Candara" w:hAnsi="Candara" w:cstheme="minorHAnsi"/>
          <w:b/>
          <w:color w:val="1F497D" w:themeColor="text2"/>
          <w:sz w:val="20"/>
          <w:szCs w:val="20"/>
          <w:shd w:val="clear" w:color="auto" w:fill="FFFFFF" w:themeFill="background1"/>
        </w:rPr>
        <w:t>pdates on application</w:t>
      </w:r>
      <w:r w:rsidR="005A641D">
        <w:rPr>
          <w:rFonts w:ascii="Candara" w:hAnsi="Candara" w:cstheme="minorHAnsi"/>
          <w:b/>
          <w:color w:val="1F497D" w:themeColor="text2"/>
          <w:sz w:val="20"/>
          <w:szCs w:val="20"/>
          <w:shd w:val="clear" w:color="auto" w:fill="FFFFFF" w:themeFill="background1"/>
        </w:rPr>
        <w:t>s</w:t>
      </w:r>
      <w:r w:rsidRPr="00BF4A33">
        <w:rPr>
          <w:rFonts w:ascii="Candara" w:hAnsi="Candara" w:cstheme="minorHAnsi"/>
          <w:b/>
          <w:color w:val="1F497D" w:themeColor="text2"/>
          <w:sz w:val="20"/>
          <w:szCs w:val="20"/>
          <w:shd w:val="clear" w:color="auto" w:fill="FFFFFF" w:themeFill="background1"/>
        </w:rPr>
        <w:t xml:space="preserve"> or requests for further information </w:t>
      </w:r>
      <w:r w:rsidR="005A641D">
        <w:rPr>
          <w:rFonts w:ascii="Candara" w:hAnsi="Candara" w:cstheme="minorHAnsi"/>
          <w:b/>
          <w:color w:val="1F497D" w:themeColor="text2"/>
          <w:sz w:val="20"/>
          <w:szCs w:val="20"/>
          <w:shd w:val="clear" w:color="auto" w:fill="FFFFFF" w:themeFill="background1"/>
        </w:rPr>
        <w:t>can be</w:t>
      </w:r>
      <w:r w:rsidRPr="00BF4A33">
        <w:rPr>
          <w:rFonts w:ascii="Candara" w:hAnsi="Candara" w:cstheme="minorHAnsi"/>
          <w:b/>
          <w:color w:val="1F497D" w:themeColor="text2"/>
          <w:sz w:val="20"/>
          <w:szCs w:val="20"/>
          <w:shd w:val="clear" w:color="auto" w:fill="FFFFFF" w:themeFill="background1"/>
        </w:rPr>
        <w:t xml:space="preserve"> emailed to the client</w:t>
      </w:r>
      <w:r w:rsidR="005A641D">
        <w:rPr>
          <w:rFonts w:ascii="Candara" w:hAnsi="Candara" w:cstheme="minorHAnsi"/>
          <w:b/>
          <w:color w:val="1F497D" w:themeColor="text2"/>
          <w:sz w:val="20"/>
          <w:szCs w:val="20"/>
          <w:shd w:val="clear" w:color="auto" w:fill="FFFFFF" w:themeFill="background1"/>
        </w:rPr>
        <w:t xml:space="preserve"> using the e-mail provided”</w:t>
      </w:r>
      <w:r w:rsidRPr="00BF4A33">
        <w:rPr>
          <w:rFonts w:ascii="Candara" w:hAnsi="Candara" w:cstheme="minorHAnsi"/>
          <w:b/>
          <w:color w:val="1F497D" w:themeColor="text2"/>
          <w:sz w:val="20"/>
          <w:szCs w:val="20"/>
          <w:shd w:val="clear" w:color="auto" w:fill="FFFFFF" w:themeFill="background1"/>
        </w:rPr>
        <w:t>.</w:t>
      </w:r>
    </w:p>
    <w:p w:rsidR="00B31AC2" w:rsidRDefault="00133C28" w:rsidP="00B31AC2">
      <w:pPr>
        <w:spacing w:after="200" w:line="276" w:lineRule="auto"/>
        <w:rPr>
          <w:rFonts w:ascii="Candara" w:hAnsi="Candara" w:cstheme="minorHAnsi"/>
          <w:shd w:val="clear" w:color="auto" w:fill="FFFFFF" w:themeFill="background1"/>
        </w:rPr>
      </w:pPr>
      <w:r>
        <w:rPr>
          <w:rFonts w:ascii="Candara" w:hAnsi="Candara" w:cstheme="minorHAnsi"/>
          <w:shd w:val="clear" w:color="auto" w:fill="FFFFFF" w:themeFill="background1"/>
        </w:rPr>
        <w:t>T</w:t>
      </w:r>
      <w:r w:rsidR="00430547">
        <w:rPr>
          <w:rFonts w:ascii="Candara" w:hAnsi="Candara" w:cstheme="minorHAnsi"/>
          <w:shd w:val="clear" w:color="auto" w:fill="FFFFFF" w:themeFill="background1"/>
        </w:rPr>
        <w:t>he main increases</w:t>
      </w:r>
      <w:r>
        <w:rPr>
          <w:rFonts w:ascii="Candara" w:hAnsi="Candara" w:cstheme="minorHAnsi"/>
          <w:shd w:val="clear" w:color="auto" w:fill="FFFFFF" w:themeFill="background1"/>
        </w:rPr>
        <w:t xml:space="preserve"> in </w:t>
      </w:r>
      <w:r w:rsidRPr="005A641D">
        <w:rPr>
          <w:rFonts w:ascii="Candara" w:hAnsi="Candara" w:cstheme="minorHAnsi"/>
          <w:b/>
          <w:shd w:val="clear" w:color="auto" w:fill="FFFFFF" w:themeFill="background1"/>
        </w:rPr>
        <w:t>social welfare</w:t>
      </w:r>
      <w:r>
        <w:rPr>
          <w:rFonts w:ascii="Candara" w:hAnsi="Candara" w:cstheme="minorHAnsi"/>
          <w:shd w:val="clear" w:color="auto" w:fill="FFFFFF" w:themeFill="background1"/>
        </w:rPr>
        <w:t xml:space="preserve"> areas </w:t>
      </w:r>
      <w:r w:rsidR="00430547">
        <w:rPr>
          <w:rFonts w:ascii="Candara" w:hAnsi="Candara" w:cstheme="minorHAnsi"/>
          <w:shd w:val="clear" w:color="auto" w:fill="FFFFFF" w:themeFill="background1"/>
        </w:rPr>
        <w:t xml:space="preserve">during this quarter have been in relation to PRSI contribution statements, pensions, and Fuel Allowance. </w:t>
      </w:r>
      <w:r w:rsidR="00B671F0">
        <w:rPr>
          <w:rFonts w:ascii="Candara" w:hAnsi="Candara" w:cstheme="minorHAnsi"/>
          <w:shd w:val="clear" w:color="auto" w:fill="FFFFFF" w:themeFill="background1"/>
        </w:rPr>
        <w:t xml:space="preserve">In the last edition of Social Policy Update, we covered the feedback received from services in respect of the changes, put in place since July 2017, to the processing of requests from clients for their PRSI Contribution Statements. </w:t>
      </w:r>
      <w:r w:rsidR="004653B4">
        <w:rPr>
          <w:rFonts w:ascii="Candara" w:hAnsi="Candara" w:cstheme="minorHAnsi"/>
          <w:shd w:val="clear" w:color="auto" w:fill="FFFFFF" w:themeFill="background1"/>
        </w:rPr>
        <w:t>This feedback accounts for much of the increase in social welfare SPRs during this quarter, and the evidence provided enabled us to submit a</w:t>
      </w:r>
      <w:r>
        <w:rPr>
          <w:rFonts w:ascii="Candara" w:hAnsi="Candara" w:cstheme="minorHAnsi"/>
          <w:shd w:val="clear" w:color="auto" w:fill="FFFFFF" w:themeFill="background1"/>
        </w:rPr>
        <w:t xml:space="preserve"> briefing </w:t>
      </w:r>
      <w:r w:rsidR="004653B4">
        <w:rPr>
          <w:rFonts w:ascii="Candara" w:hAnsi="Candara" w:cstheme="minorHAnsi"/>
          <w:shd w:val="clear" w:color="auto" w:fill="FFFFFF" w:themeFill="background1"/>
        </w:rPr>
        <w:t xml:space="preserve">paper to the Department on the issue in September. </w:t>
      </w:r>
      <w:r w:rsidR="009407AB">
        <w:rPr>
          <w:rFonts w:ascii="Candara" w:hAnsi="Candara" w:cstheme="minorHAnsi"/>
          <w:shd w:val="clear" w:color="auto" w:fill="FFFFFF" w:themeFill="background1"/>
        </w:rPr>
        <w:t>Social Policy Returns</w:t>
      </w:r>
      <w:r w:rsidR="0023121D">
        <w:rPr>
          <w:rFonts w:ascii="Candara" w:hAnsi="Candara" w:cstheme="minorHAnsi"/>
          <w:shd w:val="clear" w:color="auto" w:fill="FFFFFF" w:themeFill="background1"/>
        </w:rPr>
        <w:t xml:space="preserve"> in relation to </w:t>
      </w:r>
      <w:r w:rsidR="0023121D" w:rsidRPr="005A641D">
        <w:rPr>
          <w:rFonts w:ascii="Candara" w:hAnsi="Candara" w:cstheme="minorHAnsi"/>
          <w:b/>
          <w:shd w:val="clear" w:color="auto" w:fill="FFFFFF" w:themeFill="background1"/>
        </w:rPr>
        <w:t>pensions</w:t>
      </w:r>
      <w:r w:rsidR="0023121D">
        <w:rPr>
          <w:rFonts w:ascii="Candara" w:hAnsi="Candara" w:cstheme="minorHAnsi"/>
          <w:shd w:val="clear" w:color="auto" w:fill="FFFFFF" w:themeFill="background1"/>
        </w:rPr>
        <w:t xml:space="preserve"> (</w:t>
      </w:r>
      <w:r w:rsidR="009407AB">
        <w:rPr>
          <w:rFonts w:ascii="Candara" w:hAnsi="Candara" w:cstheme="minorHAnsi"/>
          <w:shd w:val="clear" w:color="auto" w:fill="FFFFFF" w:themeFill="background1"/>
        </w:rPr>
        <w:t xml:space="preserve">both contributory and non-contributory) </w:t>
      </w:r>
      <w:r w:rsidR="0021231A">
        <w:rPr>
          <w:rFonts w:ascii="Candara" w:hAnsi="Candara" w:cstheme="minorHAnsi"/>
          <w:shd w:val="clear" w:color="auto" w:fill="FFFFFF" w:themeFill="background1"/>
        </w:rPr>
        <w:t xml:space="preserve">also </w:t>
      </w:r>
      <w:r w:rsidR="0023121D">
        <w:rPr>
          <w:rFonts w:ascii="Candara" w:hAnsi="Candara" w:cstheme="minorHAnsi"/>
          <w:shd w:val="clear" w:color="auto" w:fill="FFFFFF" w:themeFill="background1"/>
        </w:rPr>
        <w:t xml:space="preserve">increased significantly </w:t>
      </w:r>
      <w:r w:rsidR="009407AB">
        <w:rPr>
          <w:rFonts w:ascii="Candara" w:hAnsi="Candara" w:cstheme="minorHAnsi"/>
          <w:shd w:val="clear" w:color="auto" w:fill="FFFFFF" w:themeFill="background1"/>
        </w:rPr>
        <w:t xml:space="preserve">during the quarter – with some of this attributed to the PRSI Contribution Statements issue and there was also a good deal of feedback which highlighted cases where the application of the averaging rule in the calculation of the contributory pension was putting people at a disadvantage. Services also reported on many cases where they were not in a position to assist clients in forecasting their pension entitlements, given the lack of clarity around the situation after 2020. </w:t>
      </w:r>
      <w:r w:rsidR="00572A89">
        <w:rPr>
          <w:rFonts w:ascii="Candara" w:hAnsi="Candara" w:cstheme="minorHAnsi"/>
          <w:shd w:val="clear" w:color="auto" w:fill="FFFFFF" w:themeFill="background1"/>
        </w:rPr>
        <w:t>There were also a number of reports that highlighted the difficulties caused for people by the delay in processing applications for the non-contributory pension (as for August 2017, the average processing time for these claims stood at 12 weeks).</w:t>
      </w:r>
      <w:r w:rsidR="005A641D">
        <w:rPr>
          <w:rFonts w:ascii="Candara" w:hAnsi="Candara" w:cstheme="minorHAnsi"/>
          <w:shd w:val="clear" w:color="auto" w:fill="FFFFFF" w:themeFill="background1"/>
        </w:rPr>
        <w:t xml:space="preserve"> </w:t>
      </w:r>
      <w:r w:rsidR="005225D7">
        <w:rPr>
          <w:rFonts w:ascii="Candara" w:hAnsi="Candara" w:cstheme="minorHAnsi"/>
          <w:shd w:val="clear" w:color="auto" w:fill="FFFFFF" w:themeFill="background1"/>
        </w:rPr>
        <w:t xml:space="preserve">Reports in relation to </w:t>
      </w:r>
      <w:r w:rsidR="005225D7" w:rsidRPr="005A641D">
        <w:rPr>
          <w:rFonts w:ascii="Candara" w:hAnsi="Candara" w:cstheme="minorHAnsi"/>
          <w:b/>
          <w:shd w:val="clear" w:color="auto" w:fill="FFFFFF" w:themeFill="background1"/>
        </w:rPr>
        <w:t>Fuel Allowance</w:t>
      </w:r>
      <w:r w:rsidR="005225D7">
        <w:rPr>
          <w:rFonts w:ascii="Candara" w:hAnsi="Candara" w:cstheme="minorHAnsi"/>
          <w:shd w:val="clear" w:color="auto" w:fill="FFFFFF" w:themeFill="background1"/>
        </w:rPr>
        <w:t xml:space="preserve"> also increased during this period. The concerns highlighted in the case evidence included difficulties for people who are on CE schemes and could not change the payment frequency from weekly to two instalments (as announced by the Department in July 2017), </w:t>
      </w:r>
      <w:r w:rsidR="003D4F39">
        <w:rPr>
          <w:rFonts w:ascii="Candara" w:hAnsi="Candara" w:cstheme="minorHAnsi"/>
          <w:shd w:val="clear" w:color="auto" w:fill="FFFFFF" w:themeFill="background1"/>
        </w:rPr>
        <w:t xml:space="preserve">financial hardship for some social welfare claimants who do </w:t>
      </w:r>
      <w:r w:rsidR="0026463B">
        <w:rPr>
          <w:rFonts w:ascii="Candara" w:hAnsi="Candara" w:cstheme="minorHAnsi"/>
          <w:shd w:val="clear" w:color="auto" w:fill="FFFFFF" w:themeFill="background1"/>
        </w:rPr>
        <w:t xml:space="preserve">not qualify for Fuel Allowance </w:t>
      </w:r>
      <w:r w:rsidR="003D4F39">
        <w:rPr>
          <w:rFonts w:ascii="Candara" w:hAnsi="Candara" w:cstheme="minorHAnsi"/>
          <w:shd w:val="clear" w:color="auto" w:fill="FFFFFF" w:themeFill="background1"/>
        </w:rPr>
        <w:t xml:space="preserve">and many services also suggested the need for DEASP to proactively inform certain social welfare recipients of the availability of Fuel Allowance, as many of their clients were unaware of their potential eligibility. </w:t>
      </w:r>
    </w:p>
    <w:p w:rsidR="00B31AC2" w:rsidRDefault="00133C28" w:rsidP="00B31AC2">
      <w:pPr>
        <w:spacing w:after="200" w:line="276" w:lineRule="auto"/>
        <w:rPr>
          <w:rFonts w:ascii="Candara" w:hAnsi="Candara" w:cstheme="minorHAnsi"/>
          <w:shd w:val="clear" w:color="auto" w:fill="FFFFFF" w:themeFill="background1"/>
        </w:rPr>
      </w:pPr>
      <w:r>
        <w:rPr>
          <w:rFonts w:ascii="Candara" w:hAnsi="Candara" w:cstheme="minorHAnsi"/>
          <w:shd w:val="clear" w:color="auto" w:fill="FFFFFF" w:themeFill="background1"/>
        </w:rPr>
        <w:t>S</w:t>
      </w:r>
      <w:r w:rsidR="002F54BA" w:rsidRPr="002F54BA">
        <w:rPr>
          <w:rFonts w:ascii="Candara" w:hAnsi="Candara" w:cstheme="minorHAnsi"/>
          <w:shd w:val="clear" w:color="auto" w:fill="FFFFFF" w:themeFill="background1"/>
        </w:rPr>
        <w:t xml:space="preserve">taff from </w:t>
      </w:r>
      <w:r w:rsidR="003D4F39">
        <w:rPr>
          <w:rFonts w:ascii="Candara" w:hAnsi="Candara" w:cstheme="minorHAnsi"/>
          <w:shd w:val="clear" w:color="auto" w:fill="FFFFFF" w:themeFill="background1"/>
        </w:rPr>
        <w:t xml:space="preserve">the </w:t>
      </w:r>
      <w:r w:rsidR="002F54BA" w:rsidRPr="002F54BA">
        <w:rPr>
          <w:rFonts w:ascii="Candara" w:hAnsi="Candara" w:cstheme="minorHAnsi"/>
          <w:shd w:val="clear" w:color="auto" w:fill="FFFFFF" w:themeFill="background1"/>
        </w:rPr>
        <w:t>C</w:t>
      </w:r>
      <w:r w:rsidR="003D4F39">
        <w:rPr>
          <w:rFonts w:ascii="Candara" w:hAnsi="Candara" w:cstheme="minorHAnsi"/>
          <w:shd w:val="clear" w:color="auto" w:fill="FFFFFF" w:themeFill="background1"/>
        </w:rPr>
        <w:t xml:space="preserve">itizens </w:t>
      </w:r>
      <w:r w:rsidR="002F54BA" w:rsidRPr="002F54BA">
        <w:rPr>
          <w:rFonts w:ascii="Candara" w:hAnsi="Candara" w:cstheme="minorHAnsi"/>
          <w:shd w:val="clear" w:color="auto" w:fill="FFFFFF" w:themeFill="background1"/>
        </w:rPr>
        <w:t>I</w:t>
      </w:r>
      <w:r w:rsidR="003D4F39">
        <w:rPr>
          <w:rFonts w:ascii="Candara" w:hAnsi="Candara" w:cstheme="minorHAnsi"/>
          <w:shd w:val="clear" w:color="auto" w:fill="FFFFFF" w:themeFill="background1"/>
        </w:rPr>
        <w:t xml:space="preserve">nformation </w:t>
      </w:r>
      <w:r w:rsidR="002F54BA" w:rsidRPr="002F54BA">
        <w:rPr>
          <w:rFonts w:ascii="Candara" w:hAnsi="Candara" w:cstheme="minorHAnsi"/>
          <w:shd w:val="clear" w:color="auto" w:fill="FFFFFF" w:themeFill="background1"/>
        </w:rPr>
        <w:t>P</w:t>
      </w:r>
      <w:r w:rsidR="003D4F39">
        <w:rPr>
          <w:rFonts w:ascii="Candara" w:hAnsi="Candara" w:cstheme="minorHAnsi"/>
          <w:shd w:val="clear" w:color="auto" w:fill="FFFFFF" w:themeFill="background1"/>
        </w:rPr>
        <w:t xml:space="preserve">hone </w:t>
      </w:r>
      <w:r w:rsidR="002F54BA" w:rsidRPr="002F54BA">
        <w:rPr>
          <w:rFonts w:ascii="Candara" w:hAnsi="Candara" w:cstheme="minorHAnsi"/>
          <w:shd w:val="clear" w:color="auto" w:fill="FFFFFF" w:themeFill="background1"/>
        </w:rPr>
        <w:t>S</w:t>
      </w:r>
      <w:r w:rsidR="003D4F39">
        <w:rPr>
          <w:rFonts w:ascii="Candara" w:hAnsi="Candara" w:cstheme="minorHAnsi"/>
          <w:shd w:val="clear" w:color="auto" w:fill="FFFFFF" w:themeFill="background1"/>
        </w:rPr>
        <w:t>ervice (CIPS)</w:t>
      </w:r>
      <w:r w:rsidR="002F54BA" w:rsidRPr="002F54BA">
        <w:rPr>
          <w:rFonts w:ascii="Candara" w:hAnsi="Candara" w:cstheme="minorHAnsi"/>
          <w:shd w:val="clear" w:color="auto" w:fill="FFFFFF" w:themeFill="background1"/>
        </w:rPr>
        <w:t xml:space="preserve"> also submitted 249 </w:t>
      </w:r>
      <w:r w:rsidR="002F54BA" w:rsidRPr="003D4F39">
        <w:rPr>
          <w:rFonts w:ascii="Candara" w:hAnsi="Candara" w:cstheme="minorHAnsi"/>
          <w:i/>
          <w:shd w:val="clear" w:color="auto" w:fill="FFFFFF" w:themeFill="background1"/>
        </w:rPr>
        <w:t>‘social policy counters’</w:t>
      </w:r>
      <w:r w:rsidR="002F54BA" w:rsidRPr="002F54BA">
        <w:rPr>
          <w:rFonts w:ascii="Candara" w:hAnsi="Candara" w:cstheme="minorHAnsi"/>
          <w:shd w:val="clear" w:color="auto" w:fill="FFFFFF" w:themeFill="background1"/>
        </w:rPr>
        <w:t xml:space="preserve"> across a range of issues during this quarter, and these counters indicated a </w:t>
      </w:r>
      <w:r w:rsidR="0026463B" w:rsidRPr="002F54BA">
        <w:rPr>
          <w:rFonts w:ascii="Candara" w:hAnsi="Candara" w:cstheme="minorHAnsi"/>
          <w:shd w:val="clear" w:color="auto" w:fill="FFFFFF" w:themeFill="background1"/>
        </w:rPr>
        <w:t>variety</w:t>
      </w:r>
      <w:r w:rsidR="002F54BA" w:rsidRPr="002F54BA">
        <w:rPr>
          <w:rFonts w:ascii="Candara" w:hAnsi="Candara" w:cstheme="minorHAnsi"/>
          <w:shd w:val="clear" w:color="auto" w:fill="FFFFFF" w:themeFill="background1"/>
        </w:rPr>
        <w:t xml:space="preserve"> of difficulties that CIPS callers were experiencing in trying to access public services – with the focus of the majority of counters being on difficulties with  the newly-initiated move to </w:t>
      </w:r>
      <w:r w:rsidR="0026463B">
        <w:rPr>
          <w:rFonts w:ascii="Candara" w:hAnsi="Candara" w:cstheme="minorHAnsi"/>
          <w:shd w:val="clear" w:color="auto" w:fill="FFFFFF" w:themeFill="background1"/>
        </w:rPr>
        <w:t xml:space="preserve">personal access to </w:t>
      </w:r>
      <w:r w:rsidR="002F54BA" w:rsidRPr="002F54BA">
        <w:rPr>
          <w:rFonts w:ascii="Candara" w:hAnsi="Candara" w:cstheme="minorHAnsi"/>
          <w:shd w:val="clear" w:color="auto" w:fill="FFFFFF" w:themeFill="background1"/>
        </w:rPr>
        <w:t xml:space="preserve">online services by Revenue, as well as issues for people obtaining their PRSI Contribution Statements from the PRSI section within DEASP and making telephone contact with a variety of sections </w:t>
      </w:r>
      <w:r>
        <w:rPr>
          <w:rFonts w:ascii="Candara" w:hAnsi="Candara" w:cstheme="minorHAnsi"/>
          <w:shd w:val="clear" w:color="auto" w:fill="FFFFFF" w:themeFill="background1"/>
        </w:rPr>
        <w:t>within the Department.</w:t>
      </w:r>
      <w:r w:rsidR="0026463B">
        <w:rPr>
          <w:rFonts w:ascii="Candara" w:hAnsi="Candara" w:cstheme="minorHAnsi"/>
          <w:shd w:val="clear" w:color="auto" w:fill="FFFFFF" w:themeFill="background1"/>
        </w:rPr>
        <w:t xml:space="preserve"> </w:t>
      </w:r>
      <w:r w:rsidR="002F54BA" w:rsidRPr="002F54BA">
        <w:rPr>
          <w:rFonts w:ascii="Candara" w:hAnsi="Candara" w:cstheme="minorHAnsi"/>
          <w:shd w:val="clear" w:color="auto" w:fill="FFFFFF" w:themeFill="background1"/>
        </w:rPr>
        <w:t xml:space="preserve">CIPS also logged calls concerned with </w:t>
      </w:r>
      <w:r w:rsidR="005A641D">
        <w:rPr>
          <w:rFonts w:ascii="Candara" w:hAnsi="Candara" w:cstheme="minorHAnsi"/>
          <w:shd w:val="clear" w:color="auto" w:fill="FFFFFF" w:themeFill="background1"/>
        </w:rPr>
        <w:t xml:space="preserve">client </w:t>
      </w:r>
      <w:r w:rsidR="002F54BA" w:rsidRPr="002F54BA">
        <w:rPr>
          <w:rFonts w:ascii="Candara" w:hAnsi="Candara" w:cstheme="minorHAnsi"/>
          <w:shd w:val="clear" w:color="auto" w:fill="FFFFFF" w:themeFill="background1"/>
        </w:rPr>
        <w:t xml:space="preserve">difficulties </w:t>
      </w:r>
      <w:r w:rsidR="005A641D">
        <w:rPr>
          <w:rFonts w:ascii="Candara" w:hAnsi="Candara" w:cstheme="minorHAnsi"/>
          <w:shd w:val="clear" w:color="auto" w:fill="FFFFFF" w:themeFill="background1"/>
        </w:rPr>
        <w:t>with accessing</w:t>
      </w:r>
      <w:r w:rsidR="002F54BA" w:rsidRPr="002F54BA">
        <w:rPr>
          <w:rFonts w:ascii="Candara" w:hAnsi="Candara" w:cstheme="minorHAnsi"/>
          <w:shd w:val="clear" w:color="auto" w:fill="FFFFFF" w:themeFill="background1"/>
        </w:rPr>
        <w:t xml:space="preserve"> information about the Back To School Clothing and Footwear Allowance.</w:t>
      </w:r>
    </w:p>
    <w:p w:rsidR="006751B8" w:rsidRPr="00645D71" w:rsidRDefault="00E005A3" w:rsidP="00677EC5">
      <w:pPr>
        <w:rPr>
          <w:rFonts w:ascii="Candara" w:hAnsi="Candara" w:cstheme="minorHAnsi"/>
          <w:b/>
          <w:color w:val="365F91" w:themeColor="accent1" w:themeShade="BF"/>
          <w:sz w:val="36"/>
          <w:szCs w:val="36"/>
          <w:shd w:val="clear" w:color="auto" w:fill="FFFFFF" w:themeFill="background1"/>
        </w:rPr>
      </w:pPr>
      <w:r w:rsidRPr="00645D71">
        <w:rPr>
          <w:rFonts w:ascii="Candara" w:hAnsi="Candara" w:cstheme="minorHAnsi"/>
          <w:b/>
          <w:color w:val="365F91" w:themeColor="accent1" w:themeShade="BF"/>
          <w:sz w:val="36"/>
          <w:szCs w:val="36"/>
          <w:shd w:val="clear" w:color="auto" w:fill="FFFFFF" w:themeFill="background1"/>
        </w:rPr>
        <w:t>F</w:t>
      </w:r>
      <w:r w:rsidR="00D01E05" w:rsidRPr="00645D71">
        <w:rPr>
          <w:rFonts w:ascii="Candara" w:hAnsi="Candara" w:cstheme="minorHAnsi"/>
          <w:b/>
          <w:color w:val="365F91" w:themeColor="accent1" w:themeShade="BF"/>
          <w:sz w:val="36"/>
          <w:szCs w:val="36"/>
          <w:shd w:val="clear" w:color="auto" w:fill="FFFFFF" w:themeFill="background1"/>
        </w:rPr>
        <w:t xml:space="preserve">ocus on </w:t>
      </w:r>
      <w:r w:rsidR="00706B05" w:rsidRPr="00645D71">
        <w:rPr>
          <w:rFonts w:ascii="Candara" w:hAnsi="Candara" w:cstheme="minorHAnsi"/>
          <w:b/>
          <w:color w:val="365F91" w:themeColor="accent1" w:themeShade="BF"/>
          <w:sz w:val="36"/>
          <w:szCs w:val="36"/>
          <w:shd w:val="clear" w:color="auto" w:fill="FFFFFF" w:themeFill="background1"/>
        </w:rPr>
        <w:t>social policy work at local level</w:t>
      </w:r>
      <w:r w:rsidR="001E76A2" w:rsidRPr="00645D71">
        <w:rPr>
          <w:rFonts w:ascii="Candara" w:hAnsi="Candara" w:cstheme="minorHAnsi"/>
          <w:b/>
          <w:color w:val="365F91" w:themeColor="accent1" w:themeShade="BF"/>
          <w:sz w:val="36"/>
          <w:szCs w:val="36"/>
          <w:shd w:val="clear" w:color="auto" w:fill="FFFFFF" w:themeFill="background1"/>
        </w:rPr>
        <w:t xml:space="preserve"> – Co </w:t>
      </w:r>
      <w:r w:rsidR="004A66AC">
        <w:rPr>
          <w:rFonts w:ascii="Candara" w:hAnsi="Candara" w:cstheme="minorHAnsi"/>
          <w:b/>
          <w:color w:val="365F91" w:themeColor="accent1" w:themeShade="BF"/>
          <w:sz w:val="36"/>
          <w:szCs w:val="36"/>
          <w:shd w:val="clear" w:color="auto" w:fill="FFFFFF" w:themeFill="background1"/>
        </w:rPr>
        <w:t xml:space="preserve">Mayo </w:t>
      </w:r>
      <w:r w:rsidR="001E76A2" w:rsidRPr="00645D71">
        <w:rPr>
          <w:rFonts w:ascii="Candara" w:hAnsi="Candara" w:cstheme="minorHAnsi"/>
          <w:b/>
          <w:color w:val="365F91" w:themeColor="accent1" w:themeShade="BF"/>
          <w:sz w:val="36"/>
          <w:szCs w:val="36"/>
          <w:shd w:val="clear" w:color="auto" w:fill="FFFFFF" w:themeFill="background1"/>
        </w:rPr>
        <w:t>CIS</w:t>
      </w:r>
    </w:p>
    <w:p w:rsidR="00FA730C" w:rsidRDefault="001E76A2" w:rsidP="001E76A2">
      <w:pPr>
        <w:spacing w:after="200" w:line="276" w:lineRule="auto"/>
        <w:rPr>
          <w:rFonts w:ascii="Candara" w:hAnsi="Candara"/>
        </w:rPr>
      </w:pPr>
      <w:r w:rsidRPr="001E76A2">
        <w:rPr>
          <w:rFonts w:ascii="Candara" w:hAnsi="Candara"/>
        </w:rPr>
        <w:t xml:space="preserve">In this issue of </w:t>
      </w:r>
      <w:r w:rsidR="005457F4" w:rsidRPr="001E76A2">
        <w:rPr>
          <w:rFonts w:ascii="Candara" w:hAnsi="Candara"/>
          <w:i/>
        </w:rPr>
        <w:t>Social Policy Update</w:t>
      </w:r>
      <w:r w:rsidRPr="001E76A2">
        <w:rPr>
          <w:rFonts w:ascii="Candara" w:hAnsi="Candara"/>
        </w:rPr>
        <w:t xml:space="preserve">, we </w:t>
      </w:r>
      <w:r w:rsidR="005457F4" w:rsidRPr="001E76A2">
        <w:rPr>
          <w:rFonts w:ascii="Candara" w:hAnsi="Candara"/>
        </w:rPr>
        <w:t xml:space="preserve">profile the social policy work </w:t>
      </w:r>
      <w:r w:rsidR="002F54BA">
        <w:rPr>
          <w:rFonts w:ascii="Candara" w:hAnsi="Candara"/>
        </w:rPr>
        <w:t>of</w:t>
      </w:r>
      <w:r w:rsidR="005457F4" w:rsidRPr="001E76A2">
        <w:rPr>
          <w:rFonts w:ascii="Candara" w:hAnsi="Candara"/>
        </w:rPr>
        <w:t xml:space="preserve"> </w:t>
      </w:r>
      <w:r w:rsidR="00C81771" w:rsidRPr="00C81771">
        <w:rPr>
          <w:rFonts w:ascii="Candara" w:hAnsi="Candara"/>
        </w:rPr>
        <w:t>County Mayo</w:t>
      </w:r>
      <w:r w:rsidR="00DC13A2">
        <w:rPr>
          <w:rFonts w:ascii="Candara" w:hAnsi="Candara"/>
        </w:rPr>
        <w:t xml:space="preserve"> CIS</w:t>
      </w:r>
      <w:r w:rsidR="002F54BA">
        <w:rPr>
          <w:rFonts w:ascii="Candara" w:hAnsi="Candara"/>
        </w:rPr>
        <w:t xml:space="preserve"> </w:t>
      </w:r>
      <w:r w:rsidR="00DC13A2">
        <w:rPr>
          <w:rFonts w:ascii="Candara" w:hAnsi="Candara"/>
        </w:rPr>
        <w:t>– in particular</w:t>
      </w:r>
      <w:r w:rsidR="002F54BA">
        <w:rPr>
          <w:rFonts w:ascii="Candara" w:hAnsi="Candara"/>
        </w:rPr>
        <w:t>,</w:t>
      </w:r>
      <w:r w:rsidR="00DC13A2">
        <w:rPr>
          <w:rFonts w:ascii="Candara" w:hAnsi="Candara"/>
        </w:rPr>
        <w:t xml:space="preserve"> the County Mayo </w:t>
      </w:r>
      <w:r w:rsidR="00C81771" w:rsidRPr="00C81771">
        <w:rPr>
          <w:rFonts w:ascii="Candara" w:hAnsi="Candara"/>
        </w:rPr>
        <w:t xml:space="preserve">Local Social Policy Network (Housing </w:t>
      </w:r>
      <w:r w:rsidR="00DC13A2">
        <w:rPr>
          <w:rFonts w:ascii="Candara" w:hAnsi="Candara"/>
        </w:rPr>
        <w:t>and</w:t>
      </w:r>
      <w:r w:rsidR="00C81771" w:rsidRPr="00C81771">
        <w:rPr>
          <w:rFonts w:ascii="Candara" w:hAnsi="Candara"/>
        </w:rPr>
        <w:t xml:space="preserve"> </w:t>
      </w:r>
      <w:r w:rsidR="00DC13A2" w:rsidRPr="00C81771">
        <w:rPr>
          <w:rFonts w:ascii="Candara" w:hAnsi="Candara"/>
        </w:rPr>
        <w:t>Accommodation</w:t>
      </w:r>
      <w:r w:rsidR="00DC13A2">
        <w:rPr>
          <w:rFonts w:ascii="Candara" w:hAnsi="Candara"/>
        </w:rPr>
        <w:t xml:space="preserve">). This countywide network </w:t>
      </w:r>
      <w:r w:rsidR="00C81771" w:rsidRPr="00C81771">
        <w:rPr>
          <w:rFonts w:ascii="Candara" w:hAnsi="Candara"/>
        </w:rPr>
        <w:t>was established in January 2014 following a Social Policy Seminar on Housing and Accommodation hosted by Mayo</w:t>
      </w:r>
      <w:r w:rsidR="0026463B">
        <w:rPr>
          <w:rFonts w:ascii="Candara" w:hAnsi="Candara"/>
        </w:rPr>
        <w:t xml:space="preserve"> CIS. </w:t>
      </w:r>
      <w:r w:rsidR="00C81771" w:rsidRPr="00C81771">
        <w:rPr>
          <w:rFonts w:ascii="Candara" w:hAnsi="Candara"/>
        </w:rPr>
        <w:t>The Network</w:t>
      </w:r>
      <w:r w:rsidR="00DC13A2">
        <w:rPr>
          <w:rFonts w:ascii="Candara" w:hAnsi="Candara"/>
        </w:rPr>
        <w:t>,</w:t>
      </w:r>
      <w:r w:rsidR="00C81771" w:rsidRPr="00C81771">
        <w:rPr>
          <w:rFonts w:ascii="Candara" w:hAnsi="Candara"/>
        </w:rPr>
        <w:t xml:space="preserve"> since its formation</w:t>
      </w:r>
      <w:r w:rsidR="00DC13A2">
        <w:rPr>
          <w:rFonts w:ascii="Candara" w:hAnsi="Candara"/>
        </w:rPr>
        <w:t>,</w:t>
      </w:r>
      <w:r w:rsidR="00C81771" w:rsidRPr="00C81771">
        <w:rPr>
          <w:rFonts w:ascii="Candara" w:hAnsi="Candara"/>
        </w:rPr>
        <w:t xml:space="preserve"> has endeavoured to build good working relationships with all agencies working in the area of housing and accommodation in County Mayo and seeks to make a positive </w:t>
      </w:r>
      <w:r w:rsidR="00DC13A2">
        <w:rPr>
          <w:rFonts w:ascii="Candara" w:hAnsi="Candara"/>
        </w:rPr>
        <w:t>contribution to discussions on h</w:t>
      </w:r>
      <w:r w:rsidR="00C81771" w:rsidRPr="00C81771">
        <w:rPr>
          <w:rFonts w:ascii="Candara" w:hAnsi="Candara"/>
        </w:rPr>
        <w:t xml:space="preserve">ousing </w:t>
      </w:r>
      <w:r w:rsidR="00DC13A2">
        <w:rPr>
          <w:rFonts w:ascii="Candara" w:hAnsi="Candara"/>
        </w:rPr>
        <w:t>p</w:t>
      </w:r>
      <w:r w:rsidR="00C81771" w:rsidRPr="00C81771">
        <w:rPr>
          <w:rFonts w:ascii="Candara" w:hAnsi="Candara"/>
        </w:rPr>
        <w:t xml:space="preserve">olicy.  The Network </w:t>
      </w:r>
      <w:r w:rsidR="00DC13A2">
        <w:rPr>
          <w:rFonts w:ascii="Candara" w:hAnsi="Candara"/>
        </w:rPr>
        <w:t>is c</w:t>
      </w:r>
      <w:r w:rsidR="00C81771" w:rsidRPr="00C81771">
        <w:rPr>
          <w:rFonts w:ascii="Candara" w:hAnsi="Candara"/>
        </w:rPr>
        <w:t>haired by Mayo Citizens Information Service</w:t>
      </w:r>
      <w:r w:rsidR="00DC13A2">
        <w:rPr>
          <w:rFonts w:ascii="Candara" w:hAnsi="Candara"/>
        </w:rPr>
        <w:t xml:space="preserve"> and </w:t>
      </w:r>
      <w:r w:rsidR="00C81771" w:rsidRPr="00C81771">
        <w:rPr>
          <w:rFonts w:ascii="Candara" w:hAnsi="Candara"/>
        </w:rPr>
        <w:t xml:space="preserve">meets </w:t>
      </w:r>
      <w:r w:rsidR="00DC13A2">
        <w:rPr>
          <w:rFonts w:ascii="Candara" w:hAnsi="Candara"/>
        </w:rPr>
        <w:t>up to</w:t>
      </w:r>
      <w:r w:rsidR="00C81771" w:rsidRPr="00C81771">
        <w:rPr>
          <w:rFonts w:ascii="Candara" w:hAnsi="Candara"/>
        </w:rPr>
        <w:t xml:space="preserve"> five times per year</w:t>
      </w:r>
      <w:r w:rsidR="00DC13A2">
        <w:rPr>
          <w:rFonts w:ascii="Candara" w:hAnsi="Candara"/>
        </w:rPr>
        <w:t xml:space="preserve">. It has </w:t>
      </w:r>
      <w:r w:rsidR="00C81771" w:rsidRPr="00C81771">
        <w:rPr>
          <w:rFonts w:ascii="Candara" w:hAnsi="Candara"/>
        </w:rPr>
        <w:t>representation from South Mayo MABS, MIA (M</w:t>
      </w:r>
      <w:r w:rsidR="00DC13A2">
        <w:rPr>
          <w:rFonts w:ascii="Candara" w:hAnsi="Candara"/>
        </w:rPr>
        <w:t>ayo Intercultural Action Group)</w:t>
      </w:r>
      <w:r w:rsidR="00C81771" w:rsidRPr="00C81771">
        <w:rPr>
          <w:rFonts w:ascii="Candara" w:hAnsi="Candara"/>
        </w:rPr>
        <w:t>, Clan Beo</w:t>
      </w:r>
      <w:r w:rsidR="00DC13A2">
        <w:rPr>
          <w:rFonts w:ascii="Candara" w:hAnsi="Candara"/>
        </w:rPr>
        <w:t xml:space="preserve"> (a</w:t>
      </w:r>
      <w:r w:rsidR="00C81771" w:rsidRPr="00C81771">
        <w:rPr>
          <w:rFonts w:ascii="Candara" w:hAnsi="Candara"/>
        </w:rPr>
        <w:t xml:space="preserve"> family based </w:t>
      </w:r>
      <w:r w:rsidR="0026463B">
        <w:rPr>
          <w:rFonts w:ascii="Candara" w:hAnsi="Candara"/>
        </w:rPr>
        <w:t xml:space="preserve">support </w:t>
      </w:r>
      <w:r w:rsidR="00C81771" w:rsidRPr="00C81771">
        <w:rPr>
          <w:rFonts w:ascii="Candara" w:hAnsi="Candara"/>
        </w:rPr>
        <w:t xml:space="preserve">group </w:t>
      </w:r>
      <w:r w:rsidR="0026463B">
        <w:rPr>
          <w:rFonts w:ascii="Candara" w:hAnsi="Candara"/>
        </w:rPr>
        <w:t xml:space="preserve">for people with </w:t>
      </w:r>
      <w:r w:rsidR="00C81771" w:rsidRPr="00C81771">
        <w:rPr>
          <w:rFonts w:ascii="Candara" w:hAnsi="Candara"/>
        </w:rPr>
        <w:t>disabilit</w:t>
      </w:r>
      <w:r w:rsidR="0026463B">
        <w:rPr>
          <w:rFonts w:ascii="Candara" w:hAnsi="Candara"/>
        </w:rPr>
        <w:t>ies</w:t>
      </w:r>
      <w:r w:rsidR="00DC13A2">
        <w:rPr>
          <w:rFonts w:ascii="Candara" w:hAnsi="Candara"/>
        </w:rPr>
        <w:t>)</w:t>
      </w:r>
      <w:r w:rsidR="00C81771" w:rsidRPr="00C81771">
        <w:rPr>
          <w:rFonts w:ascii="Candara" w:hAnsi="Candara"/>
        </w:rPr>
        <w:t>, Mayo Traveller Support Group</w:t>
      </w:r>
      <w:r w:rsidR="00D43C8A">
        <w:rPr>
          <w:rFonts w:ascii="Candara" w:hAnsi="Candara"/>
        </w:rPr>
        <w:t>,</w:t>
      </w:r>
      <w:r w:rsidR="00C81771" w:rsidRPr="00C81771">
        <w:rPr>
          <w:rFonts w:ascii="Candara" w:hAnsi="Candara"/>
        </w:rPr>
        <w:t xml:space="preserve"> Mayo County Council Traveller Liaison Officer, Western Care Association </w:t>
      </w:r>
      <w:r w:rsidR="00DC13A2">
        <w:rPr>
          <w:rFonts w:ascii="Candara" w:hAnsi="Candara"/>
        </w:rPr>
        <w:t>(</w:t>
      </w:r>
      <w:r w:rsidR="00C81771" w:rsidRPr="00C81771">
        <w:rPr>
          <w:rFonts w:ascii="Candara" w:hAnsi="Candara"/>
        </w:rPr>
        <w:t>who support and empower people with a wide range of learning and associated disabilities</w:t>
      </w:r>
      <w:r w:rsidR="00DC13A2">
        <w:rPr>
          <w:rFonts w:ascii="Candara" w:hAnsi="Candara"/>
        </w:rPr>
        <w:t xml:space="preserve">), Co. </w:t>
      </w:r>
      <w:r w:rsidR="00C81771" w:rsidRPr="00C81771">
        <w:rPr>
          <w:rFonts w:ascii="Candara" w:hAnsi="Candara"/>
        </w:rPr>
        <w:t xml:space="preserve">Mayo Local Community Development Committee (LCDC) and Mayo County Council Strategic Policy Committee. </w:t>
      </w:r>
    </w:p>
    <w:p w:rsidR="0026463B" w:rsidRDefault="00C81771" w:rsidP="001E76A2">
      <w:pPr>
        <w:spacing w:after="200" w:line="276" w:lineRule="auto"/>
        <w:rPr>
          <w:rFonts w:ascii="Candara" w:hAnsi="Candara"/>
        </w:rPr>
      </w:pPr>
      <w:r w:rsidRPr="00C81771">
        <w:rPr>
          <w:rFonts w:ascii="Candara" w:hAnsi="Candara"/>
        </w:rPr>
        <w:t>The Network</w:t>
      </w:r>
      <w:r w:rsidR="00DC13A2">
        <w:rPr>
          <w:rFonts w:ascii="Candara" w:hAnsi="Candara"/>
        </w:rPr>
        <w:t>,</w:t>
      </w:r>
      <w:r w:rsidRPr="00C81771">
        <w:rPr>
          <w:rFonts w:ascii="Candara" w:hAnsi="Candara"/>
        </w:rPr>
        <w:t xml:space="preserve"> in following its aim to contribut</w:t>
      </w:r>
      <w:r w:rsidR="00DC13A2">
        <w:rPr>
          <w:rFonts w:ascii="Candara" w:hAnsi="Candara"/>
        </w:rPr>
        <w:t>e positively to discussions on h</w:t>
      </w:r>
      <w:r w:rsidRPr="00C81771">
        <w:rPr>
          <w:rFonts w:ascii="Candara" w:hAnsi="Candara"/>
        </w:rPr>
        <w:t xml:space="preserve">ousing </w:t>
      </w:r>
      <w:r w:rsidR="00DC13A2">
        <w:rPr>
          <w:rFonts w:ascii="Candara" w:hAnsi="Candara"/>
        </w:rPr>
        <w:t>p</w:t>
      </w:r>
      <w:r w:rsidRPr="00C81771">
        <w:rPr>
          <w:rFonts w:ascii="Candara" w:hAnsi="Candara"/>
        </w:rPr>
        <w:t>olicy</w:t>
      </w:r>
      <w:r w:rsidR="00DC13A2">
        <w:rPr>
          <w:rFonts w:ascii="Candara" w:hAnsi="Candara"/>
        </w:rPr>
        <w:t>,</w:t>
      </w:r>
      <w:r w:rsidRPr="00C81771">
        <w:rPr>
          <w:rFonts w:ascii="Candara" w:hAnsi="Candara"/>
        </w:rPr>
        <w:t xml:space="preserve"> pr</w:t>
      </w:r>
      <w:r w:rsidR="00DC13A2">
        <w:rPr>
          <w:rFonts w:ascii="Candara" w:hAnsi="Candara"/>
        </w:rPr>
        <w:t>oduces an annual Social Policy R</w:t>
      </w:r>
      <w:r w:rsidRPr="00C81771">
        <w:rPr>
          <w:rFonts w:ascii="Candara" w:hAnsi="Candara"/>
        </w:rPr>
        <w:t xml:space="preserve">eport. This report is presented to Mayo County Council’s Strategic Policy Committee on housing and is </w:t>
      </w:r>
      <w:r w:rsidR="002F54BA">
        <w:rPr>
          <w:rFonts w:ascii="Candara" w:hAnsi="Candara"/>
        </w:rPr>
        <w:t xml:space="preserve">also </w:t>
      </w:r>
      <w:r w:rsidRPr="00C81771">
        <w:rPr>
          <w:rFonts w:ascii="Candara" w:hAnsi="Candara"/>
        </w:rPr>
        <w:t xml:space="preserve">discussed with the Committee membership. </w:t>
      </w:r>
      <w:r w:rsidR="00DC13A2">
        <w:rPr>
          <w:rFonts w:ascii="Candara" w:hAnsi="Candara"/>
        </w:rPr>
        <w:t>On the 12</w:t>
      </w:r>
      <w:r w:rsidRPr="00C81771">
        <w:rPr>
          <w:rFonts w:ascii="Candara" w:hAnsi="Candara"/>
        </w:rPr>
        <w:t xml:space="preserve"> October 2017</w:t>
      </w:r>
      <w:r w:rsidR="00DC13A2">
        <w:rPr>
          <w:rFonts w:ascii="Candara" w:hAnsi="Candara"/>
        </w:rPr>
        <w:t>, the Network hosted a round</w:t>
      </w:r>
      <w:r w:rsidRPr="00C81771">
        <w:rPr>
          <w:rFonts w:ascii="Candara" w:hAnsi="Candara"/>
        </w:rPr>
        <w:t xml:space="preserve">table </w:t>
      </w:r>
      <w:r w:rsidRPr="00C81771">
        <w:rPr>
          <w:rFonts w:ascii="Candara" w:hAnsi="Candara"/>
        </w:rPr>
        <w:lastRenderedPageBreak/>
        <w:t>discussion on housing and accommodation in County Mayo.  The event included presentations from Dr. Padraic Kenna, Head of the Centre for Housing Law, Rights and Policy School of Law, NUI Galway and Mr Paul Benson</w:t>
      </w:r>
      <w:r w:rsidR="00D43C8A">
        <w:rPr>
          <w:rFonts w:ascii="Candara" w:hAnsi="Candara"/>
        </w:rPr>
        <w:t>,</w:t>
      </w:r>
      <w:r w:rsidRPr="00C81771">
        <w:rPr>
          <w:rFonts w:ascii="Candara" w:hAnsi="Candara"/>
        </w:rPr>
        <w:t xml:space="preserve"> Head of Housing, Mayo County Council. Those in attendance included representatives from local housing support agencies, Local Authority </w:t>
      </w:r>
      <w:r w:rsidR="00DC13A2">
        <w:rPr>
          <w:rFonts w:ascii="Candara" w:hAnsi="Candara"/>
        </w:rPr>
        <w:t>housing staff</w:t>
      </w:r>
      <w:r w:rsidRPr="00C81771">
        <w:rPr>
          <w:rFonts w:ascii="Candara" w:hAnsi="Candara"/>
        </w:rPr>
        <w:t xml:space="preserve"> and representatives from other organisations working in the area of housing and accommodation in County Mayo. The event afforded t</w:t>
      </w:r>
      <w:r w:rsidR="0026463B">
        <w:rPr>
          <w:rFonts w:ascii="Candara" w:hAnsi="Candara"/>
        </w:rPr>
        <w:t xml:space="preserve">he participants an opportunity to explore ways of </w:t>
      </w:r>
      <w:r w:rsidRPr="00C81771">
        <w:rPr>
          <w:rFonts w:ascii="Candara" w:hAnsi="Candara"/>
        </w:rPr>
        <w:t>working together in partnership to help those facing challenges to their housing needs achieve the best possible outcomes for their situation.  The network</w:t>
      </w:r>
      <w:r w:rsidR="0026463B">
        <w:rPr>
          <w:rFonts w:ascii="Candara" w:hAnsi="Candara"/>
        </w:rPr>
        <w:t xml:space="preserve"> is</w:t>
      </w:r>
      <w:r w:rsidRPr="00C81771">
        <w:rPr>
          <w:rFonts w:ascii="Candara" w:hAnsi="Candara"/>
        </w:rPr>
        <w:t xml:space="preserve"> currently compiling a report o</w:t>
      </w:r>
      <w:r w:rsidR="00DC13A2">
        <w:rPr>
          <w:rFonts w:ascii="Candara" w:hAnsi="Candara"/>
        </w:rPr>
        <w:t>n</w:t>
      </w:r>
      <w:r w:rsidRPr="00C81771">
        <w:rPr>
          <w:rFonts w:ascii="Candara" w:hAnsi="Candara"/>
        </w:rPr>
        <w:t xml:space="preserve"> the recommendations made at the </w:t>
      </w:r>
      <w:r w:rsidR="00DC13A2">
        <w:rPr>
          <w:rFonts w:ascii="Candara" w:hAnsi="Candara"/>
        </w:rPr>
        <w:t>roundtable</w:t>
      </w:r>
      <w:r w:rsidRPr="00C81771">
        <w:rPr>
          <w:rFonts w:ascii="Candara" w:hAnsi="Candara"/>
        </w:rPr>
        <w:t xml:space="preserve"> event and how they may be best implemented. </w:t>
      </w:r>
    </w:p>
    <w:p w:rsidR="004F4119" w:rsidRPr="00042B11" w:rsidRDefault="004F4119" w:rsidP="005E2709">
      <w:pPr>
        <w:pStyle w:val="Title"/>
        <w:spacing w:after="0"/>
        <w:rPr>
          <w:b/>
          <w:color w:val="002060"/>
          <w:sz w:val="56"/>
          <w:szCs w:val="56"/>
        </w:rPr>
      </w:pPr>
      <w:r w:rsidRPr="00042B11">
        <w:rPr>
          <w:b/>
          <w:color w:val="002060"/>
          <w:sz w:val="56"/>
          <w:szCs w:val="56"/>
        </w:rPr>
        <w:t>In the Oireachtas</w:t>
      </w:r>
      <w:r w:rsidR="00D271EC">
        <w:rPr>
          <w:b/>
          <w:color w:val="002060"/>
          <w:sz w:val="56"/>
          <w:szCs w:val="56"/>
        </w:rPr>
        <w:tab/>
      </w:r>
      <w:r w:rsidR="005E2709">
        <w:rPr>
          <w:b/>
          <w:color w:val="002060"/>
          <w:sz w:val="56"/>
          <w:szCs w:val="56"/>
        </w:rPr>
        <w:t xml:space="preserve">   </w:t>
      </w:r>
      <w:r w:rsidR="005E2709">
        <w:rPr>
          <w:b/>
          <w:color w:val="002060"/>
          <w:sz w:val="56"/>
          <w:szCs w:val="56"/>
        </w:rPr>
        <w:tab/>
      </w:r>
      <w:r w:rsidR="005E2709">
        <w:rPr>
          <w:b/>
          <w:color w:val="002060"/>
          <w:sz w:val="56"/>
          <w:szCs w:val="56"/>
        </w:rPr>
        <w:tab/>
        <w:t xml:space="preserve">      </w:t>
      </w:r>
      <w:r w:rsidR="005E2709">
        <w:rPr>
          <w:b/>
          <w:color w:val="002060"/>
          <w:sz w:val="56"/>
          <w:szCs w:val="56"/>
        </w:rPr>
        <w:tab/>
      </w:r>
      <w:r w:rsidR="005E2709">
        <w:rPr>
          <w:noProof/>
          <w:lang w:eastAsia="en-IE"/>
        </w:rPr>
        <w:drawing>
          <wp:inline distT="0" distB="0" distL="0" distR="0" wp14:anchorId="4776C994" wp14:editId="71200D01">
            <wp:extent cx="1524000" cy="66886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22071" cy="668020"/>
                    </a:xfrm>
                    <a:prstGeom prst="rect">
                      <a:avLst/>
                    </a:prstGeom>
                  </pic:spPr>
                </pic:pic>
              </a:graphicData>
            </a:graphic>
          </wp:inline>
        </w:drawing>
      </w:r>
    </w:p>
    <w:p w:rsidR="00552597" w:rsidRPr="00815A7F" w:rsidRDefault="005E2709" w:rsidP="00FB2FE3">
      <w:pPr>
        <w:spacing w:after="240" w:line="276" w:lineRule="auto"/>
        <w:jc w:val="center"/>
        <w:rPr>
          <w:rFonts w:asciiTheme="minorHAnsi" w:hAnsiTheme="minorHAnsi"/>
          <w:i/>
          <w:color w:val="365F91" w:themeColor="accent1" w:themeShade="BF"/>
          <w:sz w:val="18"/>
          <w:szCs w:val="18"/>
        </w:rPr>
      </w:pPr>
      <w:r w:rsidRPr="00552597">
        <w:rPr>
          <w:rFonts w:asciiTheme="minorHAnsi" w:hAnsiTheme="minorHAnsi"/>
          <w:i/>
          <w:noProof/>
          <w:color w:val="365F91" w:themeColor="accent1" w:themeShade="BF"/>
          <w:sz w:val="18"/>
          <w:szCs w:val="18"/>
          <w:lang w:eastAsia="en-IE"/>
        </w:rPr>
        <mc:AlternateContent>
          <mc:Choice Requires="wps">
            <w:drawing>
              <wp:anchor distT="0" distB="0" distL="114300" distR="114300" simplePos="0" relativeHeight="251672576" behindDoc="0" locked="0" layoutInCell="1" allowOverlap="1" wp14:anchorId="2A501586" wp14:editId="5D5677D7">
                <wp:simplePos x="0" y="0"/>
                <wp:positionH relativeFrom="column">
                  <wp:posOffset>-76200</wp:posOffset>
                </wp:positionH>
                <wp:positionV relativeFrom="paragraph">
                  <wp:posOffset>61595</wp:posOffset>
                </wp:positionV>
                <wp:extent cx="6629400" cy="36385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63855"/>
                        </a:xfrm>
                        <a:prstGeom prst="rect">
                          <a:avLst/>
                        </a:prstGeom>
                        <a:solidFill>
                          <a:srgbClr val="FFFFFF"/>
                        </a:solidFill>
                        <a:ln w="9525">
                          <a:noFill/>
                          <a:miter lim="800000"/>
                          <a:headEnd/>
                          <a:tailEnd/>
                        </a:ln>
                      </wps:spPr>
                      <wps:txbx>
                        <w:txbxContent>
                          <w:p w:rsidR="00552597" w:rsidRPr="00552597" w:rsidRDefault="00552597" w:rsidP="00552597">
                            <w:pPr>
                              <w:jc w:val="center"/>
                              <w:rPr>
                                <w:color w:val="002060"/>
                                <w:sz w:val="16"/>
                                <w:szCs w:val="16"/>
                              </w:rPr>
                            </w:pPr>
                            <w:r w:rsidRPr="00552597">
                              <w:rPr>
                                <w:color w:val="002060"/>
                                <w:sz w:val="16"/>
                                <w:szCs w:val="16"/>
                              </w:rPr>
                              <w:t xml:space="preserve">This section looks at policy-related questions and debates in the Oireachtas, with a particular focus on issues currently arising in social policy feedback from Citizens Information Services.  The text may be edited.  For the full text of any PQs/debates featured here, go to </w:t>
                            </w:r>
                            <w:hyperlink r:id="rId10" w:history="1">
                              <w:r w:rsidR="00A345B2" w:rsidRPr="00A91930">
                                <w:rPr>
                                  <w:rStyle w:val="Hyperlink"/>
                                  <w:sz w:val="16"/>
                                  <w:szCs w:val="16"/>
                                </w:rPr>
                                <w:t>www.oireachtasdebates.oireachtas.ie</w:t>
                              </w:r>
                            </w:hyperlink>
                            <w:r w:rsidR="00A345B2">
                              <w:rPr>
                                <w:color w:val="002060"/>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01586" id="_x0000_s1029" type="#_x0000_t202" style="position:absolute;left:0;text-align:left;margin-left:-6pt;margin-top:4.85pt;width:522pt;height:28.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" stroked="f">
                <v:textbox>
                  <w:txbxContent>
                    <w:p w:rsidR="00552597" w:rsidRPr="00552597" w:rsidRDefault="00552597" w:rsidP="00552597">
                      <w:pPr>
                        <w:jc w:val="center"/>
                        <w:rPr>
                          <w:color w:val="002060"/>
                          <w:sz w:val="16"/>
                          <w:szCs w:val="16"/>
                        </w:rPr>
                      </w:pPr>
                      <w:r w:rsidRPr="00552597">
                        <w:rPr>
                          <w:color w:val="002060"/>
                          <w:sz w:val="16"/>
                          <w:szCs w:val="16"/>
                        </w:rPr>
                        <w:t xml:space="preserve">This section looks at policy-related questions and debates in the Oireachtas, with a particular focus on issues currently arising in social policy feedback from Citizens Information Services.  The text may be edited.  For the full text of any PQs/debates featured here, go to </w:t>
                      </w:r>
                      <w:hyperlink r:id="rId11" w:history="1">
                        <w:r w:rsidR="00A345B2" w:rsidRPr="00A91930">
                          <w:rPr>
                            <w:rStyle w:val="Hyperlink"/>
                            <w:sz w:val="16"/>
                            <w:szCs w:val="16"/>
                          </w:rPr>
                          <w:t>www.oireachtasdebates.oireachtas.ie</w:t>
                        </w:r>
                      </w:hyperlink>
                      <w:r w:rsidR="00A345B2">
                        <w:rPr>
                          <w:color w:val="002060"/>
                          <w:sz w:val="16"/>
                          <w:szCs w:val="16"/>
                        </w:rPr>
                        <w:t xml:space="preserve"> *</w:t>
                      </w:r>
                    </w:p>
                  </w:txbxContent>
                </v:textbox>
              </v:shape>
            </w:pict>
          </mc:Fallback>
        </mc:AlternateContent>
      </w:r>
    </w:p>
    <w:p w:rsidR="00552597" w:rsidRDefault="00552597" w:rsidP="00E51CA6">
      <w:pPr>
        <w:pStyle w:val="NormalWeb"/>
        <w:spacing w:after="120" w:line="276" w:lineRule="auto"/>
        <w:ind w:right="210"/>
        <w:rPr>
          <w:rFonts w:ascii="Candara" w:hAnsi="Candara"/>
          <w:b/>
          <w:sz w:val="16"/>
          <w:szCs w:val="16"/>
        </w:rPr>
      </w:pPr>
    </w:p>
    <w:p w:rsidR="00BB0C45" w:rsidRDefault="006522F9" w:rsidP="00BB0C45">
      <w:pPr>
        <w:pStyle w:val="NormalWeb"/>
        <w:shd w:val="clear" w:color="auto" w:fill="D6E3BC" w:themeFill="accent3" w:themeFillTint="66"/>
        <w:spacing w:line="276" w:lineRule="auto"/>
        <w:rPr>
          <w:rFonts w:ascii="Candara" w:hAnsi="Candara"/>
          <w:b/>
          <w:lang w:val="en-US" w:eastAsia="ja-JP"/>
        </w:rPr>
      </w:pPr>
      <w:r>
        <w:rPr>
          <w:rFonts w:ascii="Candara" w:hAnsi="Candara"/>
          <w:b/>
          <w:sz w:val="28"/>
          <w:szCs w:val="28"/>
        </w:rPr>
        <w:t>FIS and CE scheme eligibility</w:t>
      </w:r>
      <w:r w:rsidR="00BB0C45">
        <w:rPr>
          <w:rFonts w:ascii="Candara" w:hAnsi="Candara"/>
          <w:b/>
          <w:sz w:val="28"/>
          <w:szCs w:val="28"/>
        </w:rPr>
        <w:t xml:space="preserve"> [PQ </w:t>
      </w:r>
      <w:r>
        <w:rPr>
          <w:rFonts w:ascii="Candara" w:hAnsi="Candara"/>
          <w:b/>
          <w:sz w:val="28"/>
          <w:szCs w:val="28"/>
        </w:rPr>
        <w:t>38950/17</w:t>
      </w:r>
      <w:r w:rsidR="00BB0C45">
        <w:rPr>
          <w:rFonts w:ascii="Candara" w:hAnsi="Candara"/>
          <w:b/>
          <w:sz w:val="28"/>
          <w:szCs w:val="28"/>
        </w:rPr>
        <w:t xml:space="preserve">; </w:t>
      </w:r>
      <w:r>
        <w:rPr>
          <w:rFonts w:ascii="Candara" w:hAnsi="Candara"/>
          <w:b/>
          <w:sz w:val="28"/>
          <w:szCs w:val="28"/>
        </w:rPr>
        <w:t>11 September</w:t>
      </w:r>
      <w:r w:rsidR="00BB0C45">
        <w:rPr>
          <w:rFonts w:ascii="Candara" w:hAnsi="Candara"/>
          <w:b/>
          <w:sz w:val="28"/>
          <w:szCs w:val="28"/>
        </w:rPr>
        <w:t xml:space="preserve"> 2017]</w:t>
      </w:r>
    </w:p>
    <w:p w:rsidR="006522F9" w:rsidRPr="006522F9" w:rsidRDefault="006522F9" w:rsidP="006522F9">
      <w:pPr>
        <w:pStyle w:val="NormalWeb"/>
        <w:spacing w:after="120" w:line="276" w:lineRule="auto"/>
        <w:ind w:right="210"/>
        <w:rPr>
          <w:rFonts w:ascii="Candara" w:hAnsi="Candara"/>
          <w:sz w:val="22"/>
          <w:szCs w:val="22"/>
        </w:rPr>
      </w:pPr>
      <w:r w:rsidRPr="00122E3C">
        <w:rPr>
          <w:rFonts w:ascii="Candara" w:hAnsi="Candara"/>
          <w:b/>
          <w:sz w:val="22"/>
          <w:szCs w:val="22"/>
        </w:rPr>
        <w:t>Deputy Seán Fleming</w:t>
      </w:r>
      <w:r>
        <w:rPr>
          <w:rFonts w:ascii="Candara" w:hAnsi="Candara"/>
          <w:sz w:val="22"/>
          <w:szCs w:val="22"/>
        </w:rPr>
        <w:t xml:space="preserve"> (Laois, Fianna Fail) </w:t>
      </w:r>
      <w:r w:rsidRPr="006522F9">
        <w:rPr>
          <w:rFonts w:ascii="Candara" w:hAnsi="Candara"/>
          <w:sz w:val="22"/>
          <w:szCs w:val="22"/>
        </w:rPr>
        <w:t>ask</w:t>
      </w:r>
      <w:r>
        <w:rPr>
          <w:rFonts w:ascii="Candara" w:hAnsi="Candara"/>
          <w:sz w:val="22"/>
          <w:szCs w:val="22"/>
        </w:rPr>
        <w:t>ed</w:t>
      </w:r>
      <w:r w:rsidRPr="006522F9">
        <w:rPr>
          <w:rFonts w:ascii="Candara" w:hAnsi="Candara"/>
          <w:sz w:val="22"/>
          <w:szCs w:val="22"/>
        </w:rPr>
        <w:t xml:space="preserve"> the Minister for Employment Affairs and Social Protection </w:t>
      </w:r>
      <w:r>
        <w:rPr>
          <w:rFonts w:ascii="Candara" w:hAnsi="Candara"/>
          <w:sz w:val="22"/>
          <w:szCs w:val="22"/>
        </w:rPr>
        <w:t>“</w:t>
      </w:r>
      <w:r w:rsidRPr="006522F9">
        <w:rPr>
          <w:rFonts w:ascii="Candara" w:hAnsi="Candara"/>
          <w:sz w:val="22"/>
          <w:szCs w:val="22"/>
        </w:rPr>
        <w:t>the position regarding the payment of family income supplement to persons who are on community employment project schemes</w:t>
      </w:r>
      <w:r>
        <w:rPr>
          <w:rFonts w:ascii="Candara" w:hAnsi="Candara"/>
          <w:sz w:val="22"/>
          <w:szCs w:val="22"/>
        </w:rPr>
        <w:t>”</w:t>
      </w:r>
      <w:r w:rsidRPr="006522F9">
        <w:rPr>
          <w:rFonts w:ascii="Candara" w:hAnsi="Candara"/>
          <w:sz w:val="22"/>
          <w:szCs w:val="22"/>
        </w:rPr>
        <w:t xml:space="preserve">. </w:t>
      </w:r>
    </w:p>
    <w:p w:rsidR="005E2709" w:rsidRDefault="006522F9" w:rsidP="006522F9">
      <w:pPr>
        <w:pStyle w:val="NormalWeb"/>
        <w:spacing w:after="120" w:line="276" w:lineRule="auto"/>
        <w:ind w:right="210"/>
        <w:rPr>
          <w:rFonts w:ascii="Candara" w:hAnsi="Candara"/>
          <w:sz w:val="22"/>
          <w:szCs w:val="22"/>
        </w:rPr>
      </w:pPr>
      <w:r>
        <w:rPr>
          <w:rFonts w:ascii="Candara" w:hAnsi="Candara"/>
          <w:sz w:val="22"/>
          <w:szCs w:val="22"/>
        </w:rPr>
        <w:t xml:space="preserve">In response </w:t>
      </w:r>
      <w:r w:rsidRPr="006522F9">
        <w:rPr>
          <w:rFonts w:ascii="Candara" w:hAnsi="Candara"/>
          <w:b/>
          <w:sz w:val="22"/>
          <w:szCs w:val="22"/>
        </w:rPr>
        <w:t>Minister Regina Doherty</w:t>
      </w:r>
      <w:r>
        <w:rPr>
          <w:rFonts w:ascii="Candara" w:hAnsi="Candara"/>
          <w:sz w:val="22"/>
          <w:szCs w:val="22"/>
        </w:rPr>
        <w:t xml:space="preserve"> (Meath East, Fine Gael) stated that ”t</w:t>
      </w:r>
      <w:r w:rsidRPr="006522F9">
        <w:rPr>
          <w:rFonts w:ascii="Candara" w:hAnsi="Candara"/>
          <w:sz w:val="22"/>
          <w:szCs w:val="22"/>
        </w:rPr>
        <w:t>he Family Income Supplement (FIS) is an in-work support, which provides an income top-up for employees on low earnings with children. FIS is designed to prevent in-work poverty for low paid workers with child dependants and to offer a financial incentive to take-up employment. There are currently nearly 57,000 families with more than 126,000 children in receipt of FIS. The estimated spend on FIS this year is approximately €422 million</w:t>
      </w:r>
      <w:r w:rsidR="005E2709">
        <w:rPr>
          <w:rFonts w:ascii="Candara" w:hAnsi="Candara"/>
          <w:sz w:val="22"/>
          <w:szCs w:val="22"/>
        </w:rPr>
        <w:t>.</w:t>
      </w:r>
      <w:r w:rsidR="005E2709" w:rsidRPr="005E2709">
        <w:t xml:space="preserve"> </w:t>
      </w:r>
      <w:r w:rsidR="005E2709" w:rsidRPr="005E2709">
        <w:rPr>
          <w:rFonts w:ascii="Candara" w:hAnsi="Candara"/>
          <w:sz w:val="22"/>
          <w:szCs w:val="22"/>
        </w:rPr>
        <w:t>To qualify for FIS, a person must be engaged in full-time insurable employment which is expected to last for at least 3 months and be working for a minimum of 38 hours per fortnight or 19 hours per week. A couple may combine their hours of employment to meet the qualification criteria. The applicant must also have at least one qualified child who normally resides with them or is supported by them. Furthermore, the average family income must be below a specified amount, which varies according to the number of qualified children in the family.</w:t>
      </w:r>
    </w:p>
    <w:p w:rsidR="00F06CAE" w:rsidRDefault="006522F9" w:rsidP="006522F9">
      <w:pPr>
        <w:pStyle w:val="NormalWeb"/>
        <w:spacing w:after="120" w:line="276" w:lineRule="auto"/>
        <w:ind w:right="210"/>
        <w:rPr>
          <w:rFonts w:ascii="Candara" w:hAnsi="Candara"/>
          <w:sz w:val="22"/>
          <w:szCs w:val="22"/>
        </w:rPr>
      </w:pPr>
      <w:r w:rsidRPr="006522F9">
        <w:rPr>
          <w:rFonts w:ascii="Candara" w:hAnsi="Candara"/>
          <w:sz w:val="22"/>
          <w:szCs w:val="22"/>
        </w:rPr>
        <w:t>My Department provides a range of activation supports catering for long-term unemployed jobseekers. These supports include employment schemes such as Community Employment (CE), Tús, and Gateway. One cannot get FIS if on one of these schemes. These schemes provide part-time temporary work in local communities, as a stepping stone back to employment. The objective of these schemes is to break the cycle of unemployment and maintain work readiness, thereby improving a person’s opportunities to return to the labour market. It is possible for a household to receive a FIS payment where the spouse or partner of the FIS applicant is engaged on one of these schemes. However, to pay FIS directly to someone who is participating in one of these schemes would reduce the incentive for that person to move off a supported employment programme and into full time remunerative employment. Research from the ESRI shows that people are better off in work, the results, based on an analysis of current incomes, benefits and taxes, suggest that more than eight out of ten of these unemployed jobseekers would see their income increase by at least 40 per cent upon taking up employment. FIS helps recipients to gain a firm foothold in work and build a better future for their families</w:t>
      </w:r>
      <w:r>
        <w:rPr>
          <w:rFonts w:ascii="Candara" w:hAnsi="Candara"/>
          <w:sz w:val="22"/>
          <w:szCs w:val="22"/>
        </w:rPr>
        <w:t>”</w:t>
      </w:r>
      <w:r w:rsidRPr="006522F9">
        <w:rPr>
          <w:rFonts w:ascii="Candara" w:hAnsi="Candara"/>
          <w:sz w:val="22"/>
          <w:szCs w:val="22"/>
        </w:rPr>
        <w:t>.</w:t>
      </w:r>
    </w:p>
    <w:p w:rsidR="00122E3C" w:rsidRDefault="00122E3C" w:rsidP="00122E3C">
      <w:pPr>
        <w:pStyle w:val="NormalWeb"/>
        <w:shd w:val="clear" w:color="auto" w:fill="D6E3BC" w:themeFill="accent3" w:themeFillTint="66"/>
        <w:spacing w:line="276" w:lineRule="auto"/>
        <w:rPr>
          <w:rFonts w:ascii="Candara" w:hAnsi="Candara"/>
          <w:b/>
          <w:lang w:val="en-US" w:eastAsia="ja-JP"/>
        </w:rPr>
      </w:pPr>
      <w:r w:rsidRPr="006522F9">
        <w:rPr>
          <w:rFonts w:ascii="Candara" w:hAnsi="Candara"/>
          <w:b/>
          <w:sz w:val="28"/>
          <w:szCs w:val="28"/>
        </w:rPr>
        <w:t>Motorised Transport Grant Closure</w:t>
      </w:r>
      <w:r>
        <w:rPr>
          <w:rFonts w:ascii="Candara" w:hAnsi="Candara"/>
          <w:b/>
          <w:sz w:val="28"/>
          <w:szCs w:val="28"/>
        </w:rPr>
        <w:t xml:space="preserve"> [PQ </w:t>
      </w:r>
      <w:r w:rsidRPr="006522F9">
        <w:rPr>
          <w:rFonts w:ascii="Candara" w:hAnsi="Candara"/>
          <w:b/>
          <w:sz w:val="28"/>
          <w:szCs w:val="28"/>
        </w:rPr>
        <w:t>43875/17</w:t>
      </w:r>
      <w:r>
        <w:rPr>
          <w:rFonts w:ascii="Candara" w:hAnsi="Candara"/>
          <w:b/>
          <w:sz w:val="28"/>
          <w:szCs w:val="28"/>
        </w:rPr>
        <w:t>; 17 October 2017]</w:t>
      </w:r>
    </w:p>
    <w:p w:rsidR="00122E3C" w:rsidRPr="006522F9" w:rsidRDefault="00122E3C" w:rsidP="00122E3C">
      <w:pPr>
        <w:pStyle w:val="NormalWeb"/>
        <w:spacing w:after="120" w:line="276" w:lineRule="auto"/>
        <w:ind w:right="210"/>
        <w:rPr>
          <w:rFonts w:ascii="Candara" w:hAnsi="Candara"/>
          <w:sz w:val="22"/>
          <w:szCs w:val="22"/>
        </w:rPr>
      </w:pPr>
      <w:r w:rsidRPr="006522F9">
        <w:rPr>
          <w:rFonts w:ascii="Candara" w:hAnsi="Candara"/>
          <w:b/>
          <w:sz w:val="22"/>
          <w:szCs w:val="22"/>
        </w:rPr>
        <w:t>Deputy Charlie McConalogue</w:t>
      </w:r>
      <w:r>
        <w:rPr>
          <w:rFonts w:ascii="Candara" w:hAnsi="Candara"/>
          <w:sz w:val="22"/>
          <w:szCs w:val="22"/>
        </w:rPr>
        <w:t xml:space="preserve"> (Donegal, Fianna Fail) </w:t>
      </w:r>
      <w:r w:rsidRPr="006522F9">
        <w:rPr>
          <w:rFonts w:ascii="Candara" w:hAnsi="Candara"/>
          <w:sz w:val="22"/>
          <w:szCs w:val="22"/>
        </w:rPr>
        <w:t>ask</w:t>
      </w:r>
      <w:r>
        <w:rPr>
          <w:rFonts w:ascii="Candara" w:hAnsi="Candara"/>
          <w:sz w:val="22"/>
          <w:szCs w:val="22"/>
        </w:rPr>
        <w:t>ed</w:t>
      </w:r>
      <w:r w:rsidRPr="006522F9">
        <w:rPr>
          <w:rFonts w:ascii="Candara" w:hAnsi="Candara"/>
          <w:sz w:val="22"/>
          <w:szCs w:val="22"/>
        </w:rPr>
        <w:t xml:space="preserve"> the Minister for Health </w:t>
      </w:r>
      <w:r w:rsidR="00D43C8A">
        <w:rPr>
          <w:rFonts w:ascii="Candara" w:hAnsi="Candara"/>
          <w:sz w:val="22"/>
          <w:szCs w:val="22"/>
        </w:rPr>
        <w:t>“</w:t>
      </w:r>
      <w:r w:rsidRPr="006522F9">
        <w:rPr>
          <w:rFonts w:ascii="Candara" w:hAnsi="Candara"/>
          <w:sz w:val="22"/>
          <w:szCs w:val="22"/>
        </w:rPr>
        <w:t xml:space="preserve">when provisions will be made in order to finalise and introduce a replacement for the motorised transport grant and mobility </w:t>
      </w:r>
      <w:r w:rsidRPr="006522F9">
        <w:rPr>
          <w:rFonts w:ascii="Candara" w:hAnsi="Candara"/>
          <w:sz w:val="22"/>
          <w:szCs w:val="22"/>
        </w:rPr>
        <w:lastRenderedPageBreak/>
        <w:t>allowance scheme which were scrapped over four years ago under the premise of a new replacement scheme to be announced shortly thereafter</w:t>
      </w:r>
      <w:r>
        <w:rPr>
          <w:rFonts w:ascii="Candara" w:hAnsi="Candara"/>
          <w:sz w:val="22"/>
          <w:szCs w:val="22"/>
        </w:rPr>
        <w:t>…”.</w:t>
      </w:r>
      <w:r w:rsidRPr="006522F9">
        <w:rPr>
          <w:rFonts w:ascii="Candara" w:hAnsi="Candara"/>
          <w:sz w:val="22"/>
          <w:szCs w:val="22"/>
        </w:rPr>
        <w:t xml:space="preserve"> </w:t>
      </w:r>
    </w:p>
    <w:p w:rsidR="00122E3C" w:rsidRPr="006522F9" w:rsidRDefault="00122E3C" w:rsidP="00122E3C">
      <w:pPr>
        <w:pStyle w:val="NormalWeb"/>
        <w:spacing w:after="120" w:line="276" w:lineRule="auto"/>
        <w:ind w:right="210"/>
        <w:rPr>
          <w:rFonts w:ascii="Candara" w:hAnsi="Candara"/>
          <w:sz w:val="22"/>
          <w:szCs w:val="22"/>
        </w:rPr>
      </w:pPr>
      <w:r>
        <w:rPr>
          <w:rFonts w:ascii="Candara" w:hAnsi="Candara"/>
          <w:sz w:val="22"/>
          <w:szCs w:val="22"/>
        </w:rPr>
        <w:t xml:space="preserve">In a response on behalf of Minister Simon Harris, </w:t>
      </w:r>
      <w:r w:rsidRPr="006522F9">
        <w:rPr>
          <w:rFonts w:ascii="Candara" w:hAnsi="Candara"/>
          <w:b/>
          <w:sz w:val="22"/>
          <w:szCs w:val="22"/>
        </w:rPr>
        <w:t>Minister Finian McGrath</w:t>
      </w:r>
      <w:r w:rsidRPr="006522F9">
        <w:rPr>
          <w:rFonts w:ascii="Candara" w:hAnsi="Candara"/>
          <w:sz w:val="22"/>
          <w:szCs w:val="22"/>
        </w:rPr>
        <w:t xml:space="preserve"> </w:t>
      </w:r>
      <w:r>
        <w:rPr>
          <w:rFonts w:ascii="Candara" w:hAnsi="Candara"/>
          <w:sz w:val="22"/>
          <w:szCs w:val="22"/>
        </w:rPr>
        <w:t>(Dublin Bay North, Independent) stated “</w:t>
      </w:r>
      <w:r w:rsidRPr="006522F9">
        <w:rPr>
          <w:rFonts w:ascii="Candara" w:hAnsi="Candara"/>
          <w:sz w:val="22"/>
          <w:szCs w:val="22"/>
        </w:rPr>
        <w:t xml:space="preserve">I was pleased to have the opportunity to discuss the proposed Health (Transport Support) Bill with the Joint Committee on Public Petitions on Wednesday 11th October. The Deputy will be familiar with the background to the closure of both the Mobility Allowance and Motorised Transport Grant schemes in February 2013. Since the closure of the Mobility Allowance, the Government has directed that the Health Service Executive should continue to pay an equivalent monthly payment of up to </w:t>
      </w:r>
      <w:r>
        <w:rPr>
          <w:rFonts w:ascii="Tahoma" w:hAnsi="Tahoma" w:cs="Tahoma"/>
          <w:sz w:val="22"/>
          <w:szCs w:val="22"/>
        </w:rPr>
        <w:t>€</w:t>
      </w:r>
      <w:r w:rsidRPr="006522F9">
        <w:rPr>
          <w:rFonts w:ascii="Candara" w:hAnsi="Candara"/>
          <w:sz w:val="22"/>
          <w:szCs w:val="22"/>
        </w:rPr>
        <w:t>208.50 per month to the 4,700 people in receipt of the Mobility Allowance, on an interim basis, pending the establishment of a new Transport Support Scheme.</w:t>
      </w:r>
      <w:r>
        <w:rPr>
          <w:rFonts w:ascii="Candara" w:hAnsi="Candara"/>
          <w:sz w:val="22"/>
          <w:szCs w:val="22"/>
        </w:rPr>
        <w:t xml:space="preserve"> </w:t>
      </w:r>
      <w:r w:rsidRPr="006522F9">
        <w:rPr>
          <w:rFonts w:ascii="Candara" w:hAnsi="Candara"/>
          <w:sz w:val="22"/>
          <w:szCs w:val="22"/>
        </w:rPr>
        <w:t>The Government decided that the detailed preparatory work required for a new Transport Support Scheme and associated statutory provisions should be progressed by the Minister for Health. The Programme for a Partnership Government acknowledges the ongoing drafting of primary legislation for a new Transport Support Scheme to assist those with a disability to meet their mobility costs. The Government's legislative programme for 2017 includes the Health (Transport Support) Bill. I can confirm that work on the policy proposals for the new Scheme is at an advanced stage. Th</w:t>
      </w:r>
      <w:r>
        <w:rPr>
          <w:rFonts w:ascii="Candara" w:hAnsi="Candara"/>
          <w:sz w:val="22"/>
          <w:szCs w:val="22"/>
        </w:rPr>
        <w:t>e proposals seek to ensure that t</w:t>
      </w:r>
      <w:r w:rsidRPr="006522F9">
        <w:rPr>
          <w:rFonts w:ascii="Candara" w:hAnsi="Candara"/>
          <w:sz w:val="22"/>
          <w:szCs w:val="22"/>
        </w:rPr>
        <w:t>here is a firm statutory basis to the Scheme's operation</w:t>
      </w:r>
      <w:r>
        <w:rPr>
          <w:rFonts w:ascii="Candara" w:hAnsi="Candara"/>
          <w:sz w:val="22"/>
          <w:szCs w:val="22"/>
        </w:rPr>
        <w:t>, t</w:t>
      </w:r>
      <w:r w:rsidRPr="006522F9">
        <w:rPr>
          <w:rFonts w:ascii="Candara" w:hAnsi="Candara"/>
          <w:sz w:val="22"/>
          <w:szCs w:val="22"/>
        </w:rPr>
        <w:t>here is transparency and equity in the eligibility criteria attaching to the Scheme</w:t>
      </w:r>
      <w:r>
        <w:rPr>
          <w:rFonts w:ascii="Candara" w:hAnsi="Candara"/>
          <w:sz w:val="22"/>
          <w:szCs w:val="22"/>
        </w:rPr>
        <w:t>, that r</w:t>
      </w:r>
      <w:r w:rsidRPr="006522F9">
        <w:rPr>
          <w:rFonts w:ascii="Candara" w:hAnsi="Candara"/>
          <w:sz w:val="22"/>
          <w:szCs w:val="22"/>
        </w:rPr>
        <w:t>esources are targeted at those with greatest needs and</w:t>
      </w:r>
      <w:r>
        <w:rPr>
          <w:rFonts w:ascii="Candara" w:hAnsi="Candara"/>
          <w:sz w:val="22"/>
          <w:szCs w:val="22"/>
        </w:rPr>
        <w:t xml:space="preserve"> that t</w:t>
      </w:r>
      <w:r w:rsidRPr="006522F9">
        <w:rPr>
          <w:rFonts w:ascii="Candara" w:hAnsi="Candara"/>
          <w:sz w:val="22"/>
          <w:szCs w:val="22"/>
        </w:rPr>
        <w:t>he Scheme is capable of being costed and is affordable on its introduction and on an ongoing basis.</w:t>
      </w:r>
    </w:p>
    <w:p w:rsidR="00122E3C" w:rsidRDefault="00122E3C" w:rsidP="00122E3C">
      <w:pPr>
        <w:pStyle w:val="NormalWeb"/>
        <w:spacing w:after="120" w:line="276" w:lineRule="auto"/>
        <w:ind w:right="210"/>
        <w:rPr>
          <w:rFonts w:ascii="Candara" w:hAnsi="Candara"/>
          <w:sz w:val="22"/>
          <w:szCs w:val="22"/>
        </w:rPr>
      </w:pPr>
      <w:r w:rsidRPr="006522F9">
        <w:rPr>
          <w:rFonts w:ascii="Candara" w:hAnsi="Candara"/>
          <w:sz w:val="22"/>
          <w:szCs w:val="22"/>
        </w:rPr>
        <w:t>The draft General Scheme and Heads of Bill were circulated to other government Departments and have been the subject of consultation between the Department of Health and the Department of Public Expenditure and Reform. When the consultation with other relevant Departments has been completed, the next step will be to seek Government approval to the drafting of a Bill for the new Scheme.</w:t>
      </w:r>
      <w:r>
        <w:rPr>
          <w:rFonts w:ascii="Candara" w:hAnsi="Candara"/>
          <w:sz w:val="22"/>
          <w:szCs w:val="22"/>
        </w:rPr>
        <w:t xml:space="preserve"> </w:t>
      </w:r>
      <w:r w:rsidRPr="006522F9">
        <w:rPr>
          <w:rFonts w:ascii="Candara" w:hAnsi="Candara"/>
          <w:sz w:val="22"/>
          <w:szCs w:val="22"/>
        </w:rPr>
        <w:t>It is important to note that the Disabled Drivers and Disabled Passengers scheme operated by the Revenue Commissioners, remains in place. Specifically adapted vehicles driven by disabled persons are also exempt from payment of tolls on national toll roads and toll bridges. Transport Infrastructure Ireland has responsibility for this particular Scheme</w:t>
      </w:r>
      <w:r>
        <w:rPr>
          <w:rFonts w:ascii="Candara" w:hAnsi="Candara"/>
          <w:sz w:val="22"/>
          <w:szCs w:val="22"/>
        </w:rPr>
        <w:t>”</w:t>
      </w:r>
      <w:r w:rsidRPr="006522F9">
        <w:rPr>
          <w:rFonts w:ascii="Candara" w:hAnsi="Candara"/>
          <w:sz w:val="22"/>
          <w:szCs w:val="22"/>
        </w:rPr>
        <w:t>.</w:t>
      </w:r>
    </w:p>
    <w:p w:rsidR="00CF3A7E" w:rsidRDefault="008375CC" w:rsidP="00CF3A7E">
      <w:pPr>
        <w:pStyle w:val="NormalWeb"/>
        <w:shd w:val="clear" w:color="auto" w:fill="D6E3BC" w:themeFill="accent3" w:themeFillTint="66"/>
        <w:spacing w:line="276" w:lineRule="auto"/>
        <w:rPr>
          <w:rFonts w:ascii="Candara" w:hAnsi="Candara"/>
          <w:b/>
          <w:lang w:val="en-US" w:eastAsia="ja-JP"/>
        </w:rPr>
      </w:pPr>
      <w:r>
        <w:rPr>
          <w:rFonts w:ascii="Candara" w:hAnsi="Candara"/>
          <w:b/>
          <w:sz w:val="28"/>
          <w:szCs w:val="28"/>
        </w:rPr>
        <w:t xml:space="preserve">Exceptional Needs Payment data </w:t>
      </w:r>
      <w:r w:rsidR="00CF3A7E">
        <w:rPr>
          <w:rFonts w:ascii="Candara" w:hAnsi="Candara"/>
          <w:b/>
          <w:sz w:val="28"/>
          <w:szCs w:val="28"/>
        </w:rPr>
        <w:t xml:space="preserve">[PQ </w:t>
      </w:r>
      <w:r>
        <w:rPr>
          <w:rFonts w:ascii="Candara" w:hAnsi="Candara"/>
          <w:b/>
          <w:sz w:val="28"/>
          <w:szCs w:val="28"/>
        </w:rPr>
        <w:t>38569/17; 11 September</w:t>
      </w:r>
      <w:r w:rsidR="00E87426">
        <w:rPr>
          <w:rFonts w:ascii="Candara" w:hAnsi="Candara"/>
          <w:b/>
          <w:sz w:val="28"/>
          <w:szCs w:val="28"/>
        </w:rPr>
        <w:t xml:space="preserve"> 2017</w:t>
      </w:r>
      <w:r w:rsidR="00CF3A7E">
        <w:rPr>
          <w:rFonts w:ascii="Candara" w:hAnsi="Candara"/>
          <w:b/>
          <w:sz w:val="28"/>
          <w:szCs w:val="28"/>
        </w:rPr>
        <w:t>]</w:t>
      </w:r>
    </w:p>
    <w:p w:rsidR="008375CC" w:rsidRPr="008375CC" w:rsidRDefault="00E87426" w:rsidP="008375CC">
      <w:pPr>
        <w:pStyle w:val="NormalWeb"/>
        <w:spacing w:after="120" w:line="276" w:lineRule="auto"/>
        <w:ind w:right="210"/>
        <w:rPr>
          <w:rFonts w:ascii="Candara" w:hAnsi="Candara"/>
          <w:sz w:val="22"/>
          <w:szCs w:val="22"/>
        </w:rPr>
      </w:pPr>
      <w:r w:rsidRPr="008375CC">
        <w:rPr>
          <w:rFonts w:ascii="Candara" w:hAnsi="Candara"/>
          <w:b/>
          <w:sz w:val="22"/>
          <w:szCs w:val="22"/>
        </w:rPr>
        <w:t>Deputy Willie O'Dea</w:t>
      </w:r>
      <w:r w:rsidRPr="008375CC">
        <w:rPr>
          <w:rFonts w:ascii="Candara" w:hAnsi="Candara"/>
          <w:sz w:val="22"/>
          <w:szCs w:val="22"/>
        </w:rPr>
        <w:t xml:space="preserve"> (Limerick City, Fianna Fail) asked the</w:t>
      </w:r>
      <w:r w:rsidR="008375CC" w:rsidRPr="008375CC">
        <w:rPr>
          <w:rFonts w:ascii="Candara" w:hAnsi="Candara"/>
          <w:sz w:val="22"/>
          <w:szCs w:val="22"/>
        </w:rPr>
        <w:t xml:space="preserve"> Minister for Employment Affairs and Social Protection for data on “the number of persons who have applied for an exceptional needs payment in each of the years 2012 to 2016 and to date in 2017; the number who have been awarded and refused this payment, respectively and the expenditure on this payment in those years..” </w:t>
      </w:r>
    </w:p>
    <w:p w:rsidR="008375CC" w:rsidRDefault="008375CC" w:rsidP="008375CC">
      <w:pPr>
        <w:pStyle w:val="NormalWeb"/>
        <w:spacing w:after="120" w:line="276" w:lineRule="auto"/>
        <w:rPr>
          <w:rFonts w:ascii="Candara" w:hAnsi="Candara"/>
          <w:sz w:val="22"/>
          <w:szCs w:val="22"/>
        </w:rPr>
      </w:pPr>
      <w:bookmarkStart w:id="1" w:name="g5192.r"/>
      <w:bookmarkEnd w:id="1"/>
      <w:r w:rsidRPr="008375CC">
        <w:rPr>
          <w:rFonts w:ascii="Candara" w:hAnsi="Candara"/>
          <w:sz w:val="22"/>
          <w:szCs w:val="22"/>
        </w:rPr>
        <w:t xml:space="preserve">In response, </w:t>
      </w:r>
      <w:r w:rsidRPr="008375CC">
        <w:rPr>
          <w:rFonts w:ascii="Candara" w:hAnsi="Candara"/>
          <w:b/>
          <w:sz w:val="22"/>
          <w:szCs w:val="22"/>
        </w:rPr>
        <w:t>Minister Regina Doherty</w:t>
      </w:r>
      <w:r w:rsidRPr="008375CC">
        <w:rPr>
          <w:rFonts w:ascii="Candara" w:hAnsi="Candara"/>
          <w:sz w:val="22"/>
          <w:szCs w:val="22"/>
        </w:rPr>
        <w:t xml:space="preserve"> stated that “under the supplementary welfare allowance (SWA) scheme, my Department may make a single exceptional needs payment (ENP) to help meet essential, once-off and unforeseen expenditure which a person could not reasonably be expected to meet out of their weekly income. The Government has provided €31.5 million for exceptional needs payments (ENPs) and urgent needs payments (UNPs) in 2017. There is no automatic entitlement to a payment. The ENP scheme is demand led and payments are made at the discretion of the officers administering the scheme</w:t>
      </w:r>
      <w:r w:rsidR="005E2709" w:rsidRPr="005E2709">
        <w:t xml:space="preserve"> </w:t>
      </w:r>
      <w:r w:rsidR="005E2709" w:rsidRPr="005E2709">
        <w:rPr>
          <w:rFonts w:ascii="Candara" w:hAnsi="Candara"/>
          <w:sz w:val="22"/>
          <w:szCs w:val="22"/>
        </w:rPr>
        <w:t xml:space="preserve">taking into account the requirements of the legislation and all the relevant circumstances of the case in order to ensure that the payments target those most in need of assistance. </w:t>
      </w:r>
      <w:r w:rsidR="005E2709">
        <w:rPr>
          <w:rFonts w:ascii="Candara" w:hAnsi="Candara"/>
          <w:sz w:val="22"/>
          <w:szCs w:val="22"/>
        </w:rPr>
        <w:t>S</w:t>
      </w:r>
      <w:r w:rsidRPr="008375CC">
        <w:rPr>
          <w:rFonts w:ascii="Candara" w:hAnsi="Candara"/>
          <w:sz w:val="22"/>
          <w:szCs w:val="22"/>
        </w:rPr>
        <w:t>tatistics are maintained relating to payments under the ENP scheme, however they are not maintained on the number of applications or the outcome of those applications. Details of the number of payments and expenditure under the ENP and UNP schemes for 2012 to 2017 are set out in the following tabular statement</w:t>
      </w:r>
      <w:r w:rsidR="00516464">
        <w:rPr>
          <w:rFonts w:ascii="Candara" w:hAnsi="Candara"/>
          <w:sz w:val="22"/>
          <w:szCs w:val="22"/>
        </w:rPr>
        <w:t>…”</w:t>
      </w:r>
    </w:p>
    <w:p w:rsidR="008375CC" w:rsidRPr="005E2709" w:rsidRDefault="008375CC" w:rsidP="00122E3C">
      <w:pPr>
        <w:pStyle w:val="NormalWeb"/>
        <w:spacing w:after="120" w:line="276" w:lineRule="auto"/>
        <w:jc w:val="center"/>
        <w:rPr>
          <w:rFonts w:ascii="Candara" w:hAnsi="Candara"/>
          <w:b/>
          <w:sz w:val="22"/>
          <w:szCs w:val="22"/>
        </w:rPr>
      </w:pPr>
      <w:r w:rsidRPr="005E2709">
        <w:rPr>
          <w:rFonts w:ascii="Candara" w:hAnsi="Candara"/>
          <w:b/>
          <w:bCs/>
          <w:sz w:val="22"/>
          <w:szCs w:val="22"/>
        </w:rPr>
        <w:t xml:space="preserve">Table 1: </w:t>
      </w:r>
      <w:r w:rsidRPr="005E2709">
        <w:rPr>
          <w:rFonts w:ascii="Candara" w:hAnsi="Candara"/>
          <w:b/>
          <w:sz w:val="22"/>
          <w:szCs w:val="22"/>
        </w:rPr>
        <w:t>Number of Exceptional Needs Payments and Exchequer Outturn made by year</w:t>
      </w:r>
    </w:p>
    <w:tbl>
      <w:tblPr>
        <w:tblStyle w:val="LightShading"/>
        <w:tblW w:w="0" w:type="auto"/>
        <w:jc w:val="center"/>
        <w:tblLook w:val="04A0" w:firstRow="1" w:lastRow="0" w:firstColumn="1" w:lastColumn="0" w:noHBand="0" w:noVBand="1"/>
      </w:tblPr>
      <w:tblGrid>
        <w:gridCol w:w="1653"/>
        <w:gridCol w:w="2419"/>
        <w:gridCol w:w="2893"/>
      </w:tblGrid>
      <w:tr w:rsidR="008375CC" w:rsidRPr="005E2709" w:rsidTr="006522F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8375CC" w:rsidRPr="005E2709" w:rsidRDefault="008375CC" w:rsidP="008375CC">
            <w:pPr>
              <w:pStyle w:val="NormalWeb"/>
              <w:spacing w:after="120" w:line="276" w:lineRule="auto"/>
              <w:ind w:right="210"/>
              <w:rPr>
                <w:rFonts w:ascii="Candara" w:hAnsi="Candara"/>
                <w:sz w:val="22"/>
                <w:szCs w:val="22"/>
              </w:rPr>
            </w:pPr>
            <w:r w:rsidRPr="005E2709">
              <w:rPr>
                <w:rFonts w:ascii="Candara" w:hAnsi="Candara"/>
                <w:sz w:val="22"/>
                <w:szCs w:val="22"/>
              </w:rPr>
              <w:t>Year</w:t>
            </w:r>
          </w:p>
        </w:tc>
        <w:tc>
          <w:tcPr>
            <w:tcW w:w="0" w:type="auto"/>
            <w:hideMark/>
          </w:tcPr>
          <w:p w:rsidR="008375CC" w:rsidRPr="005E2709" w:rsidRDefault="008375CC" w:rsidP="008375CC">
            <w:pPr>
              <w:pStyle w:val="NormalWeb"/>
              <w:spacing w:after="120" w:line="276" w:lineRule="auto"/>
              <w:ind w:right="210"/>
              <w:cnfStyle w:val="100000000000" w:firstRow="1" w:lastRow="0" w:firstColumn="0" w:lastColumn="0" w:oddVBand="0" w:evenVBand="0" w:oddHBand="0" w:evenHBand="0" w:firstRowFirstColumn="0" w:firstRowLastColumn="0" w:lastRowFirstColumn="0" w:lastRowLastColumn="0"/>
              <w:rPr>
                <w:rFonts w:ascii="Candara" w:hAnsi="Candara"/>
                <w:sz w:val="22"/>
                <w:szCs w:val="22"/>
              </w:rPr>
            </w:pPr>
            <w:r w:rsidRPr="005E2709">
              <w:rPr>
                <w:rFonts w:ascii="Candara" w:hAnsi="Candara"/>
                <w:sz w:val="22"/>
                <w:szCs w:val="22"/>
              </w:rPr>
              <w:t>Number of Payments</w:t>
            </w:r>
          </w:p>
        </w:tc>
        <w:tc>
          <w:tcPr>
            <w:tcW w:w="2893" w:type="dxa"/>
            <w:hideMark/>
          </w:tcPr>
          <w:p w:rsidR="008375CC" w:rsidRPr="005E2709" w:rsidRDefault="008375CC" w:rsidP="008375CC">
            <w:pPr>
              <w:pStyle w:val="NormalWeb"/>
              <w:spacing w:after="120" w:line="276" w:lineRule="auto"/>
              <w:ind w:right="210"/>
              <w:cnfStyle w:val="100000000000" w:firstRow="1" w:lastRow="0" w:firstColumn="0" w:lastColumn="0" w:oddVBand="0" w:evenVBand="0" w:oddHBand="0" w:evenHBand="0" w:firstRowFirstColumn="0" w:firstRowLastColumn="0" w:lastRowFirstColumn="0" w:lastRowLastColumn="0"/>
              <w:rPr>
                <w:rFonts w:ascii="Candara" w:hAnsi="Candara"/>
                <w:sz w:val="22"/>
                <w:szCs w:val="22"/>
              </w:rPr>
            </w:pPr>
            <w:r w:rsidRPr="005E2709">
              <w:rPr>
                <w:rFonts w:ascii="Candara" w:hAnsi="Candara"/>
                <w:sz w:val="22"/>
                <w:szCs w:val="22"/>
              </w:rPr>
              <w:t>Outturn (million)</w:t>
            </w:r>
          </w:p>
        </w:tc>
      </w:tr>
      <w:tr w:rsidR="008375CC" w:rsidRPr="005E2709" w:rsidTr="006522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8375CC" w:rsidRPr="005E2709" w:rsidRDefault="008375CC" w:rsidP="008375CC">
            <w:pPr>
              <w:pStyle w:val="NormalWeb"/>
              <w:spacing w:after="120" w:line="276" w:lineRule="auto"/>
              <w:ind w:right="210"/>
              <w:rPr>
                <w:rFonts w:ascii="Candara" w:hAnsi="Candara"/>
                <w:sz w:val="22"/>
                <w:szCs w:val="22"/>
              </w:rPr>
            </w:pPr>
            <w:r w:rsidRPr="005E2709">
              <w:rPr>
                <w:rFonts w:ascii="Candara" w:hAnsi="Candara"/>
                <w:sz w:val="22"/>
                <w:szCs w:val="22"/>
              </w:rPr>
              <w:lastRenderedPageBreak/>
              <w:t>2012</w:t>
            </w:r>
          </w:p>
        </w:tc>
        <w:tc>
          <w:tcPr>
            <w:tcW w:w="0" w:type="auto"/>
            <w:hideMark/>
          </w:tcPr>
          <w:p w:rsidR="008375CC" w:rsidRPr="005E2709" w:rsidRDefault="008375CC" w:rsidP="008375CC">
            <w:pPr>
              <w:pStyle w:val="NormalWeb"/>
              <w:spacing w:after="120" w:line="276" w:lineRule="auto"/>
              <w:ind w:right="210"/>
              <w:cnfStyle w:val="000000100000" w:firstRow="0" w:lastRow="0" w:firstColumn="0" w:lastColumn="0" w:oddVBand="0" w:evenVBand="0" w:oddHBand="1" w:evenHBand="0" w:firstRowFirstColumn="0" w:firstRowLastColumn="0" w:lastRowFirstColumn="0" w:lastRowLastColumn="0"/>
              <w:rPr>
                <w:rFonts w:ascii="Candara" w:hAnsi="Candara"/>
                <w:sz w:val="22"/>
                <w:szCs w:val="22"/>
              </w:rPr>
            </w:pPr>
            <w:r w:rsidRPr="005E2709">
              <w:rPr>
                <w:rFonts w:ascii="Candara" w:hAnsi="Candara"/>
                <w:sz w:val="22"/>
                <w:szCs w:val="22"/>
              </w:rPr>
              <w:t>197,500</w:t>
            </w:r>
          </w:p>
        </w:tc>
        <w:tc>
          <w:tcPr>
            <w:tcW w:w="2893" w:type="dxa"/>
            <w:hideMark/>
          </w:tcPr>
          <w:p w:rsidR="008375CC" w:rsidRPr="005E2709" w:rsidRDefault="008375CC" w:rsidP="008375CC">
            <w:pPr>
              <w:pStyle w:val="NormalWeb"/>
              <w:spacing w:after="120" w:line="276" w:lineRule="auto"/>
              <w:ind w:right="210"/>
              <w:cnfStyle w:val="000000100000" w:firstRow="0" w:lastRow="0" w:firstColumn="0" w:lastColumn="0" w:oddVBand="0" w:evenVBand="0" w:oddHBand="1" w:evenHBand="0" w:firstRowFirstColumn="0" w:firstRowLastColumn="0" w:lastRowFirstColumn="0" w:lastRowLastColumn="0"/>
              <w:rPr>
                <w:rFonts w:ascii="Candara" w:hAnsi="Candara"/>
                <w:sz w:val="22"/>
                <w:szCs w:val="22"/>
              </w:rPr>
            </w:pPr>
            <w:r w:rsidRPr="005E2709">
              <w:rPr>
                <w:rFonts w:ascii="Candara" w:hAnsi="Candara"/>
                <w:sz w:val="22"/>
                <w:szCs w:val="22"/>
              </w:rPr>
              <w:t>€52.70</w:t>
            </w:r>
          </w:p>
        </w:tc>
      </w:tr>
      <w:tr w:rsidR="008375CC" w:rsidRPr="005E2709" w:rsidTr="006522F9">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8375CC" w:rsidRPr="005E2709" w:rsidRDefault="008375CC" w:rsidP="008375CC">
            <w:pPr>
              <w:pStyle w:val="NormalWeb"/>
              <w:spacing w:after="120" w:line="276" w:lineRule="auto"/>
              <w:ind w:right="210"/>
              <w:rPr>
                <w:rFonts w:ascii="Candara" w:hAnsi="Candara"/>
                <w:sz w:val="22"/>
                <w:szCs w:val="22"/>
              </w:rPr>
            </w:pPr>
            <w:r w:rsidRPr="005E2709">
              <w:rPr>
                <w:rFonts w:ascii="Candara" w:hAnsi="Candara"/>
                <w:sz w:val="22"/>
                <w:szCs w:val="22"/>
              </w:rPr>
              <w:t>2013</w:t>
            </w:r>
          </w:p>
        </w:tc>
        <w:tc>
          <w:tcPr>
            <w:tcW w:w="0" w:type="auto"/>
            <w:hideMark/>
          </w:tcPr>
          <w:p w:rsidR="008375CC" w:rsidRPr="005E2709" w:rsidRDefault="008375CC" w:rsidP="008375CC">
            <w:pPr>
              <w:pStyle w:val="NormalWeb"/>
              <w:spacing w:after="120" w:line="276" w:lineRule="auto"/>
              <w:ind w:right="210"/>
              <w:cnfStyle w:val="000000000000" w:firstRow="0" w:lastRow="0" w:firstColumn="0" w:lastColumn="0" w:oddVBand="0" w:evenVBand="0" w:oddHBand="0" w:evenHBand="0" w:firstRowFirstColumn="0" w:firstRowLastColumn="0" w:lastRowFirstColumn="0" w:lastRowLastColumn="0"/>
              <w:rPr>
                <w:rFonts w:ascii="Candara" w:hAnsi="Candara"/>
                <w:sz w:val="22"/>
                <w:szCs w:val="22"/>
              </w:rPr>
            </w:pPr>
            <w:r w:rsidRPr="005E2709">
              <w:rPr>
                <w:rFonts w:ascii="Candara" w:hAnsi="Candara"/>
                <w:sz w:val="22"/>
                <w:szCs w:val="22"/>
              </w:rPr>
              <w:t>132,990</w:t>
            </w:r>
          </w:p>
        </w:tc>
        <w:tc>
          <w:tcPr>
            <w:tcW w:w="2893" w:type="dxa"/>
            <w:hideMark/>
          </w:tcPr>
          <w:p w:rsidR="008375CC" w:rsidRPr="005E2709" w:rsidRDefault="008375CC" w:rsidP="008375CC">
            <w:pPr>
              <w:pStyle w:val="NormalWeb"/>
              <w:spacing w:after="120" w:line="276" w:lineRule="auto"/>
              <w:ind w:right="210"/>
              <w:cnfStyle w:val="000000000000" w:firstRow="0" w:lastRow="0" w:firstColumn="0" w:lastColumn="0" w:oddVBand="0" w:evenVBand="0" w:oddHBand="0" w:evenHBand="0" w:firstRowFirstColumn="0" w:firstRowLastColumn="0" w:lastRowFirstColumn="0" w:lastRowLastColumn="0"/>
              <w:rPr>
                <w:rFonts w:ascii="Candara" w:hAnsi="Candara"/>
                <w:sz w:val="22"/>
                <w:szCs w:val="22"/>
              </w:rPr>
            </w:pPr>
            <w:r w:rsidRPr="005E2709">
              <w:rPr>
                <w:rFonts w:ascii="Candara" w:hAnsi="Candara"/>
                <w:sz w:val="22"/>
                <w:szCs w:val="22"/>
              </w:rPr>
              <w:t>€35.70</w:t>
            </w:r>
          </w:p>
        </w:tc>
      </w:tr>
      <w:tr w:rsidR="008375CC" w:rsidRPr="005E2709" w:rsidTr="006522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8375CC" w:rsidRPr="005E2709" w:rsidRDefault="008375CC" w:rsidP="008375CC">
            <w:pPr>
              <w:pStyle w:val="NormalWeb"/>
              <w:spacing w:after="120" w:line="276" w:lineRule="auto"/>
              <w:ind w:right="210"/>
              <w:rPr>
                <w:rFonts w:ascii="Candara" w:hAnsi="Candara"/>
                <w:sz w:val="22"/>
                <w:szCs w:val="22"/>
              </w:rPr>
            </w:pPr>
            <w:r w:rsidRPr="005E2709">
              <w:rPr>
                <w:rFonts w:ascii="Candara" w:hAnsi="Candara"/>
                <w:sz w:val="22"/>
                <w:szCs w:val="22"/>
              </w:rPr>
              <w:t>2014</w:t>
            </w:r>
          </w:p>
        </w:tc>
        <w:tc>
          <w:tcPr>
            <w:tcW w:w="0" w:type="auto"/>
            <w:hideMark/>
          </w:tcPr>
          <w:p w:rsidR="008375CC" w:rsidRPr="005E2709" w:rsidRDefault="008375CC" w:rsidP="008375CC">
            <w:pPr>
              <w:pStyle w:val="NormalWeb"/>
              <w:spacing w:after="120" w:line="276" w:lineRule="auto"/>
              <w:ind w:right="210"/>
              <w:cnfStyle w:val="000000100000" w:firstRow="0" w:lastRow="0" w:firstColumn="0" w:lastColumn="0" w:oddVBand="0" w:evenVBand="0" w:oddHBand="1" w:evenHBand="0" w:firstRowFirstColumn="0" w:firstRowLastColumn="0" w:lastRowFirstColumn="0" w:lastRowLastColumn="0"/>
              <w:rPr>
                <w:rFonts w:ascii="Candara" w:hAnsi="Candara"/>
                <w:sz w:val="22"/>
                <w:szCs w:val="22"/>
              </w:rPr>
            </w:pPr>
            <w:r w:rsidRPr="005E2709">
              <w:rPr>
                <w:rFonts w:ascii="Candara" w:hAnsi="Candara"/>
                <w:sz w:val="22"/>
                <w:szCs w:val="22"/>
              </w:rPr>
              <w:t>107,139</w:t>
            </w:r>
          </w:p>
        </w:tc>
        <w:tc>
          <w:tcPr>
            <w:tcW w:w="2893" w:type="dxa"/>
            <w:hideMark/>
          </w:tcPr>
          <w:p w:rsidR="008375CC" w:rsidRPr="005E2709" w:rsidRDefault="008375CC" w:rsidP="008375CC">
            <w:pPr>
              <w:pStyle w:val="NormalWeb"/>
              <w:spacing w:after="120" w:line="276" w:lineRule="auto"/>
              <w:ind w:right="210"/>
              <w:cnfStyle w:val="000000100000" w:firstRow="0" w:lastRow="0" w:firstColumn="0" w:lastColumn="0" w:oddVBand="0" w:evenVBand="0" w:oddHBand="1" w:evenHBand="0" w:firstRowFirstColumn="0" w:firstRowLastColumn="0" w:lastRowFirstColumn="0" w:lastRowLastColumn="0"/>
              <w:rPr>
                <w:rFonts w:ascii="Candara" w:hAnsi="Candara"/>
                <w:sz w:val="22"/>
                <w:szCs w:val="22"/>
              </w:rPr>
            </w:pPr>
            <w:r w:rsidRPr="005E2709">
              <w:rPr>
                <w:rFonts w:ascii="Candara" w:hAnsi="Candara"/>
                <w:sz w:val="22"/>
                <w:szCs w:val="22"/>
              </w:rPr>
              <w:t>€30.10</w:t>
            </w:r>
          </w:p>
        </w:tc>
      </w:tr>
      <w:tr w:rsidR="008375CC" w:rsidRPr="005E2709" w:rsidTr="006522F9">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8375CC" w:rsidRPr="005E2709" w:rsidRDefault="008375CC" w:rsidP="008375CC">
            <w:pPr>
              <w:pStyle w:val="NormalWeb"/>
              <w:spacing w:after="120" w:line="276" w:lineRule="auto"/>
              <w:ind w:right="210"/>
              <w:rPr>
                <w:rFonts w:ascii="Candara" w:hAnsi="Candara"/>
                <w:sz w:val="22"/>
                <w:szCs w:val="22"/>
              </w:rPr>
            </w:pPr>
            <w:r w:rsidRPr="005E2709">
              <w:rPr>
                <w:rFonts w:ascii="Candara" w:hAnsi="Candara"/>
                <w:sz w:val="22"/>
                <w:szCs w:val="22"/>
              </w:rPr>
              <w:t>2015</w:t>
            </w:r>
          </w:p>
        </w:tc>
        <w:tc>
          <w:tcPr>
            <w:tcW w:w="0" w:type="auto"/>
            <w:hideMark/>
          </w:tcPr>
          <w:p w:rsidR="008375CC" w:rsidRPr="005E2709" w:rsidRDefault="008375CC" w:rsidP="008375CC">
            <w:pPr>
              <w:pStyle w:val="NormalWeb"/>
              <w:spacing w:after="120" w:line="276" w:lineRule="auto"/>
              <w:ind w:right="210"/>
              <w:cnfStyle w:val="000000000000" w:firstRow="0" w:lastRow="0" w:firstColumn="0" w:lastColumn="0" w:oddVBand="0" w:evenVBand="0" w:oddHBand="0" w:evenHBand="0" w:firstRowFirstColumn="0" w:firstRowLastColumn="0" w:lastRowFirstColumn="0" w:lastRowLastColumn="0"/>
              <w:rPr>
                <w:rFonts w:ascii="Candara" w:hAnsi="Candara"/>
                <w:sz w:val="22"/>
                <w:szCs w:val="22"/>
              </w:rPr>
            </w:pPr>
            <w:r w:rsidRPr="005E2709">
              <w:rPr>
                <w:rFonts w:ascii="Candara" w:hAnsi="Candara"/>
                <w:sz w:val="22"/>
                <w:szCs w:val="22"/>
              </w:rPr>
              <w:t>101,603</w:t>
            </w:r>
          </w:p>
        </w:tc>
        <w:tc>
          <w:tcPr>
            <w:tcW w:w="2893" w:type="dxa"/>
            <w:hideMark/>
          </w:tcPr>
          <w:p w:rsidR="008375CC" w:rsidRPr="005E2709" w:rsidRDefault="008375CC" w:rsidP="008375CC">
            <w:pPr>
              <w:pStyle w:val="NormalWeb"/>
              <w:spacing w:after="120" w:line="276" w:lineRule="auto"/>
              <w:ind w:right="210"/>
              <w:cnfStyle w:val="000000000000" w:firstRow="0" w:lastRow="0" w:firstColumn="0" w:lastColumn="0" w:oddVBand="0" w:evenVBand="0" w:oddHBand="0" w:evenHBand="0" w:firstRowFirstColumn="0" w:firstRowLastColumn="0" w:lastRowFirstColumn="0" w:lastRowLastColumn="0"/>
              <w:rPr>
                <w:rFonts w:ascii="Candara" w:hAnsi="Candara"/>
                <w:sz w:val="22"/>
                <w:szCs w:val="22"/>
              </w:rPr>
            </w:pPr>
            <w:r w:rsidRPr="005E2709">
              <w:rPr>
                <w:rFonts w:ascii="Candara" w:hAnsi="Candara"/>
                <w:sz w:val="22"/>
                <w:szCs w:val="22"/>
              </w:rPr>
              <w:t>€31.00</w:t>
            </w:r>
          </w:p>
        </w:tc>
      </w:tr>
      <w:tr w:rsidR="008375CC" w:rsidRPr="005E2709" w:rsidTr="006522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8375CC" w:rsidRPr="005E2709" w:rsidRDefault="008375CC" w:rsidP="008375CC">
            <w:pPr>
              <w:pStyle w:val="NormalWeb"/>
              <w:spacing w:after="120" w:line="276" w:lineRule="auto"/>
              <w:ind w:right="210"/>
              <w:rPr>
                <w:rFonts w:ascii="Candara" w:hAnsi="Candara"/>
                <w:sz w:val="22"/>
                <w:szCs w:val="22"/>
              </w:rPr>
            </w:pPr>
            <w:r w:rsidRPr="005E2709">
              <w:rPr>
                <w:rFonts w:ascii="Candara" w:hAnsi="Candara"/>
                <w:sz w:val="22"/>
                <w:szCs w:val="22"/>
              </w:rPr>
              <w:t>2016</w:t>
            </w:r>
          </w:p>
        </w:tc>
        <w:tc>
          <w:tcPr>
            <w:tcW w:w="0" w:type="auto"/>
            <w:hideMark/>
          </w:tcPr>
          <w:p w:rsidR="008375CC" w:rsidRPr="005E2709" w:rsidRDefault="008375CC" w:rsidP="008375CC">
            <w:pPr>
              <w:pStyle w:val="NormalWeb"/>
              <w:spacing w:after="120" w:line="276" w:lineRule="auto"/>
              <w:ind w:right="210"/>
              <w:cnfStyle w:val="000000100000" w:firstRow="0" w:lastRow="0" w:firstColumn="0" w:lastColumn="0" w:oddVBand="0" w:evenVBand="0" w:oddHBand="1" w:evenHBand="0" w:firstRowFirstColumn="0" w:firstRowLastColumn="0" w:lastRowFirstColumn="0" w:lastRowLastColumn="0"/>
              <w:rPr>
                <w:rFonts w:ascii="Candara" w:hAnsi="Candara"/>
                <w:sz w:val="22"/>
                <w:szCs w:val="22"/>
              </w:rPr>
            </w:pPr>
            <w:r w:rsidRPr="005E2709">
              <w:rPr>
                <w:rFonts w:ascii="Candara" w:hAnsi="Candara"/>
                <w:sz w:val="22"/>
                <w:szCs w:val="22"/>
              </w:rPr>
              <w:t>100,107</w:t>
            </w:r>
          </w:p>
        </w:tc>
        <w:tc>
          <w:tcPr>
            <w:tcW w:w="2893" w:type="dxa"/>
            <w:hideMark/>
          </w:tcPr>
          <w:p w:rsidR="008375CC" w:rsidRPr="005E2709" w:rsidRDefault="008375CC" w:rsidP="008375CC">
            <w:pPr>
              <w:pStyle w:val="NormalWeb"/>
              <w:spacing w:after="120" w:line="276" w:lineRule="auto"/>
              <w:ind w:right="210"/>
              <w:cnfStyle w:val="000000100000" w:firstRow="0" w:lastRow="0" w:firstColumn="0" w:lastColumn="0" w:oddVBand="0" w:evenVBand="0" w:oddHBand="1" w:evenHBand="0" w:firstRowFirstColumn="0" w:firstRowLastColumn="0" w:lastRowFirstColumn="0" w:lastRowLastColumn="0"/>
              <w:rPr>
                <w:rFonts w:ascii="Candara" w:hAnsi="Candara"/>
                <w:sz w:val="22"/>
                <w:szCs w:val="22"/>
              </w:rPr>
            </w:pPr>
            <w:r w:rsidRPr="005E2709">
              <w:rPr>
                <w:rFonts w:ascii="Candara" w:hAnsi="Candara"/>
                <w:sz w:val="22"/>
                <w:szCs w:val="22"/>
              </w:rPr>
              <w:t>€32.20*</w:t>
            </w:r>
          </w:p>
        </w:tc>
      </w:tr>
      <w:tr w:rsidR="008375CC" w:rsidRPr="005E2709" w:rsidTr="006522F9">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8375CC" w:rsidRPr="005E2709" w:rsidRDefault="008375CC" w:rsidP="008375CC">
            <w:pPr>
              <w:pStyle w:val="NormalWeb"/>
              <w:spacing w:after="120" w:line="276" w:lineRule="auto"/>
              <w:ind w:right="210"/>
              <w:rPr>
                <w:rFonts w:ascii="Candara" w:hAnsi="Candara"/>
                <w:sz w:val="22"/>
                <w:szCs w:val="22"/>
              </w:rPr>
            </w:pPr>
            <w:r w:rsidRPr="005E2709">
              <w:rPr>
                <w:rFonts w:ascii="Candara" w:hAnsi="Candara"/>
                <w:sz w:val="22"/>
                <w:szCs w:val="22"/>
              </w:rPr>
              <w:t>2017</w:t>
            </w:r>
            <w:r w:rsidR="00122E3C" w:rsidRPr="005E2709">
              <w:rPr>
                <w:rFonts w:ascii="Candara" w:hAnsi="Candara"/>
                <w:sz w:val="22"/>
                <w:szCs w:val="22"/>
              </w:rPr>
              <w:t>(to date)</w:t>
            </w:r>
          </w:p>
        </w:tc>
        <w:tc>
          <w:tcPr>
            <w:tcW w:w="0" w:type="auto"/>
            <w:hideMark/>
          </w:tcPr>
          <w:p w:rsidR="008375CC" w:rsidRPr="005E2709" w:rsidRDefault="008375CC" w:rsidP="008375CC">
            <w:pPr>
              <w:pStyle w:val="NormalWeb"/>
              <w:spacing w:after="120" w:line="276" w:lineRule="auto"/>
              <w:ind w:right="210"/>
              <w:cnfStyle w:val="000000000000" w:firstRow="0" w:lastRow="0" w:firstColumn="0" w:lastColumn="0" w:oddVBand="0" w:evenVBand="0" w:oddHBand="0" w:evenHBand="0" w:firstRowFirstColumn="0" w:firstRowLastColumn="0" w:lastRowFirstColumn="0" w:lastRowLastColumn="0"/>
              <w:rPr>
                <w:rFonts w:ascii="Candara" w:hAnsi="Candara"/>
                <w:sz w:val="22"/>
                <w:szCs w:val="22"/>
              </w:rPr>
            </w:pPr>
            <w:r w:rsidRPr="005E2709">
              <w:rPr>
                <w:rFonts w:ascii="Candara" w:hAnsi="Candara"/>
                <w:sz w:val="22"/>
                <w:szCs w:val="22"/>
              </w:rPr>
              <w:t>58,166</w:t>
            </w:r>
          </w:p>
        </w:tc>
        <w:tc>
          <w:tcPr>
            <w:tcW w:w="2893" w:type="dxa"/>
            <w:hideMark/>
          </w:tcPr>
          <w:p w:rsidR="008375CC" w:rsidRPr="005E2709" w:rsidRDefault="00122E3C" w:rsidP="00122E3C">
            <w:pPr>
              <w:pStyle w:val="NormalWeb"/>
              <w:spacing w:after="120" w:line="276" w:lineRule="auto"/>
              <w:ind w:right="210"/>
              <w:cnfStyle w:val="000000000000" w:firstRow="0" w:lastRow="0" w:firstColumn="0" w:lastColumn="0" w:oddVBand="0" w:evenVBand="0" w:oddHBand="0" w:evenHBand="0" w:firstRowFirstColumn="0" w:firstRowLastColumn="0" w:lastRowFirstColumn="0" w:lastRowLastColumn="0"/>
              <w:rPr>
                <w:rFonts w:ascii="Candara" w:hAnsi="Candara"/>
                <w:sz w:val="22"/>
                <w:szCs w:val="22"/>
              </w:rPr>
            </w:pPr>
            <w:r w:rsidRPr="005E2709">
              <w:rPr>
                <w:rFonts w:ascii="Candara" w:hAnsi="Candara"/>
                <w:sz w:val="22"/>
                <w:szCs w:val="22"/>
              </w:rPr>
              <w:t xml:space="preserve">€23.80 </w:t>
            </w:r>
          </w:p>
        </w:tc>
      </w:tr>
    </w:tbl>
    <w:p w:rsidR="008375CC" w:rsidRPr="006522F9" w:rsidRDefault="008375CC" w:rsidP="006522F9">
      <w:pPr>
        <w:pStyle w:val="NormalWeb"/>
        <w:spacing w:line="276" w:lineRule="auto"/>
        <w:jc w:val="right"/>
        <w:rPr>
          <w:rFonts w:ascii="Candara" w:hAnsi="Candara"/>
          <w:i/>
          <w:sz w:val="22"/>
          <w:szCs w:val="22"/>
        </w:rPr>
      </w:pPr>
      <w:r w:rsidRPr="006522F9">
        <w:rPr>
          <w:rFonts w:ascii="Candara" w:hAnsi="Candara"/>
          <w:i/>
          <w:sz w:val="22"/>
          <w:szCs w:val="22"/>
        </w:rPr>
        <w:t>*2016 Outturn is provisional</w:t>
      </w:r>
    </w:p>
    <w:p w:rsidR="005E2709" w:rsidRPr="005E2709" w:rsidRDefault="005E2709" w:rsidP="008F67E2">
      <w:pPr>
        <w:pStyle w:val="nextprev1"/>
        <w:spacing w:after="0" w:line="276" w:lineRule="auto"/>
        <w:rPr>
          <w:b/>
          <w:color w:val="002060"/>
          <w:sz w:val="16"/>
          <w:szCs w:val="16"/>
        </w:rPr>
      </w:pPr>
    </w:p>
    <w:p w:rsidR="005E2709" w:rsidRPr="00552597" w:rsidRDefault="005E2709" w:rsidP="008F67E2">
      <w:pPr>
        <w:pStyle w:val="nextprev1"/>
        <w:spacing w:after="0" w:line="276" w:lineRule="auto"/>
        <w:rPr>
          <w:b/>
          <w:vanish/>
          <w:color w:val="002060"/>
          <w:sz w:val="56"/>
          <w:szCs w:val="56"/>
        </w:rPr>
      </w:pPr>
    </w:p>
    <w:p w:rsidR="00476B49" w:rsidRPr="00552597" w:rsidRDefault="00476B49" w:rsidP="008F67E2">
      <w:pPr>
        <w:pBdr>
          <w:bottom w:val="single" w:sz="8" w:space="4" w:color="4F81BD" w:themeColor="accent1"/>
        </w:pBdr>
        <w:spacing w:line="276" w:lineRule="auto"/>
        <w:ind w:right="118"/>
        <w:contextualSpacing/>
        <w:rPr>
          <w:rFonts w:asciiTheme="majorHAnsi" w:eastAsiaTheme="majorEastAsia" w:hAnsiTheme="majorHAnsi" w:cstheme="majorBidi"/>
          <w:b/>
          <w:color w:val="002060"/>
          <w:spacing w:val="5"/>
          <w:kern w:val="28"/>
          <w:sz w:val="56"/>
          <w:szCs w:val="56"/>
        </w:rPr>
      </w:pPr>
      <w:bookmarkStart w:id="2" w:name="g955.q"/>
      <w:bookmarkStart w:id="3" w:name="g956.r"/>
      <w:bookmarkEnd w:id="2"/>
      <w:bookmarkEnd w:id="3"/>
      <w:r w:rsidRPr="00552597">
        <w:rPr>
          <w:rFonts w:asciiTheme="majorHAnsi" w:eastAsiaTheme="majorEastAsia" w:hAnsiTheme="majorHAnsi" w:cstheme="majorBidi"/>
          <w:b/>
          <w:color w:val="002060"/>
          <w:spacing w:val="5"/>
          <w:kern w:val="28"/>
          <w:sz w:val="56"/>
          <w:szCs w:val="56"/>
        </w:rPr>
        <w:t>Policy News, Resources and Opinion</w:t>
      </w:r>
    </w:p>
    <w:p w:rsidR="00DF3BDD" w:rsidRPr="00815A7F" w:rsidRDefault="00476B49" w:rsidP="00865544">
      <w:pPr>
        <w:shd w:val="clear" w:color="auto" w:fill="FFFFFF" w:themeFill="background1"/>
        <w:tabs>
          <w:tab w:val="left" w:pos="913"/>
        </w:tabs>
        <w:spacing w:line="276" w:lineRule="auto"/>
        <w:jc w:val="center"/>
        <w:rPr>
          <w:rFonts w:asciiTheme="minorHAnsi" w:hAnsiTheme="minorHAnsi"/>
          <w:i/>
          <w:color w:val="365F91" w:themeColor="accent1" w:themeShade="BF"/>
          <w:sz w:val="18"/>
          <w:szCs w:val="18"/>
        </w:rPr>
      </w:pPr>
      <w:r w:rsidRPr="00815A7F">
        <w:rPr>
          <w:rFonts w:asciiTheme="minorHAnsi" w:hAnsiTheme="minorHAnsi"/>
          <w:i/>
          <w:color w:val="365F91" w:themeColor="accent1" w:themeShade="BF"/>
          <w:sz w:val="18"/>
          <w:szCs w:val="18"/>
        </w:rPr>
        <w:t>This section features developments, resources, events and opinions likely to be of interest to those engaged</w:t>
      </w:r>
      <w:r w:rsidR="008F67E2" w:rsidRPr="00815A7F">
        <w:rPr>
          <w:rFonts w:asciiTheme="minorHAnsi" w:hAnsiTheme="minorHAnsi"/>
          <w:i/>
          <w:color w:val="365F91" w:themeColor="accent1" w:themeShade="BF"/>
          <w:sz w:val="18"/>
          <w:szCs w:val="18"/>
        </w:rPr>
        <w:t xml:space="preserve"> </w:t>
      </w:r>
      <w:r w:rsidRPr="00815A7F">
        <w:rPr>
          <w:rFonts w:asciiTheme="minorHAnsi" w:hAnsiTheme="minorHAnsi"/>
          <w:i/>
          <w:color w:val="365F91" w:themeColor="accent1" w:themeShade="BF"/>
          <w:sz w:val="18"/>
          <w:szCs w:val="18"/>
        </w:rPr>
        <w:t xml:space="preserve">in policy work.  </w:t>
      </w:r>
    </w:p>
    <w:p w:rsidR="005742E4" w:rsidRDefault="00476B49" w:rsidP="00865544">
      <w:pPr>
        <w:shd w:val="clear" w:color="auto" w:fill="FFFFFF" w:themeFill="background1"/>
        <w:tabs>
          <w:tab w:val="left" w:pos="913"/>
        </w:tabs>
        <w:spacing w:line="276" w:lineRule="auto"/>
        <w:jc w:val="center"/>
        <w:rPr>
          <w:rFonts w:asciiTheme="minorHAnsi" w:hAnsiTheme="minorHAnsi"/>
          <w:i/>
          <w:color w:val="365F91" w:themeColor="accent1" w:themeShade="BF"/>
          <w:sz w:val="18"/>
          <w:szCs w:val="18"/>
        </w:rPr>
      </w:pPr>
      <w:r w:rsidRPr="00815A7F">
        <w:rPr>
          <w:rFonts w:asciiTheme="minorHAnsi" w:hAnsiTheme="minorHAnsi"/>
          <w:i/>
          <w:color w:val="365F91" w:themeColor="accent1" w:themeShade="BF"/>
          <w:sz w:val="18"/>
          <w:szCs w:val="18"/>
        </w:rPr>
        <w:t>CIB does not endorse or otherwise any o</w:t>
      </w:r>
      <w:r w:rsidR="003F0792" w:rsidRPr="00815A7F">
        <w:rPr>
          <w:rFonts w:asciiTheme="minorHAnsi" w:hAnsiTheme="minorHAnsi"/>
          <w:i/>
          <w:color w:val="365F91" w:themeColor="accent1" w:themeShade="BF"/>
          <w:sz w:val="18"/>
          <w:szCs w:val="18"/>
        </w:rPr>
        <w:t>f the policy positions featured</w:t>
      </w:r>
      <w:r w:rsidR="0062502F" w:rsidRPr="00815A7F">
        <w:rPr>
          <w:rFonts w:asciiTheme="minorHAnsi" w:hAnsiTheme="minorHAnsi"/>
          <w:i/>
          <w:color w:val="365F91" w:themeColor="accent1" w:themeShade="BF"/>
          <w:sz w:val="18"/>
          <w:szCs w:val="18"/>
        </w:rPr>
        <w:t>.</w:t>
      </w:r>
    </w:p>
    <w:p w:rsidR="00122E3C" w:rsidRDefault="00122E3C" w:rsidP="00865544">
      <w:pPr>
        <w:shd w:val="clear" w:color="auto" w:fill="FFFFFF" w:themeFill="background1"/>
        <w:tabs>
          <w:tab w:val="left" w:pos="913"/>
        </w:tabs>
        <w:spacing w:line="276" w:lineRule="auto"/>
        <w:jc w:val="center"/>
        <w:rPr>
          <w:rFonts w:asciiTheme="minorHAnsi" w:hAnsiTheme="minorHAnsi"/>
          <w:i/>
          <w:color w:val="365F91" w:themeColor="accent1" w:themeShade="BF"/>
          <w:sz w:val="18"/>
          <w:szCs w:val="18"/>
        </w:rPr>
      </w:pPr>
    </w:p>
    <w:p w:rsidR="00122E3C" w:rsidRPr="00F2184B" w:rsidRDefault="00122E3C" w:rsidP="00122E3C">
      <w:pPr>
        <w:shd w:val="clear" w:color="auto" w:fill="D6E3BC" w:themeFill="accent3" w:themeFillTint="66"/>
        <w:spacing w:line="276" w:lineRule="auto"/>
        <w:rPr>
          <w:rFonts w:ascii="Candara" w:hAnsi="Candara"/>
          <w:b/>
          <w:sz w:val="32"/>
          <w:szCs w:val="32"/>
        </w:rPr>
      </w:pPr>
      <w:r w:rsidRPr="00B31AC2">
        <w:rPr>
          <w:rFonts w:ascii="Candara" w:hAnsi="Candara"/>
          <w:b/>
          <w:sz w:val="32"/>
          <w:szCs w:val="32"/>
        </w:rPr>
        <w:t xml:space="preserve">Indecon </w:t>
      </w:r>
      <w:r>
        <w:rPr>
          <w:rFonts w:ascii="Candara" w:hAnsi="Candara"/>
          <w:b/>
          <w:sz w:val="32"/>
          <w:szCs w:val="32"/>
        </w:rPr>
        <w:t xml:space="preserve">Review of </w:t>
      </w:r>
      <w:r w:rsidRPr="00B31AC2">
        <w:rPr>
          <w:rFonts w:ascii="Candara" w:hAnsi="Candara"/>
          <w:b/>
          <w:sz w:val="32"/>
          <w:szCs w:val="32"/>
        </w:rPr>
        <w:t>O</w:t>
      </w:r>
      <w:r>
        <w:rPr>
          <w:rFonts w:ascii="Candara" w:hAnsi="Candara"/>
          <w:b/>
          <w:sz w:val="32"/>
          <w:szCs w:val="32"/>
        </w:rPr>
        <w:t>ne-</w:t>
      </w:r>
      <w:r w:rsidR="00D43C8A">
        <w:rPr>
          <w:rFonts w:ascii="Candara" w:hAnsi="Candara"/>
          <w:b/>
          <w:sz w:val="32"/>
          <w:szCs w:val="32"/>
        </w:rPr>
        <w:t>P</w:t>
      </w:r>
      <w:r>
        <w:rPr>
          <w:rFonts w:ascii="Candara" w:hAnsi="Candara"/>
          <w:b/>
          <w:sz w:val="32"/>
          <w:szCs w:val="32"/>
        </w:rPr>
        <w:t>arent Family Payment reforms</w:t>
      </w:r>
    </w:p>
    <w:p w:rsidR="003D6604" w:rsidRDefault="00122E3C" w:rsidP="00122E3C">
      <w:pPr>
        <w:pStyle w:val="NormalWeb"/>
        <w:spacing w:line="276" w:lineRule="auto"/>
        <w:rPr>
          <w:rStyle w:val="Hyperlink"/>
          <w:rFonts w:ascii="Candara" w:hAnsi="Candara"/>
          <w:sz w:val="22"/>
          <w:szCs w:val="22"/>
        </w:rPr>
      </w:pPr>
      <w:r>
        <w:rPr>
          <w:rFonts w:ascii="Candara" w:hAnsi="Candara"/>
          <w:sz w:val="22"/>
          <w:szCs w:val="22"/>
        </w:rPr>
        <w:t xml:space="preserve">In October 2017, Minister Regina Doherty announced the publication of the Independent Review of the Amendments to the One Parent Family Payment (conducted by Indecon Economic Consultants). The decision to initiate </w:t>
      </w:r>
      <w:r w:rsidRPr="00C86AC4">
        <w:rPr>
          <w:rFonts w:ascii="Candara" w:hAnsi="Candara"/>
          <w:sz w:val="22"/>
          <w:szCs w:val="22"/>
        </w:rPr>
        <w:t xml:space="preserve">this report was included in the Social Welfare Act 2016, which </w:t>
      </w:r>
      <w:r>
        <w:rPr>
          <w:rFonts w:ascii="Candara" w:hAnsi="Candara"/>
          <w:sz w:val="22"/>
          <w:szCs w:val="22"/>
        </w:rPr>
        <w:t>stated that the intention was to examine the “</w:t>
      </w:r>
      <w:r w:rsidRPr="00C86AC4">
        <w:rPr>
          <w:rFonts w:ascii="Candara" w:hAnsi="Candara"/>
          <w:sz w:val="22"/>
          <w:szCs w:val="22"/>
        </w:rPr>
        <w:t>financial and social effects of the amendments to One-parent Family Payment since 1 January 2012, taking into account the effects on welfare dependency and the poverty rates of those in receipt of One-parent Family Payment.”</w:t>
      </w:r>
      <w:r>
        <w:rPr>
          <w:rFonts w:ascii="Candara" w:hAnsi="Candara"/>
          <w:sz w:val="22"/>
          <w:szCs w:val="22"/>
        </w:rPr>
        <w:t xml:space="preserve"> Overall, the Review found that the reforms had the effect of increasing employment and reducing welfare dependency and also noted “a potential concern” – that is, the percentage of those who lost the payment who remain unemployed or who are in low-paid or part-time employment. The detailed Review suggested that a key challenge for policy makers is “to assist these lone parents to become more integrated into the Irish labour market”, whilst also noting that “</w:t>
      </w:r>
      <w:r w:rsidRPr="00E42548">
        <w:rPr>
          <w:rFonts w:ascii="Candara" w:hAnsi="Candara"/>
          <w:sz w:val="22"/>
          <w:szCs w:val="22"/>
        </w:rPr>
        <w:t>that care is needed in designing welfare programmes to ensure that the structure of any payments do not disincentivise employment. This is particularly the case where there may be an integration of a number of payments with different thresholds for earnings and where individuals are likely to access more than one form of payment</w:t>
      </w:r>
      <w:r>
        <w:rPr>
          <w:rFonts w:ascii="Candara" w:hAnsi="Candara"/>
          <w:sz w:val="22"/>
          <w:szCs w:val="22"/>
        </w:rPr>
        <w:t xml:space="preserve">”. The Review can be accessed </w:t>
      </w:r>
      <w:hyperlink r:id="rId12" w:history="1">
        <w:r w:rsidRPr="005E7D96">
          <w:rPr>
            <w:rStyle w:val="Hyperlink"/>
            <w:rFonts w:ascii="Candara" w:hAnsi="Candara"/>
            <w:sz w:val="22"/>
            <w:szCs w:val="22"/>
          </w:rPr>
          <w:t>here.</w:t>
        </w:r>
      </w:hyperlink>
    </w:p>
    <w:p w:rsidR="00122E3C" w:rsidRPr="00F2184B" w:rsidRDefault="00122E3C" w:rsidP="00122E3C">
      <w:pPr>
        <w:shd w:val="clear" w:color="auto" w:fill="D6E3BC" w:themeFill="accent3" w:themeFillTint="66"/>
        <w:spacing w:line="276" w:lineRule="auto"/>
        <w:rPr>
          <w:rFonts w:ascii="Candara" w:hAnsi="Candara"/>
          <w:b/>
          <w:sz w:val="32"/>
          <w:szCs w:val="32"/>
        </w:rPr>
      </w:pPr>
      <w:r w:rsidRPr="00B31AC2">
        <w:rPr>
          <w:rFonts w:ascii="Candara" w:hAnsi="Candara"/>
          <w:b/>
          <w:sz w:val="32"/>
          <w:szCs w:val="32"/>
        </w:rPr>
        <w:t xml:space="preserve">Decision Support Service </w:t>
      </w:r>
      <w:r>
        <w:rPr>
          <w:rFonts w:ascii="Candara" w:hAnsi="Candara"/>
          <w:b/>
          <w:sz w:val="32"/>
          <w:szCs w:val="32"/>
        </w:rPr>
        <w:t xml:space="preserve">&amp; </w:t>
      </w:r>
      <w:r w:rsidRPr="002D0DED">
        <w:rPr>
          <w:rFonts w:ascii="Candara" w:hAnsi="Candara"/>
          <w:b/>
          <w:sz w:val="32"/>
          <w:szCs w:val="32"/>
        </w:rPr>
        <w:t>Assisted Decision Making (Capacity) Act 2015</w:t>
      </w:r>
    </w:p>
    <w:p w:rsidR="00122E3C" w:rsidRDefault="00122E3C" w:rsidP="00122E3C">
      <w:pPr>
        <w:spacing w:line="276" w:lineRule="auto"/>
        <w:rPr>
          <w:rFonts w:ascii="Candara" w:eastAsia="Times New Roman" w:hAnsi="Candara"/>
        </w:rPr>
      </w:pPr>
      <w:r w:rsidRPr="002D0DED">
        <w:rPr>
          <w:noProof/>
          <w:color w:val="FF0000"/>
          <w:lang w:eastAsia="en-IE"/>
        </w:rPr>
        <w:drawing>
          <wp:anchor distT="0" distB="0" distL="114300" distR="114300" simplePos="0" relativeHeight="251693056" behindDoc="0" locked="0" layoutInCell="1" allowOverlap="1" wp14:anchorId="23B60814" wp14:editId="1960A35C">
            <wp:simplePos x="0" y="0"/>
            <wp:positionH relativeFrom="column">
              <wp:posOffset>-17145</wp:posOffset>
            </wp:positionH>
            <wp:positionV relativeFrom="paragraph">
              <wp:posOffset>24765</wp:posOffset>
            </wp:positionV>
            <wp:extent cx="1125855" cy="939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125855" cy="939800"/>
                    </a:xfrm>
                    <a:prstGeom prst="rect">
                      <a:avLst/>
                    </a:prstGeom>
                  </pic:spPr>
                </pic:pic>
              </a:graphicData>
            </a:graphic>
            <wp14:sizeRelH relativeFrom="page">
              <wp14:pctWidth>0</wp14:pctWidth>
            </wp14:sizeRelH>
            <wp14:sizeRelV relativeFrom="page">
              <wp14:pctHeight>0</wp14:pctHeight>
            </wp14:sizeRelV>
          </wp:anchor>
        </w:drawing>
      </w:r>
      <w:r w:rsidRPr="009E3E3C">
        <w:rPr>
          <w:rFonts w:ascii="Candara" w:eastAsia="Times New Roman" w:hAnsi="Candara"/>
        </w:rPr>
        <w:t>In December 2015, the Assisted Decision-Making (Capacity) Act 2015</w:t>
      </w:r>
      <w:r>
        <w:rPr>
          <w:rFonts w:ascii="Candara" w:eastAsia="Times New Roman" w:hAnsi="Candara"/>
        </w:rPr>
        <w:t xml:space="preserve"> was signed by President Michael D. Higgins</w:t>
      </w:r>
      <w:r w:rsidRPr="009E3E3C">
        <w:rPr>
          <w:rFonts w:ascii="Candara" w:eastAsia="Times New Roman" w:hAnsi="Candara"/>
        </w:rPr>
        <w:t xml:space="preserve">. This Act repeals the Lunacy Regulation (Ireland) Act 1871 and the Marriage of Lunatics Act 1811, and it sets out the guiding principles that are intended to safeguard the autonomy and dignity of the person with impaired capacity. Supported decision-making is a central component of the Act, which strongly reflects the recommendations of various Law Reform Commission reports. </w:t>
      </w:r>
      <w:r>
        <w:rPr>
          <w:rFonts w:ascii="Candara" w:eastAsia="Times New Roman" w:hAnsi="Candara"/>
        </w:rPr>
        <w:t xml:space="preserve">CIB made a submission on the Bill in 2013 during the consultation stage (which  followed on from a previous submission made on the Scheme of Mental Capacity Legislation in 2010). </w:t>
      </w:r>
      <w:r w:rsidRPr="009E3E3C">
        <w:rPr>
          <w:rFonts w:ascii="Candara" w:eastAsia="Times New Roman" w:hAnsi="Candara"/>
        </w:rPr>
        <w:t xml:space="preserve"> </w:t>
      </w:r>
      <w:r>
        <w:rPr>
          <w:rFonts w:ascii="Candara" w:eastAsia="Times New Roman" w:hAnsi="Candara"/>
        </w:rPr>
        <w:t>It is expected that</w:t>
      </w:r>
      <w:r w:rsidRPr="00E42548">
        <w:t xml:space="preserve"> </w:t>
      </w:r>
      <w:r>
        <w:t xml:space="preserve">the legislation </w:t>
      </w:r>
      <w:r w:rsidRPr="00E42548">
        <w:rPr>
          <w:rFonts w:ascii="Candara" w:eastAsia="Times New Roman" w:hAnsi="Candara"/>
        </w:rPr>
        <w:t xml:space="preserve">will result in significant improvements in the lives of persons with intellectual disabilities, as their ability to make decisions for themselves will be enshrined in law. </w:t>
      </w:r>
    </w:p>
    <w:p w:rsidR="00122E3C" w:rsidRDefault="00122E3C" w:rsidP="00122E3C">
      <w:pPr>
        <w:spacing w:line="276" w:lineRule="auto"/>
        <w:rPr>
          <w:rFonts w:ascii="Candara" w:eastAsia="Times New Roman" w:hAnsi="Candara"/>
        </w:rPr>
      </w:pPr>
    </w:p>
    <w:p w:rsidR="003D6604" w:rsidRDefault="00122E3C" w:rsidP="00122E3C">
      <w:pPr>
        <w:spacing w:line="276" w:lineRule="auto"/>
        <w:rPr>
          <w:rStyle w:val="Hyperlink"/>
          <w:rFonts w:ascii="Candara" w:eastAsia="Times New Roman" w:hAnsi="Candara"/>
          <w:color w:val="auto"/>
          <w:u w:val="none"/>
        </w:rPr>
      </w:pPr>
      <w:r>
        <w:rPr>
          <w:rFonts w:ascii="Candara" w:eastAsia="Times New Roman" w:hAnsi="Candara"/>
        </w:rPr>
        <w:t xml:space="preserve">When the </w:t>
      </w:r>
      <w:r w:rsidRPr="00E42548">
        <w:rPr>
          <w:rFonts w:ascii="Candara" w:eastAsia="Times New Roman" w:hAnsi="Candara"/>
        </w:rPr>
        <w:t xml:space="preserve">legislation </w:t>
      </w:r>
      <w:r>
        <w:rPr>
          <w:rFonts w:ascii="Candara" w:eastAsia="Times New Roman" w:hAnsi="Candara"/>
        </w:rPr>
        <w:t xml:space="preserve">was enacted, the Government </w:t>
      </w:r>
      <w:r w:rsidRPr="006B6C82">
        <w:rPr>
          <w:rStyle w:val="Hyperlink"/>
          <w:rFonts w:ascii="Candara" w:eastAsia="Times New Roman" w:hAnsi="Candara"/>
          <w:color w:val="auto"/>
          <w:u w:val="none"/>
        </w:rPr>
        <w:t xml:space="preserve">provided for the establishment of the Decision Support Service within the Mental Health Commission. The aim of this service is to act as supporter, regulator and </w:t>
      </w:r>
      <w:r w:rsidRPr="006B6C82">
        <w:rPr>
          <w:rStyle w:val="Hyperlink"/>
          <w:rFonts w:ascii="Candara" w:eastAsia="Times New Roman" w:hAnsi="Candara"/>
          <w:color w:val="auto"/>
          <w:u w:val="none"/>
        </w:rPr>
        <w:lastRenderedPageBreak/>
        <w:t>supervisor of decision-making by</w:t>
      </w:r>
      <w:r>
        <w:rPr>
          <w:rStyle w:val="Hyperlink"/>
          <w:rFonts w:ascii="Candara" w:eastAsia="Times New Roman" w:hAnsi="Candara"/>
          <w:color w:val="auto"/>
          <w:u w:val="none"/>
        </w:rPr>
        <w:t>,</w:t>
      </w:r>
      <w:r w:rsidRPr="006B6C82">
        <w:rPr>
          <w:rStyle w:val="Hyperlink"/>
          <w:rFonts w:ascii="Candara" w:eastAsia="Times New Roman" w:hAnsi="Candara"/>
          <w:color w:val="auto"/>
          <w:u w:val="none"/>
        </w:rPr>
        <w:t xml:space="preserve"> and for</w:t>
      </w:r>
      <w:r>
        <w:rPr>
          <w:rStyle w:val="Hyperlink"/>
          <w:rFonts w:ascii="Candara" w:eastAsia="Times New Roman" w:hAnsi="Candara"/>
          <w:color w:val="auto"/>
          <w:u w:val="none"/>
        </w:rPr>
        <w:t>,</w:t>
      </w:r>
      <w:r w:rsidRPr="006B6C82">
        <w:rPr>
          <w:rStyle w:val="Hyperlink"/>
          <w:rFonts w:ascii="Candara" w:eastAsia="Times New Roman" w:hAnsi="Candara"/>
          <w:color w:val="auto"/>
          <w:u w:val="none"/>
        </w:rPr>
        <w:t xml:space="preserve"> adults with capacity difficulties. Some 18 months after the enactment of the legislation, a limited number of provisions of the Act have commenced – including, in October 2017, the appointment of Áine Flynn as Director of the Decision Support Service. The Mental Health Commission has also been liaising with relevant Government Departments to progress the operational and resourcing elements that are required for the implementation of this legislation</w:t>
      </w:r>
      <w:r>
        <w:rPr>
          <w:rStyle w:val="Hyperlink"/>
          <w:rFonts w:ascii="Candara" w:eastAsia="Times New Roman" w:hAnsi="Candara"/>
          <w:color w:val="auto"/>
          <w:u w:val="none"/>
        </w:rPr>
        <w:t xml:space="preserve">. </w:t>
      </w:r>
      <w:r w:rsidRPr="006A3E74">
        <w:rPr>
          <w:rStyle w:val="Hyperlink"/>
          <w:rFonts w:ascii="Candara" w:eastAsia="Times New Roman" w:hAnsi="Candara"/>
          <w:color w:val="auto"/>
          <w:u w:val="none"/>
        </w:rPr>
        <w:t xml:space="preserve">As part of the Budget 2018 announcement, the Government has allocated €3 million to the Department of Justice to fund the Decision Support Service. </w:t>
      </w:r>
    </w:p>
    <w:p w:rsidR="008F67E2" w:rsidRPr="00F2184B" w:rsidRDefault="004A66AC" w:rsidP="008F67E2">
      <w:pPr>
        <w:pStyle w:val="PlainText"/>
        <w:shd w:val="clear" w:color="auto" w:fill="D6E3BC" w:themeFill="accent3" w:themeFillTint="66"/>
        <w:spacing w:line="276" w:lineRule="auto"/>
        <w:rPr>
          <w:rFonts w:ascii="Candara" w:hAnsi="Candara"/>
          <w:b/>
          <w:sz w:val="32"/>
          <w:szCs w:val="32"/>
        </w:rPr>
      </w:pPr>
      <w:r>
        <w:rPr>
          <w:rFonts w:ascii="Candara" w:hAnsi="Candara"/>
          <w:b/>
          <w:sz w:val="32"/>
          <w:szCs w:val="32"/>
        </w:rPr>
        <w:t>Central Bank Quarterly Report on Residential Mortgage Arrears – Q2 2017</w:t>
      </w:r>
    </w:p>
    <w:p w:rsidR="002B237B" w:rsidRDefault="00BF53A5" w:rsidP="00BF53A5">
      <w:pPr>
        <w:pStyle w:val="NormalWeb"/>
        <w:spacing w:line="276" w:lineRule="auto"/>
        <w:rPr>
          <w:rFonts w:ascii="Candara" w:hAnsi="Candara"/>
          <w:sz w:val="22"/>
          <w:szCs w:val="22"/>
        </w:rPr>
      </w:pPr>
      <w:r>
        <w:rPr>
          <w:noProof/>
          <w:color w:val="0000FF"/>
          <w:lang w:eastAsia="en-IE"/>
        </w:rPr>
        <w:drawing>
          <wp:anchor distT="0" distB="0" distL="114300" distR="114300" simplePos="0" relativeHeight="251685888" behindDoc="0" locked="0" layoutInCell="1" allowOverlap="1" wp14:anchorId="16D4B5B5" wp14:editId="794B9D11">
            <wp:simplePos x="0" y="0"/>
            <wp:positionH relativeFrom="column">
              <wp:posOffset>5223510</wp:posOffset>
            </wp:positionH>
            <wp:positionV relativeFrom="paragraph">
              <wp:posOffset>35560</wp:posOffset>
            </wp:positionV>
            <wp:extent cx="1430655" cy="516255"/>
            <wp:effectExtent l="0" t="0" r="0" b="0"/>
            <wp:wrapSquare wrapText="bothSides"/>
            <wp:docPr id="11" name="Picture 11" descr="The Central Bank of Irelan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Central Bank of Ireland">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0655" cy="516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707F">
        <w:rPr>
          <w:rFonts w:ascii="Candara" w:hAnsi="Candara"/>
          <w:sz w:val="22"/>
          <w:szCs w:val="22"/>
        </w:rPr>
        <w:t xml:space="preserve"> </w:t>
      </w:r>
      <w:r w:rsidRPr="00BF53A5">
        <w:rPr>
          <w:rFonts w:ascii="Candara" w:hAnsi="Candara"/>
          <w:sz w:val="22"/>
          <w:szCs w:val="22"/>
        </w:rPr>
        <w:t xml:space="preserve">In </w:t>
      </w:r>
      <w:r w:rsidR="00B31AC2">
        <w:rPr>
          <w:rFonts w:ascii="Candara" w:hAnsi="Candara"/>
          <w:sz w:val="22"/>
          <w:szCs w:val="22"/>
        </w:rPr>
        <w:t>September</w:t>
      </w:r>
      <w:r w:rsidRPr="00BF53A5">
        <w:rPr>
          <w:rFonts w:ascii="Candara" w:hAnsi="Candara"/>
          <w:sz w:val="22"/>
          <w:szCs w:val="22"/>
        </w:rPr>
        <w:t xml:space="preserve"> 2017, the Central Bank published the Quarterly Report on Residential Mortgage Arrears and Repossessions for the </w:t>
      </w:r>
      <w:r w:rsidR="00B31AC2">
        <w:rPr>
          <w:rFonts w:ascii="Candara" w:hAnsi="Candara"/>
          <w:sz w:val="22"/>
          <w:szCs w:val="22"/>
        </w:rPr>
        <w:t>second</w:t>
      </w:r>
      <w:r w:rsidRPr="00BF53A5">
        <w:rPr>
          <w:rFonts w:ascii="Candara" w:hAnsi="Candara"/>
          <w:sz w:val="22"/>
          <w:szCs w:val="22"/>
        </w:rPr>
        <w:t xml:space="preserve"> quarter of 201</w:t>
      </w:r>
      <w:r w:rsidR="00B31AC2">
        <w:rPr>
          <w:rFonts w:ascii="Candara" w:hAnsi="Candara"/>
          <w:sz w:val="22"/>
          <w:szCs w:val="22"/>
        </w:rPr>
        <w:t>7</w:t>
      </w:r>
      <w:r w:rsidRPr="00BF53A5">
        <w:rPr>
          <w:rFonts w:ascii="Candara" w:hAnsi="Candara"/>
          <w:sz w:val="22"/>
          <w:szCs w:val="22"/>
        </w:rPr>
        <w:t>. The Report noted the following headline figures with regard to Principal Dwelling Houses:</w:t>
      </w:r>
      <w:r w:rsidR="002B237B">
        <w:rPr>
          <w:rFonts w:ascii="Candara" w:hAnsi="Candara"/>
          <w:sz w:val="22"/>
          <w:szCs w:val="22"/>
        </w:rPr>
        <w:t xml:space="preserve"> </w:t>
      </w:r>
    </w:p>
    <w:p w:rsidR="00BF53A5" w:rsidRPr="006D5521" w:rsidRDefault="00BF53A5" w:rsidP="006D5521">
      <w:pPr>
        <w:pStyle w:val="NormalWeb"/>
        <w:numPr>
          <w:ilvl w:val="0"/>
          <w:numId w:val="7"/>
        </w:numPr>
        <w:spacing w:line="276" w:lineRule="auto"/>
        <w:rPr>
          <w:rFonts w:ascii="Candara" w:hAnsi="Candara"/>
          <w:sz w:val="22"/>
          <w:szCs w:val="22"/>
        </w:rPr>
      </w:pPr>
      <w:r w:rsidRPr="006D5521">
        <w:rPr>
          <w:rFonts w:ascii="Candara" w:hAnsi="Candara"/>
          <w:sz w:val="22"/>
          <w:szCs w:val="22"/>
        </w:rPr>
        <w:t xml:space="preserve">Over </w:t>
      </w:r>
      <w:r w:rsidR="002B237B" w:rsidRPr="006D5521">
        <w:rPr>
          <w:rFonts w:ascii="Candara" w:hAnsi="Candara"/>
          <w:sz w:val="22"/>
          <w:szCs w:val="22"/>
        </w:rPr>
        <w:t>73,000</w:t>
      </w:r>
      <w:r w:rsidRPr="006D5521">
        <w:rPr>
          <w:rFonts w:ascii="Candara" w:hAnsi="Candara"/>
          <w:sz w:val="22"/>
          <w:szCs w:val="22"/>
        </w:rPr>
        <w:t xml:space="preserve"> households (with mortgages on private dwellings or Principal Dwelling Houses) are in arrears. This represents 1</w:t>
      </w:r>
      <w:r w:rsidR="002B237B" w:rsidRPr="006D5521">
        <w:rPr>
          <w:rFonts w:ascii="Candara" w:hAnsi="Candara"/>
          <w:sz w:val="22"/>
          <w:szCs w:val="22"/>
        </w:rPr>
        <w:t>0</w:t>
      </w:r>
      <w:r w:rsidRPr="006D5521">
        <w:rPr>
          <w:rFonts w:ascii="Candara" w:hAnsi="Candara"/>
          <w:sz w:val="22"/>
          <w:szCs w:val="22"/>
        </w:rPr>
        <w:t>% of the total of 73</w:t>
      </w:r>
      <w:r w:rsidR="002B237B" w:rsidRPr="006D5521">
        <w:rPr>
          <w:rFonts w:ascii="Candara" w:hAnsi="Candara"/>
          <w:sz w:val="22"/>
          <w:szCs w:val="22"/>
        </w:rPr>
        <w:t>2,439</w:t>
      </w:r>
      <w:r w:rsidRPr="006D5521">
        <w:rPr>
          <w:rFonts w:ascii="Candara" w:hAnsi="Candara"/>
          <w:sz w:val="22"/>
          <w:szCs w:val="22"/>
        </w:rPr>
        <w:t xml:space="preserve"> mortgages held by private households throughout</w:t>
      </w:r>
      <w:r w:rsidR="002B237B" w:rsidRPr="006D5521">
        <w:rPr>
          <w:rFonts w:ascii="Candara" w:hAnsi="Candara"/>
          <w:sz w:val="22"/>
          <w:szCs w:val="22"/>
        </w:rPr>
        <w:t xml:space="preserve"> the state and is a decline of 3.6</w:t>
      </w:r>
      <w:r w:rsidRPr="006D5521">
        <w:rPr>
          <w:rFonts w:ascii="Candara" w:hAnsi="Candara"/>
          <w:sz w:val="22"/>
          <w:szCs w:val="22"/>
        </w:rPr>
        <w:t>% on the Q</w:t>
      </w:r>
      <w:r w:rsidR="002B237B" w:rsidRPr="006D5521">
        <w:rPr>
          <w:rFonts w:ascii="Candara" w:hAnsi="Candara"/>
          <w:sz w:val="22"/>
          <w:szCs w:val="22"/>
        </w:rPr>
        <w:t>1</w:t>
      </w:r>
      <w:r w:rsidRPr="006D5521">
        <w:rPr>
          <w:rFonts w:ascii="Candara" w:hAnsi="Candara"/>
          <w:sz w:val="22"/>
          <w:szCs w:val="22"/>
        </w:rPr>
        <w:t xml:space="preserve"> 201</w:t>
      </w:r>
      <w:r w:rsidR="002B237B" w:rsidRPr="006D5521">
        <w:rPr>
          <w:rFonts w:ascii="Candara" w:hAnsi="Candara"/>
          <w:sz w:val="22"/>
          <w:szCs w:val="22"/>
        </w:rPr>
        <w:t>7</w:t>
      </w:r>
      <w:r w:rsidRPr="006D5521">
        <w:rPr>
          <w:rFonts w:ascii="Candara" w:hAnsi="Candara"/>
          <w:sz w:val="22"/>
          <w:szCs w:val="22"/>
        </w:rPr>
        <w:t xml:space="preserve"> figure; </w:t>
      </w:r>
    </w:p>
    <w:p w:rsidR="00BF53A5" w:rsidRPr="006D5521" w:rsidRDefault="00BF53A5" w:rsidP="006D5521">
      <w:pPr>
        <w:pStyle w:val="NormalWeb"/>
        <w:numPr>
          <w:ilvl w:val="0"/>
          <w:numId w:val="7"/>
        </w:numPr>
        <w:spacing w:line="276" w:lineRule="auto"/>
        <w:rPr>
          <w:rFonts w:ascii="Candara" w:hAnsi="Candara"/>
          <w:sz w:val="22"/>
          <w:szCs w:val="22"/>
        </w:rPr>
      </w:pPr>
      <w:r w:rsidRPr="006D5521">
        <w:rPr>
          <w:rFonts w:ascii="Candara" w:hAnsi="Candara"/>
          <w:sz w:val="22"/>
          <w:szCs w:val="22"/>
        </w:rPr>
        <w:t>The number of households in arrears under 90 days (or “early arrears”) was reported at 23,</w:t>
      </w:r>
      <w:r w:rsidR="002B237B" w:rsidRPr="006D5521">
        <w:rPr>
          <w:rFonts w:ascii="Candara" w:hAnsi="Candara"/>
          <w:sz w:val="22"/>
          <w:szCs w:val="22"/>
        </w:rPr>
        <w:t>322</w:t>
      </w:r>
      <w:r w:rsidRPr="006D5521">
        <w:rPr>
          <w:rFonts w:ascii="Candara" w:hAnsi="Candara"/>
          <w:sz w:val="22"/>
          <w:szCs w:val="22"/>
        </w:rPr>
        <w:t xml:space="preserve"> </w:t>
      </w:r>
      <w:r w:rsidR="002B237B" w:rsidRPr="006D5521">
        <w:rPr>
          <w:rFonts w:ascii="Candara" w:hAnsi="Candara"/>
          <w:sz w:val="22"/>
          <w:szCs w:val="22"/>
        </w:rPr>
        <w:t>and th</w:t>
      </w:r>
      <w:r w:rsidRPr="006D5521">
        <w:rPr>
          <w:rFonts w:ascii="Candara" w:hAnsi="Candara"/>
          <w:sz w:val="22"/>
          <w:szCs w:val="22"/>
        </w:rPr>
        <w:t xml:space="preserve">e number of households in arrears for over 90 days at the end of </w:t>
      </w:r>
      <w:r w:rsidR="002B237B" w:rsidRPr="006D5521">
        <w:rPr>
          <w:rFonts w:ascii="Candara" w:hAnsi="Candara"/>
          <w:sz w:val="22"/>
          <w:szCs w:val="22"/>
        </w:rPr>
        <w:t>Q2</w:t>
      </w:r>
      <w:r w:rsidRPr="006D5521">
        <w:rPr>
          <w:rFonts w:ascii="Candara" w:hAnsi="Candara"/>
          <w:sz w:val="22"/>
          <w:szCs w:val="22"/>
        </w:rPr>
        <w:t xml:space="preserve"> stood at 5</w:t>
      </w:r>
      <w:r w:rsidR="002B237B" w:rsidRPr="006D5521">
        <w:rPr>
          <w:rFonts w:ascii="Candara" w:hAnsi="Candara"/>
          <w:sz w:val="22"/>
          <w:szCs w:val="22"/>
        </w:rPr>
        <w:t>1,750</w:t>
      </w:r>
      <w:r w:rsidRPr="006D5521">
        <w:rPr>
          <w:rFonts w:ascii="Candara" w:hAnsi="Candara"/>
          <w:sz w:val="22"/>
          <w:szCs w:val="22"/>
        </w:rPr>
        <w:t xml:space="preserve"> – which is a </w:t>
      </w:r>
      <w:r w:rsidR="002B237B" w:rsidRPr="006D5521">
        <w:rPr>
          <w:rFonts w:ascii="Candara" w:hAnsi="Candara"/>
          <w:sz w:val="22"/>
          <w:szCs w:val="22"/>
        </w:rPr>
        <w:t>2.5</w:t>
      </w:r>
      <w:r w:rsidRPr="006D5521">
        <w:rPr>
          <w:rFonts w:ascii="Candara" w:hAnsi="Candara"/>
          <w:sz w:val="22"/>
          <w:szCs w:val="22"/>
        </w:rPr>
        <w:t>% decline on Q</w:t>
      </w:r>
      <w:r w:rsidR="002B237B" w:rsidRPr="006D5521">
        <w:rPr>
          <w:rFonts w:ascii="Candara" w:hAnsi="Candara"/>
          <w:sz w:val="22"/>
          <w:szCs w:val="22"/>
        </w:rPr>
        <w:t>1</w:t>
      </w:r>
      <w:r w:rsidRPr="006D5521">
        <w:rPr>
          <w:rFonts w:ascii="Candara" w:hAnsi="Candara"/>
          <w:sz w:val="22"/>
          <w:szCs w:val="22"/>
        </w:rPr>
        <w:t xml:space="preserve">; </w:t>
      </w:r>
    </w:p>
    <w:p w:rsidR="00BF53A5" w:rsidRPr="006D5521" w:rsidRDefault="00BF53A5" w:rsidP="006D5521">
      <w:pPr>
        <w:pStyle w:val="NormalWeb"/>
        <w:numPr>
          <w:ilvl w:val="0"/>
          <w:numId w:val="7"/>
        </w:numPr>
        <w:spacing w:line="276" w:lineRule="auto"/>
        <w:rPr>
          <w:rFonts w:ascii="Candara" w:hAnsi="Candara"/>
          <w:sz w:val="22"/>
          <w:szCs w:val="22"/>
        </w:rPr>
      </w:pPr>
      <w:r w:rsidRPr="006D5521">
        <w:rPr>
          <w:rFonts w:ascii="Candara" w:hAnsi="Candara"/>
          <w:sz w:val="22"/>
          <w:szCs w:val="22"/>
        </w:rPr>
        <w:t>The number of households in “very long term arrears” (over 720 days) stood at 32,</w:t>
      </w:r>
      <w:r w:rsidR="002B237B" w:rsidRPr="006D5521">
        <w:rPr>
          <w:rFonts w:ascii="Candara" w:hAnsi="Candara"/>
          <w:sz w:val="22"/>
          <w:szCs w:val="22"/>
        </w:rPr>
        <w:t>953</w:t>
      </w:r>
      <w:r w:rsidRPr="006D5521">
        <w:rPr>
          <w:rFonts w:ascii="Candara" w:hAnsi="Candara"/>
          <w:sz w:val="22"/>
          <w:szCs w:val="22"/>
        </w:rPr>
        <w:t xml:space="preserve"> - or 4</w:t>
      </w:r>
      <w:r w:rsidR="002B237B" w:rsidRPr="006D5521">
        <w:rPr>
          <w:rFonts w:ascii="Candara" w:hAnsi="Candara"/>
          <w:sz w:val="22"/>
          <w:szCs w:val="22"/>
        </w:rPr>
        <w:t>4</w:t>
      </w:r>
      <w:r w:rsidRPr="006D5521">
        <w:rPr>
          <w:rFonts w:ascii="Candara" w:hAnsi="Candara"/>
          <w:sz w:val="22"/>
          <w:szCs w:val="22"/>
        </w:rPr>
        <w:t>% of all households in arrears (</w:t>
      </w:r>
      <w:r w:rsidR="002B237B" w:rsidRPr="006D5521">
        <w:rPr>
          <w:rFonts w:ascii="Candara" w:hAnsi="Candara"/>
          <w:sz w:val="22"/>
          <w:szCs w:val="22"/>
        </w:rPr>
        <w:t>accounting for 90% of arears balances outstanding)</w:t>
      </w:r>
      <w:r w:rsidRPr="006D5521">
        <w:rPr>
          <w:rFonts w:ascii="Candara" w:hAnsi="Candara"/>
          <w:sz w:val="22"/>
          <w:szCs w:val="22"/>
        </w:rPr>
        <w:t>;</w:t>
      </w:r>
    </w:p>
    <w:p w:rsidR="00BF53A5" w:rsidRPr="006D5521" w:rsidRDefault="006D5521" w:rsidP="006D5521">
      <w:pPr>
        <w:pStyle w:val="NormalWeb"/>
        <w:numPr>
          <w:ilvl w:val="0"/>
          <w:numId w:val="7"/>
        </w:numPr>
        <w:spacing w:line="276" w:lineRule="auto"/>
        <w:rPr>
          <w:rFonts w:ascii="Candara" w:hAnsi="Candara"/>
          <w:sz w:val="22"/>
          <w:szCs w:val="22"/>
        </w:rPr>
      </w:pPr>
      <w:r w:rsidRPr="006D5521">
        <w:rPr>
          <w:rFonts w:ascii="Candara" w:hAnsi="Candara"/>
          <w:sz w:val="22"/>
          <w:szCs w:val="22"/>
        </w:rPr>
        <w:t>Some 120,398</w:t>
      </w:r>
      <w:r w:rsidR="00BF53A5" w:rsidRPr="006D5521">
        <w:rPr>
          <w:rFonts w:ascii="Candara" w:hAnsi="Candara"/>
          <w:sz w:val="22"/>
          <w:szCs w:val="22"/>
        </w:rPr>
        <w:t xml:space="preserve"> </w:t>
      </w:r>
      <w:r w:rsidRPr="006D5521">
        <w:rPr>
          <w:rFonts w:ascii="Candara" w:hAnsi="Candara"/>
          <w:sz w:val="22"/>
          <w:szCs w:val="22"/>
        </w:rPr>
        <w:t xml:space="preserve">mortgage accounts </w:t>
      </w:r>
      <w:r w:rsidR="00BF53A5" w:rsidRPr="006D5521">
        <w:rPr>
          <w:rFonts w:ascii="Candara" w:hAnsi="Candara"/>
          <w:sz w:val="22"/>
          <w:szCs w:val="22"/>
        </w:rPr>
        <w:t>were classified as “restructured” and over 87% of these were deemed to be meeting the terms of the arrangement</w:t>
      </w:r>
      <w:r w:rsidRPr="006D5521">
        <w:rPr>
          <w:rFonts w:ascii="Candara" w:hAnsi="Candara"/>
          <w:sz w:val="22"/>
          <w:szCs w:val="22"/>
        </w:rPr>
        <w:t xml:space="preserve"> (although not all restructuring arrangements were deemed to be sustainable as defined within the Mortgage Arrears Resolution Targets)</w:t>
      </w:r>
      <w:r w:rsidR="00BF53A5" w:rsidRPr="006D5521">
        <w:rPr>
          <w:rFonts w:ascii="Candara" w:hAnsi="Candara"/>
          <w:sz w:val="22"/>
          <w:szCs w:val="22"/>
        </w:rPr>
        <w:t xml:space="preserve">. Typical arrangements included interest-only, reduced payments, temporary deferrals, </w:t>
      </w:r>
      <w:r w:rsidRPr="006D5521">
        <w:rPr>
          <w:rFonts w:ascii="Candara" w:hAnsi="Candara"/>
          <w:sz w:val="22"/>
          <w:szCs w:val="22"/>
        </w:rPr>
        <w:t>and also split mortgages and trade-down mortgages - which have been introduced to provide more long-term solutions for customers in difficulty</w:t>
      </w:r>
      <w:r w:rsidR="00BF53A5" w:rsidRPr="006D5521">
        <w:rPr>
          <w:rFonts w:ascii="Candara" w:hAnsi="Candara"/>
          <w:sz w:val="22"/>
          <w:szCs w:val="22"/>
        </w:rPr>
        <w:t>;</w:t>
      </w:r>
    </w:p>
    <w:p w:rsidR="00BF53A5" w:rsidRPr="006D5521" w:rsidRDefault="00BF53A5" w:rsidP="006D5521">
      <w:pPr>
        <w:pStyle w:val="NormalWeb"/>
        <w:numPr>
          <w:ilvl w:val="0"/>
          <w:numId w:val="7"/>
        </w:numPr>
        <w:spacing w:line="276" w:lineRule="auto"/>
        <w:rPr>
          <w:rFonts w:ascii="Candara" w:hAnsi="Candara"/>
          <w:sz w:val="22"/>
          <w:szCs w:val="22"/>
        </w:rPr>
      </w:pPr>
      <w:r w:rsidRPr="006D5521">
        <w:rPr>
          <w:rFonts w:ascii="Candara" w:hAnsi="Candara"/>
          <w:sz w:val="22"/>
          <w:szCs w:val="22"/>
        </w:rPr>
        <w:t>Legal proceedings were issued against 1,</w:t>
      </w:r>
      <w:r w:rsidR="006D5521" w:rsidRPr="006D5521">
        <w:rPr>
          <w:rFonts w:ascii="Candara" w:hAnsi="Candara"/>
          <w:sz w:val="22"/>
          <w:szCs w:val="22"/>
        </w:rPr>
        <w:t>262</w:t>
      </w:r>
      <w:r w:rsidRPr="006D5521">
        <w:rPr>
          <w:rFonts w:ascii="Candara" w:hAnsi="Candara"/>
          <w:sz w:val="22"/>
          <w:szCs w:val="22"/>
        </w:rPr>
        <w:t xml:space="preserve"> households in </w:t>
      </w:r>
      <w:r w:rsidR="006D5521" w:rsidRPr="006D5521">
        <w:rPr>
          <w:rFonts w:ascii="Candara" w:hAnsi="Candara"/>
          <w:sz w:val="22"/>
          <w:szCs w:val="22"/>
        </w:rPr>
        <w:t>this quarter</w:t>
      </w:r>
      <w:r w:rsidRPr="006D5521">
        <w:rPr>
          <w:rFonts w:ascii="Candara" w:hAnsi="Candara"/>
          <w:sz w:val="22"/>
          <w:szCs w:val="22"/>
        </w:rPr>
        <w:t>;</w:t>
      </w:r>
    </w:p>
    <w:p w:rsidR="00BF53A5" w:rsidRDefault="00BF53A5" w:rsidP="006D5521">
      <w:pPr>
        <w:pStyle w:val="NormalWeb"/>
        <w:numPr>
          <w:ilvl w:val="0"/>
          <w:numId w:val="7"/>
        </w:numPr>
        <w:spacing w:line="276" w:lineRule="auto"/>
        <w:rPr>
          <w:rFonts w:ascii="Candara" w:hAnsi="Candara"/>
          <w:sz w:val="22"/>
          <w:szCs w:val="22"/>
        </w:rPr>
      </w:pPr>
      <w:r w:rsidRPr="006D5521">
        <w:rPr>
          <w:rFonts w:ascii="Candara" w:hAnsi="Candara"/>
          <w:sz w:val="22"/>
          <w:szCs w:val="22"/>
        </w:rPr>
        <w:t xml:space="preserve">A total of </w:t>
      </w:r>
      <w:r w:rsidR="006D5521" w:rsidRPr="006D5521">
        <w:rPr>
          <w:rFonts w:ascii="Candara" w:hAnsi="Candara"/>
          <w:sz w:val="22"/>
          <w:szCs w:val="22"/>
        </w:rPr>
        <w:t>340</w:t>
      </w:r>
      <w:r w:rsidRPr="006D5521">
        <w:rPr>
          <w:rFonts w:ascii="Candara" w:hAnsi="Candara"/>
          <w:sz w:val="22"/>
          <w:szCs w:val="22"/>
        </w:rPr>
        <w:t xml:space="preserve"> properties were taken into possession by lenders during this quarter – </w:t>
      </w:r>
      <w:r w:rsidR="006D5521" w:rsidRPr="006D5521">
        <w:rPr>
          <w:rFonts w:ascii="Candara" w:hAnsi="Candara"/>
          <w:sz w:val="22"/>
          <w:szCs w:val="22"/>
        </w:rPr>
        <w:t>109 on foot of a court order and 231 were voluntarily surrendered;</w:t>
      </w:r>
    </w:p>
    <w:p w:rsidR="006E5E37" w:rsidRDefault="006E5E37" w:rsidP="006D5521">
      <w:pPr>
        <w:pStyle w:val="NormalWeb"/>
        <w:numPr>
          <w:ilvl w:val="0"/>
          <w:numId w:val="7"/>
        </w:numPr>
        <w:spacing w:line="276" w:lineRule="auto"/>
        <w:rPr>
          <w:rFonts w:ascii="Candara" w:hAnsi="Candara"/>
          <w:sz w:val="22"/>
          <w:szCs w:val="22"/>
        </w:rPr>
      </w:pPr>
      <w:r>
        <w:rPr>
          <w:rFonts w:ascii="Candara" w:hAnsi="Candara"/>
          <w:sz w:val="22"/>
          <w:szCs w:val="22"/>
        </w:rPr>
        <w:t>‘Non-bank entities’ now hold 48,199 mortgage accounts (for private dwellings and Buy-To-Let combined) – with 63% of these h</w:t>
      </w:r>
      <w:r w:rsidR="00196165">
        <w:rPr>
          <w:rFonts w:ascii="Candara" w:hAnsi="Candara"/>
          <w:sz w:val="22"/>
          <w:szCs w:val="22"/>
        </w:rPr>
        <w:t>e</w:t>
      </w:r>
      <w:r>
        <w:rPr>
          <w:rFonts w:ascii="Candara" w:hAnsi="Candara"/>
          <w:sz w:val="22"/>
          <w:szCs w:val="22"/>
        </w:rPr>
        <w:t>ld by regulated retail credit firms, and the remainder by unregulated loan owners.</w:t>
      </w:r>
    </w:p>
    <w:p w:rsidR="00BF53A5" w:rsidRDefault="00BF53A5" w:rsidP="00BF53A5">
      <w:pPr>
        <w:pStyle w:val="NormalWeb"/>
        <w:spacing w:line="276" w:lineRule="auto"/>
        <w:rPr>
          <w:rStyle w:val="Hyperlink"/>
          <w:rFonts w:ascii="Candara" w:hAnsi="Candara"/>
          <w:sz w:val="22"/>
          <w:szCs w:val="22"/>
        </w:rPr>
      </w:pPr>
      <w:r w:rsidRPr="006E5E37">
        <w:rPr>
          <w:rFonts w:ascii="Candara" w:hAnsi="Candara"/>
          <w:sz w:val="22"/>
          <w:szCs w:val="22"/>
        </w:rPr>
        <w:t>The Report also provides a breakdown of arrears, repossessions and restructures on Buy-To-</w:t>
      </w:r>
      <w:r w:rsidR="006E5E37" w:rsidRPr="006E5E37">
        <w:rPr>
          <w:rFonts w:ascii="Candara" w:hAnsi="Candara"/>
          <w:sz w:val="22"/>
          <w:szCs w:val="22"/>
        </w:rPr>
        <w:t>Let properties (totalling 126,995</w:t>
      </w:r>
      <w:r w:rsidRPr="006E5E37">
        <w:rPr>
          <w:rFonts w:ascii="Candara" w:hAnsi="Candara"/>
          <w:sz w:val="22"/>
          <w:szCs w:val="22"/>
        </w:rPr>
        <w:t xml:space="preserve"> mortgage accounts to a value of €2</w:t>
      </w:r>
      <w:r w:rsidR="006E5E37" w:rsidRPr="006E5E37">
        <w:rPr>
          <w:rFonts w:ascii="Candara" w:hAnsi="Candara"/>
          <w:sz w:val="22"/>
          <w:szCs w:val="22"/>
        </w:rPr>
        <w:t>3</w:t>
      </w:r>
      <w:r w:rsidRPr="006E5E37">
        <w:rPr>
          <w:rFonts w:ascii="Candara" w:hAnsi="Candara"/>
          <w:sz w:val="22"/>
          <w:szCs w:val="22"/>
        </w:rPr>
        <w:t xml:space="preserve"> billion). The full Report can be accessed </w:t>
      </w:r>
      <w:hyperlink r:id="rId16" w:history="1">
        <w:r w:rsidR="00AD014B" w:rsidRPr="00AD014B">
          <w:rPr>
            <w:rStyle w:val="Hyperlink"/>
            <w:rFonts w:ascii="Candara" w:hAnsi="Candara"/>
            <w:sz w:val="22"/>
            <w:szCs w:val="22"/>
          </w:rPr>
          <w:t>here.</w:t>
        </w:r>
      </w:hyperlink>
    </w:p>
    <w:p w:rsidR="003D6604" w:rsidRDefault="003D6604" w:rsidP="00BF53A5">
      <w:pPr>
        <w:pStyle w:val="NormalWeb"/>
        <w:spacing w:line="276" w:lineRule="auto"/>
        <w:rPr>
          <w:rFonts w:ascii="Candara" w:hAnsi="Candara"/>
          <w:sz w:val="22"/>
          <w:szCs w:val="22"/>
        </w:rPr>
      </w:pPr>
    </w:p>
    <w:p w:rsidR="00E42548" w:rsidRPr="00F2184B" w:rsidRDefault="00E61BD7" w:rsidP="00E42548">
      <w:pPr>
        <w:shd w:val="clear" w:color="auto" w:fill="D6E3BC" w:themeFill="accent3" w:themeFillTint="66"/>
        <w:spacing w:line="276" w:lineRule="auto"/>
        <w:rPr>
          <w:rFonts w:ascii="Candara" w:hAnsi="Candara"/>
          <w:b/>
          <w:sz w:val="32"/>
          <w:szCs w:val="32"/>
        </w:rPr>
      </w:pPr>
      <w:r>
        <w:rPr>
          <w:noProof/>
          <w:lang w:eastAsia="en-IE"/>
        </w:rPr>
        <w:drawing>
          <wp:anchor distT="0" distB="0" distL="114300" distR="114300" simplePos="0" relativeHeight="251691008" behindDoc="0" locked="0" layoutInCell="1" allowOverlap="1" wp14:anchorId="1F30EBCA" wp14:editId="32D27828">
            <wp:simplePos x="0" y="0"/>
            <wp:positionH relativeFrom="column">
              <wp:posOffset>0</wp:posOffset>
            </wp:positionH>
            <wp:positionV relativeFrom="paragraph">
              <wp:posOffset>287655</wp:posOffset>
            </wp:positionV>
            <wp:extent cx="1024255" cy="702310"/>
            <wp:effectExtent l="0" t="0" r="444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24255" cy="702310"/>
                    </a:xfrm>
                    <a:prstGeom prst="rect">
                      <a:avLst/>
                    </a:prstGeom>
                  </pic:spPr>
                </pic:pic>
              </a:graphicData>
            </a:graphic>
            <wp14:sizeRelH relativeFrom="page">
              <wp14:pctWidth>0</wp14:pctWidth>
            </wp14:sizeRelH>
            <wp14:sizeRelV relativeFrom="page">
              <wp14:pctHeight>0</wp14:pctHeight>
            </wp14:sizeRelV>
          </wp:anchor>
        </w:drawing>
      </w:r>
      <w:r w:rsidR="00E42548">
        <w:rPr>
          <w:rFonts w:ascii="Candara" w:hAnsi="Candara"/>
          <w:b/>
          <w:sz w:val="32"/>
          <w:szCs w:val="32"/>
        </w:rPr>
        <w:t>Pre-activation Programme for Young People with Disabilities - Ability</w:t>
      </w:r>
    </w:p>
    <w:p w:rsidR="005E7D96" w:rsidRDefault="00E42548" w:rsidP="005E7D96">
      <w:pPr>
        <w:spacing w:line="276" w:lineRule="auto"/>
        <w:rPr>
          <w:rStyle w:val="Hyperlink"/>
          <w:rFonts w:ascii="Candara" w:eastAsia="Times New Roman" w:hAnsi="Candara"/>
          <w:color w:val="auto"/>
          <w:u w:val="none"/>
        </w:rPr>
      </w:pPr>
      <w:r>
        <w:rPr>
          <w:rFonts w:ascii="Candara" w:eastAsia="Times New Roman" w:hAnsi="Candara"/>
        </w:rPr>
        <w:t xml:space="preserve">In </w:t>
      </w:r>
      <w:r w:rsidR="00895E23">
        <w:rPr>
          <w:rFonts w:ascii="Candara" w:eastAsia="Times New Roman" w:hAnsi="Candara"/>
        </w:rPr>
        <w:t xml:space="preserve">September 2017, </w:t>
      </w:r>
      <w:r w:rsidR="005E7D96" w:rsidRPr="005E7D96">
        <w:rPr>
          <w:rFonts w:ascii="Candara" w:eastAsia="Times New Roman" w:hAnsi="Candara"/>
        </w:rPr>
        <w:t xml:space="preserve">Minister for Employment Affairs and Social Protection, Regina Doherty, TD, </w:t>
      </w:r>
      <w:r w:rsidR="00895E23">
        <w:rPr>
          <w:rFonts w:ascii="Candara" w:eastAsia="Times New Roman" w:hAnsi="Candara"/>
        </w:rPr>
        <w:t xml:space="preserve">launched </w:t>
      </w:r>
      <w:r w:rsidR="005E7D96" w:rsidRPr="005E7D96">
        <w:rPr>
          <w:rFonts w:ascii="Candara" w:eastAsia="Times New Roman" w:hAnsi="Candara"/>
        </w:rPr>
        <w:t xml:space="preserve">a new pre-activation programme for young people with </w:t>
      </w:r>
      <w:r w:rsidR="00895E23">
        <w:rPr>
          <w:rFonts w:ascii="Candara" w:eastAsia="Times New Roman" w:hAnsi="Candara"/>
        </w:rPr>
        <w:t xml:space="preserve">disabilities called “Ability”. The three-year, €10 million programme will be managed by </w:t>
      </w:r>
      <w:r w:rsidR="005E7D96" w:rsidRPr="005E7D96">
        <w:rPr>
          <w:rFonts w:ascii="Candara" w:eastAsia="Times New Roman" w:hAnsi="Candara"/>
        </w:rPr>
        <w:t>Pobal</w:t>
      </w:r>
      <w:r w:rsidR="00895E23">
        <w:rPr>
          <w:rFonts w:ascii="Candara" w:eastAsia="Times New Roman" w:hAnsi="Candara"/>
        </w:rPr>
        <w:t xml:space="preserve"> (a </w:t>
      </w:r>
      <w:r w:rsidR="00895E23" w:rsidRPr="00895E23">
        <w:rPr>
          <w:rFonts w:ascii="Candara" w:eastAsia="Times New Roman" w:hAnsi="Candara"/>
        </w:rPr>
        <w:t xml:space="preserve">not-for-profit company </w:t>
      </w:r>
      <w:r w:rsidR="00895E23">
        <w:rPr>
          <w:rFonts w:ascii="Candara" w:eastAsia="Times New Roman" w:hAnsi="Candara"/>
        </w:rPr>
        <w:t xml:space="preserve">which </w:t>
      </w:r>
      <w:r w:rsidR="00895E23" w:rsidRPr="00895E23">
        <w:rPr>
          <w:rFonts w:ascii="Candara" w:eastAsia="Times New Roman" w:hAnsi="Candara"/>
        </w:rPr>
        <w:t>acts as an intermediary for programmes funded by the Irish Government and the EU</w:t>
      </w:r>
      <w:r w:rsidR="00895E23">
        <w:rPr>
          <w:rFonts w:ascii="Candara" w:eastAsia="Times New Roman" w:hAnsi="Candara"/>
        </w:rPr>
        <w:t xml:space="preserve">) </w:t>
      </w:r>
      <w:r w:rsidR="005E7D96" w:rsidRPr="005E7D96">
        <w:rPr>
          <w:rFonts w:ascii="Candara" w:eastAsia="Times New Roman" w:hAnsi="Candara"/>
        </w:rPr>
        <w:t>on behalf of the Department of Employment Affairs and Social Protection. The aim of the Ability programme is to bring young people with disabilities who are not work-ready closer to the labour market</w:t>
      </w:r>
      <w:r w:rsidR="00895E23">
        <w:rPr>
          <w:rFonts w:ascii="Candara" w:eastAsia="Times New Roman" w:hAnsi="Candara"/>
        </w:rPr>
        <w:t xml:space="preserve"> and th</w:t>
      </w:r>
      <w:r w:rsidR="005E7D96" w:rsidRPr="005E7D96">
        <w:rPr>
          <w:rFonts w:ascii="Candara" w:eastAsia="Times New Roman" w:hAnsi="Candara"/>
        </w:rPr>
        <w:t>e focus will be on projects aimed at young people with disabilities (aged 15 – 29) designed to assist in their transition from school to further education and employment</w:t>
      </w:r>
      <w:r w:rsidR="00895E23">
        <w:rPr>
          <w:rFonts w:ascii="Candara" w:eastAsia="Times New Roman" w:hAnsi="Candara"/>
        </w:rPr>
        <w:t xml:space="preserve">. </w:t>
      </w:r>
      <w:r w:rsidR="00E61BD7">
        <w:rPr>
          <w:rStyle w:val="Hyperlink"/>
          <w:rFonts w:ascii="Candara" w:eastAsia="Times New Roman" w:hAnsi="Candara"/>
          <w:color w:val="auto"/>
          <w:u w:val="none"/>
        </w:rPr>
        <w:t xml:space="preserve">Further information can be accessed on the Pobal website </w:t>
      </w:r>
      <w:hyperlink r:id="rId18" w:history="1">
        <w:r w:rsidR="00E61BD7" w:rsidRPr="00E61BD7">
          <w:rPr>
            <w:rStyle w:val="Hyperlink"/>
            <w:rFonts w:ascii="Candara" w:eastAsia="Times New Roman" w:hAnsi="Candara"/>
          </w:rPr>
          <w:t>here</w:t>
        </w:r>
      </w:hyperlink>
      <w:r w:rsidR="00E61BD7">
        <w:rPr>
          <w:rStyle w:val="Hyperlink"/>
          <w:rFonts w:ascii="Candara" w:eastAsia="Times New Roman" w:hAnsi="Candara"/>
          <w:color w:val="auto"/>
          <w:u w:val="none"/>
        </w:rPr>
        <w:t>.</w:t>
      </w:r>
    </w:p>
    <w:p w:rsidR="00485F3C" w:rsidRDefault="00485F3C" w:rsidP="005E7D96">
      <w:pPr>
        <w:spacing w:line="276" w:lineRule="auto"/>
        <w:rPr>
          <w:rStyle w:val="Hyperlink"/>
          <w:rFonts w:ascii="Candara" w:eastAsia="Times New Roman" w:hAnsi="Candara"/>
          <w:color w:val="auto"/>
          <w:u w:val="none"/>
        </w:rPr>
      </w:pPr>
    </w:p>
    <w:p w:rsidR="0042330F" w:rsidRPr="002B5E97" w:rsidRDefault="0042330F" w:rsidP="0042330F">
      <w:pPr>
        <w:shd w:val="clear" w:color="auto" w:fill="D6E3BC" w:themeFill="accent3" w:themeFillTint="66"/>
        <w:spacing w:line="276" w:lineRule="auto"/>
        <w:rPr>
          <w:rFonts w:ascii="Candara" w:hAnsi="Candara"/>
          <w:b/>
          <w:sz w:val="32"/>
          <w:szCs w:val="32"/>
        </w:rPr>
      </w:pPr>
      <w:r>
        <w:rPr>
          <w:rFonts w:ascii="Candara" w:hAnsi="Candara"/>
          <w:b/>
          <w:sz w:val="32"/>
          <w:szCs w:val="32"/>
        </w:rPr>
        <w:t>Other news</w:t>
      </w:r>
      <w:r w:rsidRPr="002B5E97">
        <w:rPr>
          <w:rFonts w:ascii="Candara" w:hAnsi="Candara"/>
          <w:b/>
          <w:sz w:val="32"/>
          <w:szCs w:val="32"/>
        </w:rPr>
        <w:t xml:space="preserve"> </w:t>
      </w:r>
    </w:p>
    <w:p w:rsidR="003D6604" w:rsidRDefault="0042330F" w:rsidP="00F86EFD">
      <w:pPr>
        <w:spacing w:line="276" w:lineRule="auto"/>
        <w:rPr>
          <w:rStyle w:val="Hyperlink"/>
          <w:rFonts w:ascii="Candara" w:eastAsia="Times New Roman" w:hAnsi="Candara"/>
          <w:color w:val="auto"/>
          <w:u w:val="none"/>
        </w:rPr>
      </w:pPr>
      <w:r>
        <w:rPr>
          <w:rStyle w:val="Hyperlink"/>
          <w:rFonts w:ascii="Candara" w:eastAsia="Times New Roman" w:hAnsi="Candara"/>
          <w:color w:val="auto"/>
          <w:u w:val="none"/>
        </w:rPr>
        <w:t xml:space="preserve">In October 2017, the </w:t>
      </w:r>
      <w:r w:rsidRPr="00F86EFD">
        <w:rPr>
          <w:rStyle w:val="Hyperlink"/>
          <w:rFonts w:ascii="Candara" w:eastAsia="Times New Roman" w:hAnsi="Candara"/>
          <w:b/>
          <w:color w:val="auto"/>
          <w:u w:val="none"/>
        </w:rPr>
        <w:t>Central Statistics Office</w:t>
      </w:r>
      <w:r>
        <w:rPr>
          <w:rStyle w:val="Hyperlink"/>
          <w:rFonts w:ascii="Candara" w:eastAsia="Times New Roman" w:hAnsi="Candara"/>
          <w:color w:val="auto"/>
          <w:u w:val="none"/>
        </w:rPr>
        <w:t xml:space="preserve"> released the </w:t>
      </w:r>
      <w:r w:rsidRPr="0042330F">
        <w:rPr>
          <w:rStyle w:val="Hyperlink"/>
          <w:rFonts w:ascii="Candara" w:eastAsia="Times New Roman" w:hAnsi="Candara"/>
          <w:color w:val="auto"/>
          <w:u w:val="none"/>
        </w:rPr>
        <w:t xml:space="preserve">eighth of </w:t>
      </w:r>
      <w:r>
        <w:rPr>
          <w:rStyle w:val="Hyperlink"/>
          <w:rFonts w:ascii="Candara" w:eastAsia="Times New Roman" w:hAnsi="Candara"/>
          <w:color w:val="auto"/>
          <w:u w:val="none"/>
        </w:rPr>
        <w:t xml:space="preserve">its </w:t>
      </w:r>
      <w:r w:rsidRPr="0042330F">
        <w:rPr>
          <w:rStyle w:val="Hyperlink"/>
          <w:rFonts w:ascii="Candara" w:eastAsia="Times New Roman" w:hAnsi="Candara"/>
          <w:color w:val="auto"/>
          <w:u w:val="none"/>
        </w:rPr>
        <w:t>eleven thematic reports of Census 2016 results</w:t>
      </w:r>
      <w:r>
        <w:rPr>
          <w:rStyle w:val="Hyperlink"/>
          <w:rFonts w:ascii="Candara" w:eastAsia="Times New Roman" w:hAnsi="Candara"/>
          <w:color w:val="auto"/>
          <w:u w:val="none"/>
        </w:rPr>
        <w:t>. The focus of this report was on</w:t>
      </w:r>
      <w:r w:rsidRPr="0042330F">
        <w:rPr>
          <w:rStyle w:val="Hyperlink"/>
          <w:rFonts w:ascii="Candara" w:eastAsia="Times New Roman" w:hAnsi="Candara"/>
          <w:color w:val="auto"/>
          <w:u w:val="none"/>
        </w:rPr>
        <w:t xml:space="preserve"> the demographic structure of </w:t>
      </w:r>
      <w:r>
        <w:rPr>
          <w:rStyle w:val="Hyperlink"/>
          <w:rFonts w:ascii="Candara" w:eastAsia="Times New Roman" w:hAnsi="Candara"/>
          <w:color w:val="auto"/>
          <w:u w:val="none"/>
        </w:rPr>
        <w:t xml:space="preserve">the Irish </w:t>
      </w:r>
      <w:r w:rsidRPr="0042330F">
        <w:rPr>
          <w:rStyle w:val="Hyperlink"/>
          <w:rFonts w:ascii="Candara" w:eastAsia="Times New Roman" w:hAnsi="Candara"/>
          <w:color w:val="auto"/>
          <w:u w:val="none"/>
        </w:rPr>
        <w:t xml:space="preserve">population, </w:t>
      </w:r>
      <w:r>
        <w:rPr>
          <w:rStyle w:val="Hyperlink"/>
          <w:rFonts w:ascii="Candara" w:eastAsia="Times New Roman" w:hAnsi="Candara"/>
          <w:color w:val="auto"/>
          <w:u w:val="none"/>
        </w:rPr>
        <w:t xml:space="preserve">specifically </w:t>
      </w:r>
      <w:r w:rsidRPr="0042330F">
        <w:rPr>
          <w:rStyle w:val="Hyperlink"/>
          <w:rFonts w:ascii="Candara" w:eastAsia="Times New Roman" w:hAnsi="Candara"/>
          <w:color w:val="auto"/>
          <w:u w:val="none"/>
        </w:rPr>
        <w:t xml:space="preserve">looking at </w:t>
      </w:r>
      <w:r w:rsidRPr="0042330F">
        <w:rPr>
          <w:rStyle w:val="Hyperlink"/>
          <w:rFonts w:ascii="Candara" w:eastAsia="Times New Roman" w:hAnsi="Candara"/>
          <w:color w:val="auto"/>
          <w:u w:val="none"/>
        </w:rPr>
        <w:lastRenderedPageBreak/>
        <w:t>religion, ethnicity and Irish Travellers.</w:t>
      </w:r>
      <w:r w:rsidRPr="0042330F">
        <w:t xml:space="preserve"> </w:t>
      </w:r>
      <w:r>
        <w:t xml:space="preserve">Entitled </w:t>
      </w:r>
      <w:r w:rsidRPr="003D6604">
        <w:t>“</w:t>
      </w:r>
      <w:r w:rsidRPr="003D6604">
        <w:rPr>
          <w:rFonts w:ascii="Candara" w:eastAsia="Times New Roman" w:hAnsi="Candara"/>
        </w:rPr>
        <w:t>Census 2016: Profile 8 -  Irish Travellers, Ethnicity and Religion”,</w:t>
      </w:r>
      <w:r>
        <w:rPr>
          <w:rStyle w:val="Hyperlink"/>
          <w:rFonts w:ascii="Candara" w:eastAsia="Times New Roman" w:hAnsi="Candara"/>
          <w:color w:val="auto"/>
          <w:u w:val="none"/>
        </w:rPr>
        <w:t xml:space="preserve"> the </w:t>
      </w:r>
      <w:r w:rsidRPr="0042330F">
        <w:rPr>
          <w:rStyle w:val="Hyperlink"/>
          <w:rFonts w:ascii="Candara" w:eastAsia="Times New Roman" w:hAnsi="Candara"/>
          <w:color w:val="auto"/>
          <w:u w:val="none"/>
        </w:rPr>
        <w:t xml:space="preserve">report shows </w:t>
      </w:r>
      <w:r>
        <w:rPr>
          <w:rStyle w:val="Hyperlink"/>
          <w:rFonts w:ascii="Candara" w:eastAsia="Times New Roman" w:hAnsi="Candara"/>
          <w:color w:val="auto"/>
          <w:u w:val="none"/>
        </w:rPr>
        <w:t xml:space="preserve">that on Census night (April 2017), </w:t>
      </w:r>
      <w:r w:rsidRPr="0042330F">
        <w:rPr>
          <w:rStyle w:val="Hyperlink"/>
          <w:rFonts w:ascii="Candara" w:eastAsia="Times New Roman" w:hAnsi="Candara"/>
          <w:color w:val="auto"/>
          <w:u w:val="none"/>
        </w:rPr>
        <w:t>the number of Irish Travellers stood at 30,987, representing 0.7% of the general population.</w:t>
      </w:r>
      <w:r w:rsidR="003D6604" w:rsidRPr="003D6604">
        <w:rPr>
          <w:rStyle w:val="Hyperlink"/>
          <w:rFonts w:ascii="Candara" w:eastAsia="Times New Roman" w:hAnsi="Candara"/>
          <w:color w:val="auto"/>
          <w:u w:val="none"/>
        </w:rPr>
        <w:t xml:space="preserve"> </w:t>
      </w:r>
      <w:r w:rsidR="00485F3C">
        <w:rPr>
          <w:rStyle w:val="Hyperlink"/>
          <w:rFonts w:ascii="Candara" w:eastAsia="Times New Roman" w:hAnsi="Candara"/>
          <w:color w:val="auto"/>
          <w:u w:val="none"/>
        </w:rPr>
        <w:t xml:space="preserve">In terms of ethnic composition, the analysis demonstrated that </w:t>
      </w:r>
      <w:r w:rsidR="00485F3C" w:rsidRPr="00485F3C">
        <w:rPr>
          <w:rStyle w:val="Hyperlink"/>
          <w:rFonts w:ascii="Candara" w:eastAsia="Times New Roman" w:hAnsi="Candara"/>
          <w:color w:val="auto"/>
          <w:u w:val="none"/>
        </w:rPr>
        <w:t>“</w:t>
      </w:r>
      <w:r w:rsidR="00485F3C" w:rsidRPr="00485F3C">
        <w:rPr>
          <w:rStyle w:val="Hyperlink"/>
          <w:rFonts w:ascii="Candara" w:eastAsia="Times New Roman" w:hAnsi="Candara"/>
          <w:i/>
          <w:color w:val="auto"/>
          <w:u w:val="none"/>
        </w:rPr>
        <w:t>White Irish</w:t>
      </w:r>
      <w:r w:rsidR="00485F3C" w:rsidRPr="00485F3C">
        <w:rPr>
          <w:rStyle w:val="Hyperlink"/>
          <w:rFonts w:ascii="Candara" w:eastAsia="Times New Roman" w:hAnsi="Candara"/>
          <w:color w:val="auto"/>
          <w:u w:val="none"/>
        </w:rPr>
        <w:t>” remains by far the largest group, accounting for 82%</w:t>
      </w:r>
      <w:r w:rsidR="00485F3C">
        <w:rPr>
          <w:rStyle w:val="Hyperlink"/>
          <w:rFonts w:ascii="Candara" w:eastAsia="Times New Roman" w:hAnsi="Candara"/>
          <w:color w:val="auto"/>
          <w:u w:val="none"/>
        </w:rPr>
        <w:t xml:space="preserve"> of</w:t>
      </w:r>
      <w:r w:rsidR="00485F3C" w:rsidRPr="00485F3C">
        <w:rPr>
          <w:rStyle w:val="Hyperlink"/>
          <w:rFonts w:ascii="Candara" w:eastAsia="Times New Roman" w:hAnsi="Candara"/>
          <w:color w:val="auto"/>
          <w:u w:val="none"/>
        </w:rPr>
        <w:t xml:space="preserve"> usual residents.  This was followed by “</w:t>
      </w:r>
      <w:r w:rsidR="00485F3C" w:rsidRPr="00485F3C">
        <w:rPr>
          <w:rStyle w:val="Hyperlink"/>
          <w:rFonts w:ascii="Candara" w:eastAsia="Times New Roman" w:hAnsi="Candara"/>
          <w:i/>
          <w:color w:val="auto"/>
          <w:u w:val="none"/>
        </w:rPr>
        <w:t>Any other White background</w:t>
      </w:r>
      <w:r w:rsidR="00485F3C" w:rsidRPr="00485F3C">
        <w:rPr>
          <w:rStyle w:val="Hyperlink"/>
          <w:rFonts w:ascii="Candara" w:eastAsia="Times New Roman" w:hAnsi="Candara"/>
          <w:color w:val="auto"/>
          <w:u w:val="none"/>
        </w:rPr>
        <w:t xml:space="preserve">” (9.5%), </w:t>
      </w:r>
      <w:r w:rsidR="00485F3C">
        <w:rPr>
          <w:rStyle w:val="Hyperlink"/>
          <w:rFonts w:ascii="Candara" w:eastAsia="Times New Roman" w:hAnsi="Candara"/>
          <w:color w:val="auto"/>
          <w:u w:val="none"/>
        </w:rPr>
        <w:t>“</w:t>
      </w:r>
      <w:r w:rsidR="00485F3C" w:rsidRPr="00485F3C">
        <w:rPr>
          <w:rStyle w:val="Hyperlink"/>
          <w:rFonts w:ascii="Candara" w:eastAsia="Times New Roman" w:hAnsi="Candara"/>
          <w:i/>
          <w:color w:val="auto"/>
          <w:u w:val="none"/>
        </w:rPr>
        <w:t>non-Chinese Asian</w:t>
      </w:r>
      <w:r w:rsidR="00485F3C">
        <w:rPr>
          <w:rStyle w:val="Hyperlink"/>
          <w:rFonts w:ascii="Candara" w:eastAsia="Times New Roman" w:hAnsi="Candara"/>
          <w:color w:val="auto"/>
          <w:u w:val="none"/>
        </w:rPr>
        <w:t>”</w:t>
      </w:r>
      <w:r w:rsidR="00485F3C" w:rsidRPr="00485F3C">
        <w:rPr>
          <w:rStyle w:val="Hyperlink"/>
          <w:rFonts w:ascii="Candara" w:eastAsia="Times New Roman" w:hAnsi="Candara"/>
          <w:color w:val="auto"/>
          <w:u w:val="none"/>
        </w:rPr>
        <w:t xml:space="preserve"> (1.7%) and “</w:t>
      </w:r>
      <w:r w:rsidR="00485F3C" w:rsidRPr="00485F3C">
        <w:rPr>
          <w:rStyle w:val="Hyperlink"/>
          <w:rFonts w:ascii="Candara" w:eastAsia="Times New Roman" w:hAnsi="Candara"/>
          <w:i/>
          <w:color w:val="auto"/>
          <w:u w:val="none"/>
        </w:rPr>
        <w:t>other incl. mixed background</w:t>
      </w:r>
      <w:r w:rsidR="00485F3C" w:rsidRPr="00485F3C">
        <w:rPr>
          <w:rStyle w:val="Hyperlink"/>
          <w:rFonts w:ascii="Candara" w:eastAsia="Times New Roman" w:hAnsi="Candara"/>
          <w:color w:val="auto"/>
          <w:u w:val="none"/>
        </w:rPr>
        <w:t xml:space="preserve">” (1.5%).  </w:t>
      </w:r>
      <w:r w:rsidR="003D6604">
        <w:rPr>
          <w:rStyle w:val="Hyperlink"/>
          <w:rFonts w:ascii="Candara" w:eastAsia="Times New Roman" w:hAnsi="Candara"/>
          <w:color w:val="auto"/>
          <w:u w:val="none"/>
        </w:rPr>
        <w:t xml:space="preserve">The full report can be accessed </w:t>
      </w:r>
      <w:hyperlink r:id="rId19" w:history="1">
        <w:r w:rsidR="003D6604" w:rsidRPr="003D6604">
          <w:rPr>
            <w:rStyle w:val="Hyperlink"/>
            <w:rFonts w:ascii="Candara" w:eastAsia="Times New Roman" w:hAnsi="Candara"/>
          </w:rPr>
          <w:t>here</w:t>
        </w:r>
      </w:hyperlink>
      <w:r w:rsidR="003D6604">
        <w:rPr>
          <w:rStyle w:val="Hyperlink"/>
          <w:rFonts w:ascii="Candara" w:eastAsia="Times New Roman" w:hAnsi="Candara"/>
          <w:color w:val="auto"/>
          <w:u w:val="none"/>
        </w:rPr>
        <w:t>.</w:t>
      </w:r>
    </w:p>
    <w:p w:rsidR="003D6604" w:rsidRDefault="003D6604" w:rsidP="00F86EFD">
      <w:pPr>
        <w:spacing w:line="276" w:lineRule="auto"/>
        <w:rPr>
          <w:rStyle w:val="Hyperlink"/>
          <w:rFonts w:ascii="Candara" w:eastAsia="Times New Roman" w:hAnsi="Candara"/>
          <w:color w:val="auto"/>
          <w:u w:val="none"/>
        </w:rPr>
      </w:pPr>
    </w:p>
    <w:p w:rsidR="00F86EFD" w:rsidRDefault="00F86EFD" w:rsidP="00F86EFD">
      <w:pPr>
        <w:spacing w:line="276" w:lineRule="auto"/>
        <w:rPr>
          <w:rStyle w:val="Hyperlink"/>
          <w:rFonts w:ascii="Candara" w:eastAsia="Times New Roman" w:hAnsi="Candara"/>
          <w:color w:val="auto"/>
          <w:u w:val="none"/>
        </w:rPr>
      </w:pPr>
      <w:r>
        <w:rPr>
          <w:rStyle w:val="Hyperlink"/>
          <w:rFonts w:ascii="Candara" w:eastAsia="Times New Roman" w:hAnsi="Candara"/>
          <w:color w:val="auto"/>
          <w:u w:val="none"/>
        </w:rPr>
        <w:t xml:space="preserve">In September 2017, the Office of the Ombudsman published </w:t>
      </w:r>
      <w:r w:rsidRPr="00F86EFD">
        <w:rPr>
          <w:rStyle w:val="Hyperlink"/>
          <w:rFonts w:ascii="Candara" w:eastAsia="Times New Roman" w:hAnsi="Candara"/>
          <w:b/>
          <w:color w:val="auto"/>
          <w:u w:val="none"/>
        </w:rPr>
        <w:t>The Ombudsman's Casebook</w:t>
      </w:r>
      <w:r>
        <w:rPr>
          <w:rStyle w:val="Hyperlink"/>
          <w:rFonts w:ascii="Candara" w:eastAsia="Times New Roman" w:hAnsi="Candara"/>
          <w:color w:val="auto"/>
          <w:u w:val="none"/>
        </w:rPr>
        <w:t>,</w:t>
      </w:r>
      <w:r w:rsidRPr="00F86EFD">
        <w:rPr>
          <w:rStyle w:val="Hyperlink"/>
          <w:rFonts w:ascii="Candara" w:eastAsia="Times New Roman" w:hAnsi="Candara"/>
          <w:color w:val="auto"/>
          <w:u w:val="none"/>
        </w:rPr>
        <w:t xml:space="preserve"> </w:t>
      </w:r>
      <w:r>
        <w:rPr>
          <w:rStyle w:val="Hyperlink"/>
          <w:rFonts w:ascii="Candara" w:eastAsia="Times New Roman" w:hAnsi="Candara"/>
          <w:color w:val="auto"/>
          <w:u w:val="none"/>
        </w:rPr>
        <w:t xml:space="preserve">which shares </w:t>
      </w:r>
      <w:r w:rsidRPr="00F86EFD">
        <w:rPr>
          <w:rStyle w:val="Hyperlink"/>
          <w:rFonts w:ascii="Candara" w:eastAsia="Times New Roman" w:hAnsi="Candara"/>
          <w:color w:val="auto"/>
          <w:u w:val="none"/>
        </w:rPr>
        <w:t>summaries of some of the cases the Ombudsman Peter Tyndall recently examined. Among the complaints summarised this quarter are complaints about</w:t>
      </w:r>
      <w:r>
        <w:rPr>
          <w:rStyle w:val="Hyperlink"/>
          <w:rFonts w:ascii="Candara" w:eastAsia="Times New Roman" w:hAnsi="Candara"/>
          <w:color w:val="auto"/>
          <w:u w:val="none"/>
        </w:rPr>
        <w:t xml:space="preserve"> </w:t>
      </w:r>
      <w:r>
        <w:rPr>
          <w:rStyle w:val="Hyperlink"/>
          <w:rFonts w:ascii="MS Gothic" w:eastAsia="MS Gothic" w:hAnsi="MS Gothic" w:cs="MS Gothic"/>
          <w:color w:val="auto"/>
          <w:u w:val="none"/>
        </w:rPr>
        <w:t>d</w:t>
      </w:r>
      <w:r w:rsidRPr="00F86EFD">
        <w:rPr>
          <w:rStyle w:val="Hyperlink"/>
          <w:rFonts w:ascii="Candara" w:eastAsia="Times New Roman" w:hAnsi="Candara"/>
          <w:color w:val="auto"/>
          <w:u w:val="none"/>
        </w:rPr>
        <w:t>irect provision accommodation (</w:t>
      </w:r>
      <w:r>
        <w:rPr>
          <w:rStyle w:val="Hyperlink"/>
          <w:rFonts w:ascii="Candara" w:eastAsia="Times New Roman" w:hAnsi="Candara"/>
          <w:color w:val="auto"/>
          <w:u w:val="none"/>
        </w:rPr>
        <w:t>which has come under t</w:t>
      </w:r>
      <w:r w:rsidR="00941F81">
        <w:rPr>
          <w:rStyle w:val="Hyperlink"/>
          <w:rFonts w:ascii="Candara" w:eastAsia="Times New Roman" w:hAnsi="Candara"/>
          <w:color w:val="auto"/>
          <w:u w:val="none"/>
        </w:rPr>
        <w:t>he auspices of the Office in April 2017</w:t>
      </w:r>
      <w:r>
        <w:rPr>
          <w:rStyle w:val="Hyperlink"/>
          <w:rFonts w:ascii="Candara" w:eastAsia="Times New Roman" w:hAnsi="Candara"/>
          <w:color w:val="auto"/>
          <w:u w:val="none"/>
        </w:rPr>
        <w:t xml:space="preserve">), </w:t>
      </w:r>
      <w:r w:rsidRPr="00F86EFD">
        <w:rPr>
          <w:rStyle w:val="Hyperlink"/>
          <w:rFonts w:ascii="Candara" w:eastAsia="Times New Roman" w:hAnsi="Candara"/>
          <w:color w:val="auto"/>
          <w:u w:val="none"/>
        </w:rPr>
        <w:t>additional charges in private nursing home</w:t>
      </w:r>
      <w:r>
        <w:rPr>
          <w:rStyle w:val="Hyperlink"/>
          <w:rFonts w:ascii="Candara" w:eastAsia="Times New Roman" w:hAnsi="Candara"/>
          <w:color w:val="auto"/>
          <w:u w:val="none"/>
        </w:rPr>
        <w:t xml:space="preserve">s, the </w:t>
      </w:r>
      <w:r w:rsidRPr="00F86EFD">
        <w:rPr>
          <w:rStyle w:val="Hyperlink"/>
          <w:rFonts w:ascii="Candara" w:eastAsia="Times New Roman" w:hAnsi="Candara"/>
          <w:color w:val="auto"/>
          <w:u w:val="none"/>
        </w:rPr>
        <w:t xml:space="preserve">Cross Border Healthcare scheme </w:t>
      </w:r>
      <w:r>
        <w:rPr>
          <w:rStyle w:val="Hyperlink"/>
          <w:rFonts w:ascii="Candara" w:eastAsia="Times New Roman" w:hAnsi="Candara"/>
          <w:color w:val="auto"/>
          <w:u w:val="none"/>
        </w:rPr>
        <w:t xml:space="preserve">and </w:t>
      </w:r>
      <w:r w:rsidRPr="00F86EFD">
        <w:rPr>
          <w:rStyle w:val="Hyperlink"/>
          <w:rFonts w:ascii="Candara" w:eastAsia="Times New Roman" w:hAnsi="Candara"/>
          <w:color w:val="auto"/>
          <w:u w:val="none"/>
        </w:rPr>
        <w:t>third level education grants from St</w:t>
      </w:r>
      <w:r>
        <w:rPr>
          <w:rStyle w:val="Hyperlink"/>
          <w:rFonts w:ascii="Candara" w:eastAsia="Times New Roman" w:hAnsi="Candara"/>
          <w:color w:val="auto"/>
          <w:u w:val="none"/>
        </w:rPr>
        <w:t xml:space="preserve">udent Universal Support Ireland. This, and previous editions, can be accessed here at </w:t>
      </w:r>
      <w:hyperlink r:id="rId20" w:history="1">
        <w:r w:rsidRPr="001B1B25">
          <w:rPr>
            <w:rStyle w:val="Hyperlink"/>
            <w:rFonts w:ascii="Candara" w:eastAsia="Times New Roman" w:hAnsi="Candara"/>
          </w:rPr>
          <w:t>www.ombudsman.ie/casebook</w:t>
        </w:r>
      </w:hyperlink>
      <w:r>
        <w:rPr>
          <w:rStyle w:val="Hyperlink"/>
          <w:rFonts w:ascii="Candara" w:eastAsia="Times New Roman" w:hAnsi="Candara"/>
          <w:color w:val="auto"/>
          <w:u w:val="none"/>
        </w:rPr>
        <w:t xml:space="preserve"> </w:t>
      </w:r>
    </w:p>
    <w:sectPr w:rsidR="00F86EFD" w:rsidSect="00C53BC3">
      <w:headerReference w:type="even" r:id="rId21"/>
      <w:headerReference w:type="default" r:id="rId22"/>
      <w:footerReference w:type="even" r:id="rId23"/>
      <w:footerReference w:type="default" r:id="rId24"/>
      <w:headerReference w:type="first" r:id="rId25"/>
      <w:footerReference w:type="first" r:id="rId26"/>
      <w:type w:val="continuous"/>
      <w:pgSz w:w="11906" w:h="16838"/>
      <w:pgMar w:top="720" w:right="720" w:bottom="567" w:left="720" w:header="708" w:footer="708"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D54" w:rsidRDefault="00BA6D54" w:rsidP="00DA744F">
      <w:r>
        <w:separator/>
      </w:r>
    </w:p>
  </w:endnote>
  <w:endnote w:type="continuationSeparator" w:id="0">
    <w:p w:rsidR="00BA6D54" w:rsidRDefault="00BA6D54" w:rsidP="00DA7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D54" w:rsidRDefault="00BA6D54" w:rsidP="008A42F4">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p w:rsidR="00BA6D54" w:rsidRDefault="00BA6D54" w:rsidP="008A42F4">
    <w:pPr>
      <w:pStyle w:val="Footer"/>
      <w:ind w:right="360"/>
    </w:pPr>
  </w:p>
  <w:p w:rsidR="00BA6D54" w:rsidRDefault="00BA6D5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2133488"/>
      <w:docPartObj>
        <w:docPartGallery w:val="Page Numbers (Bottom of Page)"/>
        <w:docPartUnique/>
      </w:docPartObj>
    </w:sdtPr>
    <w:sdtEndPr>
      <w:rPr>
        <w:noProof/>
      </w:rPr>
    </w:sdtEndPr>
    <w:sdtContent>
      <w:p w:rsidR="00BA6D54" w:rsidRDefault="00BA6D54">
        <w:pPr>
          <w:pStyle w:val="Footer"/>
          <w:jc w:val="right"/>
        </w:pPr>
        <w:r>
          <w:fldChar w:fldCharType="begin"/>
        </w:r>
        <w:r>
          <w:instrText xml:space="preserve"> PAGE   \* MERGEFORMAT </w:instrText>
        </w:r>
        <w:r>
          <w:fldChar w:fldCharType="separate"/>
        </w:r>
        <w:r w:rsidR="00901EED">
          <w:rPr>
            <w:noProof/>
          </w:rPr>
          <w:t>1</w:t>
        </w:r>
        <w:r>
          <w:rPr>
            <w:noProof/>
          </w:rPr>
          <w:fldChar w:fldCharType="end"/>
        </w:r>
      </w:p>
    </w:sdtContent>
  </w:sdt>
  <w:p w:rsidR="00BA6D54" w:rsidRPr="003D553B" w:rsidRDefault="00BA6D54" w:rsidP="008A42F4">
    <w:pPr>
      <w:pStyle w:val="Default"/>
      <w:rPr>
        <w:rFonts w:ascii="Arial" w:hAnsi="Arial" w:cs="Arial"/>
      </w:rPr>
    </w:pPr>
    <w:r>
      <w:tab/>
    </w:r>
    <w:r>
      <w:tab/>
    </w:r>
  </w:p>
  <w:p w:rsidR="00BA6D54" w:rsidRPr="00A92435" w:rsidRDefault="00BA6D54" w:rsidP="008A42F4">
    <w:pPr>
      <w:pStyle w:val="Footer"/>
      <w:tabs>
        <w:tab w:val="left" w:pos="555"/>
      </w:tabs>
      <w:ind w:right="360"/>
      <w:jc w:val="center"/>
    </w:pPr>
    <w:r>
      <w:rPr>
        <w:rFonts w:eastAsiaTheme="minorHAnsi" w:cs="Arial"/>
        <w:color w:val="000000"/>
        <w:sz w:val="18"/>
        <w:szCs w:val="18"/>
        <w:lang w:eastAsia="en-US"/>
      </w:rPr>
      <w:t>Update</w:t>
    </w:r>
    <w:r w:rsidRPr="003D553B">
      <w:rPr>
        <w:rFonts w:eastAsiaTheme="minorHAnsi" w:cs="Arial"/>
        <w:color w:val="000000"/>
        <w:sz w:val="18"/>
        <w:szCs w:val="18"/>
        <w:lang w:eastAsia="en-US"/>
      </w:rPr>
      <w:t xml:space="preserve"> ● </w:t>
    </w:r>
    <w:r>
      <w:rPr>
        <w:rFonts w:eastAsiaTheme="minorHAnsi" w:cs="Arial"/>
        <w:color w:val="000000"/>
        <w:sz w:val="18"/>
        <w:szCs w:val="18"/>
        <w:lang w:eastAsia="en-US"/>
      </w:rPr>
      <w:t xml:space="preserve">Volume 10, Issue </w:t>
    </w:r>
    <w:r w:rsidR="008171B2">
      <w:rPr>
        <w:rFonts w:eastAsiaTheme="minorHAnsi" w:cs="Arial"/>
        <w:color w:val="000000"/>
        <w:sz w:val="18"/>
        <w:szCs w:val="18"/>
        <w:lang w:eastAsia="en-US"/>
      </w:rPr>
      <w:t>5</w:t>
    </w:r>
    <w:r>
      <w:rPr>
        <w:rFonts w:eastAsiaTheme="minorHAnsi" w:cs="Arial"/>
        <w:color w:val="000000"/>
        <w:sz w:val="18"/>
        <w:szCs w:val="18"/>
        <w:lang w:eastAsia="en-US"/>
      </w:rPr>
      <w:t xml:space="preserve"> </w:t>
    </w:r>
    <w:r w:rsidRPr="003D553B">
      <w:rPr>
        <w:rFonts w:eastAsiaTheme="minorHAnsi" w:cs="Arial"/>
        <w:color w:val="000000"/>
        <w:sz w:val="18"/>
        <w:szCs w:val="18"/>
        <w:lang w:eastAsia="en-US"/>
      </w:rPr>
      <w:t xml:space="preserve">● </w:t>
    </w:r>
    <w:r w:rsidR="008171B2">
      <w:rPr>
        <w:rFonts w:eastAsiaTheme="minorHAnsi" w:cs="Arial"/>
        <w:color w:val="000000"/>
        <w:sz w:val="18"/>
        <w:szCs w:val="18"/>
        <w:lang w:eastAsia="en-US"/>
      </w:rPr>
      <w:t xml:space="preserve">October </w:t>
    </w:r>
    <w:r>
      <w:rPr>
        <w:rFonts w:eastAsiaTheme="minorHAnsi" w:cs="Arial"/>
        <w:color w:val="000000"/>
        <w:sz w:val="18"/>
        <w:szCs w:val="18"/>
        <w:lang w:eastAsia="en-US"/>
      </w:rPr>
      <w:t>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EED" w:rsidRDefault="00901E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D54" w:rsidRDefault="00BA6D54" w:rsidP="00DA744F">
      <w:r>
        <w:separator/>
      </w:r>
    </w:p>
  </w:footnote>
  <w:footnote w:type="continuationSeparator" w:id="0">
    <w:p w:rsidR="00BA6D54" w:rsidRDefault="00BA6D54" w:rsidP="00DA7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EED" w:rsidRDefault="00901E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EED" w:rsidRDefault="00901E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EED" w:rsidRDefault="00901E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6163C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504054"/>
    <w:multiLevelType w:val="hybridMultilevel"/>
    <w:tmpl w:val="34F4C5B0"/>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390B26F4"/>
    <w:multiLevelType w:val="hybridMultilevel"/>
    <w:tmpl w:val="EB70B2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CF5479E"/>
    <w:multiLevelType w:val="hybridMultilevel"/>
    <w:tmpl w:val="802A70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41371C6A"/>
    <w:multiLevelType w:val="hybridMultilevel"/>
    <w:tmpl w:val="8D66120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4376388C"/>
    <w:multiLevelType w:val="hybridMultilevel"/>
    <w:tmpl w:val="20108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1BB3450"/>
    <w:multiLevelType w:val="hybridMultilevel"/>
    <w:tmpl w:val="11B23074"/>
    <w:lvl w:ilvl="0" w:tplc="CFC4525C">
      <w:numFmt w:val="bullet"/>
      <w:lvlText w:val="•"/>
      <w:lvlJc w:val="left"/>
      <w:pPr>
        <w:ind w:left="1080" w:hanging="720"/>
      </w:pPr>
      <w:rPr>
        <w:rFonts w:ascii="Candara" w:eastAsiaTheme="minorHAnsi" w:hAnsi="Candar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7636A7A"/>
    <w:multiLevelType w:val="hybridMultilevel"/>
    <w:tmpl w:val="D744E4D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4"/>
  </w:num>
  <w:num w:numId="4">
    <w:abstractNumId w:val="1"/>
  </w:num>
  <w:num w:numId="5">
    <w:abstractNumId w:val="3"/>
  </w:num>
  <w:num w:numId="6">
    <w:abstractNumId w:val="6"/>
  </w:num>
  <w:num w:numId="7">
    <w:abstractNumId w:val="5"/>
  </w:num>
  <w:num w:numId="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removePersonalInformation/>
  <w:removeDateAndTim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B49"/>
    <w:rsid w:val="00000594"/>
    <w:rsid w:val="00002308"/>
    <w:rsid w:val="0000238E"/>
    <w:rsid w:val="00002762"/>
    <w:rsid w:val="000033B2"/>
    <w:rsid w:val="00006F64"/>
    <w:rsid w:val="00010847"/>
    <w:rsid w:val="00013628"/>
    <w:rsid w:val="00013A47"/>
    <w:rsid w:val="00014E28"/>
    <w:rsid w:val="00015A50"/>
    <w:rsid w:val="00015D78"/>
    <w:rsid w:val="00016404"/>
    <w:rsid w:val="00016639"/>
    <w:rsid w:val="00020A4D"/>
    <w:rsid w:val="00021E6E"/>
    <w:rsid w:val="00022154"/>
    <w:rsid w:val="00023069"/>
    <w:rsid w:val="00023826"/>
    <w:rsid w:val="0002619A"/>
    <w:rsid w:val="000274A3"/>
    <w:rsid w:val="000278CD"/>
    <w:rsid w:val="00030E1B"/>
    <w:rsid w:val="000319E9"/>
    <w:rsid w:val="0003264C"/>
    <w:rsid w:val="00032FB0"/>
    <w:rsid w:val="0003306B"/>
    <w:rsid w:val="00034968"/>
    <w:rsid w:val="000361BD"/>
    <w:rsid w:val="000375EC"/>
    <w:rsid w:val="000417C9"/>
    <w:rsid w:val="00042B11"/>
    <w:rsid w:val="0004317E"/>
    <w:rsid w:val="00044575"/>
    <w:rsid w:val="00044F15"/>
    <w:rsid w:val="00053452"/>
    <w:rsid w:val="0005396D"/>
    <w:rsid w:val="00053D84"/>
    <w:rsid w:val="00057409"/>
    <w:rsid w:val="0006157D"/>
    <w:rsid w:val="00061919"/>
    <w:rsid w:val="00062FB5"/>
    <w:rsid w:val="00063ACB"/>
    <w:rsid w:val="00064830"/>
    <w:rsid w:val="00064B71"/>
    <w:rsid w:val="0006733F"/>
    <w:rsid w:val="00072259"/>
    <w:rsid w:val="000726E3"/>
    <w:rsid w:val="00073DEC"/>
    <w:rsid w:val="000748E3"/>
    <w:rsid w:val="00077D85"/>
    <w:rsid w:val="00080425"/>
    <w:rsid w:val="00080C74"/>
    <w:rsid w:val="00080CB6"/>
    <w:rsid w:val="00081D7D"/>
    <w:rsid w:val="00082661"/>
    <w:rsid w:val="0008336A"/>
    <w:rsid w:val="0008616A"/>
    <w:rsid w:val="0008717B"/>
    <w:rsid w:val="00091E29"/>
    <w:rsid w:val="000920C9"/>
    <w:rsid w:val="000930E7"/>
    <w:rsid w:val="00094788"/>
    <w:rsid w:val="00095D0E"/>
    <w:rsid w:val="000A071C"/>
    <w:rsid w:val="000A2DCA"/>
    <w:rsid w:val="000A30FA"/>
    <w:rsid w:val="000A4507"/>
    <w:rsid w:val="000A53E6"/>
    <w:rsid w:val="000A5D65"/>
    <w:rsid w:val="000A743D"/>
    <w:rsid w:val="000A753B"/>
    <w:rsid w:val="000A7E73"/>
    <w:rsid w:val="000B08F0"/>
    <w:rsid w:val="000B0BDA"/>
    <w:rsid w:val="000B12F5"/>
    <w:rsid w:val="000B19E9"/>
    <w:rsid w:val="000B1E8F"/>
    <w:rsid w:val="000B1FA1"/>
    <w:rsid w:val="000B2E8F"/>
    <w:rsid w:val="000B3281"/>
    <w:rsid w:val="000B32ED"/>
    <w:rsid w:val="000B3FE8"/>
    <w:rsid w:val="000B5C69"/>
    <w:rsid w:val="000B5D48"/>
    <w:rsid w:val="000C02D1"/>
    <w:rsid w:val="000C0890"/>
    <w:rsid w:val="000C2C11"/>
    <w:rsid w:val="000C3B9A"/>
    <w:rsid w:val="000C3C78"/>
    <w:rsid w:val="000C53E1"/>
    <w:rsid w:val="000C57F0"/>
    <w:rsid w:val="000C6730"/>
    <w:rsid w:val="000D196F"/>
    <w:rsid w:val="000D1CC3"/>
    <w:rsid w:val="000D20DE"/>
    <w:rsid w:val="000D355F"/>
    <w:rsid w:val="000D3B23"/>
    <w:rsid w:val="000D64A1"/>
    <w:rsid w:val="000D72AF"/>
    <w:rsid w:val="000D7B20"/>
    <w:rsid w:val="000E0506"/>
    <w:rsid w:val="000E068A"/>
    <w:rsid w:val="000E0FA2"/>
    <w:rsid w:val="000E131A"/>
    <w:rsid w:val="000E2B82"/>
    <w:rsid w:val="000E3C37"/>
    <w:rsid w:val="000E3E7D"/>
    <w:rsid w:val="000E3EFE"/>
    <w:rsid w:val="000E438E"/>
    <w:rsid w:val="000E5A1A"/>
    <w:rsid w:val="000E61AC"/>
    <w:rsid w:val="000E679B"/>
    <w:rsid w:val="000E7745"/>
    <w:rsid w:val="000F2938"/>
    <w:rsid w:val="000F2A2A"/>
    <w:rsid w:val="000F401E"/>
    <w:rsid w:val="000F5771"/>
    <w:rsid w:val="000F7BB0"/>
    <w:rsid w:val="000F7E06"/>
    <w:rsid w:val="001001A5"/>
    <w:rsid w:val="001012D0"/>
    <w:rsid w:val="001026EB"/>
    <w:rsid w:val="001038CC"/>
    <w:rsid w:val="00103AEC"/>
    <w:rsid w:val="00105D01"/>
    <w:rsid w:val="0010702B"/>
    <w:rsid w:val="00107FC9"/>
    <w:rsid w:val="0011087D"/>
    <w:rsid w:val="00110BFC"/>
    <w:rsid w:val="00111791"/>
    <w:rsid w:val="001117C5"/>
    <w:rsid w:val="00111DA6"/>
    <w:rsid w:val="001164A0"/>
    <w:rsid w:val="001174DA"/>
    <w:rsid w:val="00120E92"/>
    <w:rsid w:val="001218D3"/>
    <w:rsid w:val="0012264B"/>
    <w:rsid w:val="00122D8E"/>
    <w:rsid w:val="00122E3C"/>
    <w:rsid w:val="00122F59"/>
    <w:rsid w:val="001231AF"/>
    <w:rsid w:val="00123950"/>
    <w:rsid w:val="00124BE0"/>
    <w:rsid w:val="001257DB"/>
    <w:rsid w:val="00126A9F"/>
    <w:rsid w:val="00130695"/>
    <w:rsid w:val="00131710"/>
    <w:rsid w:val="0013337F"/>
    <w:rsid w:val="00133C28"/>
    <w:rsid w:val="001377DF"/>
    <w:rsid w:val="00137C3B"/>
    <w:rsid w:val="001408E6"/>
    <w:rsid w:val="00142D2C"/>
    <w:rsid w:val="00142DB6"/>
    <w:rsid w:val="00142ECD"/>
    <w:rsid w:val="00143FC8"/>
    <w:rsid w:val="00144652"/>
    <w:rsid w:val="00150D40"/>
    <w:rsid w:val="00151706"/>
    <w:rsid w:val="00152BAF"/>
    <w:rsid w:val="001574E7"/>
    <w:rsid w:val="00157786"/>
    <w:rsid w:val="00160398"/>
    <w:rsid w:val="00160FDF"/>
    <w:rsid w:val="001630E4"/>
    <w:rsid w:val="00164338"/>
    <w:rsid w:val="00165220"/>
    <w:rsid w:val="00165D89"/>
    <w:rsid w:val="00166A7C"/>
    <w:rsid w:val="00167920"/>
    <w:rsid w:val="00167A7E"/>
    <w:rsid w:val="00170A1F"/>
    <w:rsid w:val="00171500"/>
    <w:rsid w:val="001719B4"/>
    <w:rsid w:val="001728B2"/>
    <w:rsid w:val="00174EBD"/>
    <w:rsid w:val="001763FB"/>
    <w:rsid w:val="0017737D"/>
    <w:rsid w:val="00182B85"/>
    <w:rsid w:val="001838A8"/>
    <w:rsid w:val="00184026"/>
    <w:rsid w:val="0018439E"/>
    <w:rsid w:val="00184415"/>
    <w:rsid w:val="00185D5F"/>
    <w:rsid w:val="0018627E"/>
    <w:rsid w:val="00187318"/>
    <w:rsid w:val="001910CA"/>
    <w:rsid w:val="001948F8"/>
    <w:rsid w:val="00196165"/>
    <w:rsid w:val="001963BD"/>
    <w:rsid w:val="001972B4"/>
    <w:rsid w:val="00197400"/>
    <w:rsid w:val="001A008A"/>
    <w:rsid w:val="001A1AB6"/>
    <w:rsid w:val="001A2160"/>
    <w:rsid w:val="001A2F1B"/>
    <w:rsid w:val="001A44AE"/>
    <w:rsid w:val="001A5794"/>
    <w:rsid w:val="001A5ABB"/>
    <w:rsid w:val="001A6FBA"/>
    <w:rsid w:val="001A7FBF"/>
    <w:rsid w:val="001B0BAE"/>
    <w:rsid w:val="001B1E31"/>
    <w:rsid w:val="001B1E7A"/>
    <w:rsid w:val="001B4544"/>
    <w:rsid w:val="001B4811"/>
    <w:rsid w:val="001B4C3C"/>
    <w:rsid w:val="001B6B98"/>
    <w:rsid w:val="001B7FFA"/>
    <w:rsid w:val="001C3D97"/>
    <w:rsid w:val="001C467F"/>
    <w:rsid w:val="001C504F"/>
    <w:rsid w:val="001C774E"/>
    <w:rsid w:val="001C7CA8"/>
    <w:rsid w:val="001C7FF9"/>
    <w:rsid w:val="001D06B7"/>
    <w:rsid w:val="001D0A06"/>
    <w:rsid w:val="001D106F"/>
    <w:rsid w:val="001D1B63"/>
    <w:rsid w:val="001D30A9"/>
    <w:rsid w:val="001D3176"/>
    <w:rsid w:val="001D3C4C"/>
    <w:rsid w:val="001D4EB8"/>
    <w:rsid w:val="001D5EDB"/>
    <w:rsid w:val="001D6025"/>
    <w:rsid w:val="001D636F"/>
    <w:rsid w:val="001D729C"/>
    <w:rsid w:val="001E0E43"/>
    <w:rsid w:val="001E16AA"/>
    <w:rsid w:val="001E2A6B"/>
    <w:rsid w:val="001E35A1"/>
    <w:rsid w:val="001E5D88"/>
    <w:rsid w:val="001E6173"/>
    <w:rsid w:val="001E76A2"/>
    <w:rsid w:val="001F19B1"/>
    <w:rsid w:val="001F1DEC"/>
    <w:rsid w:val="001F2130"/>
    <w:rsid w:val="001F2464"/>
    <w:rsid w:val="001F2CB2"/>
    <w:rsid w:val="001F34EC"/>
    <w:rsid w:val="001F3BA0"/>
    <w:rsid w:val="001F5031"/>
    <w:rsid w:val="001F5637"/>
    <w:rsid w:val="001F7B4A"/>
    <w:rsid w:val="00200E3C"/>
    <w:rsid w:val="0020146C"/>
    <w:rsid w:val="002016D5"/>
    <w:rsid w:val="00202317"/>
    <w:rsid w:val="00202B14"/>
    <w:rsid w:val="00203199"/>
    <w:rsid w:val="00205842"/>
    <w:rsid w:val="00205C34"/>
    <w:rsid w:val="002070AE"/>
    <w:rsid w:val="00207896"/>
    <w:rsid w:val="00207A4D"/>
    <w:rsid w:val="002108E4"/>
    <w:rsid w:val="00210F18"/>
    <w:rsid w:val="00211F26"/>
    <w:rsid w:val="00211F83"/>
    <w:rsid w:val="0021231A"/>
    <w:rsid w:val="002136A3"/>
    <w:rsid w:val="00214FC2"/>
    <w:rsid w:val="0021577F"/>
    <w:rsid w:val="00217FE3"/>
    <w:rsid w:val="00220993"/>
    <w:rsid w:val="00223FB4"/>
    <w:rsid w:val="00224322"/>
    <w:rsid w:val="00225AD6"/>
    <w:rsid w:val="00225F77"/>
    <w:rsid w:val="00226BF4"/>
    <w:rsid w:val="00227B08"/>
    <w:rsid w:val="0023121D"/>
    <w:rsid w:val="0023164B"/>
    <w:rsid w:val="002317DB"/>
    <w:rsid w:val="002323D2"/>
    <w:rsid w:val="00232498"/>
    <w:rsid w:val="002340D9"/>
    <w:rsid w:val="00234479"/>
    <w:rsid w:val="00234FF9"/>
    <w:rsid w:val="0023506A"/>
    <w:rsid w:val="002354AA"/>
    <w:rsid w:val="00235504"/>
    <w:rsid w:val="002356B5"/>
    <w:rsid w:val="002366AC"/>
    <w:rsid w:val="002415E2"/>
    <w:rsid w:val="00242573"/>
    <w:rsid w:val="00244C1D"/>
    <w:rsid w:val="0024636D"/>
    <w:rsid w:val="00246D71"/>
    <w:rsid w:val="00247CF3"/>
    <w:rsid w:val="002504EB"/>
    <w:rsid w:val="00250ADE"/>
    <w:rsid w:val="00252136"/>
    <w:rsid w:val="00253135"/>
    <w:rsid w:val="00253691"/>
    <w:rsid w:val="00253894"/>
    <w:rsid w:val="00255C70"/>
    <w:rsid w:val="00256839"/>
    <w:rsid w:val="00260EB8"/>
    <w:rsid w:val="002627E1"/>
    <w:rsid w:val="002629E8"/>
    <w:rsid w:val="00262B18"/>
    <w:rsid w:val="0026402F"/>
    <w:rsid w:val="0026463B"/>
    <w:rsid w:val="0026654F"/>
    <w:rsid w:val="00267A35"/>
    <w:rsid w:val="00267D06"/>
    <w:rsid w:val="002708FB"/>
    <w:rsid w:val="00271057"/>
    <w:rsid w:val="00271FE5"/>
    <w:rsid w:val="00272712"/>
    <w:rsid w:val="00274FB3"/>
    <w:rsid w:val="002779A5"/>
    <w:rsid w:val="002800A6"/>
    <w:rsid w:val="00281442"/>
    <w:rsid w:val="00281BE8"/>
    <w:rsid w:val="00283485"/>
    <w:rsid w:val="002843CE"/>
    <w:rsid w:val="00285181"/>
    <w:rsid w:val="0028538F"/>
    <w:rsid w:val="00285825"/>
    <w:rsid w:val="002861E5"/>
    <w:rsid w:val="0028674F"/>
    <w:rsid w:val="00286BA4"/>
    <w:rsid w:val="00286EFF"/>
    <w:rsid w:val="002916AF"/>
    <w:rsid w:val="00293111"/>
    <w:rsid w:val="002944D7"/>
    <w:rsid w:val="00294F22"/>
    <w:rsid w:val="002959D3"/>
    <w:rsid w:val="00296BA9"/>
    <w:rsid w:val="00296E9B"/>
    <w:rsid w:val="002A0E15"/>
    <w:rsid w:val="002A27BB"/>
    <w:rsid w:val="002A313B"/>
    <w:rsid w:val="002A3855"/>
    <w:rsid w:val="002A39C9"/>
    <w:rsid w:val="002A40D8"/>
    <w:rsid w:val="002A4A32"/>
    <w:rsid w:val="002A521E"/>
    <w:rsid w:val="002A61AF"/>
    <w:rsid w:val="002A6A8B"/>
    <w:rsid w:val="002A6C48"/>
    <w:rsid w:val="002A6CBF"/>
    <w:rsid w:val="002A70BF"/>
    <w:rsid w:val="002B237B"/>
    <w:rsid w:val="002B3EAE"/>
    <w:rsid w:val="002B4213"/>
    <w:rsid w:val="002B4A4D"/>
    <w:rsid w:val="002B5E97"/>
    <w:rsid w:val="002B637A"/>
    <w:rsid w:val="002B762E"/>
    <w:rsid w:val="002B7A17"/>
    <w:rsid w:val="002C0398"/>
    <w:rsid w:val="002C0911"/>
    <w:rsid w:val="002C09AE"/>
    <w:rsid w:val="002C0CD4"/>
    <w:rsid w:val="002C28AC"/>
    <w:rsid w:val="002C29B5"/>
    <w:rsid w:val="002C4E4C"/>
    <w:rsid w:val="002C6780"/>
    <w:rsid w:val="002C6924"/>
    <w:rsid w:val="002C6B65"/>
    <w:rsid w:val="002D0315"/>
    <w:rsid w:val="002D0D41"/>
    <w:rsid w:val="002D0DED"/>
    <w:rsid w:val="002D0F9B"/>
    <w:rsid w:val="002D24C0"/>
    <w:rsid w:val="002D3518"/>
    <w:rsid w:val="002D4679"/>
    <w:rsid w:val="002D642A"/>
    <w:rsid w:val="002D6A9B"/>
    <w:rsid w:val="002E20C7"/>
    <w:rsid w:val="002E336D"/>
    <w:rsid w:val="002E4848"/>
    <w:rsid w:val="002E4EB9"/>
    <w:rsid w:val="002E518A"/>
    <w:rsid w:val="002E5687"/>
    <w:rsid w:val="002E5B8C"/>
    <w:rsid w:val="002E5E6F"/>
    <w:rsid w:val="002E5E7C"/>
    <w:rsid w:val="002F1D82"/>
    <w:rsid w:val="002F4C4F"/>
    <w:rsid w:val="002F54BA"/>
    <w:rsid w:val="002F6510"/>
    <w:rsid w:val="003010C8"/>
    <w:rsid w:val="00302661"/>
    <w:rsid w:val="00303336"/>
    <w:rsid w:val="00306290"/>
    <w:rsid w:val="00306762"/>
    <w:rsid w:val="003112C2"/>
    <w:rsid w:val="003117A2"/>
    <w:rsid w:val="003144A2"/>
    <w:rsid w:val="0031553F"/>
    <w:rsid w:val="003157BB"/>
    <w:rsid w:val="003208E5"/>
    <w:rsid w:val="00321615"/>
    <w:rsid w:val="00321DAE"/>
    <w:rsid w:val="003221BA"/>
    <w:rsid w:val="003223AF"/>
    <w:rsid w:val="00325181"/>
    <w:rsid w:val="00325210"/>
    <w:rsid w:val="00325BF7"/>
    <w:rsid w:val="0032753D"/>
    <w:rsid w:val="003279A8"/>
    <w:rsid w:val="00330FAF"/>
    <w:rsid w:val="003310EF"/>
    <w:rsid w:val="00331E9F"/>
    <w:rsid w:val="0033577C"/>
    <w:rsid w:val="003361DE"/>
    <w:rsid w:val="003370FC"/>
    <w:rsid w:val="00340130"/>
    <w:rsid w:val="003418B3"/>
    <w:rsid w:val="00341BA4"/>
    <w:rsid w:val="00342971"/>
    <w:rsid w:val="00343D68"/>
    <w:rsid w:val="00343EFF"/>
    <w:rsid w:val="00344AA2"/>
    <w:rsid w:val="00350128"/>
    <w:rsid w:val="00350157"/>
    <w:rsid w:val="00350DAB"/>
    <w:rsid w:val="00352FB8"/>
    <w:rsid w:val="0035367E"/>
    <w:rsid w:val="0035402F"/>
    <w:rsid w:val="00354883"/>
    <w:rsid w:val="0035589C"/>
    <w:rsid w:val="00356020"/>
    <w:rsid w:val="0035690A"/>
    <w:rsid w:val="00361605"/>
    <w:rsid w:val="00361AD0"/>
    <w:rsid w:val="00363040"/>
    <w:rsid w:val="003630C5"/>
    <w:rsid w:val="00364DEC"/>
    <w:rsid w:val="00366DCE"/>
    <w:rsid w:val="003678B3"/>
    <w:rsid w:val="00370226"/>
    <w:rsid w:val="00371666"/>
    <w:rsid w:val="00373ED0"/>
    <w:rsid w:val="00376BD7"/>
    <w:rsid w:val="003800DB"/>
    <w:rsid w:val="00380892"/>
    <w:rsid w:val="003819D1"/>
    <w:rsid w:val="00384DAD"/>
    <w:rsid w:val="003853AB"/>
    <w:rsid w:val="00385A73"/>
    <w:rsid w:val="00386265"/>
    <w:rsid w:val="003878DF"/>
    <w:rsid w:val="00390088"/>
    <w:rsid w:val="0039086E"/>
    <w:rsid w:val="00391EFD"/>
    <w:rsid w:val="00392BED"/>
    <w:rsid w:val="00393018"/>
    <w:rsid w:val="00396318"/>
    <w:rsid w:val="00396764"/>
    <w:rsid w:val="003A0FFE"/>
    <w:rsid w:val="003A1998"/>
    <w:rsid w:val="003A3C91"/>
    <w:rsid w:val="003A6C22"/>
    <w:rsid w:val="003A6EE9"/>
    <w:rsid w:val="003A76BF"/>
    <w:rsid w:val="003A7EFD"/>
    <w:rsid w:val="003B0521"/>
    <w:rsid w:val="003B2B79"/>
    <w:rsid w:val="003B434D"/>
    <w:rsid w:val="003B6CBC"/>
    <w:rsid w:val="003C01D9"/>
    <w:rsid w:val="003C17B9"/>
    <w:rsid w:val="003C1C06"/>
    <w:rsid w:val="003C3863"/>
    <w:rsid w:val="003C4396"/>
    <w:rsid w:val="003C5132"/>
    <w:rsid w:val="003C6A74"/>
    <w:rsid w:val="003C756F"/>
    <w:rsid w:val="003C7A72"/>
    <w:rsid w:val="003C7B1A"/>
    <w:rsid w:val="003D0761"/>
    <w:rsid w:val="003D2E21"/>
    <w:rsid w:val="003D32E2"/>
    <w:rsid w:val="003D3C7B"/>
    <w:rsid w:val="003D3D10"/>
    <w:rsid w:val="003D3EE3"/>
    <w:rsid w:val="003D4F39"/>
    <w:rsid w:val="003D5840"/>
    <w:rsid w:val="003D59D2"/>
    <w:rsid w:val="003D6428"/>
    <w:rsid w:val="003D6604"/>
    <w:rsid w:val="003D6C86"/>
    <w:rsid w:val="003D6D10"/>
    <w:rsid w:val="003E0310"/>
    <w:rsid w:val="003E049A"/>
    <w:rsid w:val="003E1169"/>
    <w:rsid w:val="003E1A05"/>
    <w:rsid w:val="003E1CCA"/>
    <w:rsid w:val="003E2A49"/>
    <w:rsid w:val="003E2BC1"/>
    <w:rsid w:val="003E39E9"/>
    <w:rsid w:val="003E4AE7"/>
    <w:rsid w:val="003E6410"/>
    <w:rsid w:val="003E6D63"/>
    <w:rsid w:val="003E6D6A"/>
    <w:rsid w:val="003E70FE"/>
    <w:rsid w:val="003E7E76"/>
    <w:rsid w:val="003F0792"/>
    <w:rsid w:val="003F1352"/>
    <w:rsid w:val="003F247C"/>
    <w:rsid w:val="003F49CB"/>
    <w:rsid w:val="003F5908"/>
    <w:rsid w:val="003F59B8"/>
    <w:rsid w:val="003F6D9E"/>
    <w:rsid w:val="003F71AA"/>
    <w:rsid w:val="003F7289"/>
    <w:rsid w:val="003F79B3"/>
    <w:rsid w:val="00401FC2"/>
    <w:rsid w:val="004022F9"/>
    <w:rsid w:val="00405562"/>
    <w:rsid w:val="00405C13"/>
    <w:rsid w:val="00405F0A"/>
    <w:rsid w:val="004075E0"/>
    <w:rsid w:val="00414041"/>
    <w:rsid w:val="00414ACB"/>
    <w:rsid w:val="00414D94"/>
    <w:rsid w:val="0041595A"/>
    <w:rsid w:val="00415F36"/>
    <w:rsid w:val="00416A07"/>
    <w:rsid w:val="00416D77"/>
    <w:rsid w:val="004176D6"/>
    <w:rsid w:val="004220FA"/>
    <w:rsid w:val="0042330F"/>
    <w:rsid w:val="00423BDB"/>
    <w:rsid w:val="00424280"/>
    <w:rsid w:val="00425BAD"/>
    <w:rsid w:val="00426A99"/>
    <w:rsid w:val="0042741E"/>
    <w:rsid w:val="00427A5B"/>
    <w:rsid w:val="00430547"/>
    <w:rsid w:val="00430587"/>
    <w:rsid w:val="004306AC"/>
    <w:rsid w:val="0043088C"/>
    <w:rsid w:val="00432375"/>
    <w:rsid w:val="0043238B"/>
    <w:rsid w:val="0043257A"/>
    <w:rsid w:val="004325FE"/>
    <w:rsid w:val="00435824"/>
    <w:rsid w:val="004363AE"/>
    <w:rsid w:val="004375D4"/>
    <w:rsid w:val="0043761E"/>
    <w:rsid w:val="00437E45"/>
    <w:rsid w:val="00442C92"/>
    <w:rsid w:val="0044372C"/>
    <w:rsid w:val="00444206"/>
    <w:rsid w:val="00446E60"/>
    <w:rsid w:val="00447839"/>
    <w:rsid w:val="00451A29"/>
    <w:rsid w:val="00451F75"/>
    <w:rsid w:val="0045332E"/>
    <w:rsid w:val="00454B9B"/>
    <w:rsid w:val="00456052"/>
    <w:rsid w:val="00456D96"/>
    <w:rsid w:val="00456DEB"/>
    <w:rsid w:val="00462DC6"/>
    <w:rsid w:val="004653B4"/>
    <w:rsid w:val="00467B0E"/>
    <w:rsid w:val="00472261"/>
    <w:rsid w:val="00473AD2"/>
    <w:rsid w:val="00474A05"/>
    <w:rsid w:val="00474FCB"/>
    <w:rsid w:val="00475D29"/>
    <w:rsid w:val="00476B49"/>
    <w:rsid w:val="00477380"/>
    <w:rsid w:val="00480152"/>
    <w:rsid w:val="004803A8"/>
    <w:rsid w:val="00480978"/>
    <w:rsid w:val="00480BC5"/>
    <w:rsid w:val="0048226A"/>
    <w:rsid w:val="00482F94"/>
    <w:rsid w:val="0048332F"/>
    <w:rsid w:val="00485513"/>
    <w:rsid w:val="00485F3C"/>
    <w:rsid w:val="00487716"/>
    <w:rsid w:val="00487BAC"/>
    <w:rsid w:val="00487C7A"/>
    <w:rsid w:val="0049057B"/>
    <w:rsid w:val="00493483"/>
    <w:rsid w:val="00493987"/>
    <w:rsid w:val="00494358"/>
    <w:rsid w:val="004957C5"/>
    <w:rsid w:val="0049653D"/>
    <w:rsid w:val="004A07D1"/>
    <w:rsid w:val="004A16DF"/>
    <w:rsid w:val="004A1803"/>
    <w:rsid w:val="004A1EB4"/>
    <w:rsid w:val="004A5D6B"/>
    <w:rsid w:val="004A66AC"/>
    <w:rsid w:val="004A7771"/>
    <w:rsid w:val="004B5507"/>
    <w:rsid w:val="004B59ED"/>
    <w:rsid w:val="004B750A"/>
    <w:rsid w:val="004C0FA4"/>
    <w:rsid w:val="004C4713"/>
    <w:rsid w:val="004C5043"/>
    <w:rsid w:val="004C65A9"/>
    <w:rsid w:val="004C7EFD"/>
    <w:rsid w:val="004D3C82"/>
    <w:rsid w:val="004D4071"/>
    <w:rsid w:val="004D5491"/>
    <w:rsid w:val="004D55C5"/>
    <w:rsid w:val="004D63C0"/>
    <w:rsid w:val="004E0CD7"/>
    <w:rsid w:val="004E11CD"/>
    <w:rsid w:val="004E1804"/>
    <w:rsid w:val="004E27FD"/>
    <w:rsid w:val="004E2BC9"/>
    <w:rsid w:val="004E350A"/>
    <w:rsid w:val="004E44B7"/>
    <w:rsid w:val="004E465B"/>
    <w:rsid w:val="004E54A9"/>
    <w:rsid w:val="004E5E4A"/>
    <w:rsid w:val="004E68D8"/>
    <w:rsid w:val="004E6AC8"/>
    <w:rsid w:val="004E70E5"/>
    <w:rsid w:val="004F0A66"/>
    <w:rsid w:val="004F29CC"/>
    <w:rsid w:val="004F2C28"/>
    <w:rsid w:val="004F3080"/>
    <w:rsid w:val="004F3460"/>
    <w:rsid w:val="004F37A3"/>
    <w:rsid w:val="004F4119"/>
    <w:rsid w:val="004F4A34"/>
    <w:rsid w:val="004F4C84"/>
    <w:rsid w:val="004F5EC0"/>
    <w:rsid w:val="004F63D7"/>
    <w:rsid w:val="004F7B3F"/>
    <w:rsid w:val="00500B3D"/>
    <w:rsid w:val="005018C3"/>
    <w:rsid w:val="00501F5C"/>
    <w:rsid w:val="00502653"/>
    <w:rsid w:val="00504CB2"/>
    <w:rsid w:val="00505E59"/>
    <w:rsid w:val="005070E2"/>
    <w:rsid w:val="005109F1"/>
    <w:rsid w:val="0051249D"/>
    <w:rsid w:val="00512C09"/>
    <w:rsid w:val="00514E30"/>
    <w:rsid w:val="00516464"/>
    <w:rsid w:val="005165EB"/>
    <w:rsid w:val="00517A27"/>
    <w:rsid w:val="005200DB"/>
    <w:rsid w:val="005200FB"/>
    <w:rsid w:val="005225D7"/>
    <w:rsid w:val="00522908"/>
    <w:rsid w:val="00522EC2"/>
    <w:rsid w:val="00525AEE"/>
    <w:rsid w:val="005278C7"/>
    <w:rsid w:val="00530850"/>
    <w:rsid w:val="0053305A"/>
    <w:rsid w:val="005333C8"/>
    <w:rsid w:val="0053446D"/>
    <w:rsid w:val="00534550"/>
    <w:rsid w:val="005347DA"/>
    <w:rsid w:val="005352AD"/>
    <w:rsid w:val="00537CEF"/>
    <w:rsid w:val="00540196"/>
    <w:rsid w:val="005410E9"/>
    <w:rsid w:val="00542D74"/>
    <w:rsid w:val="005430BE"/>
    <w:rsid w:val="0054321C"/>
    <w:rsid w:val="005441A6"/>
    <w:rsid w:val="00544503"/>
    <w:rsid w:val="0054496E"/>
    <w:rsid w:val="005457F4"/>
    <w:rsid w:val="00546BEB"/>
    <w:rsid w:val="005473E5"/>
    <w:rsid w:val="0055081E"/>
    <w:rsid w:val="005511E0"/>
    <w:rsid w:val="00552597"/>
    <w:rsid w:val="005534C2"/>
    <w:rsid w:val="005537A5"/>
    <w:rsid w:val="005543FB"/>
    <w:rsid w:val="005549A1"/>
    <w:rsid w:val="00562B7A"/>
    <w:rsid w:val="00563081"/>
    <w:rsid w:val="00563B2C"/>
    <w:rsid w:val="00563FD9"/>
    <w:rsid w:val="00566BFF"/>
    <w:rsid w:val="005670DE"/>
    <w:rsid w:val="0056751C"/>
    <w:rsid w:val="0057207A"/>
    <w:rsid w:val="00572A89"/>
    <w:rsid w:val="00572AB1"/>
    <w:rsid w:val="005742E4"/>
    <w:rsid w:val="00580D42"/>
    <w:rsid w:val="00580E7A"/>
    <w:rsid w:val="00582869"/>
    <w:rsid w:val="00582909"/>
    <w:rsid w:val="00583AB9"/>
    <w:rsid w:val="00585D83"/>
    <w:rsid w:val="005872C6"/>
    <w:rsid w:val="00587755"/>
    <w:rsid w:val="00587A19"/>
    <w:rsid w:val="005907DD"/>
    <w:rsid w:val="00591681"/>
    <w:rsid w:val="00592F0B"/>
    <w:rsid w:val="0059648C"/>
    <w:rsid w:val="00596F36"/>
    <w:rsid w:val="0059731F"/>
    <w:rsid w:val="005A14C8"/>
    <w:rsid w:val="005A17C2"/>
    <w:rsid w:val="005A1B3C"/>
    <w:rsid w:val="005A4518"/>
    <w:rsid w:val="005A49E0"/>
    <w:rsid w:val="005A4B99"/>
    <w:rsid w:val="005A641D"/>
    <w:rsid w:val="005A6C6B"/>
    <w:rsid w:val="005B0425"/>
    <w:rsid w:val="005B36B2"/>
    <w:rsid w:val="005B433E"/>
    <w:rsid w:val="005B5624"/>
    <w:rsid w:val="005B5ADA"/>
    <w:rsid w:val="005B6A88"/>
    <w:rsid w:val="005B74DE"/>
    <w:rsid w:val="005B79D1"/>
    <w:rsid w:val="005B7AD6"/>
    <w:rsid w:val="005B7F3D"/>
    <w:rsid w:val="005C071C"/>
    <w:rsid w:val="005C295F"/>
    <w:rsid w:val="005C4590"/>
    <w:rsid w:val="005C526A"/>
    <w:rsid w:val="005C54DE"/>
    <w:rsid w:val="005C5B99"/>
    <w:rsid w:val="005C5E82"/>
    <w:rsid w:val="005C7431"/>
    <w:rsid w:val="005C7A69"/>
    <w:rsid w:val="005C7D0B"/>
    <w:rsid w:val="005D0335"/>
    <w:rsid w:val="005D18E9"/>
    <w:rsid w:val="005D1CEC"/>
    <w:rsid w:val="005D2329"/>
    <w:rsid w:val="005D2A49"/>
    <w:rsid w:val="005D3507"/>
    <w:rsid w:val="005D5245"/>
    <w:rsid w:val="005D5884"/>
    <w:rsid w:val="005D70AD"/>
    <w:rsid w:val="005D73F6"/>
    <w:rsid w:val="005E04B1"/>
    <w:rsid w:val="005E25B0"/>
    <w:rsid w:val="005E2644"/>
    <w:rsid w:val="005E2709"/>
    <w:rsid w:val="005E3EB2"/>
    <w:rsid w:val="005E4886"/>
    <w:rsid w:val="005E5AEF"/>
    <w:rsid w:val="005E65EA"/>
    <w:rsid w:val="005E7D96"/>
    <w:rsid w:val="005F26F0"/>
    <w:rsid w:val="005F2934"/>
    <w:rsid w:val="005F2AF5"/>
    <w:rsid w:val="005F4B51"/>
    <w:rsid w:val="005F57C9"/>
    <w:rsid w:val="005F5AFB"/>
    <w:rsid w:val="005F693F"/>
    <w:rsid w:val="005F6CAF"/>
    <w:rsid w:val="0060044F"/>
    <w:rsid w:val="00601153"/>
    <w:rsid w:val="006011DE"/>
    <w:rsid w:val="006029DE"/>
    <w:rsid w:val="00604315"/>
    <w:rsid w:val="006044F1"/>
    <w:rsid w:val="00605037"/>
    <w:rsid w:val="00606118"/>
    <w:rsid w:val="006065BC"/>
    <w:rsid w:val="00607525"/>
    <w:rsid w:val="00607857"/>
    <w:rsid w:val="006116AE"/>
    <w:rsid w:val="0061317D"/>
    <w:rsid w:val="00614C54"/>
    <w:rsid w:val="00615936"/>
    <w:rsid w:val="00615B8D"/>
    <w:rsid w:val="0061695F"/>
    <w:rsid w:val="00616E8B"/>
    <w:rsid w:val="00621FE2"/>
    <w:rsid w:val="00622BD4"/>
    <w:rsid w:val="006230A5"/>
    <w:rsid w:val="006245B7"/>
    <w:rsid w:val="0062502F"/>
    <w:rsid w:val="00625429"/>
    <w:rsid w:val="00625602"/>
    <w:rsid w:val="00626D4C"/>
    <w:rsid w:val="00630EFC"/>
    <w:rsid w:val="006310EA"/>
    <w:rsid w:val="006317AB"/>
    <w:rsid w:val="00632340"/>
    <w:rsid w:val="00633FFD"/>
    <w:rsid w:val="006368D1"/>
    <w:rsid w:val="00640465"/>
    <w:rsid w:val="006407D3"/>
    <w:rsid w:val="00641646"/>
    <w:rsid w:val="00641773"/>
    <w:rsid w:val="00641A4C"/>
    <w:rsid w:val="006429B1"/>
    <w:rsid w:val="0064536E"/>
    <w:rsid w:val="006454B1"/>
    <w:rsid w:val="00645D71"/>
    <w:rsid w:val="00645DDF"/>
    <w:rsid w:val="00645EF6"/>
    <w:rsid w:val="006463AB"/>
    <w:rsid w:val="00647F23"/>
    <w:rsid w:val="006506A1"/>
    <w:rsid w:val="00651CE5"/>
    <w:rsid w:val="006522F9"/>
    <w:rsid w:val="00652C9C"/>
    <w:rsid w:val="00657006"/>
    <w:rsid w:val="006574B8"/>
    <w:rsid w:val="00657886"/>
    <w:rsid w:val="00660766"/>
    <w:rsid w:val="00660F9A"/>
    <w:rsid w:val="00661CA2"/>
    <w:rsid w:val="00662D95"/>
    <w:rsid w:val="00662EF3"/>
    <w:rsid w:val="006644C1"/>
    <w:rsid w:val="00666731"/>
    <w:rsid w:val="006679DB"/>
    <w:rsid w:val="0067138C"/>
    <w:rsid w:val="0067297C"/>
    <w:rsid w:val="006751B8"/>
    <w:rsid w:val="0067524D"/>
    <w:rsid w:val="00676572"/>
    <w:rsid w:val="00677536"/>
    <w:rsid w:val="00677EC5"/>
    <w:rsid w:val="006800EF"/>
    <w:rsid w:val="0068016C"/>
    <w:rsid w:val="006804A7"/>
    <w:rsid w:val="00680631"/>
    <w:rsid w:val="006824D6"/>
    <w:rsid w:val="006825B7"/>
    <w:rsid w:val="006910FD"/>
    <w:rsid w:val="0069174B"/>
    <w:rsid w:val="00692257"/>
    <w:rsid w:val="00693400"/>
    <w:rsid w:val="00693B25"/>
    <w:rsid w:val="006952D6"/>
    <w:rsid w:val="006959E1"/>
    <w:rsid w:val="006966BA"/>
    <w:rsid w:val="00697E4C"/>
    <w:rsid w:val="006A0E07"/>
    <w:rsid w:val="006A1FD4"/>
    <w:rsid w:val="006A3599"/>
    <w:rsid w:val="006A3E6F"/>
    <w:rsid w:val="006A3E74"/>
    <w:rsid w:val="006A47BA"/>
    <w:rsid w:val="006A6785"/>
    <w:rsid w:val="006A68C4"/>
    <w:rsid w:val="006A690B"/>
    <w:rsid w:val="006A7976"/>
    <w:rsid w:val="006B0077"/>
    <w:rsid w:val="006B183D"/>
    <w:rsid w:val="006B1C09"/>
    <w:rsid w:val="006B24C0"/>
    <w:rsid w:val="006B2F3D"/>
    <w:rsid w:val="006B38AE"/>
    <w:rsid w:val="006B3931"/>
    <w:rsid w:val="006B43DF"/>
    <w:rsid w:val="006B6C82"/>
    <w:rsid w:val="006B6D67"/>
    <w:rsid w:val="006C093E"/>
    <w:rsid w:val="006C0A51"/>
    <w:rsid w:val="006C20CA"/>
    <w:rsid w:val="006C25CD"/>
    <w:rsid w:val="006C2FB9"/>
    <w:rsid w:val="006C3DF7"/>
    <w:rsid w:val="006C3F7C"/>
    <w:rsid w:val="006D02B9"/>
    <w:rsid w:val="006D08CD"/>
    <w:rsid w:val="006D1C26"/>
    <w:rsid w:val="006D3333"/>
    <w:rsid w:val="006D5521"/>
    <w:rsid w:val="006D58F2"/>
    <w:rsid w:val="006D79D3"/>
    <w:rsid w:val="006E0CD7"/>
    <w:rsid w:val="006E2C27"/>
    <w:rsid w:val="006E3851"/>
    <w:rsid w:val="006E48C0"/>
    <w:rsid w:val="006E553A"/>
    <w:rsid w:val="006E55AD"/>
    <w:rsid w:val="006E5D8B"/>
    <w:rsid w:val="006E5E37"/>
    <w:rsid w:val="006E6794"/>
    <w:rsid w:val="006E6924"/>
    <w:rsid w:val="006E7534"/>
    <w:rsid w:val="006F14B8"/>
    <w:rsid w:val="006F25AE"/>
    <w:rsid w:val="006F4C62"/>
    <w:rsid w:val="006F51DE"/>
    <w:rsid w:val="006F5450"/>
    <w:rsid w:val="006F5B06"/>
    <w:rsid w:val="006F5B52"/>
    <w:rsid w:val="006F5D30"/>
    <w:rsid w:val="006F5EA3"/>
    <w:rsid w:val="006F5F8C"/>
    <w:rsid w:val="006F7277"/>
    <w:rsid w:val="007005A6"/>
    <w:rsid w:val="00702164"/>
    <w:rsid w:val="007022BD"/>
    <w:rsid w:val="00702CDB"/>
    <w:rsid w:val="00705B61"/>
    <w:rsid w:val="00706084"/>
    <w:rsid w:val="00706B05"/>
    <w:rsid w:val="00711984"/>
    <w:rsid w:val="00712FDD"/>
    <w:rsid w:val="00714375"/>
    <w:rsid w:val="00714FDF"/>
    <w:rsid w:val="00715371"/>
    <w:rsid w:val="0071741D"/>
    <w:rsid w:val="0071761C"/>
    <w:rsid w:val="00717A5C"/>
    <w:rsid w:val="007207B2"/>
    <w:rsid w:val="00720DA7"/>
    <w:rsid w:val="00720F92"/>
    <w:rsid w:val="00721391"/>
    <w:rsid w:val="00721DD9"/>
    <w:rsid w:val="00722541"/>
    <w:rsid w:val="007255C4"/>
    <w:rsid w:val="00726399"/>
    <w:rsid w:val="007314E6"/>
    <w:rsid w:val="00731599"/>
    <w:rsid w:val="00733873"/>
    <w:rsid w:val="007352D2"/>
    <w:rsid w:val="00735E0B"/>
    <w:rsid w:val="0073788F"/>
    <w:rsid w:val="00737D29"/>
    <w:rsid w:val="00740ADB"/>
    <w:rsid w:val="00741AE4"/>
    <w:rsid w:val="00742644"/>
    <w:rsid w:val="007431BA"/>
    <w:rsid w:val="00743377"/>
    <w:rsid w:val="00743A5B"/>
    <w:rsid w:val="00744CDC"/>
    <w:rsid w:val="007456BB"/>
    <w:rsid w:val="00745ED1"/>
    <w:rsid w:val="00746EFC"/>
    <w:rsid w:val="00751053"/>
    <w:rsid w:val="00752D1D"/>
    <w:rsid w:val="007547F9"/>
    <w:rsid w:val="007558DC"/>
    <w:rsid w:val="007563C5"/>
    <w:rsid w:val="00756D21"/>
    <w:rsid w:val="00757088"/>
    <w:rsid w:val="00757609"/>
    <w:rsid w:val="0076305C"/>
    <w:rsid w:val="007637B6"/>
    <w:rsid w:val="00764377"/>
    <w:rsid w:val="00764A25"/>
    <w:rsid w:val="00764A56"/>
    <w:rsid w:val="00764B9B"/>
    <w:rsid w:val="00765050"/>
    <w:rsid w:val="007662C6"/>
    <w:rsid w:val="00766CEC"/>
    <w:rsid w:val="00767794"/>
    <w:rsid w:val="00767EBC"/>
    <w:rsid w:val="00771B71"/>
    <w:rsid w:val="00772029"/>
    <w:rsid w:val="00773FA6"/>
    <w:rsid w:val="0077528F"/>
    <w:rsid w:val="00776086"/>
    <w:rsid w:val="00776A22"/>
    <w:rsid w:val="00776D79"/>
    <w:rsid w:val="00777DCE"/>
    <w:rsid w:val="0078220B"/>
    <w:rsid w:val="00782E57"/>
    <w:rsid w:val="0078383C"/>
    <w:rsid w:val="00784103"/>
    <w:rsid w:val="00784285"/>
    <w:rsid w:val="00784661"/>
    <w:rsid w:val="00784683"/>
    <w:rsid w:val="00784CA4"/>
    <w:rsid w:val="00787036"/>
    <w:rsid w:val="00787EF7"/>
    <w:rsid w:val="00793F78"/>
    <w:rsid w:val="007940D4"/>
    <w:rsid w:val="00794B44"/>
    <w:rsid w:val="00795604"/>
    <w:rsid w:val="00795781"/>
    <w:rsid w:val="00795935"/>
    <w:rsid w:val="007A0857"/>
    <w:rsid w:val="007A33A2"/>
    <w:rsid w:val="007A4CBA"/>
    <w:rsid w:val="007A5F53"/>
    <w:rsid w:val="007A62D0"/>
    <w:rsid w:val="007A6C6B"/>
    <w:rsid w:val="007A6D12"/>
    <w:rsid w:val="007A7437"/>
    <w:rsid w:val="007A7B29"/>
    <w:rsid w:val="007A7B5C"/>
    <w:rsid w:val="007B0986"/>
    <w:rsid w:val="007B1276"/>
    <w:rsid w:val="007B3986"/>
    <w:rsid w:val="007B66AC"/>
    <w:rsid w:val="007C0AC8"/>
    <w:rsid w:val="007C1370"/>
    <w:rsid w:val="007C2387"/>
    <w:rsid w:val="007C2660"/>
    <w:rsid w:val="007C5B84"/>
    <w:rsid w:val="007D0D6E"/>
    <w:rsid w:val="007D1780"/>
    <w:rsid w:val="007D1A2E"/>
    <w:rsid w:val="007D2D8A"/>
    <w:rsid w:val="007D37DE"/>
    <w:rsid w:val="007D38DE"/>
    <w:rsid w:val="007D3DBD"/>
    <w:rsid w:val="007D4732"/>
    <w:rsid w:val="007D5696"/>
    <w:rsid w:val="007D6CFD"/>
    <w:rsid w:val="007D72D6"/>
    <w:rsid w:val="007D7D05"/>
    <w:rsid w:val="007E2F3E"/>
    <w:rsid w:val="007E3D5A"/>
    <w:rsid w:val="007E3F9A"/>
    <w:rsid w:val="007E48E0"/>
    <w:rsid w:val="007E5997"/>
    <w:rsid w:val="007E5B29"/>
    <w:rsid w:val="007E5CAC"/>
    <w:rsid w:val="007E5E40"/>
    <w:rsid w:val="007E7156"/>
    <w:rsid w:val="007F03B7"/>
    <w:rsid w:val="007F0DA1"/>
    <w:rsid w:val="007F2B2A"/>
    <w:rsid w:val="007F57B8"/>
    <w:rsid w:val="007F6C7C"/>
    <w:rsid w:val="007F7591"/>
    <w:rsid w:val="00800297"/>
    <w:rsid w:val="008004DF"/>
    <w:rsid w:val="00800C88"/>
    <w:rsid w:val="00802116"/>
    <w:rsid w:val="00802859"/>
    <w:rsid w:val="00802DB4"/>
    <w:rsid w:val="008037BA"/>
    <w:rsid w:val="00803C76"/>
    <w:rsid w:val="00804292"/>
    <w:rsid w:val="00804ADB"/>
    <w:rsid w:val="0080513E"/>
    <w:rsid w:val="00805197"/>
    <w:rsid w:val="00810B1A"/>
    <w:rsid w:val="00811742"/>
    <w:rsid w:val="008120C1"/>
    <w:rsid w:val="008136F1"/>
    <w:rsid w:val="00813DF9"/>
    <w:rsid w:val="00813EB2"/>
    <w:rsid w:val="00814954"/>
    <w:rsid w:val="0081551D"/>
    <w:rsid w:val="00815A7F"/>
    <w:rsid w:val="00815CE5"/>
    <w:rsid w:val="008171B2"/>
    <w:rsid w:val="00817F88"/>
    <w:rsid w:val="00821D31"/>
    <w:rsid w:val="008224AD"/>
    <w:rsid w:val="00822D0E"/>
    <w:rsid w:val="00824762"/>
    <w:rsid w:val="00824CEC"/>
    <w:rsid w:val="00824EF4"/>
    <w:rsid w:val="00825CFA"/>
    <w:rsid w:val="008317A1"/>
    <w:rsid w:val="0083524B"/>
    <w:rsid w:val="00836BBC"/>
    <w:rsid w:val="008372A7"/>
    <w:rsid w:val="008375CC"/>
    <w:rsid w:val="00837644"/>
    <w:rsid w:val="0084577A"/>
    <w:rsid w:val="008507D4"/>
    <w:rsid w:val="00850C2B"/>
    <w:rsid w:val="00850D7B"/>
    <w:rsid w:val="00851774"/>
    <w:rsid w:val="00852048"/>
    <w:rsid w:val="00852A2C"/>
    <w:rsid w:val="008531C7"/>
    <w:rsid w:val="00854137"/>
    <w:rsid w:val="00856A8F"/>
    <w:rsid w:val="00856B78"/>
    <w:rsid w:val="00857135"/>
    <w:rsid w:val="008574D1"/>
    <w:rsid w:val="00861A74"/>
    <w:rsid w:val="008639B6"/>
    <w:rsid w:val="00865544"/>
    <w:rsid w:val="00865F67"/>
    <w:rsid w:val="0086761C"/>
    <w:rsid w:val="00867A39"/>
    <w:rsid w:val="0087015F"/>
    <w:rsid w:val="008701C4"/>
    <w:rsid w:val="00870AD7"/>
    <w:rsid w:val="00870E2C"/>
    <w:rsid w:val="0087150D"/>
    <w:rsid w:val="008724BE"/>
    <w:rsid w:val="00873C4E"/>
    <w:rsid w:val="008744FB"/>
    <w:rsid w:val="008745C4"/>
    <w:rsid w:val="00875879"/>
    <w:rsid w:val="00875D26"/>
    <w:rsid w:val="00877666"/>
    <w:rsid w:val="0087777B"/>
    <w:rsid w:val="00882F56"/>
    <w:rsid w:val="008837FA"/>
    <w:rsid w:val="00883AE2"/>
    <w:rsid w:val="00883C51"/>
    <w:rsid w:val="008848F8"/>
    <w:rsid w:val="008871CC"/>
    <w:rsid w:val="00887E0B"/>
    <w:rsid w:val="008904F1"/>
    <w:rsid w:val="008918E2"/>
    <w:rsid w:val="00895C2C"/>
    <w:rsid w:val="00895E23"/>
    <w:rsid w:val="008A0568"/>
    <w:rsid w:val="008A1185"/>
    <w:rsid w:val="008A2910"/>
    <w:rsid w:val="008A29D2"/>
    <w:rsid w:val="008A3764"/>
    <w:rsid w:val="008A3946"/>
    <w:rsid w:val="008A3E3C"/>
    <w:rsid w:val="008A42F4"/>
    <w:rsid w:val="008A44B3"/>
    <w:rsid w:val="008A495C"/>
    <w:rsid w:val="008B3500"/>
    <w:rsid w:val="008B36A5"/>
    <w:rsid w:val="008B3EDA"/>
    <w:rsid w:val="008B7B9A"/>
    <w:rsid w:val="008C1038"/>
    <w:rsid w:val="008C1120"/>
    <w:rsid w:val="008C33C3"/>
    <w:rsid w:val="008C3B0A"/>
    <w:rsid w:val="008C3C5A"/>
    <w:rsid w:val="008C498C"/>
    <w:rsid w:val="008C5F0E"/>
    <w:rsid w:val="008C64FE"/>
    <w:rsid w:val="008C665A"/>
    <w:rsid w:val="008C6C9A"/>
    <w:rsid w:val="008C6FDF"/>
    <w:rsid w:val="008C7B91"/>
    <w:rsid w:val="008D19D7"/>
    <w:rsid w:val="008D4A94"/>
    <w:rsid w:val="008D4EF4"/>
    <w:rsid w:val="008D627B"/>
    <w:rsid w:val="008D686E"/>
    <w:rsid w:val="008E0866"/>
    <w:rsid w:val="008E213B"/>
    <w:rsid w:val="008E362E"/>
    <w:rsid w:val="008E39FB"/>
    <w:rsid w:val="008E3DC8"/>
    <w:rsid w:val="008E49DF"/>
    <w:rsid w:val="008F03AF"/>
    <w:rsid w:val="008F0A0D"/>
    <w:rsid w:val="008F1561"/>
    <w:rsid w:val="008F3066"/>
    <w:rsid w:val="008F3208"/>
    <w:rsid w:val="008F4742"/>
    <w:rsid w:val="008F5A62"/>
    <w:rsid w:val="008F5E9E"/>
    <w:rsid w:val="008F67E2"/>
    <w:rsid w:val="008F75BC"/>
    <w:rsid w:val="008F7618"/>
    <w:rsid w:val="008F770D"/>
    <w:rsid w:val="009013E5"/>
    <w:rsid w:val="00901579"/>
    <w:rsid w:val="00901E60"/>
    <w:rsid w:val="00901EED"/>
    <w:rsid w:val="00902058"/>
    <w:rsid w:val="00902BBA"/>
    <w:rsid w:val="00904C22"/>
    <w:rsid w:val="00907FB7"/>
    <w:rsid w:val="009107FF"/>
    <w:rsid w:val="0091090A"/>
    <w:rsid w:val="00912099"/>
    <w:rsid w:val="009122CD"/>
    <w:rsid w:val="00912813"/>
    <w:rsid w:val="0091385C"/>
    <w:rsid w:val="009138CF"/>
    <w:rsid w:val="0091406A"/>
    <w:rsid w:val="00914BF4"/>
    <w:rsid w:val="00914C5F"/>
    <w:rsid w:val="009152EC"/>
    <w:rsid w:val="00915C5B"/>
    <w:rsid w:val="00915EF7"/>
    <w:rsid w:val="00920E5C"/>
    <w:rsid w:val="00921844"/>
    <w:rsid w:val="00921A6F"/>
    <w:rsid w:val="00921DA1"/>
    <w:rsid w:val="0092253E"/>
    <w:rsid w:val="0092325F"/>
    <w:rsid w:val="0092375F"/>
    <w:rsid w:val="009246B6"/>
    <w:rsid w:val="00925A9E"/>
    <w:rsid w:val="00926DE5"/>
    <w:rsid w:val="00930701"/>
    <w:rsid w:val="00930B62"/>
    <w:rsid w:val="009320DC"/>
    <w:rsid w:val="00932D63"/>
    <w:rsid w:val="009355C8"/>
    <w:rsid w:val="00936660"/>
    <w:rsid w:val="009373F2"/>
    <w:rsid w:val="009407A3"/>
    <w:rsid w:val="009407AB"/>
    <w:rsid w:val="00940FF8"/>
    <w:rsid w:val="00941543"/>
    <w:rsid w:val="009416FC"/>
    <w:rsid w:val="00941F81"/>
    <w:rsid w:val="0094367C"/>
    <w:rsid w:val="00943D0C"/>
    <w:rsid w:val="00943EA9"/>
    <w:rsid w:val="00944287"/>
    <w:rsid w:val="00945674"/>
    <w:rsid w:val="00945840"/>
    <w:rsid w:val="00945A57"/>
    <w:rsid w:val="00945BE7"/>
    <w:rsid w:val="00947FB2"/>
    <w:rsid w:val="009505BA"/>
    <w:rsid w:val="0095233D"/>
    <w:rsid w:val="00952FEB"/>
    <w:rsid w:val="00954E17"/>
    <w:rsid w:val="009550B0"/>
    <w:rsid w:val="0095628A"/>
    <w:rsid w:val="00957CE2"/>
    <w:rsid w:val="00957DD4"/>
    <w:rsid w:val="00960254"/>
    <w:rsid w:val="00960B38"/>
    <w:rsid w:val="0096536B"/>
    <w:rsid w:val="00966B20"/>
    <w:rsid w:val="00970D15"/>
    <w:rsid w:val="00970DA3"/>
    <w:rsid w:val="00970FB8"/>
    <w:rsid w:val="009711C1"/>
    <w:rsid w:val="00971322"/>
    <w:rsid w:val="00971952"/>
    <w:rsid w:val="009725A6"/>
    <w:rsid w:val="00972A26"/>
    <w:rsid w:val="00974781"/>
    <w:rsid w:val="00975626"/>
    <w:rsid w:val="00975B7C"/>
    <w:rsid w:val="0097791B"/>
    <w:rsid w:val="00982732"/>
    <w:rsid w:val="00982CB1"/>
    <w:rsid w:val="00985622"/>
    <w:rsid w:val="00987625"/>
    <w:rsid w:val="00990B70"/>
    <w:rsid w:val="00991663"/>
    <w:rsid w:val="00992750"/>
    <w:rsid w:val="00994314"/>
    <w:rsid w:val="0099720F"/>
    <w:rsid w:val="009A03BD"/>
    <w:rsid w:val="009A0533"/>
    <w:rsid w:val="009A07CF"/>
    <w:rsid w:val="009A4A83"/>
    <w:rsid w:val="009A5898"/>
    <w:rsid w:val="009A5D2A"/>
    <w:rsid w:val="009A727E"/>
    <w:rsid w:val="009B1FA6"/>
    <w:rsid w:val="009B59FD"/>
    <w:rsid w:val="009B6787"/>
    <w:rsid w:val="009C1199"/>
    <w:rsid w:val="009C2DE8"/>
    <w:rsid w:val="009C4E2A"/>
    <w:rsid w:val="009C52C0"/>
    <w:rsid w:val="009C5380"/>
    <w:rsid w:val="009C5615"/>
    <w:rsid w:val="009C60DF"/>
    <w:rsid w:val="009C672A"/>
    <w:rsid w:val="009C6B68"/>
    <w:rsid w:val="009C7180"/>
    <w:rsid w:val="009D0ED7"/>
    <w:rsid w:val="009D1163"/>
    <w:rsid w:val="009D27B4"/>
    <w:rsid w:val="009D441C"/>
    <w:rsid w:val="009D4E47"/>
    <w:rsid w:val="009D5F6A"/>
    <w:rsid w:val="009D6985"/>
    <w:rsid w:val="009D7A53"/>
    <w:rsid w:val="009E1014"/>
    <w:rsid w:val="009E116A"/>
    <w:rsid w:val="009E24D5"/>
    <w:rsid w:val="009E29D0"/>
    <w:rsid w:val="009E3CB5"/>
    <w:rsid w:val="009E3E3C"/>
    <w:rsid w:val="009F1D54"/>
    <w:rsid w:val="009F2B6A"/>
    <w:rsid w:val="009F352A"/>
    <w:rsid w:val="009F506E"/>
    <w:rsid w:val="009F7301"/>
    <w:rsid w:val="00A006E9"/>
    <w:rsid w:val="00A03636"/>
    <w:rsid w:val="00A03826"/>
    <w:rsid w:val="00A053D1"/>
    <w:rsid w:val="00A061C6"/>
    <w:rsid w:val="00A0632E"/>
    <w:rsid w:val="00A069C7"/>
    <w:rsid w:val="00A075FA"/>
    <w:rsid w:val="00A10355"/>
    <w:rsid w:val="00A10831"/>
    <w:rsid w:val="00A1091E"/>
    <w:rsid w:val="00A10F7B"/>
    <w:rsid w:val="00A11567"/>
    <w:rsid w:val="00A11EBC"/>
    <w:rsid w:val="00A1240E"/>
    <w:rsid w:val="00A1300C"/>
    <w:rsid w:val="00A14491"/>
    <w:rsid w:val="00A15F76"/>
    <w:rsid w:val="00A161D8"/>
    <w:rsid w:val="00A16FB3"/>
    <w:rsid w:val="00A205AE"/>
    <w:rsid w:val="00A2255E"/>
    <w:rsid w:val="00A236A8"/>
    <w:rsid w:val="00A236F2"/>
    <w:rsid w:val="00A2401C"/>
    <w:rsid w:val="00A243EC"/>
    <w:rsid w:val="00A25CDF"/>
    <w:rsid w:val="00A25E34"/>
    <w:rsid w:val="00A26DBD"/>
    <w:rsid w:val="00A27325"/>
    <w:rsid w:val="00A3232F"/>
    <w:rsid w:val="00A345B2"/>
    <w:rsid w:val="00A3470C"/>
    <w:rsid w:val="00A3492B"/>
    <w:rsid w:val="00A35564"/>
    <w:rsid w:val="00A37234"/>
    <w:rsid w:val="00A42DB4"/>
    <w:rsid w:val="00A42FA9"/>
    <w:rsid w:val="00A43D04"/>
    <w:rsid w:val="00A43D4A"/>
    <w:rsid w:val="00A44197"/>
    <w:rsid w:val="00A445C9"/>
    <w:rsid w:val="00A448B6"/>
    <w:rsid w:val="00A44A79"/>
    <w:rsid w:val="00A44EF8"/>
    <w:rsid w:val="00A459F5"/>
    <w:rsid w:val="00A46F08"/>
    <w:rsid w:val="00A50FCC"/>
    <w:rsid w:val="00A5141B"/>
    <w:rsid w:val="00A5304B"/>
    <w:rsid w:val="00A53C36"/>
    <w:rsid w:val="00A55609"/>
    <w:rsid w:val="00A576CF"/>
    <w:rsid w:val="00A57D39"/>
    <w:rsid w:val="00A60786"/>
    <w:rsid w:val="00A61C2F"/>
    <w:rsid w:val="00A61F7E"/>
    <w:rsid w:val="00A62B33"/>
    <w:rsid w:val="00A62EC7"/>
    <w:rsid w:val="00A64E0A"/>
    <w:rsid w:val="00A66252"/>
    <w:rsid w:val="00A66F59"/>
    <w:rsid w:val="00A71FA1"/>
    <w:rsid w:val="00A72778"/>
    <w:rsid w:val="00A7291E"/>
    <w:rsid w:val="00A72CDA"/>
    <w:rsid w:val="00A733DC"/>
    <w:rsid w:val="00A7407E"/>
    <w:rsid w:val="00A748B5"/>
    <w:rsid w:val="00A751F1"/>
    <w:rsid w:val="00A765DB"/>
    <w:rsid w:val="00A80546"/>
    <w:rsid w:val="00A80BC6"/>
    <w:rsid w:val="00A81797"/>
    <w:rsid w:val="00A8368F"/>
    <w:rsid w:val="00A84CF2"/>
    <w:rsid w:val="00A84DD3"/>
    <w:rsid w:val="00A856DB"/>
    <w:rsid w:val="00A86582"/>
    <w:rsid w:val="00A87EBF"/>
    <w:rsid w:val="00A911D0"/>
    <w:rsid w:val="00A93A8B"/>
    <w:rsid w:val="00A976F8"/>
    <w:rsid w:val="00AA1290"/>
    <w:rsid w:val="00AA2A7B"/>
    <w:rsid w:val="00AA2CFF"/>
    <w:rsid w:val="00AA489B"/>
    <w:rsid w:val="00AA5421"/>
    <w:rsid w:val="00AB30EF"/>
    <w:rsid w:val="00AB40A0"/>
    <w:rsid w:val="00AB431A"/>
    <w:rsid w:val="00AC1A44"/>
    <w:rsid w:val="00AC2D18"/>
    <w:rsid w:val="00AC2D80"/>
    <w:rsid w:val="00AC2E74"/>
    <w:rsid w:val="00AC3B50"/>
    <w:rsid w:val="00AC4204"/>
    <w:rsid w:val="00AC5E4C"/>
    <w:rsid w:val="00AD014B"/>
    <w:rsid w:val="00AD0459"/>
    <w:rsid w:val="00AD049F"/>
    <w:rsid w:val="00AD2B92"/>
    <w:rsid w:val="00AD5E2A"/>
    <w:rsid w:val="00AD5F0A"/>
    <w:rsid w:val="00AD5F8E"/>
    <w:rsid w:val="00AD635C"/>
    <w:rsid w:val="00AD6450"/>
    <w:rsid w:val="00AD771E"/>
    <w:rsid w:val="00AD7F0D"/>
    <w:rsid w:val="00AE0A2B"/>
    <w:rsid w:val="00AE1558"/>
    <w:rsid w:val="00AE4140"/>
    <w:rsid w:val="00AE4888"/>
    <w:rsid w:val="00AE513E"/>
    <w:rsid w:val="00AE5C76"/>
    <w:rsid w:val="00AE5C8C"/>
    <w:rsid w:val="00AF260A"/>
    <w:rsid w:val="00AF2B6F"/>
    <w:rsid w:val="00AF417D"/>
    <w:rsid w:val="00AF5B65"/>
    <w:rsid w:val="00AF5DD8"/>
    <w:rsid w:val="00B0411C"/>
    <w:rsid w:val="00B04414"/>
    <w:rsid w:val="00B06C51"/>
    <w:rsid w:val="00B1005C"/>
    <w:rsid w:val="00B10088"/>
    <w:rsid w:val="00B116EC"/>
    <w:rsid w:val="00B12F64"/>
    <w:rsid w:val="00B13307"/>
    <w:rsid w:val="00B13317"/>
    <w:rsid w:val="00B13D27"/>
    <w:rsid w:val="00B142AF"/>
    <w:rsid w:val="00B147A0"/>
    <w:rsid w:val="00B157F7"/>
    <w:rsid w:val="00B16ABC"/>
    <w:rsid w:val="00B17A88"/>
    <w:rsid w:val="00B21380"/>
    <w:rsid w:val="00B23052"/>
    <w:rsid w:val="00B27A75"/>
    <w:rsid w:val="00B309F4"/>
    <w:rsid w:val="00B31AC2"/>
    <w:rsid w:val="00B3437F"/>
    <w:rsid w:val="00B35723"/>
    <w:rsid w:val="00B361CB"/>
    <w:rsid w:val="00B36FB9"/>
    <w:rsid w:val="00B409E6"/>
    <w:rsid w:val="00B40C4B"/>
    <w:rsid w:val="00B4212F"/>
    <w:rsid w:val="00B42DDC"/>
    <w:rsid w:val="00B44B06"/>
    <w:rsid w:val="00B4624F"/>
    <w:rsid w:val="00B479BC"/>
    <w:rsid w:val="00B540FA"/>
    <w:rsid w:val="00B54CBE"/>
    <w:rsid w:val="00B54E6E"/>
    <w:rsid w:val="00B57D2C"/>
    <w:rsid w:val="00B6044B"/>
    <w:rsid w:val="00B618DC"/>
    <w:rsid w:val="00B66901"/>
    <w:rsid w:val="00B671F0"/>
    <w:rsid w:val="00B70FC6"/>
    <w:rsid w:val="00B7478B"/>
    <w:rsid w:val="00B75FC0"/>
    <w:rsid w:val="00B77896"/>
    <w:rsid w:val="00B77E9C"/>
    <w:rsid w:val="00B77F92"/>
    <w:rsid w:val="00B81819"/>
    <w:rsid w:val="00B81B98"/>
    <w:rsid w:val="00B82756"/>
    <w:rsid w:val="00B83B10"/>
    <w:rsid w:val="00B84BE3"/>
    <w:rsid w:val="00B84E24"/>
    <w:rsid w:val="00B85AD0"/>
    <w:rsid w:val="00B8634D"/>
    <w:rsid w:val="00B90CE0"/>
    <w:rsid w:val="00B91AC3"/>
    <w:rsid w:val="00B91C89"/>
    <w:rsid w:val="00B91DA7"/>
    <w:rsid w:val="00B924A2"/>
    <w:rsid w:val="00B9356C"/>
    <w:rsid w:val="00B937D7"/>
    <w:rsid w:val="00B93E1D"/>
    <w:rsid w:val="00B953A1"/>
    <w:rsid w:val="00BA14CE"/>
    <w:rsid w:val="00BA1C4A"/>
    <w:rsid w:val="00BA2064"/>
    <w:rsid w:val="00BA3F0D"/>
    <w:rsid w:val="00BA408A"/>
    <w:rsid w:val="00BA4C13"/>
    <w:rsid w:val="00BA55E0"/>
    <w:rsid w:val="00BA6195"/>
    <w:rsid w:val="00BA6D54"/>
    <w:rsid w:val="00BA7685"/>
    <w:rsid w:val="00BB025B"/>
    <w:rsid w:val="00BB0C45"/>
    <w:rsid w:val="00BB334A"/>
    <w:rsid w:val="00BB33DB"/>
    <w:rsid w:val="00BB4361"/>
    <w:rsid w:val="00BB5F6F"/>
    <w:rsid w:val="00BC0A6A"/>
    <w:rsid w:val="00BC0C32"/>
    <w:rsid w:val="00BC0EE3"/>
    <w:rsid w:val="00BC11DE"/>
    <w:rsid w:val="00BC15C7"/>
    <w:rsid w:val="00BC1C99"/>
    <w:rsid w:val="00BC1D26"/>
    <w:rsid w:val="00BC2023"/>
    <w:rsid w:val="00BC4250"/>
    <w:rsid w:val="00BC4846"/>
    <w:rsid w:val="00BC50A8"/>
    <w:rsid w:val="00BC6CFA"/>
    <w:rsid w:val="00BD0511"/>
    <w:rsid w:val="00BD1666"/>
    <w:rsid w:val="00BD2607"/>
    <w:rsid w:val="00BD476F"/>
    <w:rsid w:val="00BD7217"/>
    <w:rsid w:val="00BE0CDB"/>
    <w:rsid w:val="00BE1E2D"/>
    <w:rsid w:val="00BE5B59"/>
    <w:rsid w:val="00BF105B"/>
    <w:rsid w:val="00BF217B"/>
    <w:rsid w:val="00BF26D1"/>
    <w:rsid w:val="00BF2E1C"/>
    <w:rsid w:val="00BF36D3"/>
    <w:rsid w:val="00BF3DD5"/>
    <w:rsid w:val="00BF49CE"/>
    <w:rsid w:val="00BF4A33"/>
    <w:rsid w:val="00BF53A5"/>
    <w:rsid w:val="00BF604E"/>
    <w:rsid w:val="00BF71F5"/>
    <w:rsid w:val="00BF7D22"/>
    <w:rsid w:val="00C00726"/>
    <w:rsid w:val="00C0111C"/>
    <w:rsid w:val="00C01F5C"/>
    <w:rsid w:val="00C02A41"/>
    <w:rsid w:val="00C03D98"/>
    <w:rsid w:val="00C046BE"/>
    <w:rsid w:val="00C05330"/>
    <w:rsid w:val="00C06A91"/>
    <w:rsid w:val="00C071FB"/>
    <w:rsid w:val="00C102D3"/>
    <w:rsid w:val="00C11C9D"/>
    <w:rsid w:val="00C1326D"/>
    <w:rsid w:val="00C13DAC"/>
    <w:rsid w:val="00C14240"/>
    <w:rsid w:val="00C14886"/>
    <w:rsid w:val="00C16CD9"/>
    <w:rsid w:val="00C16DC6"/>
    <w:rsid w:val="00C179DE"/>
    <w:rsid w:val="00C206DC"/>
    <w:rsid w:val="00C21354"/>
    <w:rsid w:val="00C216DF"/>
    <w:rsid w:val="00C223C1"/>
    <w:rsid w:val="00C22935"/>
    <w:rsid w:val="00C2323E"/>
    <w:rsid w:val="00C2373F"/>
    <w:rsid w:val="00C23DDE"/>
    <w:rsid w:val="00C27F1B"/>
    <w:rsid w:val="00C31107"/>
    <w:rsid w:val="00C313ED"/>
    <w:rsid w:val="00C3268F"/>
    <w:rsid w:val="00C329E8"/>
    <w:rsid w:val="00C33495"/>
    <w:rsid w:val="00C351F8"/>
    <w:rsid w:val="00C37024"/>
    <w:rsid w:val="00C37B0E"/>
    <w:rsid w:val="00C418FB"/>
    <w:rsid w:val="00C45D40"/>
    <w:rsid w:val="00C50286"/>
    <w:rsid w:val="00C50408"/>
    <w:rsid w:val="00C51B32"/>
    <w:rsid w:val="00C521F9"/>
    <w:rsid w:val="00C52EAC"/>
    <w:rsid w:val="00C52F0F"/>
    <w:rsid w:val="00C53BC3"/>
    <w:rsid w:val="00C54FDC"/>
    <w:rsid w:val="00C55226"/>
    <w:rsid w:val="00C5580A"/>
    <w:rsid w:val="00C5637E"/>
    <w:rsid w:val="00C638DC"/>
    <w:rsid w:val="00C63C73"/>
    <w:rsid w:val="00C642D9"/>
    <w:rsid w:val="00C6707F"/>
    <w:rsid w:val="00C67FC3"/>
    <w:rsid w:val="00C7082C"/>
    <w:rsid w:val="00C72687"/>
    <w:rsid w:val="00C728FC"/>
    <w:rsid w:val="00C74074"/>
    <w:rsid w:val="00C74359"/>
    <w:rsid w:val="00C74EBA"/>
    <w:rsid w:val="00C758EB"/>
    <w:rsid w:val="00C80821"/>
    <w:rsid w:val="00C80AFD"/>
    <w:rsid w:val="00C81771"/>
    <w:rsid w:val="00C84293"/>
    <w:rsid w:val="00C855E3"/>
    <w:rsid w:val="00C85EE0"/>
    <w:rsid w:val="00C86AC4"/>
    <w:rsid w:val="00C900D3"/>
    <w:rsid w:val="00C9182B"/>
    <w:rsid w:val="00C95189"/>
    <w:rsid w:val="00C9776E"/>
    <w:rsid w:val="00C97DB4"/>
    <w:rsid w:val="00CA208E"/>
    <w:rsid w:val="00CA3DA7"/>
    <w:rsid w:val="00CA59E0"/>
    <w:rsid w:val="00CA62FF"/>
    <w:rsid w:val="00CA6E1F"/>
    <w:rsid w:val="00CA753A"/>
    <w:rsid w:val="00CB0DF9"/>
    <w:rsid w:val="00CB11F1"/>
    <w:rsid w:val="00CB2651"/>
    <w:rsid w:val="00CB7624"/>
    <w:rsid w:val="00CC01DE"/>
    <w:rsid w:val="00CC1327"/>
    <w:rsid w:val="00CC1556"/>
    <w:rsid w:val="00CC1CDE"/>
    <w:rsid w:val="00CC1E45"/>
    <w:rsid w:val="00CC23EC"/>
    <w:rsid w:val="00CC3B24"/>
    <w:rsid w:val="00CC4A4C"/>
    <w:rsid w:val="00CC4B55"/>
    <w:rsid w:val="00CC7961"/>
    <w:rsid w:val="00CC7F23"/>
    <w:rsid w:val="00CD0457"/>
    <w:rsid w:val="00CD0580"/>
    <w:rsid w:val="00CD17D7"/>
    <w:rsid w:val="00CD3048"/>
    <w:rsid w:val="00CD3F27"/>
    <w:rsid w:val="00CD4375"/>
    <w:rsid w:val="00CD5BA7"/>
    <w:rsid w:val="00CD6378"/>
    <w:rsid w:val="00CD6B6E"/>
    <w:rsid w:val="00CD6CDE"/>
    <w:rsid w:val="00CD74D1"/>
    <w:rsid w:val="00CE0C92"/>
    <w:rsid w:val="00CE1BEB"/>
    <w:rsid w:val="00CE4602"/>
    <w:rsid w:val="00CE5C8B"/>
    <w:rsid w:val="00CE7797"/>
    <w:rsid w:val="00CE7D82"/>
    <w:rsid w:val="00CF008E"/>
    <w:rsid w:val="00CF07B3"/>
    <w:rsid w:val="00CF0842"/>
    <w:rsid w:val="00CF0A88"/>
    <w:rsid w:val="00CF1FA6"/>
    <w:rsid w:val="00CF2884"/>
    <w:rsid w:val="00CF31E3"/>
    <w:rsid w:val="00CF3A7E"/>
    <w:rsid w:val="00CF4125"/>
    <w:rsid w:val="00CF6057"/>
    <w:rsid w:val="00D00549"/>
    <w:rsid w:val="00D0099B"/>
    <w:rsid w:val="00D011BC"/>
    <w:rsid w:val="00D01AC9"/>
    <w:rsid w:val="00D01E05"/>
    <w:rsid w:val="00D03D38"/>
    <w:rsid w:val="00D03D78"/>
    <w:rsid w:val="00D05766"/>
    <w:rsid w:val="00D0615F"/>
    <w:rsid w:val="00D116B8"/>
    <w:rsid w:val="00D13E9D"/>
    <w:rsid w:val="00D143EB"/>
    <w:rsid w:val="00D14412"/>
    <w:rsid w:val="00D14ECC"/>
    <w:rsid w:val="00D24512"/>
    <w:rsid w:val="00D24F2E"/>
    <w:rsid w:val="00D25B83"/>
    <w:rsid w:val="00D271EC"/>
    <w:rsid w:val="00D27B1A"/>
    <w:rsid w:val="00D30160"/>
    <w:rsid w:val="00D31101"/>
    <w:rsid w:val="00D32A72"/>
    <w:rsid w:val="00D350FD"/>
    <w:rsid w:val="00D35594"/>
    <w:rsid w:val="00D35723"/>
    <w:rsid w:val="00D35E1F"/>
    <w:rsid w:val="00D35E2F"/>
    <w:rsid w:val="00D40330"/>
    <w:rsid w:val="00D40B81"/>
    <w:rsid w:val="00D41194"/>
    <w:rsid w:val="00D43C8A"/>
    <w:rsid w:val="00D43CD2"/>
    <w:rsid w:val="00D44203"/>
    <w:rsid w:val="00D44419"/>
    <w:rsid w:val="00D444C6"/>
    <w:rsid w:val="00D452A5"/>
    <w:rsid w:val="00D47D00"/>
    <w:rsid w:val="00D50BBC"/>
    <w:rsid w:val="00D50E96"/>
    <w:rsid w:val="00D5136D"/>
    <w:rsid w:val="00D52A70"/>
    <w:rsid w:val="00D57209"/>
    <w:rsid w:val="00D576D5"/>
    <w:rsid w:val="00D608EF"/>
    <w:rsid w:val="00D60BA6"/>
    <w:rsid w:val="00D61A64"/>
    <w:rsid w:val="00D63F7B"/>
    <w:rsid w:val="00D71076"/>
    <w:rsid w:val="00D73414"/>
    <w:rsid w:val="00D73AC0"/>
    <w:rsid w:val="00D7429D"/>
    <w:rsid w:val="00D75935"/>
    <w:rsid w:val="00D7612C"/>
    <w:rsid w:val="00D802FC"/>
    <w:rsid w:val="00D82C8B"/>
    <w:rsid w:val="00D830F7"/>
    <w:rsid w:val="00D862CB"/>
    <w:rsid w:val="00D86614"/>
    <w:rsid w:val="00D86E1F"/>
    <w:rsid w:val="00D908F5"/>
    <w:rsid w:val="00D90A5C"/>
    <w:rsid w:val="00D90DF8"/>
    <w:rsid w:val="00D9337B"/>
    <w:rsid w:val="00D94448"/>
    <w:rsid w:val="00D94665"/>
    <w:rsid w:val="00D94EED"/>
    <w:rsid w:val="00D95726"/>
    <w:rsid w:val="00D96998"/>
    <w:rsid w:val="00D97151"/>
    <w:rsid w:val="00D97CAF"/>
    <w:rsid w:val="00DA0380"/>
    <w:rsid w:val="00DA3049"/>
    <w:rsid w:val="00DA4654"/>
    <w:rsid w:val="00DA470D"/>
    <w:rsid w:val="00DA4E99"/>
    <w:rsid w:val="00DA698D"/>
    <w:rsid w:val="00DA6D10"/>
    <w:rsid w:val="00DA6F34"/>
    <w:rsid w:val="00DA6FC4"/>
    <w:rsid w:val="00DA744F"/>
    <w:rsid w:val="00DB077F"/>
    <w:rsid w:val="00DB0BA0"/>
    <w:rsid w:val="00DB3722"/>
    <w:rsid w:val="00DB39EC"/>
    <w:rsid w:val="00DB78F7"/>
    <w:rsid w:val="00DC0406"/>
    <w:rsid w:val="00DC0491"/>
    <w:rsid w:val="00DC0DB9"/>
    <w:rsid w:val="00DC13A2"/>
    <w:rsid w:val="00DC3EC0"/>
    <w:rsid w:val="00DC623C"/>
    <w:rsid w:val="00DC786D"/>
    <w:rsid w:val="00DD2595"/>
    <w:rsid w:val="00DD352B"/>
    <w:rsid w:val="00DD3754"/>
    <w:rsid w:val="00DD545D"/>
    <w:rsid w:val="00DE0A75"/>
    <w:rsid w:val="00DE21E1"/>
    <w:rsid w:val="00DE2270"/>
    <w:rsid w:val="00DE2DB6"/>
    <w:rsid w:val="00DE300E"/>
    <w:rsid w:val="00DE32D2"/>
    <w:rsid w:val="00DE6D33"/>
    <w:rsid w:val="00DE71CF"/>
    <w:rsid w:val="00DE7E66"/>
    <w:rsid w:val="00DF1777"/>
    <w:rsid w:val="00DF1D18"/>
    <w:rsid w:val="00DF247D"/>
    <w:rsid w:val="00DF3BDD"/>
    <w:rsid w:val="00DF5EC4"/>
    <w:rsid w:val="00DF6F67"/>
    <w:rsid w:val="00DF79BE"/>
    <w:rsid w:val="00E005A3"/>
    <w:rsid w:val="00E00696"/>
    <w:rsid w:val="00E00A51"/>
    <w:rsid w:val="00E00C81"/>
    <w:rsid w:val="00E02218"/>
    <w:rsid w:val="00E032C9"/>
    <w:rsid w:val="00E0618B"/>
    <w:rsid w:val="00E10AA9"/>
    <w:rsid w:val="00E129CA"/>
    <w:rsid w:val="00E12B48"/>
    <w:rsid w:val="00E131BA"/>
    <w:rsid w:val="00E164DD"/>
    <w:rsid w:val="00E2048C"/>
    <w:rsid w:val="00E2079E"/>
    <w:rsid w:val="00E21C02"/>
    <w:rsid w:val="00E22301"/>
    <w:rsid w:val="00E22EBD"/>
    <w:rsid w:val="00E23325"/>
    <w:rsid w:val="00E244C1"/>
    <w:rsid w:val="00E2587C"/>
    <w:rsid w:val="00E258EA"/>
    <w:rsid w:val="00E25AD0"/>
    <w:rsid w:val="00E25F8E"/>
    <w:rsid w:val="00E33FAA"/>
    <w:rsid w:val="00E3435E"/>
    <w:rsid w:val="00E34A7E"/>
    <w:rsid w:val="00E361EA"/>
    <w:rsid w:val="00E3640C"/>
    <w:rsid w:val="00E36A49"/>
    <w:rsid w:val="00E378C8"/>
    <w:rsid w:val="00E37CE1"/>
    <w:rsid w:val="00E40530"/>
    <w:rsid w:val="00E42548"/>
    <w:rsid w:val="00E428BB"/>
    <w:rsid w:val="00E42A87"/>
    <w:rsid w:val="00E43440"/>
    <w:rsid w:val="00E437DC"/>
    <w:rsid w:val="00E447EE"/>
    <w:rsid w:val="00E463F4"/>
    <w:rsid w:val="00E4650D"/>
    <w:rsid w:val="00E51CA6"/>
    <w:rsid w:val="00E52FC6"/>
    <w:rsid w:val="00E533BD"/>
    <w:rsid w:val="00E54F5C"/>
    <w:rsid w:val="00E61BD7"/>
    <w:rsid w:val="00E61C28"/>
    <w:rsid w:val="00E629C4"/>
    <w:rsid w:val="00E63671"/>
    <w:rsid w:val="00E643A3"/>
    <w:rsid w:val="00E65488"/>
    <w:rsid w:val="00E66EB7"/>
    <w:rsid w:val="00E675D1"/>
    <w:rsid w:val="00E67CA7"/>
    <w:rsid w:val="00E70433"/>
    <w:rsid w:val="00E71C73"/>
    <w:rsid w:val="00E722AE"/>
    <w:rsid w:val="00E72CAE"/>
    <w:rsid w:val="00E731F3"/>
    <w:rsid w:val="00E746F5"/>
    <w:rsid w:val="00E75C72"/>
    <w:rsid w:val="00E75FB1"/>
    <w:rsid w:val="00E81785"/>
    <w:rsid w:val="00E81835"/>
    <w:rsid w:val="00E83E19"/>
    <w:rsid w:val="00E8557F"/>
    <w:rsid w:val="00E86692"/>
    <w:rsid w:val="00E86EA5"/>
    <w:rsid w:val="00E87426"/>
    <w:rsid w:val="00E90824"/>
    <w:rsid w:val="00E91E67"/>
    <w:rsid w:val="00E925E6"/>
    <w:rsid w:val="00E92C24"/>
    <w:rsid w:val="00E938CD"/>
    <w:rsid w:val="00E94003"/>
    <w:rsid w:val="00E94FB4"/>
    <w:rsid w:val="00E96181"/>
    <w:rsid w:val="00E96B30"/>
    <w:rsid w:val="00E97E6F"/>
    <w:rsid w:val="00EA00AA"/>
    <w:rsid w:val="00EA0C89"/>
    <w:rsid w:val="00EA141D"/>
    <w:rsid w:val="00EA149F"/>
    <w:rsid w:val="00EA1703"/>
    <w:rsid w:val="00EA19D3"/>
    <w:rsid w:val="00EA1B60"/>
    <w:rsid w:val="00EA274C"/>
    <w:rsid w:val="00EA3690"/>
    <w:rsid w:val="00EA5099"/>
    <w:rsid w:val="00EA61CE"/>
    <w:rsid w:val="00EA74DE"/>
    <w:rsid w:val="00EB0BD6"/>
    <w:rsid w:val="00EB360D"/>
    <w:rsid w:val="00EB3B2B"/>
    <w:rsid w:val="00EB4AC5"/>
    <w:rsid w:val="00EB54B2"/>
    <w:rsid w:val="00EB5CA2"/>
    <w:rsid w:val="00EB5DB3"/>
    <w:rsid w:val="00EB675A"/>
    <w:rsid w:val="00EC1180"/>
    <w:rsid w:val="00EC12C1"/>
    <w:rsid w:val="00EC4DE3"/>
    <w:rsid w:val="00EC63BD"/>
    <w:rsid w:val="00ED034F"/>
    <w:rsid w:val="00ED1AE8"/>
    <w:rsid w:val="00ED3F20"/>
    <w:rsid w:val="00ED621F"/>
    <w:rsid w:val="00ED6EBE"/>
    <w:rsid w:val="00ED74B8"/>
    <w:rsid w:val="00ED7DCE"/>
    <w:rsid w:val="00EE33E5"/>
    <w:rsid w:val="00EE468B"/>
    <w:rsid w:val="00EE4783"/>
    <w:rsid w:val="00EE55CC"/>
    <w:rsid w:val="00EE5C85"/>
    <w:rsid w:val="00EE5FCE"/>
    <w:rsid w:val="00EE641C"/>
    <w:rsid w:val="00EE70B0"/>
    <w:rsid w:val="00EE71D6"/>
    <w:rsid w:val="00EE7405"/>
    <w:rsid w:val="00EF0096"/>
    <w:rsid w:val="00EF1161"/>
    <w:rsid w:val="00EF21F4"/>
    <w:rsid w:val="00EF41CC"/>
    <w:rsid w:val="00EF4593"/>
    <w:rsid w:val="00EF57F4"/>
    <w:rsid w:val="00EF5962"/>
    <w:rsid w:val="00EF658F"/>
    <w:rsid w:val="00EF768D"/>
    <w:rsid w:val="00EF7B98"/>
    <w:rsid w:val="00F0638A"/>
    <w:rsid w:val="00F06CAE"/>
    <w:rsid w:val="00F10DDE"/>
    <w:rsid w:val="00F11457"/>
    <w:rsid w:val="00F12875"/>
    <w:rsid w:val="00F129FD"/>
    <w:rsid w:val="00F12D91"/>
    <w:rsid w:val="00F156BD"/>
    <w:rsid w:val="00F15D63"/>
    <w:rsid w:val="00F164DF"/>
    <w:rsid w:val="00F20B15"/>
    <w:rsid w:val="00F2184B"/>
    <w:rsid w:val="00F2254A"/>
    <w:rsid w:val="00F231C0"/>
    <w:rsid w:val="00F23BBD"/>
    <w:rsid w:val="00F250B9"/>
    <w:rsid w:val="00F2793B"/>
    <w:rsid w:val="00F27A45"/>
    <w:rsid w:val="00F30F63"/>
    <w:rsid w:val="00F33D62"/>
    <w:rsid w:val="00F340B5"/>
    <w:rsid w:val="00F34995"/>
    <w:rsid w:val="00F35220"/>
    <w:rsid w:val="00F36CEA"/>
    <w:rsid w:val="00F378A2"/>
    <w:rsid w:val="00F420F5"/>
    <w:rsid w:val="00F43404"/>
    <w:rsid w:val="00F43E4D"/>
    <w:rsid w:val="00F4439E"/>
    <w:rsid w:val="00F44C8A"/>
    <w:rsid w:val="00F4571A"/>
    <w:rsid w:val="00F46A8D"/>
    <w:rsid w:val="00F46AA7"/>
    <w:rsid w:val="00F501F6"/>
    <w:rsid w:val="00F540EF"/>
    <w:rsid w:val="00F5449F"/>
    <w:rsid w:val="00F54CC7"/>
    <w:rsid w:val="00F54FC0"/>
    <w:rsid w:val="00F552A5"/>
    <w:rsid w:val="00F55C99"/>
    <w:rsid w:val="00F55ED9"/>
    <w:rsid w:val="00F61511"/>
    <w:rsid w:val="00F61EBA"/>
    <w:rsid w:val="00F6204F"/>
    <w:rsid w:val="00F629A5"/>
    <w:rsid w:val="00F6315C"/>
    <w:rsid w:val="00F6420F"/>
    <w:rsid w:val="00F6502D"/>
    <w:rsid w:val="00F703DD"/>
    <w:rsid w:val="00F70A1D"/>
    <w:rsid w:val="00F70B9B"/>
    <w:rsid w:val="00F7360B"/>
    <w:rsid w:val="00F73F57"/>
    <w:rsid w:val="00F75B78"/>
    <w:rsid w:val="00F75EC1"/>
    <w:rsid w:val="00F77768"/>
    <w:rsid w:val="00F77869"/>
    <w:rsid w:val="00F804F2"/>
    <w:rsid w:val="00F809C5"/>
    <w:rsid w:val="00F80F78"/>
    <w:rsid w:val="00F8165B"/>
    <w:rsid w:val="00F8182C"/>
    <w:rsid w:val="00F8222A"/>
    <w:rsid w:val="00F82285"/>
    <w:rsid w:val="00F82306"/>
    <w:rsid w:val="00F82815"/>
    <w:rsid w:val="00F85248"/>
    <w:rsid w:val="00F85DB1"/>
    <w:rsid w:val="00F86EFD"/>
    <w:rsid w:val="00F87AAC"/>
    <w:rsid w:val="00F87B44"/>
    <w:rsid w:val="00F901E0"/>
    <w:rsid w:val="00F9381A"/>
    <w:rsid w:val="00F9463F"/>
    <w:rsid w:val="00F946BF"/>
    <w:rsid w:val="00F962FE"/>
    <w:rsid w:val="00FA1218"/>
    <w:rsid w:val="00FA1579"/>
    <w:rsid w:val="00FA1F99"/>
    <w:rsid w:val="00FA2724"/>
    <w:rsid w:val="00FA30A4"/>
    <w:rsid w:val="00FA37AF"/>
    <w:rsid w:val="00FA5A10"/>
    <w:rsid w:val="00FA730C"/>
    <w:rsid w:val="00FB2DF2"/>
    <w:rsid w:val="00FB2FE3"/>
    <w:rsid w:val="00FB3017"/>
    <w:rsid w:val="00FB5E9A"/>
    <w:rsid w:val="00FB69F8"/>
    <w:rsid w:val="00FB7313"/>
    <w:rsid w:val="00FB7922"/>
    <w:rsid w:val="00FC090F"/>
    <w:rsid w:val="00FC0CD7"/>
    <w:rsid w:val="00FC0F61"/>
    <w:rsid w:val="00FC2E22"/>
    <w:rsid w:val="00FC4410"/>
    <w:rsid w:val="00FC75AD"/>
    <w:rsid w:val="00FD0087"/>
    <w:rsid w:val="00FD0518"/>
    <w:rsid w:val="00FD1170"/>
    <w:rsid w:val="00FD2576"/>
    <w:rsid w:val="00FD2AA9"/>
    <w:rsid w:val="00FD2BC2"/>
    <w:rsid w:val="00FD5E92"/>
    <w:rsid w:val="00FD714C"/>
    <w:rsid w:val="00FD7FB4"/>
    <w:rsid w:val="00FE0580"/>
    <w:rsid w:val="00FE1756"/>
    <w:rsid w:val="00FE1D18"/>
    <w:rsid w:val="00FE244A"/>
    <w:rsid w:val="00FE3D59"/>
    <w:rsid w:val="00FE4FC8"/>
    <w:rsid w:val="00FE60A6"/>
    <w:rsid w:val="00FE63F9"/>
    <w:rsid w:val="00FE7DE1"/>
    <w:rsid w:val="00FF0777"/>
    <w:rsid w:val="00FF1385"/>
    <w:rsid w:val="00FF174B"/>
    <w:rsid w:val="00FF232F"/>
    <w:rsid w:val="00FF2B6D"/>
    <w:rsid w:val="00FF2CA6"/>
    <w:rsid w:val="00FF5568"/>
    <w:rsid w:val="00FF574A"/>
    <w:rsid w:val="00FF5839"/>
    <w:rsid w:val="00FF6879"/>
    <w:rsid w:val="00FF6924"/>
    <w:rsid w:val="00FF7917"/>
    <w:rsid w:val="00FF7E1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30F"/>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39676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476B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16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4FC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6B49"/>
    <w:rPr>
      <w:rFonts w:asciiTheme="majorHAnsi" w:eastAsiaTheme="majorEastAsia" w:hAnsiTheme="majorHAnsi" w:cstheme="majorBidi"/>
      <w:b/>
      <w:bCs/>
      <w:color w:val="4F81BD" w:themeColor="accent1"/>
      <w:sz w:val="26"/>
      <w:szCs w:val="26"/>
    </w:rPr>
  </w:style>
  <w:style w:type="character" w:styleId="Hyperlink">
    <w:name w:val="Hyperlink"/>
    <w:uiPriority w:val="99"/>
    <w:rsid w:val="00476B49"/>
    <w:rPr>
      <w:color w:val="0000FF"/>
      <w:u w:val="single"/>
    </w:rPr>
  </w:style>
  <w:style w:type="paragraph" w:styleId="Footer">
    <w:name w:val="footer"/>
    <w:basedOn w:val="Normal"/>
    <w:link w:val="FooterChar"/>
    <w:uiPriority w:val="99"/>
    <w:rsid w:val="00476B49"/>
    <w:pPr>
      <w:tabs>
        <w:tab w:val="center" w:pos="4153"/>
        <w:tab w:val="right" w:pos="8306"/>
      </w:tabs>
    </w:pPr>
    <w:rPr>
      <w:rFonts w:ascii="Arial" w:eastAsia="Times New Roman" w:hAnsi="Arial"/>
      <w:sz w:val="24"/>
      <w:szCs w:val="24"/>
      <w:lang w:eastAsia="en-GB"/>
    </w:rPr>
  </w:style>
  <w:style w:type="character" w:customStyle="1" w:styleId="FooterChar">
    <w:name w:val="Footer Char"/>
    <w:basedOn w:val="DefaultParagraphFont"/>
    <w:link w:val="Footer"/>
    <w:uiPriority w:val="99"/>
    <w:rsid w:val="00476B49"/>
    <w:rPr>
      <w:rFonts w:ascii="Arial" w:eastAsia="Times New Roman" w:hAnsi="Arial" w:cs="Times New Roman"/>
      <w:sz w:val="24"/>
      <w:szCs w:val="24"/>
      <w:lang w:eastAsia="en-GB"/>
    </w:rPr>
  </w:style>
  <w:style w:type="character" w:styleId="PageNumber">
    <w:name w:val="page number"/>
    <w:basedOn w:val="DefaultParagraphFont"/>
    <w:rsid w:val="00476B49"/>
  </w:style>
  <w:style w:type="paragraph" w:styleId="Subtitle">
    <w:name w:val="Subtitle"/>
    <w:basedOn w:val="Normal"/>
    <w:next w:val="Normal"/>
    <w:link w:val="SubtitleChar"/>
    <w:uiPriority w:val="11"/>
    <w:qFormat/>
    <w:rsid w:val="00476B49"/>
    <w:pPr>
      <w:numPr>
        <w:ilvl w:val="1"/>
      </w:numPr>
    </w:pPr>
    <w:rPr>
      <w:rFonts w:asciiTheme="majorHAnsi" w:eastAsiaTheme="majorEastAsia" w:hAnsiTheme="majorHAnsi" w:cstheme="majorBidi"/>
      <w:i/>
      <w:iCs/>
      <w:color w:val="4F81BD" w:themeColor="accent1"/>
      <w:spacing w:val="15"/>
      <w:sz w:val="24"/>
      <w:szCs w:val="24"/>
      <w:lang w:eastAsia="en-GB"/>
    </w:rPr>
  </w:style>
  <w:style w:type="character" w:customStyle="1" w:styleId="SubtitleChar">
    <w:name w:val="Subtitle Char"/>
    <w:basedOn w:val="DefaultParagraphFont"/>
    <w:link w:val="Subtitle"/>
    <w:uiPriority w:val="11"/>
    <w:rsid w:val="00476B49"/>
    <w:rPr>
      <w:rFonts w:asciiTheme="majorHAnsi" w:eastAsiaTheme="majorEastAsia" w:hAnsiTheme="majorHAnsi" w:cstheme="majorBidi"/>
      <w:i/>
      <w:iCs/>
      <w:color w:val="4F81BD" w:themeColor="accent1"/>
      <w:spacing w:val="15"/>
      <w:sz w:val="24"/>
      <w:szCs w:val="24"/>
      <w:lang w:eastAsia="en-GB"/>
    </w:rPr>
  </w:style>
  <w:style w:type="character" w:styleId="SubtleEmphasis">
    <w:name w:val="Subtle Emphasis"/>
    <w:basedOn w:val="DefaultParagraphFont"/>
    <w:uiPriority w:val="19"/>
    <w:qFormat/>
    <w:rsid w:val="00476B49"/>
    <w:rPr>
      <w:i/>
      <w:iCs/>
      <w:color w:val="808080" w:themeColor="text1" w:themeTint="7F"/>
    </w:rPr>
  </w:style>
  <w:style w:type="paragraph" w:customStyle="1" w:styleId="Default">
    <w:name w:val="Default"/>
    <w:rsid w:val="00476B4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76B49"/>
    <w:pPr>
      <w:spacing w:after="200" w:line="276" w:lineRule="auto"/>
      <w:ind w:left="720"/>
      <w:contextualSpacing/>
    </w:pPr>
    <w:rPr>
      <w:rFonts w:asciiTheme="minorHAnsi" w:hAnsiTheme="minorHAnsi" w:cstheme="minorBidi"/>
    </w:rPr>
  </w:style>
  <w:style w:type="paragraph" w:styleId="Title">
    <w:name w:val="Title"/>
    <w:basedOn w:val="Normal"/>
    <w:next w:val="Normal"/>
    <w:link w:val="TitleChar"/>
    <w:uiPriority w:val="10"/>
    <w:qFormat/>
    <w:rsid w:val="00476B4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6B49"/>
    <w:rPr>
      <w:rFonts w:asciiTheme="majorHAnsi" w:eastAsiaTheme="majorEastAsia" w:hAnsiTheme="majorHAnsi" w:cstheme="majorBidi"/>
      <w:color w:val="17365D" w:themeColor="text2" w:themeShade="BF"/>
      <w:spacing w:val="5"/>
      <w:kern w:val="28"/>
      <w:sz w:val="52"/>
      <w:szCs w:val="52"/>
    </w:rPr>
  </w:style>
  <w:style w:type="paragraph" w:customStyle="1" w:styleId="nextprev1">
    <w:name w:val="nextprev1"/>
    <w:basedOn w:val="Normal"/>
    <w:rsid w:val="00476B49"/>
    <w:pPr>
      <w:spacing w:before="120" w:after="480" w:line="312" w:lineRule="atLeast"/>
      <w:ind w:left="150" w:right="210"/>
    </w:pPr>
    <w:rPr>
      <w:rFonts w:ascii="Verdana" w:eastAsia="Times New Roman" w:hAnsi="Verdana"/>
      <w:sz w:val="20"/>
      <w:szCs w:val="20"/>
      <w:lang w:eastAsia="en-IE"/>
    </w:rPr>
  </w:style>
  <w:style w:type="table" w:styleId="TableGrid">
    <w:name w:val="Table Grid"/>
    <w:basedOn w:val="TableNormal"/>
    <w:uiPriority w:val="59"/>
    <w:rsid w:val="00476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76B49"/>
  </w:style>
  <w:style w:type="character" w:customStyle="1" w:styleId="PlainTextChar">
    <w:name w:val="Plain Text Char"/>
    <w:basedOn w:val="DefaultParagraphFont"/>
    <w:link w:val="PlainText"/>
    <w:uiPriority w:val="99"/>
    <w:rsid w:val="00476B49"/>
    <w:rPr>
      <w:rFonts w:ascii="Calibri" w:hAnsi="Calibri" w:cs="Times New Roman"/>
    </w:rPr>
  </w:style>
  <w:style w:type="paragraph" w:styleId="Header">
    <w:name w:val="header"/>
    <w:basedOn w:val="Normal"/>
    <w:link w:val="HeaderChar"/>
    <w:uiPriority w:val="99"/>
    <w:unhideWhenUsed/>
    <w:rsid w:val="00DA744F"/>
    <w:pPr>
      <w:tabs>
        <w:tab w:val="center" w:pos="4513"/>
        <w:tab w:val="right" w:pos="9026"/>
      </w:tabs>
    </w:pPr>
  </w:style>
  <w:style w:type="character" w:customStyle="1" w:styleId="HeaderChar">
    <w:name w:val="Header Char"/>
    <w:basedOn w:val="DefaultParagraphFont"/>
    <w:link w:val="Header"/>
    <w:uiPriority w:val="99"/>
    <w:rsid w:val="00DA744F"/>
    <w:rPr>
      <w:rFonts w:ascii="Calibri" w:hAnsi="Calibri" w:cs="Times New Roman"/>
    </w:rPr>
  </w:style>
  <w:style w:type="character" w:styleId="CommentReference">
    <w:name w:val="annotation reference"/>
    <w:basedOn w:val="DefaultParagraphFont"/>
    <w:uiPriority w:val="99"/>
    <w:semiHidden/>
    <w:unhideWhenUsed/>
    <w:rsid w:val="00E75C72"/>
    <w:rPr>
      <w:sz w:val="16"/>
      <w:szCs w:val="16"/>
    </w:rPr>
  </w:style>
  <w:style w:type="paragraph" w:styleId="CommentText">
    <w:name w:val="annotation text"/>
    <w:basedOn w:val="Normal"/>
    <w:link w:val="CommentTextChar"/>
    <w:uiPriority w:val="99"/>
    <w:semiHidden/>
    <w:unhideWhenUsed/>
    <w:rsid w:val="00E75C72"/>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75C72"/>
    <w:rPr>
      <w:sz w:val="20"/>
      <w:szCs w:val="20"/>
    </w:rPr>
  </w:style>
  <w:style w:type="paragraph" w:styleId="BalloonText">
    <w:name w:val="Balloon Text"/>
    <w:basedOn w:val="Normal"/>
    <w:link w:val="BalloonTextChar"/>
    <w:uiPriority w:val="99"/>
    <w:semiHidden/>
    <w:unhideWhenUsed/>
    <w:rsid w:val="00E75C72"/>
    <w:rPr>
      <w:rFonts w:ascii="Tahoma" w:hAnsi="Tahoma" w:cs="Tahoma"/>
      <w:sz w:val="16"/>
      <w:szCs w:val="16"/>
    </w:rPr>
  </w:style>
  <w:style w:type="character" w:customStyle="1" w:styleId="BalloonTextChar">
    <w:name w:val="Balloon Text Char"/>
    <w:basedOn w:val="DefaultParagraphFont"/>
    <w:link w:val="BalloonText"/>
    <w:uiPriority w:val="99"/>
    <w:semiHidden/>
    <w:rsid w:val="00E75C72"/>
    <w:rPr>
      <w:rFonts w:ascii="Tahoma" w:hAnsi="Tahoma" w:cs="Tahoma"/>
      <w:sz w:val="16"/>
      <w:szCs w:val="16"/>
    </w:rPr>
  </w:style>
  <w:style w:type="character" w:customStyle="1" w:styleId="hi">
    <w:name w:val="hi"/>
    <w:basedOn w:val="DefaultParagraphFont"/>
    <w:rsid w:val="00E75C72"/>
    <w:rPr>
      <w:b/>
      <w:bCs/>
      <w:shd w:val="clear" w:color="auto" w:fill="FFFF33"/>
    </w:rPr>
  </w:style>
  <w:style w:type="character" w:customStyle="1" w:styleId="hi1">
    <w:name w:val="hi1"/>
    <w:basedOn w:val="DefaultParagraphFont"/>
    <w:rsid w:val="00E75C72"/>
    <w:rPr>
      <w:b/>
      <w:bCs/>
      <w:u w:val="single"/>
      <w:shd w:val="clear" w:color="auto" w:fill="FFFF33"/>
    </w:rPr>
  </w:style>
  <w:style w:type="paragraph" w:styleId="NormalWeb">
    <w:name w:val="Normal (Web)"/>
    <w:basedOn w:val="Normal"/>
    <w:uiPriority w:val="99"/>
    <w:unhideWhenUsed/>
    <w:rsid w:val="00721391"/>
    <w:rPr>
      <w:rFonts w:ascii="Times New Roman" w:hAnsi="Times New Roman"/>
      <w:sz w:val="24"/>
      <w:szCs w:val="24"/>
    </w:rPr>
  </w:style>
  <w:style w:type="character" w:styleId="FollowedHyperlink">
    <w:name w:val="FollowedHyperlink"/>
    <w:basedOn w:val="DefaultParagraphFont"/>
    <w:uiPriority w:val="99"/>
    <w:semiHidden/>
    <w:unhideWhenUsed/>
    <w:rsid w:val="00E428BB"/>
    <w:rPr>
      <w:color w:val="800080" w:themeColor="followedHyperlink"/>
      <w:u w:val="single"/>
    </w:rPr>
  </w:style>
  <w:style w:type="character" w:customStyle="1" w:styleId="Heading4Char">
    <w:name w:val="Heading 4 Char"/>
    <w:basedOn w:val="DefaultParagraphFont"/>
    <w:link w:val="Heading4"/>
    <w:uiPriority w:val="9"/>
    <w:rsid w:val="00474FCB"/>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474FCB"/>
    <w:rPr>
      <w:b/>
      <w:bCs/>
    </w:rPr>
  </w:style>
  <w:style w:type="character" w:styleId="Emphasis">
    <w:name w:val="Emphasis"/>
    <w:basedOn w:val="DefaultParagraphFont"/>
    <w:uiPriority w:val="20"/>
    <w:qFormat/>
    <w:rsid w:val="00474FCB"/>
    <w:rPr>
      <w:i/>
      <w:iCs/>
    </w:rPr>
  </w:style>
  <w:style w:type="paragraph" w:styleId="FootnoteText">
    <w:name w:val="footnote text"/>
    <w:aliases w:val="Footnotes"/>
    <w:basedOn w:val="Normal"/>
    <w:link w:val="FootnoteTextChar"/>
    <w:uiPriority w:val="99"/>
    <w:unhideWhenUsed/>
    <w:rsid w:val="00D57209"/>
    <w:rPr>
      <w:sz w:val="20"/>
      <w:szCs w:val="20"/>
    </w:rPr>
  </w:style>
  <w:style w:type="character" w:customStyle="1" w:styleId="FootnoteTextChar">
    <w:name w:val="Footnote Text Char"/>
    <w:aliases w:val="Footnotes Char"/>
    <w:basedOn w:val="DefaultParagraphFont"/>
    <w:link w:val="FootnoteText"/>
    <w:uiPriority w:val="99"/>
    <w:rsid w:val="00D57209"/>
    <w:rPr>
      <w:rFonts w:ascii="Calibri" w:hAnsi="Calibri" w:cs="Times New Roman"/>
      <w:sz w:val="20"/>
      <w:szCs w:val="20"/>
    </w:rPr>
  </w:style>
  <w:style w:type="character" w:styleId="FootnoteReference">
    <w:name w:val="footnote reference"/>
    <w:basedOn w:val="DefaultParagraphFont"/>
    <w:uiPriority w:val="99"/>
    <w:unhideWhenUsed/>
    <w:rsid w:val="00D57209"/>
    <w:rPr>
      <w:vertAlign w:val="superscript"/>
    </w:rPr>
  </w:style>
  <w:style w:type="paragraph" w:styleId="CommentSubject">
    <w:name w:val="annotation subject"/>
    <w:basedOn w:val="CommentText"/>
    <w:next w:val="CommentText"/>
    <w:link w:val="CommentSubjectChar"/>
    <w:uiPriority w:val="99"/>
    <w:semiHidden/>
    <w:unhideWhenUsed/>
    <w:rsid w:val="006E3851"/>
    <w:pPr>
      <w:spacing w:after="0"/>
    </w:pPr>
    <w:rPr>
      <w:rFonts w:ascii="Calibri" w:hAnsi="Calibri" w:cs="Times New Roman"/>
      <w:b/>
      <w:bCs/>
    </w:rPr>
  </w:style>
  <w:style w:type="character" w:customStyle="1" w:styleId="CommentSubjectChar">
    <w:name w:val="Comment Subject Char"/>
    <w:basedOn w:val="CommentTextChar"/>
    <w:link w:val="CommentSubject"/>
    <w:uiPriority w:val="99"/>
    <w:semiHidden/>
    <w:rsid w:val="006E3851"/>
    <w:rPr>
      <w:rFonts w:ascii="Calibri" w:hAnsi="Calibri" w:cs="Times New Roman"/>
      <w:b/>
      <w:bCs/>
      <w:sz w:val="20"/>
      <w:szCs w:val="20"/>
    </w:rPr>
  </w:style>
  <w:style w:type="character" w:customStyle="1" w:styleId="Heading1Char">
    <w:name w:val="Heading 1 Char"/>
    <w:basedOn w:val="DefaultParagraphFont"/>
    <w:link w:val="Heading1"/>
    <w:uiPriority w:val="9"/>
    <w:rsid w:val="00396764"/>
    <w:rPr>
      <w:rFonts w:asciiTheme="majorHAnsi" w:eastAsiaTheme="majorEastAsia" w:hAnsiTheme="majorHAnsi" w:cstheme="majorBidi"/>
      <w:b/>
      <w:bCs/>
      <w:color w:val="365F91" w:themeColor="accent1" w:themeShade="BF"/>
      <w:sz w:val="28"/>
      <w:szCs w:val="28"/>
      <w:lang w:val="en-US" w:eastAsia="ja-JP"/>
    </w:rPr>
  </w:style>
  <w:style w:type="paragraph" w:styleId="Quote">
    <w:name w:val="Quote"/>
    <w:basedOn w:val="Normal"/>
    <w:next w:val="Normal"/>
    <w:link w:val="QuoteChar"/>
    <w:uiPriority w:val="29"/>
    <w:qFormat/>
    <w:rsid w:val="00303336"/>
    <w:pPr>
      <w:spacing w:after="200" w:line="276" w:lineRule="auto"/>
    </w:pPr>
    <w:rPr>
      <w:rFonts w:asciiTheme="minorHAnsi" w:eastAsiaTheme="minorEastAsia" w:hAnsiTheme="minorHAnsi" w:cstheme="minorBidi"/>
      <w:i/>
      <w:iCs/>
      <w:color w:val="000000" w:themeColor="text1"/>
      <w:lang w:val="en-US" w:eastAsia="ja-JP"/>
    </w:rPr>
  </w:style>
  <w:style w:type="character" w:customStyle="1" w:styleId="QuoteChar">
    <w:name w:val="Quote Char"/>
    <w:basedOn w:val="DefaultParagraphFont"/>
    <w:link w:val="Quote"/>
    <w:uiPriority w:val="29"/>
    <w:rsid w:val="00303336"/>
    <w:rPr>
      <w:rFonts w:eastAsiaTheme="minorEastAsia"/>
      <w:i/>
      <w:iCs/>
      <w:color w:val="000000" w:themeColor="text1"/>
      <w:lang w:val="en-US" w:eastAsia="ja-JP"/>
    </w:rPr>
  </w:style>
  <w:style w:type="character" w:customStyle="1" w:styleId="Heading3Char">
    <w:name w:val="Heading 3 Char"/>
    <w:basedOn w:val="DefaultParagraphFont"/>
    <w:link w:val="Heading3"/>
    <w:uiPriority w:val="9"/>
    <w:rsid w:val="006116AE"/>
    <w:rPr>
      <w:rFonts w:asciiTheme="majorHAnsi" w:eastAsiaTheme="majorEastAsia" w:hAnsiTheme="majorHAnsi" w:cstheme="majorBidi"/>
      <w:b/>
      <w:bCs/>
      <w:color w:val="4F81BD" w:themeColor="accent1"/>
    </w:rPr>
  </w:style>
  <w:style w:type="paragraph" w:styleId="NoSpacing">
    <w:name w:val="No Spacing"/>
    <w:uiPriority w:val="1"/>
    <w:qFormat/>
    <w:rsid w:val="00205C34"/>
    <w:pPr>
      <w:spacing w:after="0" w:line="240" w:lineRule="auto"/>
    </w:pPr>
    <w:rPr>
      <w:rFonts w:ascii="Calibri" w:eastAsia="Calibri" w:hAnsi="Calibri" w:cs="Times New Roman"/>
    </w:rPr>
  </w:style>
  <w:style w:type="paragraph" w:styleId="Closing">
    <w:name w:val="Closing"/>
    <w:basedOn w:val="Normal"/>
    <w:link w:val="ClosingChar"/>
    <w:uiPriority w:val="99"/>
    <w:semiHidden/>
    <w:unhideWhenUsed/>
    <w:rsid w:val="00607857"/>
    <w:rPr>
      <w:rFonts w:ascii="Arial" w:eastAsia="Times New Roman" w:hAnsi="Arial" w:cs="Arial"/>
      <w:sz w:val="24"/>
      <w:szCs w:val="24"/>
      <w:lang w:val="en-GB"/>
    </w:rPr>
  </w:style>
  <w:style w:type="character" w:customStyle="1" w:styleId="ClosingChar">
    <w:name w:val="Closing Char"/>
    <w:basedOn w:val="DefaultParagraphFont"/>
    <w:link w:val="Closing"/>
    <w:uiPriority w:val="99"/>
    <w:semiHidden/>
    <w:rsid w:val="00607857"/>
    <w:rPr>
      <w:rFonts w:ascii="Arial" w:eastAsia="Times New Roman" w:hAnsi="Arial" w:cs="Arial"/>
      <w:sz w:val="24"/>
      <w:szCs w:val="24"/>
      <w:lang w:val="en-GB"/>
    </w:rPr>
  </w:style>
  <w:style w:type="paragraph" w:styleId="BodyText">
    <w:name w:val="Body Text"/>
    <w:basedOn w:val="Normal"/>
    <w:link w:val="BodyTextChar"/>
    <w:uiPriority w:val="99"/>
    <w:semiHidden/>
    <w:unhideWhenUsed/>
    <w:rsid w:val="00607857"/>
    <w:rPr>
      <w:rFonts w:ascii="Times New Roman" w:eastAsia="Times New Roman" w:hAnsi="Times New Roman"/>
      <w:color w:val="000000"/>
      <w:sz w:val="24"/>
      <w:szCs w:val="24"/>
      <w:lang w:val="en-GB"/>
    </w:rPr>
  </w:style>
  <w:style w:type="character" w:customStyle="1" w:styleId="BodyTextChar">
    <w:name w:val="Body Text Char"/>
    <w:basedOn w:val="DefaultParagraphFont"/>
    <w:link w:val="BodyText"/>
    <w:uiPriority w:val="99"/>
    <w:semiHidden/>
    <w:rsid w:val="00607857"/>
    <w:rPr>
      <w:rFonts w:ascii="Times New Roman" w:eastAsia="Times New Roman" w:hAnsi="Times New Roman" w:cs="Times New Roman"/>
      <w:color w:val="000000"/>
      <w:sz w:val="24"/>
      <w:szCs w:val="24"/>
      <w:lang w:val="en-GB"/>
    </w:rPr>
  </w:style>
  <w:style w:type="paragraph" w:styleId="Revision">
    <w:name w:val="Revision"/>
    <w:hidden/>
    <w:uiPriority w:val="99"/>
    <w:semiHidden/>
    <w:rsid w:val="001B1E31"/>
    <w:pPr>
      <w:spacing w:after="0" w:line="240" w:lineRule="auto"/>
    </w:pPr>
    <w:rPr>
      <w:rFonts w:ascii="Calibri" w:hAnsi="Calibri" w:cs="Times New Roman"/>
    </w:rPr>
  </w:style>
  <w:style w:type="paragraph" w:customStyle="1" w:styleId="speaker2">
    <w:name w:val="speaker2"/>
    <w:basedOn w:val="Normal"/>
    <w:rsid w:val="009C6B68"/>
    <w:pPr>
      <w:spacing w:line="360" w:lineRule="atLeast"/>
      <w:ind w:left="270" w:right="210"/>
    </w:pPr>
    <w:rPr>
      <w:rFonts w:ascii="Verdana" w:eastAsia="Times New Roman" w:hAnsi="Verdana"/>
      <w:sz w:val="24"/>
      <w:szCs w:val="24"/>
      <w:lang w:eastAsia="en-IE"/>
    </w:rPr>
  </w:style>
  <w:style w:type="table" w:styleId="LightShading-Accent4">
    <w:name w:val="Light Shading Accent 4"/>
    <w:basedOn w:val="TableNormal"/>
    <w:uiPriority w:val="60"/>
    <w:rsid w:val="005F4B5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st">
    <w:name w:val="st"/>
    <w:basedOn w:val="DefaultParagraphFont"/>
    <w:rsid w:val="005F4B51"/>
  </w:style>
  <w:style w:type="paragraph" w:styleId="BodyText2">
    <w:name w:val="Body Text 2"/>
    <w:basedOn w:val="Normal"/>
    <w:link w:val="BodyText2Char"/>
    <w:uiPriority w:val="99"/>
    <w:semiHidden/>
    <w:unhideWhenUsed/>
    <w:rsid w:val="007D38DE"/>
    <w:pPr>
      <w:spacing w:after="120" w:line="480" w:lineRule="auto"/>
    </w:pPr>
  </w:style>
  <w:style w:type="character" w:customStyle="1" w:styleId="BodyText2Char">
    <w:name w:val="Body Text 2 Char"/>
    <w:basedOn w:val="DefaultParagraphFont"/>
    <w:link w:val="BodyText2"/>
    <w:uiPriority w:val="99"/>
    <w:semiHidden/>
    <w:rsid w:val="007D38DE"/>
    <w:rPr>
      <w:rFonts w:ascii="Calibri" w:hAnsi="Calibri" w:cs="Times New Roman"/>
    </w:rPr>
  </w:style>
  <w:style w:type="paragraph" w:styleId="ListBullet">
    <w:name w:val="List Bullet"/>
    <w:basedOn w:val="Normal"/>
    <w:uiPriority w:val="99"/>
    <w:unhideWhenUsed/>
    <w:rsid w:val="007D38DE"/>
    <w:pPr>
      <w:numPr>
        <w:numId w:val="1"/>
      </w:numPr>
      <w:contextualSpacing/>
    </w:pPr>
    <w:rPr>
      <w:rFonts w:ascii="Times New Roman" w:eastAsia="Times New Roman" w:hAnsi="Times New Roman"/>
      <w:sz w:val="24"/>
      <w:szCs w:val="24"/>
      <w:lang w:val="en-GB"/>
    </w:rPr>
  </w:style>
  <w:style w:type="paragraph" w:customStyle="1" w:styleId="noname">
    <w:name w:val="no_name"/>
    <w:basedOn w:val="Normal"/>
    <w:uiPriority w:val="99"/>
    <w:semiHidden/>
    <w:rsid w:val="00F2184B"/>
    <w:pPr>
      <w:spacing w:before="100" w:beforeAutospacing="1" w:after="100" w:afterAutospacing="1"/>
    </w:pPr>
    <w:rPr>
      <w:rFonts w:ascii="Times New Roman" w:hAnsi="Times New Roman"/>
      <w:sz w:val="24"/>
      <w:szCs w:val="24"/>
      <w:lang w:eastAsia="en-IE"/>
    </w:rPr>
  </w:style>
  <w:style w:type="table" w:styleId="LightShading-Accent1">
    <w:name w:val="Light Shading Accent 1"/>
    <w:basedOn w:val="TableNormal"/>
    <w:uiPriority w:val="60"/>
    <w:rsid w:val="00B863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E3435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
    <w:name w:val="Light Shading"/>
    <w:basedOn w:val="TableNormal"/>
    <w:uiPriority w:val="60"/>
    <w:rsid w:val="006522F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5450">
      <w:bodyDiv w:val="1"/>
      <w:marLeft w:val="0"/>
      <w:marRight w:val="0"/>
      <w:marTop w:val="0"/>
      <w:marBottom w:val="0"/>
      <w:divBdr>
        <w:top w:val="none" w:sz="0" w:space="0" w:color="auto"/>
        <w:left w:val="none" w:sz="0" w:space="0" w:color="auto"/>
        <w:bottom w:val="none" w:sz="0" w:space="0" w:color="auto"/>
        <w:right w:val="none" w:sz="0" w:space="0" w:color="auto"/>
      </w:divBdr>
      <w:divsChild>
        <w:div w:id="915364810">
          <w:marLeft w:val="0"/>
          <w:marRight w:val="0"/>
          <w:marTop w:val="0"/>
          <w:marBottom w:val="0"/>
          <w:divBdr>
            <w:top w:val="none" w:sz="0" w:space="0" w:color="auto"/>
            <w:left w:val="none" w:sz="0" w:space="0" w:color="auto"/>
            <w:bottom w:val="none" w:sz="0" w:space="0" w:color="auto"/>
            <w:right w:val="none" w:sz="0" w:space="0" w:color="auto"/>
          </w:divBdr>
          <w:divsChild>
            <w:div w:id="180045964">
              <w:marLeft w:val="0"/>
              <w:marRight w:val="0"/>
              <w:marTop w:val="0"/>
              <w:marBottom w:val="0"/>
              <w:divBdr>
                <w:top w:val="none" w:sz="0" w:space="0" w:color="auto"/>
                <w:left w:val="none" w:sz="0" w:space="0" w:color="auto"/>
                <w:bottom w:val="none" w:sz="0" w:space="0" w:color="auto"/>
                <w:right w:val="none" w:sz="0" w:space="0" w:color="auto"/>
              </w:divBdr>
              <w:divsChild>
                <w:div w:id="20936265">
                  <w:marLeft w:val="0"/>
                  <w:marRight w:val="0"/>
                  <w:marTop w:val="0"/>
                  <w:marBottom w:val="0"/>
                  <w:divBdr>
                    <w:top w:val="none" w:sz="0" w:space="0" w:color="auto"/>
                    <w:left w:val="none" w:sz="0" w:space="0" w:color="auto"/>
                    <w:bottom w:val="none" w:sz="0" w:space="0" w:color="auto"/>
                    <w:right w:val="none" w:sz="0" w:space="0" w:color="auto"/>
                  </w:divBdr>
                  <w:divsChild>
                    <w:div w:id="202865796">
                      <w:marLeft w:val="0"/>
                      <w:marRight w:val="0"/>
                      <w:marTop w:val="0"/>
                      <w:marBottom w:val="0"/>
                      <w:divBdr>
                        <w:top w:val="none" w:sz="0" w:space="0" w:color="auto"/>
                        <w:left w:val="none" w:sz="0" w:space="0" w:color="auto"/>
                        <w:bottom w:val="none" w:sz="0" w:space="0" w:color="auto"/>
                        <w:right w:val="none" w:sz="0" w:space="0" w:color="auto"/>
                      </w:divBdr>
                      <w:divsChild>
                        <w:div w:id="1432700359">
                          <w:marLeft w:val="0"/>
                          <w:marRight w:val="0"/>
                          <w:marTop w:val="0"/>
                          <w:marBottom w:val="0"/>
                          <w:divBdr>
                            <w:top w:val="none" w:sz="0" w:space="0" w:color="auto"/>
                            <w:left w:val="none" w:sz="0" w:space="0" w:color="auto"/>
                            <w:bottom w:val="none" w:sz="0" w:space="0" w:color="auto"/>
                            <w:right w:val="none" w:sz="0" w:space="0" w:color="auto"/>
                          </w:divBdr>
                          <w:divsChild>
                            <w:div w:id="1063605066">
                              <w:marLeft w:val="-225"/>
                              <w:marRight w:val="-225"/>
                              <w:marTop w:val="0"/>
                              <w:marBottom w:val="0"/>
                              <w:divBdr>
                                <w:top w:val="none" w:sz="0" w:space="0" w:color="auto"/>
                                <w:left w:val="none" w:sz="0" w:space="0" w:color="auto"/>
                                <w:bottom w:val="none" w:sz="0" w:space="0" w:color="auto"/>
                                <w:right w:val="none" w:sz="0" w:space="0" w:color="auto"/>
                              </w:divBdr>
                              <w:divsChild>
                                <w:div w:id="1898054638">
                                  <w:marLeft w:val="0"/>
                                  <w:marRight w:val="0"/>
                                  <w:marTop w:val="0"/>
                                  <w:marBottom w:val="0"/>
                                  <w:divBdr>
                                    <w:top w:val="none" w:sz="0" w:space="0" w:color="auto"/>
                                    <w:left w:val="none" w:sz="0" w:space="0" w:color="auto"/>
                                    <w:bottom w:val="none" w:sz="0" w:space="0" w:color="auto"/>
                                    <w:right w:val="none" w:sz="0" w:space="0" w:color="auto"/>
                                  </w:divBdr>
                                  <w:divsChild>
                                    <w:div w:id="5177790">
                                      <w:marLeft w:val="0"/>
                                      <w:marRight w:val="0"/>
                                      <w:marTop w:val="0"/>
                                      <w:marBottom w:val="0"/>
                                      <w:divBdr>
                                        <w:top w:val="none" w:sz="0" w:space="0" w:color="auto"/>
                                        <w:left w:val="none" w:sz="0" w:space="0" w:color="auto"/>
                                        <w:bottom w:val="none" w:sz="0" w:space="0" w:color="auto"/>
                                        <w:right w:val="none" w:sz="0" w:space="0" w:color="auto"/>
                                      </w:divBdr>
                                      <w:divsChild>
                                        <w:div w:id="2110467896">
                                          <w:marLeft w:val="0"/>
                                          <w:marRight w:val="0"/>
                                          <w:marTop w:val="0"/>
                                          <w:marBottom w:val="0"/>
                                          <w:divBdr>
                                            <w:top w:val="none" w:sz="0" w:space="0" w:color="auto"/>
                                            <w:left w:val="none" w:sz="0" w:space="0" w:color="auto"/>
                                            <w:bottom w:val="none" w:sz="0" w:space="0" w:color="auto"/>
                                            <w:right w:val="none" w:sz="0" w:space="0" w:color="auto"/>
                                          </w:divBdr>
                                          <w:divsChild>
                                            <w:div w:id="165945346">
                                              <w:marLeft w:val="0"/>
                                              <w:marRight w:val="0"/>
                                              <w:marTop w:val="0"/>
                                              <w:marBottom w:val="0"/>
                                              <w:divBdr>
                                                <w:top w:val="none" w:sz="0" w:space="0" w:color="auto"/>
                                                <w:left w:val="none" w:sz="0" w:space="0" w:color="auto"/>
                                                <w:bottom w:val="none" w:sz="0" w:space="0" w:color="auto"/>
                                                <w:right w:val="none" w:sz="0" w:space="0" w:color="auto"/>
                                              </w:divBdr>
                                              <w:divsChild>
                                                <w:div w:id="1742827064">
                                                  <w:marLeft w:val="0"/>
                                                  <w:marRight w:val="0"/>
                                                  <w:marTop w:val="0"/>
                                                  <w:marBottom w:val="0"/>
                                                  <w:divBdr>
                                                    <w:top w:val="none" w:sz="0" w:space="0" w:color="auto"/>
                                                    <w:left w:val="none" w:sz="0" w:space="0" w:color="auto"/>
                                                    <w:bottom w:val="none" w:sz="0" w:space="0" w:color="auto"/>
                                                    <w:right w:val="none" w:sz="0" w:space="0" w:color="auto"/>
                                                  </w:divBdr>
                                                  <w:divsChild>
                                                    <w:div w:id="483740026">
                                                      <w:marLeft w:val="0"/>
                                                      <w:marRight w:val="0"/>
                                                      <w:marTop w:val="0"/>
                                                      <w:marBottom w:val="0"/>
                                                      <w:divBdr>
                                                        <w:top w:val="none" w:sz="0" w:space="0" w:color="auto"/>
                                                        <w:left w:val="none" w:sz="0" w:space="0" w:color="auto"/>
                                                        <w:bottom w:val="none" w:sz="0" w:space="0" w:color="auto"/>
                                                        <w:right w:val="none" w:sz="0" w:space="0" w:color="auto"/>
                                                      </w:divBdr>
                                                      <w:divsChild>
                                                        <w:div w:id="970944474">
                                                          <w:marLeft w:val="0"/>
                                                          <w:marRight w:val="0"/>
                                                          <w:marTop w:val="0"/>
                                                          <w:marBottom w:val="0"/>
                                                          <w:divBdr>
                                                            <w:top w:val="none" w:sz="0" w:space="0" w:color="auto"/>
                                                            <w:left w:val="none" w:sz="0" w:space="0" w:color="auto"/>
                                                            <w:bottom w:val="none" w:sz="0" w:space="0" w:color="auto"/>
                                                            <w:right w:val="none" w:sz="0" w:space="0" w:color="auto"/>
                                                          </w:divBdr>
                                                          <w:divsChild>
                                                            <w:div w:id="513880824">
                                                              <w:marLeft w:val="0"/>
                                                              <w:marRight w:val="0"/>
                                                              <w:marTop w:val="0"/>
                                                              <w:marBottom w:val="0"/>
                                                              <w:divBdr>
                                                                <w:top w:val="none" w:sz="0" w:space="0" w:color="auto"/>
                                                                <w:left w:val="none" w:sz="0" w:space="0" w:color="auto"/>
                                                                <w:bottom w:val="none" w:sz="0" w:space="0" w:color="auto"/>
                                                                <w:right w:val="none" w:sz="0" w:space="0" w:color="auto"/>
                                                              </w:divBdr>
                                                              <w:divsChild>
                                                                <w:div w:id="1728528489">
                                                                  <w:marLeft w:val="-225"/>
                                                                  <w:marRight w:val="-225"/>
                                                                  <w:marTop w:val="0"/>
                                                                  <w:marBottom w:val="0"/>
                                                                  <w:divBdr>
                                                                    <w:top w:val="none" w:sz="0" w:space="0" w:color="auto"/>
                                                                    <w:left w:val="none" w:sz="0" w:space="0" w:color="auto"/>
                                                                    <w:bottom w:val="none" w:sz="0" w:space="0" w:color="auto"/>
                                                                    <w:right w:val="none" w:sz="0" w:space="0" w:color="auto"/>
                                                                  </w:divBdr>
                                                                  <w:divsChild>
                                                                    <w:div w:id="1717657636">
                                                                      <w:marLeft w:val="0"/>
                                                                      <w:marRight w:val="0"/>
                                                                      <w:marTop w:val="0"/>
                                                                      <w:marBottom w:val="0"/>
                                                                      <w:divBdr>
                                                                        <w:top w:val="none" w:sz="0" w:space="0" w:color="auto"/>
                                                                        <w:left w:val="none" w:sz="0" w:space="0" w:color="auto"/>
                                                                        <w:bottom w:val="none" w:sz="0" w:space="0" w:color="auto"/>
                                                                        <w:right w:val="none" w:sz="0" w:space="0" w:color="auto"/>
                                                                      </w:divBdr>
                                                                      <w:divsChild>
                                                                        <w:div w:id="6001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82253">
                                                              <w:marLeft w:val="0"/>
                                                              <w:marRight w:val="0"/>
                                                              <w:marTop w:val="0"/>
                                                              <w:marBottom w:val="0"/>
                                                              <w:divBdr>
                                                                <w:top w:val="none" w:sz="0" w:space="0" w:color="auto"/>
                                                                <w:left w:val="none" w:sz="0" w:space="0" w:color="auto"/>
                                                                <w:bottom w:val="none" w:sz="0" w:space="0" w:color="auto"/>
                                                                <w:right w:val="none" w:sz="0" w:space="0" w:color="auto"/>
                                                              </w:divBdr>
                                                              <w:divsChild>
                                                                <w:div w:id="1008826946">
                                                                  <w:marLeft w:val="-225"/>
                                                                  <w:marRight w:val="-225"/>
                                                                  <w:marTop w:val="0"/>
                                                                  <w:marBottom w:val="0"/>
                                                                  <w:divBdr>
                                                                    <w:top w:val="none" w:sz="0" w:space="0" w:color="auto"/>
                                                                    <w:left w:val="none" w:sz="0" w:space="0" w:color="auto"/>
                                                                    <w:bottom w:val="none" w:sz="0" w:space="0" w:color="auto"/>
                                                                    <w:right w:val="none" w:sz="0" w:space="0" w:color="auto"/>
                                                                  </w:divBdr>
                                                                  <w:divsChild>
                                                                    <w:div w:id="941305864">
                                                                      <w:marLeft w:val="0"/>
                                                                      <w:marRight w:val="0"/>
                                                                      <w:marTop w:val="0"/>
                                                                      <w:marBottom w:val="0"/>
                                                                      <w:divBdr>
                                                                        <w:top w:val="none" w:sz="0" w:space="0" w:color="auto"/>
                                                                        <w:left w:val="none" w:sz="0" w:space="0" w:color="auto"/>
                                                                        <w:bottom w:val="none" w:sz="0" w:space="0" w:color="auto"/>
                                                                        <w:right w:val="none" w:sz="0" w:space="0" w:color="auto"/>
                                                                      </w:divBdr>
                                                                      <w:divsChild>
                                                                        <w:div w:id="16844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7119">
      <w:bodyDiv w:val="1"/>
      <w:marLeft w:val="0"/>
      <w:marRight w:val="0"/>
      <w:marTop w:val="0"/>
      <w:marBottom w:val="0"/>
      <w:divBdr>
        <w:top w:val="none" w:sz="0" w:space="0" w:color="auto"/>
        <w:left w:val="none" w:sz="0" w:space="0" w:color="auto"/>
        <w:bottom w:val="none" w:sz="0" w:space="0" w:color="auto"/>
        <w:right w:val="none" w:sz="0" w:space="0" w:color="auto"/>
      </w:divBdr>
    </w:div>
    <w:div w:id="47730146">
      <w:bodyDiv w:val="1"/>
      <w:marLeft w:val="0"/>
      <w:marRight w:val="0"/>
      <w:marTop w:val="0"/>
      <w:marBottom w:val="0"/>
      <w:divBdr>
        <w:top w:val="none" w:sz="0" w:space="0" w:color="auto"/>
        <w:left w:val="none" w:sz="0" w:space="0" w:color="auto"/>
        <w:bottom w:val="none" w:sz="0" w:space="0" w:color="auto"/>
        <w:right w:val="none" w:sz="0" w:space="0" w:color="auto"/>
      </w:divBdr>
    </w:div>
    <w:div w:id="71198200">
      <w:bodyDiv w:val="1"/>
      <w:marLeft w:val="0"/>
      <w:marRight w:val="0"/>
      <w:marTop w:val="0"/>
      <w:marBottom w:val="0"/>
      <w:divBdr>
        <w:top w:val="none" w:sz="0" w:space="0" w:color="auto"/>
        <w:left w:val="none" w:sz="0" w:space="0" w:color="auto"/>
        <w:bottom w:val="none" w:sz="0" w:space="0" w:color="auto"/>
        <w:right w:val="none" w:sz="0" w:space="0" w:color="auto"/>
      </w:divBdr>
      <w:divsChild>
        <w:div w:id="380638156">
          <w:marLeft w:val="0"/>
          <w:marRight w:val="0"/>
          <w:marTop w:val="0"/>
          <w:marBottom w:val="0"/>
          <w:divBdr>
            <w:top w:val="none" w:sz="0" w:space="0" w:color="auto"/>
            <w:left w:val="none" w:sz="0" w:space="0" w:color="auto"/>
            <w:bottom w:val="none" w:sz="0" w:space="0" w:color="auto"/>
            <w:right w:val="none" w:sz="0" w:space="0" w:color="auto"/>
          </w:divBdr>
          <w:divsChild>
            <w:div w:id="2065595625">
              <w:marLeft w:val="0"/>
              <w:marRight w:val="0"/>
              <w:marTop w:val="0"/>
              <w:marBottom w:val="0"/>
              <w:divBdr>
                <w:top w:val="none" w:sz="0" w:space="0" w:color="auto"/>
                <w:left w:val="none" w:sz="0" w:space="0" w:color="auto"/>
                <w:bottom w:val="none" w:sz="0" w:space="0" w:color="auto"/>
                <w:right w:val="none" w:sz="0" w:space="0" w:color="auto"/>
              </w:divBdr>
              <w:divsChild>
                <w:div w:id="146556449">
                  <w:marLeft w:val="0"/>
                  <w:marRight w:val="0"/>
                  <w:marTop w:val="0"/>
                  <w:marBottom w:val="0"/>
                  <w:divBdr>
                    <w:top w:val="none" w:sz="0" w:space="0" w:color="auto"/>
                    <w:left w:val="none" w:sz="0" w:space="0" w:color="auto"/>
                    <w:bottom w:val="none" w:sz="0" w:space="0" w:color="auto"/>
                    <w:right w:val="none" w:sz="0" w:space="0" w:color="auto"/>
                  </w:divBdr>
                  <w:divsChild>
                    <w:div w:id="1181431352">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71243910">
      <w:bodyDiv w:val="1"/>
      <w:marLeft w:val="0"/>
      <w:marRight w:val="0"/>
      <w:marTop w:val="0"/>
      <w:marBottom w:val="0"/>
      <w:divBdr>
        <w:top w:val="none" w:sz="0" w:space="0" w:color="auto"/>
        <w:left w:val="none" w:sz="0" w:space="0" w:color="auto"/>
        <w:bottom w:val="none" w:sz="0" w:space="0" w:color="auto"/>
        <w:right w:val="none" w:sz="0" w:space="0" w:color="auto"/>
      </w:divBdr>
      <w:divsChild>
        <w:div w:id="2010986830">
          <w:marLeft w:val="0"/>
          <w:marRight w:val="0"/>
          <w:marTop w:val="0"/>
          <w:marBottom w:val="0"/>
          <w:divBdr>
            <w:top w:val="none" w:sz="0" w:space="0" w:color="auto"/>
            <w:left w:val="none" w:sz="0" w:space="0" w:color="auto"/>
            <w:bottom w:val="none" w:sz="0" w:space="0" w:color="auto"/>
            <w:right w:val="none" w:sz="0" w:space="0" w:color="auto"/>
          </w:divBdr>
          <w:divsChild>
            <w:div w:id="1053769779">
              <w:marLeft w:val="0"/>
              <w:marRight w:val="0"/>
              <w:marTop w:val="0"/>
              <w:marBottom w:val="0"/>
              <w:divBdr>
                <w:top w:val="none" w:sz="0" w:space="0" w:color="auto"/>
                <w:left w:val="none" w:sz="0" w:space="0" w:color="auto"/>
                <w:bottom w:val="none" w:sz="0" w:space="0" w:color="auto"/>
                <w:right w:val="none" w:sz="0" w:space="0" w:color="auto"/>
              </w:divBdr>
              <w:divsChild>
                <w:div w:id="1927298150">
                  <w:marLeft w:val="0"/>
                  <w:marRight w:val="0"/>
                  <w:marTop w:val="0"/>
                  <w:marBottom w:val="0"/>
                  <w:divBdr>
                    <w:top w:val="none" w:sz="0" w:space="0" w:color="auto"/>
                    <w:left w:val="none" w:sz="0" w:space="0" w:color="auto"/>
                    <w:bottom w:val="none" w:sz="0" w:space="0" w:color="auto"/>
                    <w:right w:val="none" w:sz="0" w:space="0" w:color="auto"/>
                  </w:divBdr>
                  <w:divsChild>
                    <w:div w:id="1875075285">
                      <w:marLeft w:val="0"/>
                      <w:marRight w:val="0"/>
                      <w:marTop w:val="0"/>
                      <w:marBottom w:val="0"/>
                      <w:divBdr>
                        <w:top w:val="none" w:sz="0" w:space="0" w:color="auto"/>
                        <w:left w:val="none" w:sz="0" w:space="0" w:color="auto"/>
                        <w:bottom w:val="none" w:sz="0" w:space="0" w:color="auto"/>
                        <w:right w:val="none" w:sz="0" w:space="0" w:color="auto"/>
                      </w:divBdr>
                      <w:divsChild>
                        <w:div w:id="1377049822">
                          <w:marLeft w:val="0"/>
                          <w:marRight w:val="0"/>
                          <w:marTop w:val="0"/>
                          <w:marBottom w:val="0"/>
                          <w:divBdr>
                            <w:top w:val="none" w:sz="0" w:space="0" w:color="auto"/>
                            <w:left w:val="none" w:sz="0" w:space="0" w:color="auto"/>
                            <w:bottom w:val="none" w:sz="0" w:space="0" w:color="auto"/>
                            <w:right w:val="none" w:sz="0" w:space="0" w:color="auto"/>
                          </w:divBdr>
                          <w:divsChild>
                            <w:div w:id="7487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79958">
      <w:bodyDiv w:val="1"/>
      <w:marLeft w:val="0"/>
      <w:marRight w:val="0"/>
      <w:marTop w:val="0"/>
      <w:marBottom w:val="0"/>
      <w:divBdr>
        <w:top w:val="none" w:sz="0" w:space="0" w:color="auto"/>
        <w:left w:val="none" w:sz="0" w:space="0" w:color="auto"/>
        <w:bottom w:val="none" w:sz="0" w:space="0" w:color="auto"/>
        <w:right w:val="none" w:sz="0" w:space="0" w:color="auto"/>
      </w:divBdr>
      <w:divsChild>
        <w:div w:id="241914736">
          <w:marLeft w:val="0"/>
          <w:marRight w:val="0"/>
          <w:marTop w:val="0"/>
          <w:marBottom w:val="0"/>
          <w:divBdr>
            <w:top w:val="none" w:sz="0" w:space="0" w:color="auto"/>
            <w:left w:val="none" w:sz="0" w:space="0" w:color="auto"/>
            <w:bottom w:val="none" w:sz="0" w:space="0" w:color="auto"/>
            <w:right w:val="none" w:sz="0" w:space="0" w:color="auto"/>
          </w:divBdr>
          <w:divsChild>
            <w:div w:id="1227570571">
              <w:marLeft w:val="0"/>
              <w:marRight w:val="0"/>
              <w:marTop w:val="0"/>
              <w:marBottom w:val="0"/>
              <w:divBdr>
                <w:top w:val="none" w:sz="0" w:space="0" w:color="auto"/>
                <w:left w:val="none" w:sz="0" w:space="0" w:color="auto"/>
                <w:bottom w:val="none" w:sz="0" w:space="0" w:color="auto"/>
                <w:right w:val="none" w:sz="0" w:space="0" w:color="auto"/>
              </w:divBdr>
              <w:divsChild>
                <w:div w:id="1397897112">
                  <w:marLeft w:val="0"/>
                  <w:marRight w:val="0"/>
                  <w:marTop w:val="0"/>
                  <w:marBottom w:val="0"/>
                  <w:divBdr>
                    <w:top w:val="none" w:sz="0" w:space="0" w:color="auto"/>
                    <w:left w:val="none" w:sz="0" w:space="0" w:color="auto"/>
                    <w:bottom w:val="none" w:sz="0" w:space="0" w:color="auto"/>
                    <w:right w:val="none" w:sz="0" w:space="0" w:color="auto"/>
                  </w:divBdr>
                  <w:divsChild>
                    <w:div w:id="2129034945">
                      <w:marLeft w:val="0"/>
                      <w:marRight w:val="0"/>
                      <w:marTop w:val="0"/>
                      <w:marBottom w:val="0"/>
                      <w:divBdr>
                        <w:top w:val="none" w:sz="0" w:space="0" w:color="auto"/>
                        <w:left w:val="none" w:sz="0" w:space="0" w:color="auto"/>
                        <w:bottom w:val="none" w:sz="0" w:space="0" w:color="auto"/>
                        <w:right w:val="none" w:sz="0" w:space="0" w:color="auto"/>
                      </w:divBdr>
                      <w:divsChild>
                        <w:div w:id="390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49394">
      <w:bodyDiv w:val="1"/>
      <w:marLeft w:val="0"/>
      <w:marRight w:val="0"/>
      <w:marTop w:val="0"/>
      <w:marBottom w:val="0"/>
      <w:divBdr>
        <w:top w:val="none" w:sz="0" w:space="0" w:color="auto"/>
        <w:left w:val="none" w:sz="0" w:space="0" w:color="auto"/>
        <w:bottom w:val="none" w:sz="0" w:space="0" w:color="auto"/>
        <w:right w:val="none" w:sz="0" w:space="0" w:color="auto"/>
      </w:divBdr>
      <w:divsChild>
        <w:div w:id="870342489">
          <w:marLeft w:val="0"/>
          <w:marRight w:val="0"/>
          <w:marTop w:val="0"/>
          <w:marBottom w:val="0"/>
          <w:divBdr>
            <w:top w:val="none" w:sz="0" w:space="0" w:color="auto"/>
            <w:left w:val="none" w:sz="0" w:space="0" w:color="auto"/>
            <w:bottom w:val="none" w:sz="0" w:space="0" w:color="auto"/>
            <w:right w:val="none" w:sz="0" w:space="0" w:color="auto"/>
          </w:divBdr>
          <w:divsChild>
            <w:div w:id="922682610">
              <w:marLeft w:val="0"/>
              <w:marRight w:val="0"/>
              <w:marTop w:val="0"/>
              <w:marBottom w:val="0"/>
              <w:divBdr>
                <w:top w:val="none" w:sz="0" w:space="0" w:color="auto"/>
                <w:left w:val="none" w:sz="0" w:space="0" w:color="auto"/>
                <w:bottom w:val="none" w:sz="0" w:space="0" w:color="auto"/>
                <w:right w:val="none" w:sz="0" w:space="0" w:color="auto"/>
              </w:divBdr>
              <w:divsChild>
                <w:div w:id="1739593691">
                  <w:marLeft w:val="0"/>
                  <w:marRight w:val="0"/>
                  <w:marTop w:val="0"/>
                  <w:marBottom w:val="0"/>
                  <w:divBdr>
                    <w:top w:val="none" w:sz="0" w:space="0" w:color="auto"/>
                    <w:left w:val="none" w:sz="0" w:space="0" w:color="auto"/>
                    <w:bottom w:val="none" w:sz="0" w:space="0" w:color="auto"/>
                    <w:right w:val="none" w:sz="0" w:space="0" w:color="auto"/>
                  </w:divBdr>
                  <w:divsChild>
                    <w:div w:id="525873235">
                      <w:marLeft w:val="0"/>
                      <w:marRight w:val="0"/>
                      <w:marTop w:val="0"/>
                      <w:marBottom w:val="0"/>
                      <w:divBdr>
                        <w:top w:val="none" w:sz="0" w:space="0" w:color="auto"/>
                        <w:left w:val="none" w:sz="0" w:space="0" w:color="auto"/>
                        <w:bottom w:val="none" w:sz="0" w:space="0" w:color="auto"/>
                        <w:right w:val="none" w:sz="0" w:space="0" w:color="auto"/>
                      </w:divBdr>
                      <w:divsChild>
                        <w:div w:id="15965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17243">
      <w:bodyDiv w:val="1"/>
      <w:marLeft w:val="0"/>
      <w:marRight w:val="0"/>
      <w:marTop w:val="0"/>
      <w:marBottom w:val="0"/>
      <w:divBdr>
        <w:top w:val="none" w:sz="0" w:space="0" w:color="auto"/>
        <w:left w:val="none" w:sz="0" w:space="0" w:color="auto"/>
        <w:bottom w:val="none" w:sz="0" w:space="0" w:color="auto"/>
        <w:right w:val="none" w:sz="0" w:space="0" w:color="auto"/>
      </w:divBdr>
    </w:div>
    <w:div w:id="111828370">
      <w:bodyDiv w:val="1"/>
      <w:marLeft w:val="0"/>
      <w:marRight w:val="0"/>
      <w:marTop w:val="0"/>
      <w:marBottom w:val="0"/>
      <w:divBdr>
        <w:top w:val="none" w:sz="0" w:space="0" w:color="auto"/>
        <w:left w:val="none" w:sz="0" w:space="0" w:color="auto"/>
        <w:bottom w:val="none" w:sz="0" w:space="0" w:color="auto"/>
        <w:right w:val="none" w:sz="0" w:space="0" w:color="auto"/>
      </w:divBdr>
      <w:divsChild>
        <w:div w:id="744256634">
          <w:marLeft w:val="0"/>
          <w:marRight w:val="0"/>
          <w:marTop w:val="0"/>
          <w:marBottom w:val="0"/>
          <w:divBdr>
            <w:top w:val="none" w:sz="0" w:space="0" w:color="auto"/>
            <w:left w:val="none" w:sz="0" w:space="0" w:color="auto"/>
            <w:bottom w:val="none" w:sz="0" w:space="0" w:color="auto"/>
            <w:right w:val="none" w:sz="0" w:space="0" w:color="auto"/>
          </w:divBdr>
          <w:divsChild>
            <w:div w:id="1892227385">
              <w:marLeft w:val="0"/>
              <w:marRight w:val="0"/>
              <w:marTop w:val="0"/>
              <w:marBottom w:val="0"/>
              <w:divBdr>
                <w:top w:val="none" w:sz="0" w:space="0" w:color="auto"/>
                <w:left w:val="none" w:sz="0" w:space="0" w:color="auto"/>
                <w:bottom w:val="none" w:sz="0" w:space="0" w:color="auto"/>
                <w:right w:val="none" w:sz="0" w:space="0" w:color="auto"/>
              </w:divBdr>
              <w:divsChild>
                <w:div w:id="1497574386">
                  <w:marLeft w:val="0"/>
                  <w:marRight w:val="0"/>
                  <w:marTop w:val="0"/>
                  <w:marBottom w:val="0"/>
                  <w:divBdr>
                    <w:top w:val="none" w:sz="0" w:space="0" w:color="auto"/>
                    <w:left w:val="none" w:sz="0" w:space="0" w:color="auto"/>
                    <w:bottom w:val="none" w:sz="0" w:space="0" w:color="auto"/>
                    <w:right w:val="none" w:sz="0" w:space="0" w:color="auto"/>
                  </w:divBdr>
                  <w:divsChild>
                    <w:div w:id="1170560282">
                      <w:marLeft w:val="0"/>
                      <w:marRight w:val="0"/>
                      <w:marTop w:val="0"/>
                      <w:marBottom w:val="0"/>
                      <w:divBdr>
                        <w:top w:val="none" w:sz="0" w:space="0" w:color="auto"/>
                        <w:left w:val="none" w:sz="0" w:space="0" w:color="auto"/>
                        <w:bottom w:val="none" w:sz="0" w:space="0" w:color="auto"/>
                        <w:right w:val="none" w:sz="0" w:space="0" w:color="auto"/>
                      </w:divBdr>
                      <w:divsChild>
                        <w:div w:id="1198543940">
                          <w:marLeft w:val="0"/>
                          <w:marRight w:val="0"/>
                          <w:marTop w:val="0"/>
                          <w:marBottom w:val="0"/>
                          <w:divBdr>
                            <w:top w:val="none" w:sz="0" w:space="0" w:color="auto"/>
                            <w:left w:val="none" w:sz="0" w:space="0" w:color="auto"/>
                            <w:bottom w:val="none" w:sz="0" w:space="0" w:color="auto"/>
                            <w:right w:val="none" w:sz="0" w:space="0" w:color="auto"/>
                          </w:divBdr>
                          <w:divsChild>
                            <w:div w:id="17183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94955">
      <w:bodyDiv w:val="1"/>
      <w:marLeft w:val="0"/>
      <w:marRight w:val="0"/>
      <w:marTop w:val="0"/>
      <w:marBottom w:val="0"/>
      <w:divBdr>
        <w:top w:val="none" w:sz="0" w:space="0" w:color="auto"/>
        <w:left w:val="none" w:sz="0" w:space="0" w:color="auto"/>
        <w:bottom w:val="none" w:sz="0" w:space="0" w:color="auto"/>
        <w:right w:val="none" w:sz="0" w:space="0" w:color="auto"/>
      </w:divBdr>
      <w:divsChild>
        <w:div w:id="1639264329">
          <w:marLeft w:val="0"/>
          <w:marRight w:val="0"/>
          <w:marTop w:val="0"/>
          <w:marBottom w:val="0"/>
          <w:divBdr>
            <w:top w:val="none" w:sz="0" w:space="0" w:color="auto"/>
            <w:left w:val="none" w:sz="0" w:space="0" w:color="auto"/>
            <w:bottom w:val="none" w:sz="0" w:space="0" w:color="auto"/>
            <w:right w:val="none" w:sz="0" w:space="0" w:color="auto"/>
          </w:divBdr>
          <w:divsChild>
            <w:div w:id="713235357">
              <w:marLeft w:val="0"/>
              <w:marRight w:val="0"/>
              <w:marTop w:val="0"/>
              <w:marBottom w:val="0"/>
              <w:divBdr>
                <w:top w:val="none" w:sz="0" w:space="0" w:color="auto"/>
                <w:left w:val="none" w:sz="0" w:space="0" w:color="auto"/>
                <w:bottom w:val="none" w:sz="0" w:space="0" w:color="auto"/>
                <w:right w:val="none" w:sz="0" w:space="0" w:color="auto"/>
              </w:divBdr>
              <w:divsChild>
                <w:div w:id="634717372">
                  <w:marLeft w:val="0"/>
                  <w:marRight w:val="0"/>
                  <w:marTop w:val="0"/>
                  <w:marBottom w:val="0"/>
                  <w:divBdr>
                    <w:top w:val="none" w:sz="0" w:space="0" w:color="auto"/>
                    <w:left w:val="none" w:sz="0" w:space="0" w:color="auto"/>
                    <w:bottom w:val="none" w:sz="0" w:space="0" w:color="auto"/>
                    <w:right w:val="none" w:sz="0" w:space="0" w:color="auto"/>
                  </w:divBdr>
                  <w:divsChild>
                    <w:div w:id="350962056">
                      <w:marLeft w:val="0"/>
                      <w:marRight w:val="0"/>
                      <w:marTop w:val="0"/>
                      <w:marBottom w:val="0"/>
                      <w:divBdr>
                        <w:top w:val="none" w:sz="0" w:space="0" w:color="auto"/>
                        <w:left w:val="none" w:sz="0" w:space="0" w:color="auto"/>
                        <w:bottom w:val="none" w:sz="0" w:space="0" w:color="auto"/>
                        <w:right w:val="single" w:sz="6" w:space="0" w:color="FFFFFF"/>
                      </w:divBdr>
                    </w:div>
                  </w:divsChild>
                </w:div>
                <w:div w:id="1207059538">
                  <w:marLeft w:val="0"/>
                  <w:marRight w:val="0"/>
                  <w:marTop w:val="0"/>
                  <w:marBottom w:val="0"/>
                  <w:divBdr>
                    <w:top w:val="none" w:sz="0" w:space="0" w:color="auto"/>
                    <w:left w:val="none" w:sz="0" w:space="0" w:color="auto"/>
                    <w:bottom w:val="none" w:sz="0" w:space="0" w:color="auto"/>
                    <w:right w:val="none" w:sz="0" w:space="0" w:color="auto"/>
                  </w:divBdr>
                  <w:divsChild>
                    <w:div w:id="1899708225">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148327641">
      <w:bodyDiv w:val="1"/>
      <w:marLeft w:val="0"/>
      <w:marRight w:val="0"/>
      <w:marTop w:val="0"/>
      <w:marBottom w:val="0"/>
      <w:divBdr>
        <w:top w:val="none" w:sz="0" w:space="0" w:color="auto"/>
        <w:left w:val="none" w:sz="0" w:space="0" w:color="auto"/>
        <w:bottom w:val="none" w:sz="0" w:space="0" w:color="auto"/>
        <w:right w:val="none" w:sz="0" w:space="0" w:color="auto"/>
      </w:divBdr>
    </w:div>
    <w:div w:id="216353962">
      <w:bodyDiv w:val="1"/>
      <w:marLeft w:val="0"/>
      <w:marRight w:val="0"/>
      <w:marTop w:val="0"/>
      <w:marBottom w:val="0"/>
      <w:divBdr>
        <w:top w:val="none" w:sz="0" w:space="0" w:color="auto"/>
        <w:left w:val="none" w:sz="0" w:space="0" w:color="auto"/>
        <w:bottom w:val="none" w:sz="0" w:space="0" w:color="auto"/>
        <w:right w:val="none" w:sz="0" w:space="0" w:color="auto"/>
      </w:divBdr>
      <w:divsChild>
        <w:div w:id="916792299">
          <w:marLeft w:val="0"/>
          <w:marRight w:val="0"/>
          <w:marTop w:val="0"/>
          <w:marBottom w:val="0"/>
          <w:divBdr>
            <w:top w:val="none" w:sz="0" w:space="0" w:color="auto"/>
            <w:left w:val="none" w:sz="0" w:space="0" w:color="auto"/>
            <w:bottom w:val="none" w:sz="0" w:space="0" w:color="auto"/>
            <w:right w:val="none" w:sz="0" w:space="0" w:color="auto"/>
          </w:divBdr>
          <w:divsChild>
            <w:div w:id="451292918">
              <w:marLeft w:val="0"/>
              <w:marRight w:val="0"/>
              <w:marTop w:val="0"/>
              <w:marBottom w:val="0"/>
              <w:divBdr>
                <w:top w:val="none" w:sz="0" w:space="0" w:color="auto"/>
                <w:left w:val="none" w:sz="0" w:space="0" w:color="auto"/>
                <w:bottom w:val="none" w:sz="0" w:space="0" w:color="auto"/>
                <w:right w:val="none" w:sz="0" w:space="0" w:color="auto"/>
              </w:divBdr>
              <w:divsChild>
                <w:div w:id="1953854986">
                  <w:marLeft w:val="0"/>
                  <w:marRight w:val="0"/>
                  <w:marTop w:val="0"/>
                  <w:marBottom w:val="0"/>
                  <w:divBdr>
                    <w:top w:val="none" w:sz="0" w:space="0" w:color="auto"/>
                    <w:left w:val="none" w:sz="0" w:space="0" w:color="auto"/>
                    <w:bottom w:val="none" w:sz="0" w:space="0" w:color="auto"/>
                    <w:right w:val="none" w:sz="0" w:space="0" w:color="auto"/>
                  </w:divBdr>
                  <w:divsChild>
                    <w:div w:id="1142889614">
                      <w:marLeft w:val="0"/>
                      <w:marRight w:val="0"/>
                      <w:marTop w:val="0"/>
                      <w:marBottom w:val="0"/>
                      <w:divBdr>
                        <w:top w:val="none" w:sz="0" w:space="0" w:color="auto"/>
                        <w:left w:val="none" w:sz="0" w:space="0" w:color="auto"/>
                        <w:bottom w:val="none" w:sz="0" w:space="0" w:color="auto"/>
                        <w:right w:val="none" w:sz="0" w:space="0" w:color="auto"/>
                      </w:divBdr>
                      <w:divsChild>
                        <w:div w:id="736175028">
                          <w:marLeft w:val="0"/>
                          <w:marRight w:val="0"/>
                          <w:marTop w:val="0"/>
                          <w:marBottom w:val="0"/>
                          <w:divBdr>
                            <w:top w:val="none" w:sz="0" w:space="0" w:color="auto"/>
                            <w:left w:val="none" w:sz="0" w:space="0" w:color="auto"/>
                            <w:bottom w:val="none" w:sz="0" w:space="0" w:color="auto"/>
                            <w:right w:val="none" w:sz="0" w:space="0" w:color="auto"/>
                          </w:divBdr>
                          <w:divsChild>
                            <w:div w:id="1477643736">
                              <w:marLeft w:val="0"/>
                              <w:marRight w:val="0"/>
                              <w:marTop w:val="0"/>
                              <w:marBottom w:val="0"/>
                              <w:divBdr>
                                <w:top w:val="none" w:sz="0" w:space="0" w:color="auto"/>
                                <w:left w:val="none" w:sz="0" w:space="0" w:color="auto"/>
                                <w:bottom w:val="none" w:sz="0" w:space="0" w:color="auto"/>
                                <w:right w:val="none" w:sz="0" w:space="0" w:color="auto"/>
                              </w:divBdr>
                              <w:divsChild>
                                <w:div w:id="1628854003">
                                  <w:marLeft w:val="0"/>
                                  <w:marRight w:val="0"/>
                                  <w:marTop w:val="0"/>
                                  <w:marBottom w:val="0"/>
                                  <w:divBdr>
                                    <w:top w:val="none" w:sz="0" w:space="0" w:color="auto"/>
                                    <w:left w:val="none" w:sz="0" w:space="0" w:color="auto"/>
                                    <w:bottom w:val="none" w:sz="0" w:space="0" w:color="auto"/>
                                    <w:right w:val="none" w:sz="0" w:space="0" w:color="auto"/>
                                  </w:divBdr>
                                  <w:divsChild>
                                    <w:div w:id="138426548">
                                      <w:marLeft w:val="0"/>
                                      <w:marRight w:val="0"/>
                                      <w:marTop w:val="0"/>
                                      <w:marBottom w:val="0"/>
                                      <w:divBdr>
                                        <w:top w:val="none" w:sz="0" w:space="0" w:color="auto"/>
                                        <w:left w:val="none" w:sz="0" w:space="0" w:color="auto"/>
                                        <w:bottom w:val="none" w:sz="0" w:space="0" w:color="auto"/>
                                        <w:right w:val="none" w:sz="0" w:space="0" w:color="auto"/>
                                      </w:divBdr>
                                      <w:divsChild>
                                        <w:div w:id="196452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7865094">
      <w:bodyDiv w:val="1"/>
      <w:marLeft w:val="0"/>
      <w:marRight w:val="0"/>
      <w:marTop w:val="0"/>
      <w:marBottom w:val="0"/>
      <w:divBdr>
        <w:top w:val="none" w:sz="0" w:space="0" w:color="auto"/>
        <w:left w:val="none" w:sz="0" w:space="0" w:color="auto"/>
        <w:bottom w:val="none" w:sz="0" w:space="0" w:color="auto"/>
        <w:right w:val="none" w:sz="0" w:space="0" w:color="auto"/>
      </w:divBdr>
    </w:div>
    <w:div w:id="267467726">
      <w:bodyDiv w:val="1"/>
      <w:marLeft w:val="0"/>
      <w:marRight w:val="0"/>
      <w:marTop w:val="0"/>
      <w:marBottom w:val="0"/>
      <w:divBdr>
        <w:top w:val="none" w:sz="0" w:space="0" w:color="auto"/>
        <w:left w:val="none" w:sz="0" w:space="0" w:color="auto"/>
        <w:bottom w:val="none" w:sz="0" w:space="0" w:color="auto"/>
        <w:right w:val="none" w:sz="0" w:space="0" w:color="auto"/>
      </w:divBdr>
      <w:divsChild>
        <w:div w:id="199243460">
          <w:marLeft w:val="0"/>
          <w:marRight w:val="0"/>
          <w:marTop w:val="0"/>
          <w:marBottom w:val="0"/>
          <w:divBdr>
            <w:top w:val="none" w:sz="0" w:space="0" w:color="auto"/>
            <w:left w:val="none" w:sz="0" w:space="0" w:color="auto"/>
            <w:bottom w:val="none" w:sz="0" w:space="0" w:color="auto"/>
            <w:right w:val="none" w:sz="0" w:space="0" w:color="auto"/>
          </w:divBdr>
          <w:divsChild>
            <w:div w:id="574051811">
              <w:marLeft w:val="0"/>
              <w:marRight w:val="0"/>
              <w:marTop w:val="0"/>
              <w:marBottom w:val="0"/>
              <w:divBdr>
                <w:top w:val="none" w:sz="0" w:space="0" w:color="auto"/>
                <w:left w:val="none" w:sz="0" w:space="0" w:color="auto"/>
                <w:bottom w:val="none" w:sz="0" w:space="0" w:color="auto"/>
                <w:right w:val="none" w:sz="0" w:space="0" w:color="auto"/>
              </w:divBdr>
              <w:divsChild>
                <w:div w:id="16276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301589">
      <w:bodyDiv w:val="1"/>
      <w:marLeft w:val="0"/>
      <w:marRight w:val="0"/>
      <w:marTop w:val="0"/>
      <w:marBottom w:val="0"/>
      <w:divBdr>
        <w:top w:val="none" w:sz="0" w:space="0" w:color="auto"/>
        <w:left w:val="none" w:sz="0" w:space="0" w:color="auto"/>
        <w:bottom w:val="none" w:sz="0" w:space="0" w:color="auto"/>
        <w:right w:val="none" w:sz="0" w:space="0" w:color="auto"/>
      </w:divBdr>
    </w:div>
    <w:div w:id="278027805">
      <w:bodyDiv w:val="1"/>
      <w:marLeft w:val="0"/>
      <w:marRight w:val="0"/>
      <w:marTop w:val="0"/>
      <w:marBottom w:val="0"/>
      <w:divBdr>
        <w:top w:val="none" w:sz="0" w:space="0" w:color="auto"/>
        <w:left w:val="none" w:sz="0" w:space="0" w:color="auto"/>
        <w:bottom w:val="none" w:sz="0" w:space="0" w:color="auto"/>
        <w:right w:val="none" w:sz="0" w:space="0" w:color="auto"/>
      </w:divBdr>
    </w:div>
    <w:div w:id="324865627">
      <w:bodyDiv w:val="1"/>
      <w:marLeft w:val="0"/>
      <w:marRight w:val="0"/>
      <w:marTop w:val="0"/>
      <w:marBottom w:val="0"/>
      <w:divBdr>
        <w:top w:val="none" w:sz="0" w:space="0" w:color="auto"/>
        <w:left w:val="none" w:sz="0" w:space="0" w:color="auto"/>
        <w:bottom w:val="none" w:sz="0" w:space="0" w:color="auto"/>
        <w:right w:val="none" w:sz="0" w:space="0" w:color="auto"/>
      </w:divBdr>
    </w:div>
    <w:div w:id="365645538">
      <w:bodyDiv w:val="1"/>
      <w:marLeft w:val="0"/>
      <w:marRight w:val="0"/>
      <w:marTop w:val="0"/>
      <w:marBottom w:val="0"/>
      <w:divBdr>
        <w:top w:val="none" w:sz="0" w:space="0" w:color="auto"/>
        <w:left w:val="none" w:sz="0" w:space="0" w:color="auto"/>
        <w:bottom w:val="none" w:sz="0" w:space="0" w:color="auto"/>
        <w:right w:val="none" w:sz="0" w:space="0" w:color="auto"/>
      </w:divBdr>
      <w:divsChild>
        <w:div w:id="85464860">
          <w:marLeft w:val="0"/>
          <w:marRight w:val="0"/>
          <w:marTop w:val="0"/>
          <w:marBottom w:val="0"/>
          <w:divBdr>
            <w:top w:val="none" w:sz="0" w:space="0" w:color="auto"/>
            <w:left w:val="none" w:sz="0" w:space="0" w:color="auto"/>
            <w:bottom w:val="none" w:sz="0" w:space="0" w:color="auto"/>
            <w:right w:val="none" w:sz="0" w:space="0" w:color="auto"/>
          </w:divBdr>
          <w:divsChild>
            <w:div w:id="254364377">
              <w:marLeft w:val="0"/>
              <w:marRight w:val="0"/>
              <w:marTop w:val="0"/>
              <w:marBottom w:val="0"/>
              <w:divBdr>
                <w:top w:val="none" w:sz="0" w:space="0" w:color="auto"/>
                <w:left w:val="none" w:sz="0" w:space="0" w:color="auto"/>
                <w:bottom w:val="none" w:sz="0" w:space="0" w:color="auto"/>
                <w:right w:val="none" w:sz="0" w:space="0" w:color="auto"/>
              </w:divBdr>
              <w:divsChild>
                <w:div w:id="1199590552">
                  <w:marLeft w:val="0"/>
                  <w:marRight w:val="0"/>
                  <w:marTop w:val="0"/>
                  <w:marBottom w:val="0"/>
                  <w:divBdr>
                    <w:top w:val="none" w:sz="0" w:space="0" w:color="auto"/>
                    <w:left w:val="none" w:sz="0" w:space="0" w:color="auto"/>
                    <w:bottom w:val="none" w:sz="0" w:space="0" w:color="auto"/>
                    <w:right w:val="none" w:sz="0" w:space="0" w:color="auto"/>
                  </w:divBdr>
                  <w:divsChild>
                    <w:div w:id="675696190">
                      <w:marLeft w:val="0"/>
                      <w:marRight w:val="0"/>
                      <w:marTop w:val="0"/>
                      <w:marBottom w:val="0"/>
                      <w:divBdr>
                        <w:top w:val="none" w:sz="0" w:space="0" w:color="auto"/>
                        <w:left w:val="none" w:sz="0" w:space="0" w:color="auto"/>
                        <w:bottom w:val="none" w:sz="0" w:space="0" w:color="auto"/>
                        <w:right w:val="none" w:sz="0" w:space="0" w:color="auto"/>
                      </w:divBdr>
                      <w:divsChild>
                        <w:div w:id="65929607">
                          <w:marLeft w:val="0"/>
                          <w:marRight w:val="0"/>
                          <w:marTop w:val="0"/>
                          <w:marBottom w:val="0"/>
                          <w:divBdr>
                            <w:top w:val="none" w:sz="0" w:space="0" w:color="auto"/>
                            <w:left w:val="none" w:sz="0" w:space="0" w:color="auto"/>
                            <w:bottom w:val="none" w:sz="0" w:space="0" w:color="auto"/>
                            <w:right w:val="none" w:sz="0" w:space="0" w:color="auto"/>
                          </w:divBdr>
                          <w:divsChild>
                            <w:div w:id="225648122">
                              <w:marLeft w:val="-6000"/>
                              <w:marRight w:val="0"/>
                              <w:marTop w:val="0"/>
                              <w:marBottom w:val="0"/>
                              <w:divBdr>
                                <w:top w:val="none" w:sz="0" w:space="0" w:color="auto"/>
                                <w:left w:val="none" w:sz="0" w:space="0" w:color="auto"/>
                                <w:bottom w:val="none" w:sz="0" w:space="0" w:color="auto"/>
                                <w:right w:val="none" w:sz="0" w:space="0" w:color="auto"/>
                              </w:divBdr>
                              <w:divsChild>
                                <w:div w:id="487286985">
                                  <w:marLeft w:val="0"/>
                                  <w:marRight w:val="0"/>
                                  <w:marTop w:val="0"/>
                                  <w:marBottom w:val="0"/>
                                  <w:divBdr>
                                    <w:top w:val="none" w:sz="0" w:space="0" w:color="auto"/>
                                    <w:left w:val="none" w:sz="0" w:space="0" w:color="auto"/>
                                    <w:bottom w:val="none" w:sz="0" w:space="0" w:color="auto"/>
                                    <w:right w:val="none" w:sz="0" w:space="0" w:color="auto"/>
                                  </w:divBdr>
                                  <w:divsChild>
                                    <w:div w:id="1999263868">
                                      <w:marLeft w:val="6225"/>
                                      <w:marRight w:val="0"/>
                                      <w:marTop w:val="0"/>
                                      <w:marBottom w:val="0"/>
                                      <w:divBdr>
                                        <w:top w:val="none" w:sz="0" w:space="0" w:color="auto"/>
                                        <w:left w:val="none" w:sz="0" w:space="0" w:color="auto"/>
                                        <w:bottom w:val="none" w:sz="0" w:space="0" w:color="auto"/>
                                        <w:right w:val="none" w:sz="0" w:space="0" w:color="auto"/>
                                      </w:divBdr>
                                      <w:divsChild>
                                        <w:div w:id="66540843">
                                          <w:marLeft w:val="0"/>
                                          <w:marRight w:val="0"/>
                                          <w:marTop w:val="0"/>
                                          <w:marBottom w:val="0"/>
                                          <w:divBdr>
                                            <w:top w:val="none" w:sz="0" w:space="0" w:color="auto"/>
                                            <w:left w:val="none" w:sz="0" w:space="0" w:color="auto"/>
                                            <w:bottom w:val="none" w:sz="0" w:space="0" w:color="auto"/>
                                            <w:right w:val="none" w:sz="0" w:space="0" w:color="auto"/>
                                          </w:divBdr>
                                          <w:divsChild>
                                            <w:div w:id="360207222">
                                              <w:marLeft w:val="0"/>
                                              <w:marRight w:val="0"/>
                                              <w:marTop w:val="0"/>
                                              <w:marBottom w:val="0"/>
                                              <w:divBdr>
                                                <w:top w:val="none" w:sz="0" w:space="0" w:color="auto"/>
                                                <w:left w:val="none" w:sz="0" w:space="0" w:color="auto"/>
                                                <w:bottom w:val="none" w:sz="0" w:space="0" w:color="auto"/>
                                                <w:right w:val="none" w:sz="0" w:space="0" w:color="auto"/>
                                              </w:divBdr>
                                              <w:divsChild>
                                                <w:div w:id="987904592">
                                                  <w:marLeft w:val="0"/>
                                                  <w:marRight w:val="0"/>
                                                  <w:marTop w:val="75"/>
                                                  <w:marBottom w:val="0"/>
                                                  <w:divBdr>
                                                    <w:top w:val="none" w:sz="0" w:space="0" w:color="auto"/>
                                                    <w:left w:val="none" w:sz="0" w:space="0" w:color="auto"/>
                                                    <w:bottom w:val="none" w:sz="0" w:space="0" w:color="auto"/>
                                                    <w:right w:val="none" w:sz="0" w:space="0" w:color="auto"/>
                                                  </w:divBdr>
                                                  <w:divsChild>
                                                    <w:div w:id="181301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5082253">
      <w:bodyDiv w:val="1"/>
      <w:marLeft w:val="0"/>
      <w:marRight w:val="0"/>
      <w:marTop w:val="0"/>
      <w:marBottom w:val="0"/>
      <w:divBdr>
        <w:top w:val="none" w:sz="0" w:space="0" w:color="auto"/>
        <w:left w:val="none" w:sz="0" w:space="0" w:color="auto"/>
        <w:bottom w:val="none" w:sz="0" w:space="0" w:color="auto"/>
        <w:right w:val="none" w:sz="0" w:space="0" w:color="auto"/>
      </w:divBdr>
    </w:div>
    <w:div w:id="386295095">
      <w:bodyDiv w:val="1"/>
      <w:marLeft w:val="0"/>
      <w:marRight w:val="0"/>
      <w:marTop w:val="0"/>
      <w:marBottom w:val="0"/>
      <w:divBdr>
        <w:top w:val="none" w:sz="0" w:space="0" w:color="auto"/>
        <w:left w:val="none" w:sz="0" w:space="0" w:color="auto"/>
        <w:bottom w:val="none" w:sz="0" w:space="0" w:color="auto"/>
        <w:right w:val="none" w:sz="0" w:space="0" w:color="auto"/>
      </w:divBdr>
    </w:div>
    <w:div w:id="387610190">
      <w:bodyDiv w:val="1"/>
      <w:marLeft w:val="0"/>
      <w:marRight w:val="0"/>
      <w:marTop w:val="0"/>
      <w:marBottom w:val="0"/>
      <w:divBdr>
        <w:top w:val="none" w:sz="0" w:space="0" w:color="auto"/>
        <w:left w:val="none" w:sz="0" w:space="0" w:color="auto"/>
        <w:bottom w:val="none" w:sz="0" w:space="0" w:color="auto"/>
        <w:right w:val="none" w:sz="0" w:space="0" w:color="auto"/>
      </w:divBdr>
    </w:div>
    <w:div w:id="399862293">
      <w:bodyDiv w:val="1"/>
      <w:marLeft w:val="0"/>
      <w:marRight w:val="0"/>
      <w:marTop w:val="0"/>
      <w:marBottom w:val="0"/>
      <w:divBdr>
        <w:top w:val="none" w:sz="0" w:space="0" w:color="auto"/>
        <w:left w:val="none" w:sz="0" w:space="0" w:color="auto"/>
        <w:bottom w:val="none" w:sz="0" w:space="0" w:color="auto"/>
        <w:right w:val="none" w:sz="0" w:space="0" w:color="auto"/>
      </w:divBdr>
      <w:divsChild>
        <w:div w:id="319425370">
          <w:marLeft w:val="0"/>
          <w:marRight w:val="0"/>
          <w:marTop w:val="0"/>
          <w:marBottom w:val="0"/>
          <w:divBdr>
            <w:top w:val="none" w:sz="0" w:space="0" w:color="auto"/>
            <w:left w:val="none" w:sz="0" w:space="0" w:color="auto"/>
            <w:bottom w:val="none" w:sz="0" w:space="0" w:color="auto"/>
            <w:right w:val="none" w:sz="0" w:space="0" w:color="auto"/>
          </w:divBdr>
        </w:div>
        <w:div w:id="2029481935">
          <w:marLeft w:val="0"/>
          <w:marRight w:val="0"/>
          <w:marTop w:val="0"/>
          <w:marBottom w:val="0"/>
          <w:divBdr>
            <w:top w:val="none" w:sz="0" w:space="0" w:color="auto"/>
            <w:left w:val="none" w:sz="0" w:space="0" w:color="auto"/>
            <w:bottom w:val="none" w:sz="0" w:space="0" w:color="auto"/>
            <w:right w:val="none" w:sz="0" w:space="0" w:color="auto"/>
          </w:divBdr>
          <w:divsChild>
            <w:div w:id="18953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72698">
      <w:bodyDiv w:val="1"/>
      <w:marLeft w:val="0"/>
      <w:marRight w:val="0"/>
      <w:marTop w:val="0"/>
      <w:marBottom w:val="0"/>
      <w:divBdr>
        <w:top w:val="none" w:sz="0" w:space="0" w:color="auto"/>
        <w:left w:val="none" w:sz="0" w:space="0" w:color="auto"/>
        <w:bottom w:val="none" w:sz="0" w:space="0" w:color="auto"/>
        <w:right w:val="none" w:sz="0" w:space="0" w:color="auto"/>
      </w:divBdr>
    </w:div>
    <w:div w:id="496767346">
      <w:bodyDiv w:val="1"/>
      <w:marLeft w:val="0"/>
      <w:marRight w:val="0"/>
      <w:marTop w:val="0"/>
      <w:marBottom w:val="0"/>
      <w:divBdr>
        <w:top w:val="none" w:sz="0" w:space="0" w:color="auto"/>
        <w:left w:val="none" w:sz="0" w:space="0" w:color="auto"/>
        <w:bottom w:val="none" w:sz="0" w:space="0" w:color="auto"/>
        <w:right w:val="none" w:sz="0" w:space="0" w:color="auto"/>
      </w:divBdr>
    </w:div>
    <w:div w:id="521214241">
      <w:bodyDiv w:val="1"/>
      <w:marLeft w:val="0"/>
      <w:marRight w:val="0"/>
      <w:marTop w:val="0"/>
      <w:marBottom w:val="0"/>
      <w:divBdr>
        <w:top w:val="none" w:sz="0" w:space="0" w:color="auto"/>
        <w:left w:val="none" w:sz="0" w:space="0" w:color="auto"/>
        <w:bottom w:val="none" w:sz="0" w:space="0" w:color="auto"/>
        <w:right w:val="none" w:sz="0" w:space="0" w:color="auto"/>
      </w:divBdr>
    </w:div>
    <w:div w:id="524638723">
      <w:bodyDiv w:val="1"/>
      <w:marLeft w:val="0"/>
      <w:marRight w:val="0"/>
      <w:marTop w:val="0"/>
      <w:marBottom w:val="0"/>
      <w:divBdr>
        <w:top w:val="none" w:sz="0" w:space="0" w:color="auto"/>
        <w:left w:val="none" w:sz="0" w:space="0" w:color="auto"/>
        <w:bottom w:val="none" w:sz="0" w:space="0" w:color="auto"/>
        <w:right w:val="none" w:sz="0" w:space="0" w:color="auto"/>
      </w:divBdr>
    </w:div>
    <w:div w:id="569196437">
      <w:bodyDiv w:val="1"/>
      <w:marLeft w:val="0"/>
      <w:marRight w:val="0"/>
      <w:marTop w:val="0"/>
      <w:marBottom w:val="0"/>
      <w:divBdr>
        <w:top w:val="none" w:sz="0" w:space="0" w:color="auto"/>
        <w:left w:val="none" w:sz="0" w:space="0" w:color="auto"/>
        <w:bottom w:val="none" w:sz="0" w:space="0" w:color="auto"/>
        <w:right w:val="none" w:sz="0" w:space="0" w:color="auto"/>
      </w:divBdr>
    </w:div>
    <w:div w:id="604659031">
      <w:bodyDiv w:val="1"/>
      <w:marLeft w:val="0"/>
      <w:marRight w:val="0"/>
      <w:marTop w:val="0"/>
      <w:marBottom w:val="0"/>
      <w:divBdr>
        <w:top w:val="none" w:sz="0" w:space="0" w:color="auto"/>
        <w:left w:val="none" w:sz="0" w:space="0" w:color="auto"/>
        <w:bottom w:val="none" w:sz="0" w:space="0" w:color="auto"/>
        <w:right w:val="none" w:sz="0" w:space="0" w:color="auto"/>
      </w:divBdr>
    </w:div>
    <w:div w:id="654334989">
      <w:bodyDiv w:val="1"/>
      <w:marLeft w:val="0"/>
      <w:marRight w:val="0"/>
      <w:marTop w:val="0"/>
      <w:marBottom w:val="0"/>
      <w:divBdr>
        <w:top w:val="none" w:sz="0" w:space="0" w:color="auto"/>
        <w:left w:val="none" w:sz="0" w:space="0" w:color="auto"/>
        <w:bottom w:val="none" w:sz="0" w:space="0" w:color="auto"/>
        <w:right w:val="none" w:sz="0" w:space="0" w:color="auto"/>
      </w:divBdr>
    </w:div>
    <w:div w:id="679702883">
      <w:bodyDiv w:val="1"/>
      <w:marLeft w:val="0"/>
      <w:marRight w:val="0"/>
      <w:marTop w:val="0"/>
      <w:marBottom w:val="0"/>
      <w:divBdr>
        <w:top w:val="none" w:sz="0" w:space="0" w:color="auto"/>
        <w:left w:val="none" w:sz="0" w:space="0" w:color="auto"/>
        <w:bottom w:val="none" w:sz="0" w:space="0" w:color="auto"/>
        <w:right w:val="none" w:sz="0" w:space="0" w:color="auto"/>
      </w:divBdr>
    </w:div>
    <w:div w:id="708064421">
      <w:bodyDiv w:val="1"/>
      <w:marLeft w:val="0"/>
      <w:marRight w:val="0"/>
      <w:marTop w:val="0"/>
      <w:marBottom w:val="0"/>
      <w:divBdr>
        <w:top w:val="none" w:sz="0" w:space="0" w:color="auto"/>
        <w:left w:val="none" w:sz="0" w:space="0" w:color="auto"/>
        <w:bottom w:val="none" w:sz="0" w:space="0" w:color="auto"/>
        <w:right w:val="none" w:sz="0" w:space="0" w:color="auto"/>
      </w:divBdr>
    </w:div>
    <w:div w:id="749422615">
      <w:bodyDiv w:val="1"/>
      <w:marLeft w:val="0"/>
      <w:marRight w:val="0"/>
      <w:marTop w:val="0"/>
      <w:marBottom w:val="0"/>
      <w:divBdr>
        <w:top w:val="none" w:sz="0" w:space="0" w:color="auto"/>
        <w:left w:val="none" w:sz="0" w:space="0" w:color="auto"/>
        <w:bottom w:val="none" w:sz="0" w:space="0" w:color="auto"/>
        <w:right w:val="none" w:sz="0" w:space="0" w:color="auto"/>
      </w:divBdr>
    </w:div>
    <w:div w:id="758448749">
      <w:bodyDiv w:val="1"/>
      <w:marLeft w:val="0"/>
      <w:marRight w:val="0"/>
      <w:marTop w:val="0"/>
      <w:marBottom w:val="0"/>
      <w:divBdr>
        <w:top w:val="none" w:sz="0" w:space="0" w:color="auto"/>
        <w:left w:val="none" w:sz="0" w:space="0" w:color="auto"/>
        <w:bottom w:val="none" w:sz="0" w:space="0" w:color="auto"/>
        <w:right w:val="none" w:sz="0" w:space="0" w:color="auto"/>
      </w:divBdr>
    </w:div>
    <w:div w:id="758672104">
      <w:bodyDiv w:val="1"/>
      <w:marLeft w:val="0"/>
      <w:marRight w:val="0"/>
      <w:marTop w:val="0"/>
      <w:marBottom w:val="0"/>
      <w:divBdr>
        <w:top w:val="none" w:sz="0" w:space="0" w:color="auto"/>
        <w:left w:val="none" w:sz="0" w:space="0" w:color="auto"/>
        <w:bottom w:val="none" w:sz="0" w:space="0" w:color="auto"/>
        <w:right w:val="none" w:sz="0" w:space="0" w:color="auto"/>
      </w:divBdr>
    </w:div>
    <w:div w:id="761756203">
      <w:bodyDiv w:val="1"/>
      <w:marLeft w:val="0"/>
      <w:marRight w:val="0"/>
      <w:marTop w:val="0"/>
      <w:marBottom w:val="0"/>
      <w:divBdr>
        <w:top w:val="none" w:sz="0" w:space="0" w:color="auto"/>
        <w:left w:val="none" w:sz="0" w:space="0" w:color="auto"/>
        <w:bottom w:val="none" w:sz="0" w:space="0" w:color="auto"/>
        <w:right w:val="none" w:sz="0" w:space="0" w:color="auto"/>
      </w:divBdr>
    </w:div>
    <w:div w:id="787436154">
      <w:bodyDiv w:val="1"/>
      <w:marLeft w:val="0"/>
      <w:marRight w:val="0"/>
      <w:marTop w:val="0"/>
      <w:marBottom w:val="0"/>
      <w:divBdr>
        <w:top w:val="none" w:sz="0" w:space="0" w:color="auto"/>
        <w:left w:val="none" w:sz="0" w:space="0" w:color="auto"/>
        <w:bottom w:val="none" w:sz="0" w:space="0" w:color="auto"/>
        <w:right w:val="none" w:sz="0" w:space="0" w:color="auto"/>
      </w:divBdr>
    </w:div>
    <w:div w:id="826017843">
      <w:bodyDiv w:val="1"/>
      <w:marLeft w:val="0"/>
      <w:marRight w:val="0"/>
      <w:marTop w:val="0"/>
      <w:marBottom w:val="0"/>
      <w:divBdr>
        <w:top w:val="none" w:sz="0" w:space="0" w:color="auto"/>
        <w:left w:val="none" w:sz="0" w:space="0" w:color="auto"/>
        <w:bottom w:val="none" w:sz="0" w:space="0" w:color="auto"/>
        <w:right w:val="none" w:sz="0" w:space="0" w:color="auto"/>
      </w:divBdr>
      <w:divsChild>
        <w:div w:id="1670601876">
          <w:marLeft w:val="0"/>
          <w:marRight w:val="0"/>
          <w:marTop w:val="0"/>
          <w:marBottom w:val="0"/>
          <w:divBdr>
            <w:top w:val="none" w:sz="0" w:space="0" w:color="auto"/>
            <w:left w:val="none" w:sz="0" w:space="0" w:color="auto"/>
            <w:bottom w:val="none" w:sz="0" w:space="0" w:color="auto"/>
            <w:right w:val="none" w:sz="0" w:space="0" w:color="auto"/>
          </w:divBdr>
          <w:divsChild>
            <w:div w:id="1840735889">
              <w:marLeft w:val="0"/>
              <w:marRight w:val="0"/>
              <w:marTop w:val="0"/>
              <w:marBottom w:val="0"/>
              <w:divBdr>
                <w:top w:val="none" w:sz="0" w:space="0" w:color="auto"/>
                <w:left w:val="none" w:sz="0" w:space="0" w:color="auto"/>
                <w:bottom w:val="none" w:sz="0" w:space="0" w:color="auto"/>
                <w:right w:val="none" w:sz="0" w:space="0" w:color="auto"/>
              </w:divBdr>
              <w:divsChild>
                <w:div w:id="1307275031">
                  <w:marLeft w:val="0"/>
                  <w:marRight w:val="0"/>
                  <w:marTop w:val="0"/>
                  <w:marBottom w:val="0"/>
                  <w:divBdr>
                    <w:top w:val="none" w:sz="0" w:space="0" w:color="auto"/>
                    <w:left w:val="none" w:sz="0" w:space="0" w:color="auto"/>
                    <w:bottom w:val="none" w:sz="0" w:space="0" w:color="auto"/>
                    <w:right w:val="none" w:sz="0" w:space="0" w:color="auto"/>
                  </w:divBdr>
                  <w:divsChild>
                    <w:div w:id="12342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01936">
      <w:bodyDiv w:val="1"/>
      <w:marLeft w:val="0"/>
      <w:marRight w:val="0"/>
      <w:marTop w:val="0"/>
      <w:marBottom w:val="0"/>
      <w:divBdr>
        <w:top w:val="none" w:sz="0" w:space="0" w:color="auto"/>
        <w:left w:val="none" w:sz="0" w:space="0" w:color="auto"/>
        <w:bottom w:val="none" w:sz="0" w:space="0" w:color="auto"/>
        <w:right w:val="none" w:sz="0" w:space="0" w:color="auto"/>
      </w:divBdr>
      <w:divsChild>
        <w:div w:id="1110316515">
          <w:marLeft w:val="0"/>
          <w:marRight w:val="0"/>
          <w:marTop w:val="0"/>
          <w:marBottom w:val="0"/>
          <w:divBdr>
            <w:top w:val="none" w:sz="0" w:space="0" w:color="auto"/>
            <w:left w:val="none" w:sz="0" w:space="0" w:color="auto"/>
            <w:bottom w:val="none" w:sz="0" w:space="0" w:color="auto"/>
            <w:right w:val="none" w:sz="0" w:space="0" w:color="auto"/>
          </w:divBdr>
          <w:divsChild>
            <w:div w:id="107748853">
              <w:marLeft w:val="0"/>
              <w:marRight w:val="0"/>
              <w:marTop w:val="0"/>
              <w:marBottom w:val="0"/>
              <w:divBdr>
                <w:top w:val="none" w:sz="0" w:space="0" w:color="auto"/>
                <w:left w:val="none" w:sz="0" w:space="0" w:color="auto"/>
                <w:bottom w:val="none" w:sz="0" w:space="0" w:color="auto"/>
                <w:right w:val="none" w:sz="0" w:space="0" w:color="auto"/>
              </w:divBdr>
              <w:divsChild>
                <w:div w:id="1319267386">
                  <w:marLeft w:val="0"/>
                  <w:marRight w:val="0"/>
                  <w:marTop w:val="0"/>
                  <w:marBottom w:val="0"/>
                  <w:divBdr>
                    <w:top w:val="none" w:sz="0" w:space="0" w:color="auto"/>
                    <w:left w:val="none" w:sz="0" w:space="0" w:color="auto"/>
                    <w:bottom w:val="none" w:sz="0" w:space="0" w:color="auto"/>
                    <w:right w:val="none" w:sz="0" w:space="0" w:color="auto"/>
                  </w:divBdr>
                  <w:divsChild>
                    <w:div w:id="1694526544">
                      <w:marLeft w:val="0"/>
                      <w:marRight w:val="0"/>
                      <w:marTop w:val="0"/>
                      <w:marBottom w:val="0"/>
                      <w:divBdr>
                        <w:top w:val="none" w:sz="0" w:space="0" w:color="auto"/>
                        <w:left w:val="none" w:sz="0" w:space="0" w:color="auto"/>
                        <w:bottom w:val="none" w:sz="0" w:space="0" w:color="auto"/>
                        <w:right w:val="none" w:sz="0" w:space="0" w:color="auto"/>
                      </w:divBdr>
                      <w:divsChild>
                        <w:div w:id="15960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958576">
      <w:bodyDiv w:val="1"/>
      <w:marLeft w:val="0"/>
      <w:marRight w:val="0"/>
      <w:marTop w:val="0"/>
      <w:marBottom w:val="0"/>
      <w:divBdr>
        <w:top w:val="none" w:sz="0" w:space="0" w:color="auto"/>
        <w:left w:val="none" w:sz="0" w:space="0" w:color="auto"/>
        <w:bottom w:val="none" w:sz="0" w:space="0" w:color="auto"/>
        <w:right w:val="none" w:sz="0" w:space="0" w:color="auto"/>
      </w:divBdr>
    </w:div>
    <w:div w:id="894925624">
      <w:bodyDiv w:val="1"/>
      <w:marLeft w:val="0"/>
      <w:marRight w:val="0"/>
      <w:marTop w:val="0"/>
      <w:marBottom w:val="0"/>
      <w:divBdr>
        <w:top w:val="none" w:sz="0" w:space="0" w:color="auto"/>
        <w:left w:val="none" w:sz="0" w:space="0" w:color="auto"/>
        <w:bottom w:val="none" w:sz="0" w:space="0" w:color="auto"/>
        <w:right w:val="none" w:sz="0" w:space="0" w:color="auto"/>
      </w:divBdr>
    </w:div>
    <w:div w:id="930622334">
      <w:bodyDiv w:val="1"/>
      <w:marLeft w:val="0"/>
      <w:marRight w:val="0"/>
      <w:marTop w:val="0"/>
      <w:marBottom w:val="0"/>
      <w:divBdr>
        <w:top w:val="none" w:sz="0" w:space="0" w:color="auto"/>
        <w:left w:val="none" w:sz="0" w:space="0" w:color="auto"/>
        <w:bottom w:val="none" w:sz="0" w:space="0" w:color="auto"/>
        <w:right w:val="none" w:sz="0" w:space="0" w:color="auto"/>
      </w:divBdr>
      <w:divsChild>
        <w:div w:id="575936875">
          <w:marLeft w:val="0"/>
          <w:marRight w:val="0"/>
          <w:marTop w:val="0"/>
          <w:marBottom w:val="0"/>
          <w:divBdr>
            <w:top w:val="none" w:sz="0" w:space="0" w:color="auto"/>
            <w:left w:val="none" w:sz="0" w:space="0" w:color="auto"/>
            <w:bottom w:val="none" w:sz="0" w:space="0" w:color="auto"/>
            <w:right w:val="none" w:sz="0" w:space="0" w:color="auto"/>
          </w:divBdr>
          <w:divsChild>
            <w:div w:id="2131505560">
              <w:marLeft w:val="0"/>
              <w:marRight w:val="0"/>
              <w:marTop w:val="0"/>
              <w:marBottom w:val="0"/>
              <w:divBdr>
                <w:top w:val="none" w:sz="0" w:space="0" w:color="auto"/>
                <w:left w:val="none" w:sz="0" w:space="0" w:color="auto"/>
                <w:bottom w:val="none" w:sz="0" w:space="0" w:color="auto"/>
                <w:right w:val="none" w:sz="0" w:space="0" w:color="auto"/>
              </w:divBdr>
              <w:divsChild>
                <w:div w:id="1330333244">
                  <w:marLeft w:val="0"/>
                  <w:marRight w:val="0"/>
                  <w:marTop w:val="0"/>
                  <w:marBottom w:val="0"/>
                  <w:divBdr>
                    <w:top w:val="none" w:sz="0" w:space="0" w:color="auto"/>
                    <w:left w:val="none" w:sz="0" w:space="0" w:color="auto"/>
                    <w:bottom w:val="none" w:sz="0" w:space="0" w:color="auto"/>
                    <w:right w:val="none" w:sz="0" w:space="0" w:color="auto"/>
                  </w:divBdr>
                  <w:divsChild>
                    <w:div w:id="519126272">
                      <w:marLeft w:val="0"/>
                      <w:marRight w:val="0"/>
                      <w:marTop w:val="0"/>
                      <w:marBottom w:val="0"/>
                      <w:divBdr>
                        <w:top w:val="none" w:sz="0" w:space="0" w:color="auto"/>
                        <w:left w:val="none" w:sz="0" w:space="0" w:color="auto"/>
                        <w:bottom w:val="none" w:sz="0" w:space="0" w:color="auto"/>
                        <w:right w:val="none" w:sz="0" w:space="0" w:color="auto"/>
                      </w:divBdr>
                      <w:divsChild>
                        <w:div w:id="197309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992622">
      <w:bodyDiv w:val="1"/>
      <w:marLeft w:val="0"/>
      <w:marRight w:val="0"/>
      <w:marTop w:val="0"/>
      <w:marBottom w:val="0"/>
      <w:divBdr>
        <w:top w:val="none" w:sz="0" w:space="0" w:color="auto"/>
        <w:left w:val="none" w:sz="0" w:space="0" w:color="auto"/>
        <w:bottom w:val="none" w:sz="0" w:space="0" w:color="auto"/>
        <w:right w:val="none" w:sz="0" w:space="0" w:color="auto"/>
      </w:divBdr>
    </w:div>
    <w:div w:id="948002704">
      <w:bodyDiv w:val="1"/>
      <w:marLeft w:val="0"/>
      <w:marRight w:val="0"/>
      <w:marTop w:val="0"/>
      <w:marBottom w:val="0"/>
      <w:divBdr>
        <w:top w:val="none" w:sz="0" w:space="0" w:color="auto"/>
        <w:left w:val="none" w:sz="0" w:space="0" w:color="auto"/>
        <w:bottom w:val="none" w:sz="0" w:space="0" w:color="auto"/>
        <w:right w:val="none" w:sz="0" w:space="0" w:color="auto"/>
      </w:divBdr>
    </w:div>
    <w:div w:id="950864133">
      <w:bodyDiv w:val="1"/>
      <w:marLeft w:val="0"/>
      <w:marRight w:val="0"/>
      <w:marTop w:val="0"/>
      <w:marBottom w:val="0"/>
      <w:divBdr>
        <w:top w:val="none" w:sz="0" w:space="0" w:color="auto"/>
        <w:left w:val="none" w:sz="0" w:space="0" w:color="auto"/>
        <w:bottom w:val="none" w:sz="0" w:space="0" w:color="auto"/>
        <w:right w:val="none" w:sz="0" w:space="0" w:color="auto"/>
      </w:divBdr>
      <w:divsChild>
        <w:div w:id="1848475081">
          <w:marLeft w:val="0"/>
          <w:marRight w:val="0"/>
          <w:marTop w:val="0"/>
          <w:marBottom w:val="0"/>
          <w:divBdr>
            <w:top w:val="none" w:sz="0" w:space="0" w:color="auto"/>
            <w:left w:val="none" w:sz="0" w:space="0" w:color="auto"/>
            <w:bottom w:val="none" w:sz="0" w:space="0" w:color="auto"/>
            <w:right w:val="none" w:sz="0" w:space="0" w:color="auto"/>
          </w:divBdr>
          <w:divsChild>
            <w:div w:id="124662246">
              <w:marLeft w:val="0"/>
              <w:marRight w:val="0"/>
              <w:marTop w:val="0"/>
              <w:marBottom w:val="0"/>
              <w:divBdr>
                <w:top w:val="none" w:sz="0" w:space="0" w:color="auto"/>
                <w:left w:val="none" w:sz="0" w:space="0" w:color="auto"/>
                <w:bottom w:val="none" w:sz="0" w:space="0" w:color="auto"/>
                <w:right w:val="none" w:sz="0" w:space="0" w:color="auto"/>
              </w:divBdr>
              <w:divsChild>
                <w:div w:id="1206135124">
                  <w:marLeft w:val="0"/>
                  <w:marRight w:val="0"/>
                  <w:marTop w:val="0"/>
                  <w:marBottom w:val="0"/>
                  <w:divBdr>
                    <w:top w:val="none" w:sz="0" w:space="0" w:color="auto"/>
                    <w:left w:val="none" w:sz="0" w:space="0" w:color="auto"/>
                    <w:bottom w:val="none" w:sz="0" w:space="0" w:color="auto"/>
                    <w:right w:val="none" w:sz="0" w:space="0" w:color="auto"/>
                  </w:divBdr>
                  <w:divsChild>
                    <w:div w:id="12381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032274">
      <w:bodyDiv w:val="1"/>
      <w:marLeft w:val="0"/>
      <w:marRight w:val="0"/>
      <w:marTop w:val="0"/>
      <w:marBottom w:val="0"/>
      <w:divBdr>
        <w:top w:val="none" w:sz="0" w:space="0" w:color="auto"/>
        <w:left w:val="none" w:sz="0" w:space="0" w:color="auto"/>
        <w:bottom w:val="none" w:sz="0" w:space="0" w:color="auto"/>
        <w:right w:val="none" w:sz="0" w:space="0" w:color="auto"/>
      </w:divBdr>
    </w:div>
    <w:div w:id="1032919221">
      <w:bodyDiv w:val="1"/>
      <w:marLeft w:val="0"/>
      <w:marRight w:val="0"/>
      <w:marTop w:val="0"/>
      <w:marBottom w:val="0"/>
      <w:divBdr>
        <w:top w:val="none" w:sz="0" w:space="0" w:color="auto"/>
        <w:left w:val="none" w:sz="0" w:space="0" w:color="auto"/>
        <w:bottom w:val="none" w:sz="0" w:space="0" w:color="auto"/>
        <w:right w:val="none" w:sz="0" w:space="0" w:color="auto"/>
      </w:divBdr>
    </w:div>
    <w:div w:id="1033191064">
      <w:bodyDiv w:val="1"/>
      <w:marLeft w:val="0"/>
      <w:marRight w:val="0"/>
      <w:marTop w:val="0"/>
      <w:marBottom w:val="0"/>
      <w:divBdr>
        <w:top w:val="none" w:sz="0" w:space="0" w:color="auto"/>
        <w:left w:val="none" w:sz="0" w:space="0" w:color="auto"/>
        <w:bottom w:val="none" w:sz="0" w:space="0" w:color="auto"/>
        <w:right w:val="none" w:sz="0" w:space="0" w:color="auto"/>
      </w:divBdr>
    </w:div>
    <w:div w:id="1049305890">
      <w:bodyDiv w:val="1"/>
      <w:marLeft w:val="0"/>
      <w:marRight w:val="0"/>
      <w:marTop w:val="0"/>
      <w:marBottom w:val="0"/>
      <w:divBdr>
        <w:top w:val="none" w:sz="0" w:space="0" w:color="auto"/>
        <w:left w:val="none" w:sz="0" w:space="0" w:color="auto"/>
        <w:bottom w:val="none" w:sz="0" w:space="0" w:color="auto"/>
        <w:right w:val="none" w:sz="0" w:space="0" w:color="auto"/>
      </w:divBdr>
      <w:divsChild>
        <w:div w:id="591209656">
          <w:marLeft w:val="0"/>
          <w:marRight w:val="0"/>
          <w:marTop w:val="0"/>
          <w:marBottom w:val="0"/>
          <w:divBdr>
            <w:top w:val="none" w:sz="0" w:space="0" w:color="auto"/>
            <w:left w:val="none" w:sz="0" w:space="0" w:color="auto"/>
            <w:bottom w:val="none" w:sz="0" w:space="0" w:color="auto"/>
            <w:right w:val="none" w:sz="0" w:space="0" w:color="auto"/>
          </w:divBdr>
          <w:divsChild>
            <w:div w:id="2138327640">
              <w:marLeft w:val="0"/>
              <w:marRight w:val="0"/>
              <w:marTop w:val="0"/>
              <w:marBottom w:val="0"/>
              <w:divBdr>
                <w:top w:val="none" w:sz="0" w:space="0" w:color="auto"/>
                <w:left w:val="none" w:sz="0" w:space="0" w:color="auto"/>
                <w:bottom w:val="none" w:sz="0" w:space="0" w:color="auto"/>
                <w:right w:val="none" w:sz="0" w:space="0" w:color="auto"/>
              </w:divBdr>
              <w:divsChild>
                <w:div w:id="166258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635188">
      <w:bodyDiv w:val="1"/>
      <w:marLeft w:val="0"/>
      <w:marRight w:val="0"/>
      <w:marTop w:val="0"/>
      <w:marBottom w:val="0"/>
      <w:divBdr>
        <w:top w:val="none" w:sz="0" w:space="0" w:color="auto"/>
        <w:left w:val="none" w:sz="0" w:space="0" w:color="auto"/>
        <w:bottom w:val="none" w:sz="0" w:space="0" w:color="auto"/>
        <w:right w:val="none" w:sz="0" w:space="0" w:color="auto"/>
      </w:divBdr>
      <w:divsChild>
        <w:div w:id="849683126">
          <w:marLeft w:val="0"/>
          <w:marRight w:val="0"/>
          <w:marTop w:val="0"/>
          <w:marBottom w:val="0"/>
          <w:divBdr>
            <w:top w:val="none" w:sz="0" w:space="0" w:color="auto"/>
            <w:left w:val="none" w:sz="0" w:space="0" w:color="auto"/>
            <w:bottom w:val="none" w:sz="0" w:space="0" w:color="auto"/>
            <w:right w:val="none" w:sz="0" w:space="0" w:color="auto"/>
          </w:divBdr>
          <w:divsChild>
            <w:div w:id="1152137284">
              <w:marLeft w:val="0"/>
              <w:marRight w:val="0"/>
              <w:marTop w:val="0"/>
              <w:marBottom w:val="0"/>
              <w:divBdr>
                <w:top w:val="none" w:sz="0" w:space="0" w:color="auto"/>
                <w:left w:val="none" w:sz="0" w:space="0" w:color="auto"/>
                <w:bottom w:val="none" w:sz="0" w:space="0" w:color="auto"/>
                <w:right w:val="none" w:sz="0" w:space="0" w:color="auto"/>
              </w:divBdr>
              <w:divsChild>
                <w:div w:id="983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90161">
      <w:bodyDiv w:val="1"/>
      <w:marLeft w:val="0"/>
      <w:marRight w:val="0"/>
      <w:marTop w:val="0"/>
      <w:marBottom w:val="0"/>
      <w:divBdr>
        <w:top w:val="none" w:sz="0" w:space="0" w:color="auto"/>
        <w:left w:val="none" w:sz="0" w:space="0" w:color="auto"/>
        <w:bottom w:val="none" w:sz="0" w:space="0" w:color="auto"/>
        <w:right w:val="none" w:sz="0" w:space="0" w:color="auto"/>
      </w:divBdr>
      <w:divsChild>
        <w:div w:id="754595282">
          <w:marLeft w:val="0"/>
          <w:marRight w:val="0"/>
          <w:marTop w:val="0"/>
          <w:marBottom w:val="0"/>
          <w:divBdr>
            <w:top w:val="none" w:sz="0" w:space="0" w:color="auto"/>
            <w:left w:val="none" w:sz="0" w:space="0" w:color="auto"/>
            <w:bottom w:val="none" w:sz="0" w:space="0" w:color="auto"/>
            <w:right w:val="none" w:sz="0" w:space="0" w:color="auto"/>
          </w:divBdr>
          <w:divsChild>
            <w:div w:id="1876654600">
              <w:marLeft w:val="0"/>
              <w:marRight w:val="0"/>
              <w:marTop w:val="0"/>
              <w:marBottom w:val="0"/>
              <w:divBdr>
                <w:top w:val="none" w:sz="0" w:space="0" w:color="auto"/>
                <w:left w:val="none" w:sz="0" w:space="0" w:color="auto"/>
                <w:bottom w:val="none" w:sz="0" w:space="0" w:color="auto"/>
                <w:right w:val="none" w:sz="0" w:space="0" w:color="auto"/>
              </w:divBdr>
              <w:divsChild>
                <w:div w:id="1015423018">
                  <w:marLeft w:val="0"/>
                  <w:marRight w:val="0"/>
                  <w:marTop w:val="0"/>
                  <w:marBottom w:val="0"/>
                  <w:divBdr>
                    <w:top w:val="none" w:sz="0" w:space="0" w:color="auto"/>
                    <w:left w:val="none" w:sz="0" w:space="0" w:color="auto"/>
                    <w:bottom w:val="none" w:sz="0" w:space="0" w:color="auto"/>
                    <w:right w:val="none" w:sz="0" w:space="0" w:color="auto"/>
                  </w:divBdr>
                  <w:divsChild>
                    <w:div w:id="1406294230">
                      <w:marLeft w:val="0"/>
                      <w:marRight w:val="0"/>
                      <w:marTop w:val="0"/>
                      <w:marBottom w:val="0"/>
                      <w:divBdr>
                        <w:top w:val="none" w:sz="0" w:space="0" w:color="auto"/>
                        <w:left w:val="none" w:sz="0" w:space="0" w:color="auto"/>
                        <w:bottom w:val="none" w:sz="0" w:space="0" w:color="auto"/>
                        <w:right w:val="single" w:sz="6" w:space="0" w:color="FFFFFF"/>
                      </w:divBdr>
                    </w:div>
                  </w:divsChild>
                </w:div>
                <w:div w:id="1741902983">
                  <w:marLeft w:val="0"/>
                  <w:marRight w:val="0"/>
                  <w:marTop w:val="0"/>
                  <w:marBottom w:val="0"/>
                  <w:divBdr>
                    <w:top w:val="none" w:sz="0" w:space="0" w:color="auto"/>
                    <w:left w:val="none" w:sz="0" w:space="0" w:color="auto"/>
                    <w:bottom w:val="none" w:sz="0" w:space="0" w:color="auto"/>
                    <w:right w:val="none" w:sz="0" w:space="0" w:color="auto"/>
                  </w:divBdr>
                  <w:divsChild>
                    <w:div w:id="121582405">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1157648797">
      <w:bodyDiv w:val="1"/>
      <w:marLeft w:val="0"/>
      <w:marRight w:val="0"/>
      <w:marTop w:val="0"/>
      <w:marBottom w:val="0"/>
      <w:divBdr>
        <w:top w:val="none" w:sz="0" w:space="0" w:color="auto"/>
        <w:left w:val="none" w:sz="0" w:space="0" w:color="auto"/>
        <w:bottom w:val="none" w:sz="0" w:space="0" w:color="auto"/>
        <w:right w:val="none" w:sz="0" w:space="0" w:color="auto"/>
      </w:divBdr>
    </w:div>
    <w:div w:id="1240628223">
      <w:bodyDiv w:val="1"/>
      <w:marLeft w:val="0"/>
      <w:marRight w:val="0"/>
      <w:marTop w:val="0"/>
      <w:marBottom w:val="0"/>
      <w:divBdr>
        <w:top w:val="none" w:sz="0" w:space="0" w:color="auto"/>
        <w:left w:val="none" w:sz="0" w:space="0" w:color="auto"/>
        <w:bottom w:val="none" w:sz="0" w:space="0" w:color="auto"/>
        <w:right w:val="none" w:sz="0" w:space="0" w:color="auto"/>
      </w:divBdr>
    </w:div>
    <w:div w:id="1381393917">
      <w:bodyDiv w:val="1"/>
      <w:marLeft w:val="0"/>
      <w:marRight w:val="0"/>
      <w:marTop w:val="0"/>
      <w:marBottom w:val="0"/>
      <w:divBdr>
        <w:top w:val="none" w:sz="0" w:space="0" w:color="auto"/>
        <w:left w:val="none" w:sz="0" w:space="0" w:color="auto"/>
        <w:bottom w:val="none" w:sz="0" w:space="0" w:color="auto"/>
        <w:right w:val="none" w:sz="0" w:space="0" w:color="auto"/>
      </w:divBdr>
    </w:div>
    <w:div w:id="1391345508">
      <w:bodyDiv w:val="1"/>
      <w:marLeft w:val="0"/>
      <w:marRight w:val="0"/>
      <w:marTop w:val="0"/>
      <w:marBottom w:val="0"/>
      <w:divBdr>
        <w:top w:val="none" w:sz="0" w:space="0" w:color="auto"/>
        <w:left w:val="none" w:sz="0" w:space="0" w:color="auto"/>
        <w:bottom w:val="none" w:sz="0" w:space="0" w:color="auto"/>
        <w:right w:val="none" w:sz="0" w:space="0" w:color="auto"/>
      </w:divBdr>
      <w:divsChild>
        <w:div w:id="1761028331">
          <w:marLeft w:val="0"/>
          <w:marRight w:val="0"/>
          <w:marTop w:val="0"/>
          <w:marBottom w:val="0"/>
          <w:divBdr>
            <w:top w:val="none" w:sz="0" w:space="0" w:color="auto"/>
            <w:left w:val="none" w:sz="0" w:space="0" w:color="auto"/>
            <w:bottom w:val="none" w:sz="0" w:space="0" w:color="auto"/>
            <w:right w:val="none" w:sz="0" w:space="0" w:color="auto"/>
          </w:divBdr>
          <w:divsChild>
            <w:div w:id="1897936219">
              <w:marLeft w:val="0"/>
              <w:marRight w:val="0"/>
              <w:marTop w:val="0"/>
              <w:marBottom w:val="0"/>
              <w:divBdr>
                <w:top w:val="none" w:sz="0" w:space="0" w:color="auto"/>
                <w:left w:val="none" w:sz="0" w:space="0" w:color="auto"/>
                <w:bottom w:val="none" w:sz="0" w:space="0" w:color="auto"/>
                <w:right w:val="none" w:sz="0" w:space="0" w:color="auto"/>
              </w:divBdr>
              <w:divsChild>
                <w:div w:id="1161197786">
                  <w:marLeft w:val="0"/>
                  <w:marRight w:val="0"/>
                  <w:marTop w:val="0"/>
                  <w:marBottom w:val="0"/>
                  <w:divBdr>
                    <w:top w:val="none" w:sz="0" w:space="0" w:color="auto"/>
                    <w:left w:val="none" w:sz="0" w:space="0" w:color="auto"/>
                    <w:bottom w:val="none" w:sz="0" w:space="0" w:color="auto"/>
                    <w:right w:val="none" w:sz="0" w:space="0" w:color="auto"/>
                  </w:divBdr>
                  <w:divsChild>
                    <w:div w:id="159273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889041">
      <w:bodyDiv w:val="1"/>
      <w:marLeft w:val="0"/>
      <w:marRight w:val="0"/>
      <w:marTop w:val="0"/>
      <w:marBottom w:val="0"/>
      <w:divBdr>
        <w:top w:val="none" w:sz="0" w:space="0" w:color="auto"/>
        <w:left w:val="none" w:sz="0" w:space="0" w:color="auto"/>
        <w:bottom w:val="none" w:sz="0" w:space="0" w:color="auto"/>
        <w:right w:val="none" w:sz="0" w:space="0" w:color="auto"/>
      </w:divBdr>
      <w:divsChild>
        <w:div w:id="935358601">
          <w:marLeft w:val="0"/>
          <w:marRight w:val="0"/>
          <w:marTop w:val="0"/>
          <w:marBottom w:val="0"/>
          <w:divBdr>
            <w:top w:val="none" w:sz="0" w:space="0" w:color="auto"/>
            <w:left w:val="none" w:sz="0" w:space="0" w:color="auto"/>
            <w:bottom w:val="none" w:sz="0" w:space="0" w:color="auto"/>
            <w:right w:val="none" w:sz="0" w:space="0" w:color="auto"/>
          </w:divBdr>
          <w:divsChild>
            <w:div w:id="1731146313">
              <w:marLeft w:val="0"/>
              <w:marRight w:val="0"/>
              <w:marTop w:val="0"/>
              <w:marBottom w:val="0"/>
              <w:divBdr>
                <w:top w:val="none" w:sz="0" w:space="0" w:color="auto"/>
                <w:left w:val="none" w:sz="0" w:space="0" w:color="auto"/>
                <w:bottom w:val="none" w:sz="0" w:space="0" w:color="auto"/>
                <w:right w:val="none" w:sz="0" w:space="0" w:color="auto"/>
              </w:divBdr>
              <w:divsChild>
                <w:div w:id="646937785">
                  <w:marLeft w:val="0"/>
                  <w:marRight w:val="0"/>
                  <w:marTop w:val="0"/>
                  <w:marBottom w:val="0"/>
                  <w:divBdr>
                    <w:top w:val="none" w:sz="0" w:space="0" w:color="auto"/>
                    <w:left w:val="none" w:sz="0" w:space="0" w:color="auto"/>
                    <w:bottom w:val="none" w:sz="0" w:space="0" w:color="auto"/>
                    <w:right w:val="none" w:sz="0" w:space="0" w:color="auto"/>
                  </w:divBdr>
                  <w:divsChild>
                    <w:div w:id="966858704">
                      <w:marLeft w:val="0"/>
                      <w:marRight w:val="0"/>
                      <w:marTop w:val="0"/>
                      <w:marBottom w:val="0"/>
                      <w:divBdr>
                        <w:top w:val="none" w:sz="0" w:space="0" w:color="auto"/>
                        <w:left w:val="none" w:sz="0" w:space="0" w:color="auto"/>
                        <w:bottom w:val="none" w:sz="0" w:space="0" w:color="auto"/>
                        <w:right w:val="none" w:sz="0" w:space="0" w:color="auto"/>
                      </w:divBdr>
                      <w:divsChild>
                        <w:div w:id="23417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060258">
      <w:bodyDiv w:val="1"/>
      <w:marLeft w:val="0"/>
      <w:marRight w:val="0"/>
      <w:marTop w:val="0"/>
      <w:marBottom w:val="0"/>
      <w:divBdr>
        <w:top w:val="none" w:sz="0" w:space="0" w:color="auto"/>
        <w:left w:val="none" w:sz="0" w:space="0" w:color="auto"/>
        <w:bottom w:val="none" w:sz="0" w:space="0" w:color="auto"/>
        <w:right w:val="none" w:sz="0" w:space="0" w:color="auto"/>
      </w:divBdr>
    </w:div>
    <w:div w:id="1549760323">
      <w:bodyDiv w:val="1"/>
      <w:marLeft w:val="0"/>
      <w:marRight w:val="0"/>
      <w:marTop w:val="0"/>
      <w:marBottom w:val="0"/>
      <w:divBdr>
        <w:top w:val="none" w:sz="0" w:space="0" w:color="auto"/>
        <w:left w:val="none" w:sz="0" w:space="0" w:color="auto"/>
        <w:bottom w:val="none" w:sz="0" w:space="0" w:color="auto"/>
        <w:right w:val="none" w:sz="0" w:space="0" w:color="auto"/>
      </w:divBdr>
    </w:div>
    <w:div w:id="1555004765">
      <w:bodyDiv w:val="1"/>
      <w:marLeft w:val="0"/>
      <w:marRight w:val="0"/>
      <w:marTop w:val="0"/>
      <w:marBottom w:val="0"/>
      <w:divBdr>
        <w:top w:val="none" w:sz="0" w:space="0" w:color="auto"/>
        <w:left w:val="none" w:sz="0" w:space="0" w:color="auto"/>
        <w:bottom w:val="none" w:sz="0" w:space="0" w:color="auto"/>
        <w:right w:val="none" w:sz="0" w:space="0" w:color="auto"/>
      </w:divBdr>
      <w:divsChild>
        <w:div w:id="1949964302">
          <w:marLeft w:val="0"/>
          <w:marRight w:val="0"/>
          <w:marTop w:val="0"/>
          <w:marBottom w:val="0"/>
          <w:divBdr>
            <w:top w:val="none" w:sz="0" w:space="0" w:color="auto"/>
            <w:left w:val="none" w:sz="0" w:space="0" w:color="auto"/>
            <w:bottom w:val="none" w:sz="0" w:space="0" w:color="auto"/>
            <w:right w:val="none" w:sz="0" w:space="0" w:color="auto"/>
          </w:divBdr>
          <w:divsChild>
            <w:div w:id="2056849608">
              <w:marLeft w:val="0"/>
              <w:marRight w:val="0"/>
              <w:marTop w:val="0"/>
              <w:marBottom w:val="0"/>
              <w:divBdr>
                <w:top w:val="none" w:sz="0" w:space="0" w:color="auto"/>
                <w:left w:val="none" w:sz="0" w:space="0" w:color="auto"/>
                <w:bottom w:val="none" w:sz="0" w:space="0" w:color="auto"/>
                <w:right w:val="none" w:sz="0" w:space="0" w:color="auto"/>
              </w:divBdr>
              <w:divsChild>
                <w:div w:id="929853634">
                  <w:marLeft w:val="0"/>
                  <w:marRight w:val="0"/>
                  <w:marTop w:val="0"/>
                  <w:marBottom w:val="0"/>
                  <w:divBdr>
                    <w:top w:val="none" w:sz="0" w:space="0" w:color="auto"/>
                    <w:left w:val="none" w:sz="0" w:space="0" w:color="auto"/>
                    <w:bottom w:val="none" w:sz="0" w:space="0" w:color="auto"/>
                    <w:right w:val="none" w:sz="0" w:space="0" w:color="auto"/>
                  </w:divBdr>
                  <w:divsChild>
                    <w:div w:id="1486508089">
                      <w:marLeft w:val="0"/>
                      <w:marRight w:val="0"/>
                      <w:marTop w:val="0"/>
                      <w:marBottom w:val="0"/>
                      <w:divBdr>
                        <w:top w:val="none" w:sz="0" w:space="0" w:color="auto"/>
                        <w:left w:val="none" w:sz="0" w:space="0" w:color="auto"/>
                        <w:bottom w:val="none" w:sz="0" w:space="0" w:color="auto"/>
                        <w:right w:val="none" w:sz="0" w:space="0" w:color="auto"/>
                      </w:divBdr>
                      <w:divsChild>
                        <w:div w:id="187373775">
                          <w:marLeft w:val="0"/>
                          <w:marRight w:val="0"/>
                          <w:marTop w:val="0"/>
                          <w:marBottom w:val="0"/>
                          <w:divBdr>
                            <w:top w:val="none" w:sz="0" w:space="0" w:color="auto"/>
                            <w:left w:val="none" w:sz="0" w:space="0" w:color="auto"/>
                            <w:bottom w:val="none" w:sz="0" w:space="0" w:color="auto"/>
                            <w:right w:val="none" w:sz="0" w:space="0" w:color="auto"/>
                          </w:divBdr>
                          <w:divsChild>
                            <w:div w:id="50933777">
                              <w:marLeft w:val="-6000"/>
                              <w:marRight w:val="0"/>
                              <w:marTop w:val="0"/>
                              <w:marBottom w:val="0"/>
                              <w:divBdr>
                                <w:top w:val="none" w:sz="0" w:space="0" w:color="auto"/>
                                <w:left w:val="none" w:sz="0" w:space="0" w:color="auto"/>
                                <w:bottom w:val="none" w:sz="0" w:space="0" w:color="auto"/>
                                <w:right w:val="none" w:sz="0" w:space="0" w:color="auto"/>
                              </w:divBdr>
                              <w:divsChild>
                                <w:div w:id="2010525929">
                                  <w:marLeft w:val="0"/>
                                  <w:marRight w:val="0"/>
                                  <w:marTop w:val="0"/>
                                  <w:marBottom w:val="0"/>
                                  <w:divBdr>
                                    <w:top w:val="none" w:sz="0" w:space="0" w:color="auto"/>
                                    <w:left w:val="none" w:sz="0" w:space="0" w:color="auto"/>
                                    <w:bottom w:val="none" w:sz="0" w:space="0" w:color="auto"/>
                                    <w:right w:val="none" w:sz="0" w:space="0" w:color="auto"/>
                                  </w:divBdr>
                                  <w:divsChild>
                                    <w:div w:id="2137333225">
                                      <w:marLeft w:val="6225"/>
                                      <w:marRight w:val="0"/>
                                      <w:marTop w:val="0"/>
                                      <w:marBottom w:val="0"/>
                                      <w:divBdr>
                                        <w:top w:val="none" w:sz="0" w:space="0" w:color="auto"/>
                                        <w:left w:val="none" w:sz="0" w:space="0" w:color="auto"/>
                                        <w:bottom w:val="none" w:sz="0" w:space="0" w:color="auto"/>
                                        <w:right w:val="none" w:sz="0" w:space="0" w:color="auto"/>
                                      </w:divBdr>
                                      <w:divsChild>
                                        <w:div w:id="1984381893">
                                          <w:marLeft w:val="0"/>
                                          <w:marRight w:val="0"/>
                                          <w:marTop w:val="0"/>
                                          <w:marBottom w:val="0"/>
                                          <w:divBdr>
                                            <w:top w:val="none" w:sz="0" w:space="0" w:color="auto"/>
                                            <w:left w:val="none" w:sz="0" w:space="0" w:color="auto"/>
                                            <w:bottom w:val="none" w:sz="0" w:space="0" w:color="auto"/>
                                            <w:right w:val="none" w:sz="0" w:space="0" w:color="auto"/>
                                          </w:divBdr>
                                          <w:divsChild>
                                            <w:div w:id="2124155274">
                                              <w:marLeft w:val="0"/>
                                              <w:marRight w:val="0"/>
                                              <w:marTop w:val="0"/>
                                              <w:marBottom w:val="0"/>
                                              <w:divBdr>
                                                <w:top w:val="none" w:sz="0" w:space="0" w:color="auto"/>
                                                <w:left w:val="none" w:sz="0" w:space="0" w:color="auto"/>
                                                <w:bottom w:val="none" w:sz="0" w:space="0" w:color="auto"/>
                                                <w:right w:val="none" w:sz="0" w:space="0" w:color="auto"/>
                                              </w:divBdr>
                                              <w:divsChild>
                                                <w:div w:id="986975239">
                                                  <w:marLeft w:val="0"/>
                                                  <w:marRight w:val="0"/>
                                                  <w:marTop w:val="75"/>
                                                  <w:marBottom w:val="0"/>
                                                  <w:divBdr>
                                                    <w:top w:val="none" w:sz="0" w:space="0" w:color="auto"/>
                                                    <w:left w:val="none" w:sz="0" w:space="0" w:color="auto"/>
                                                    <w:bottom w:val="none" w:sz="0" w:space="0" w:color="auto"/>
                                                    <w:right w:val="none" w:sz="0" w:space="0" w:color="auto"/>
                                                  </w:divBdr>
                                                  <w:divsChild>
                                                    <w:div w:id="4706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170349">
      <w:bodyDiv w:val="1"/>
      <w:marLeft w:val="0"/>
      <w:marRight w:val="0"/>
      <w:marTop w:val="0"/>
      <w:marBottom w:val="0"/>
      <w:divBdr>
        <w:top w:val="none" w:sz="0" w:space="0" w:color="auto"/>
        <w:left w:val="none" w:sz="0" w:space="0" w:color="auto"/>
        <w:bottom w:val="none" w:sz="0" w:space="0" w:color="auto"/>
        <w:right w:val="none" w:sz="0" w:space="0" w:color="auto"/>
      </w:divBdr>
    </w:div>
    <w:div w:id="1574046022">
      <w:bodyDiv w:val="1"/>
      <w:marLeft w:val="0"/>
      <w:marRight w:val="0"/>
      <w:marTop w:val="0"/>
      <w:marBottom w:val="0"/>
      <w:divBdr>
        <w:top w:val="none" w:sz="0" w:space="0" w:color="auto"/>
        <w:left w:val="none" w:sz="0" w:space="0" w:color="auto"/>
        <w:bottom w:val="none" w:sz="0" w:space="0" w:color="auto"/>
        <w:right w:val="none" w:sz="0" w:space="0" w:color="auto"/>
      </w:divBdr>
    </w:div>
    <w:div w:id="1591304795">
      <w:bodyDiv w:val="1"/>
      <w:marLeft w:val="0"/>
      <w:marRight w:val="0"/>
      <w:marTop w:val="0"/>
      <w:marBottom w:val="0"/>
      <w:divBdr>
        <w:top w:val="none" w:sz="0" w:space="0" w:color="auto"/>
        <w:left w:val="none" w:sz="0" w:space="0" w:color="auto"/>
        <w:bottom w:val="none" w:sz="0" w:space="0" w:color="auto"/>
        <w:right w:val="none" w:sz="0" w:space="0" w:color="auto"/>
      </w:divBdr>
    </w:div>
    <w:div w:id="1591309114">
      <w:bodyDiv w:val="1"/>
      <w:marLeft w:val="0"/>
      <w:marRight w:val="0"/>
      <w:marTop w:val="0"/>
      <w:marBottom w:val="0"/>
      <w:divBdr>
        <w:top w:val="none" w:sz="0" w:space="0" w:color="auto"/>
        <w:left w:val="none" w:sz="0" w:space="0" w:color="auto"/>
        <w:bottom w:val="none" w:sz="0" w:space="0" w:color="auto"/>
        <w:right w:val="none" w:sz="0" w:space="0" w:color="auto"/>
      </w:divBdr>
      <w:divsChild>
        <w:div w:id="1003515087">
          <w:marLeft w:val="0"/>
          <w:marRight w:val="0"/>
          <w:marTop w:val="0"/>
          <w:marBottom w:val="0"/>
          <w:divBdr>
            <w:top w:val="none" w:sz="0" w:space="0" w:color="auto"/>
            <w:left w:val="none" w:sz="0" w:space="0" w:color="auto"/>
            <w:bottom w:val="none" w:sz="0" w:space="0" w:color="auto"/>
            <w:right w:val="none" w:sz="0" w:space="0" w:color="auto"/>
          </w:divBdr>
          <w:divsChild>
            <w:div w:id="1383947522">
              <w:marLeft w:val="0"/>
              <w:marRight w:val="0"/>
              <w:marTop w:val="0"/>
              <w:marBottom w:val="0"/>
              <w:divBdr>
                <w:top w:val="none" w:sz="0" w:space="0" w:color="auto"/>
                <w:left w:val="none" w:sz="0" w:space="0" w:color="auto"/>
                <w:bottom w:val="none" w:sz="0" w:space="0" w:color="auto"/>
                <w:right w:val="none" w:sz="0" w:space="0" w:color="auto"/>
              </w:divBdr>
              <w:divsChild>
                <w:div w:id="82997485">
                  <w:marLeft w:val="0"/>
                  <w:marRight w:val="0"/>
                  <w:marTop w:val="0"/>
                  <w:marBottom w:val="0"/>
                  <w:divBdr>
                    <w:top w:val="none" w:sz="0" w:space="0" w:color="auto"/>
                    <w:left w:val="none" w:sz="0" w:space="0" w:color="auto"/>
                    <w:bottom w:val="none" w:sz="0" w:space="0" w:color="auto"/>
                    <w:right w:val="none" w:sz="0" w:space="0" w:color="auto"/>
                  </w:divBdr>
                  <w:divsChild>
                    <w:div w:id="437599994">
                      <w:marLeft w:val="0"/>
                      <w:marRight w:val="0"/>
                      <w:marTop w:val="0"/>
                      <w:marBottom w:val="0"/>
                      <w:divBdr>
                        <w:top w:val="none" w:sz="0" w:space="0" w:color="auto"/>
                        <w:left w:val="none" w:sz="0" w:space="0" w:color="auto"/>
                        <w:bottom w:val="none" w:sz="0" w:space="0" w:color="auto"/>
                        <w:right w:val="none" w:sz="0" w:space="0" w:color="auto"/>
                      </w:divBdr>
                      <w:divsChild>
                        <w:div w:id="45951580">
                          <w:marLeft w:val="0"/>
                          <w:marRight w:val="0"/>
                          <w:marTop w:val="0"/>
                          <w:marBottom w:val="0"/>
                          <w:divBdr>
                            <w:top w:val="none" w:sz="0" w:space="0" w:color="auto"/>
                            <w:left w:val="none" w:sz="0" w:space="0" w:color="auto"/>
                            <w:bottom w:val="none" w:sz="0" w:space="0" w:color="auto"/>
                            <w:right w:val="none" w:sz="0" w:space="0" w:color="auto"/>
                          </w:divBdr>
                          <w:divsChild>
                            <w:div w:id="994332404">
                              <w:marLeft w:val="-6000"/>
                              <w:marRight w:val="0"/>
                              <w:marTop w:val="0"/>
                              <w:marBottom w:val="0"/>
                              <w:divBdr>
                                <w:top w:val="none" w:sz="0" w:space="0" w:color="auto"/>
                                <w:left w:val="none" w:sz="0" w:space="0" w:color="auto"/>
                                <w:bottom w:val="none" w:sz="0" w:space="0" w:color="auto"/>
                                <w:right w:val="none" w:sz="0" w:space="0" w:color="auto"/>
                              </w:divBdr>
                              <w:divsChild>
                                <w:div w:id="741216342">
                                  <w:marLeft w:val="0"/>
                                  <w:marRight w:val="0"/>
                                  <w:marTop w:val="0"/>
                                  <w:marBottom w:val="0"/>
                                  <w:divBdr>
                                    <w:top w:val="none" w:sz="0" w:space="0" w:color="auto"/>
                                    <w:left w:val="none" w:sz="0" w:space="0" w:color="auto"/>
                                    <w:bottom w:val="none" w:sz="0" w:space="0" w:color="auto"/>
                                    <w:right w:val="none" w:sz="0" w:space="0" w:color="auto"/>
                                  </w:divBdr>
                                  <w:divsChild>
                                    <w:div w:id="1975017333">
                                      <w:marLeft w:val="6225"/>
                                      <w:marRight w:val="0"/>
                                      <w:marTop w:val="0"/>
                                      <w:marBottom w:val="0"/>
                                      <w:divBdr>
                                        <w:top w:val="none" w:sz="0" w:space="0" w:color="auto"/>
                                        <w:left w:val="none" w:sz="0" w:space="0" w:color="auto"/>
                                        <w:bottom w:val="none" w:sz="0" w:space="0" w:color="auto"/>
                                        <w:right w:val="none" w:sz="0" w:space="0" w:color="auto"/>
                                      </w:divBdr>
                                      <w:divsChild>
                                        <w:div w:id="236939718">
                                          <w:marLeft w:val="0"/>
                                          <w:marRight w:val="0"/>
                                          <w:marTop w:val="0"/>
                                          <w:marBottom w:val="0"/>
                                          <w:divBdr>
                                            <w:top w:val="none" w:sz="0" w:space="0" w:color="auto"/>
                                            <w:left w:val="none" w:sz="0" w:space="0" w:color="auto"/>
                                            <w:bottom w:val="none" w:sz="0" w:space="0" w:color="auto"/>
                                            <w:right w:val="none" w:sz="0" w:space="0" w:color="auto"/>
                                          </w:divBdr>
                                          <w:divsChild>
                                            <w:div w:id="2058124490">
                                              <w:marLeft w:val="0"/>
                                              <w:marRight w:val="0"/>
                                              <w:marTop w:val="0"/>
                                              <w:marBottom w:val="0"/>
                                              <w:divBdr>
                                                <w:top w:val="none" w:sz="0" w:space="0" w:color="auto"/>
                                                <w:left w:val="none" w:sz="0" w:space="0" w:color="auto"/>
                                                <w:bottom w:val="none" w:sz="0" w:space="0" w:color="auto"/>
                                                <w:right w:val="none" w:sz="0" w:space="0" w:color="auto"/>
                                              </w:divBdr>
                                              <w:divsChild>
                                                <w:div w:id="1675261400">
                                                  <w:marLeft w:val="0"/>
                                                  <w:marRight w:val="0"/>
                                                  <w:marTop w:val="75"/>
                                                  <w:marBottom w:val="0"/>
                                                  <w:divBdr>
                                                    <w:top w:val="none" w:sz="0" w:space="0" w:color="auto"/>
                                                    <w:left w:val="none" w:sz="0" w:space="0" w:color="auto"/>
                                                    <w:bottom w:val="none" w:sz="0" w:space="0" w:color="auto"/>
                                                    <w:right w:val="none" w:sz="0" w:space="0" w:color="auto"/>
                                                  </w:divBdr>
                                                  <w:divsChild>
                                                    <w:div w:id="17409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712306">
      <w:bodyDiv w:val="1"/>
      <w:marLeft w:val="0"/>
      <w:marRight w:val="0"/>
      <w:marTop w:val="0"/>
      <w:marBottom w:val="0"/>
      <w:divBdr>
        <w:top w:val="none" w:sz="0" w:space="0" w:color="auto"/>
        <w:left w:val="none" w:sz="0" w:space="0" w:color="auto"/>
        <w:bottom w:val="none" w:sz="0" w:space="0" w:color="auto"/>
        <w:right w:val="none" w:sz="0" w:space="0" w:color="auto"/>
      </w:divBdr>
      <w:divsChild>
        <w:div w:id="1035234057">
          <w:marLeft w:val="-5850"/>
          <w:marRight w:val="0"/>
          <w:marTop w:val="0"/>
          <w:marBottom w:val="0"/>
          <w:divBdr>
            <w:top w:val="none" w:sz="0" w:space="0" w:color="auto"/>
            <w:left w:val="none" w:sz="0" w:space="0" w:color="auto"/>
            <w:bottom w:val="none" w:sz="0" w:space="0" w:color="auto"/>
            <w:right w:val="none" w:sz="0" w:space="0" w:color="auto"/>
          </w:divBdr>
        </w:div>
      </w:divsChild>
    </w:div>
    <w:div w:id="1610120303">
      <w:bodyDiv w:val="1"/>
      <w:marLeft w:val="0"/>
      <w:marRight w:val="0"/>
      <w:marTop w:val="0"/>
      <w:marBottom w:val="0"/>
      <w:divBdr>
        <w:top w:val="none" w:sz="0" w:space="0" w:color="auto"/>
        <w:left w:val="none" w:sz="0" w:space="0" w:color="auto"/>
        <w:bottom w:val="none" w:sz="0" w:space="0" w:color="auto"/>
        <w:right w:val="none" w:sz="0" w:space="0" w:color="auto"/>
      </w:divBdr>
    </w:div>
    <w:div w:id="1616719178">
      <w:bodyDiv w:val="1"/>
      <w:marLeft w:val="0"/>
      <w:marRight w:val="0"/>
      <w:marTop w:val="0"/>
      <w:marBottom w:val="0"/>
      <w:divBdr>
        <w:top w:val="none" w:sz="0" w:space="0" w:color="auto"/>
        <w:left w:val="none" w:sz="0" w:space="0" w:color="auto"/>
        <w:bottom w:val="none" w:sz="0" w:space="0" w:color="auto"/>
        <w:right w:val="none" w:sz="0" w:space="0" w:color="auto"/>
      </w:divBdr>
    </w:div>
    <w:div w:id="1692297522">
      <w:bodyDiv w:val="1"/>
      <w:marLeft w:val="0"/>
      <w:marRight w:val="0"/>
      <w:marTop w:val="0"/>
      <w:marBottom w:val="0"/>
      <w:divBdr>
        <w:top w:val="none" w:sz="0" w:space="0" w:color="auto"/>
        <w:left w:val="none" w:sz="0" w:space="0" w:color="auto"/>
        <w:bottom w:val="none" w:sz="0" w:space="0" w:color="auto"/>
        <w:right w:val="none" w:sz="0" w:space="0" w:color="auto"/>
      </w:divBdr>
    </w:div>
    <w:div w:id="1700275711">
      <w:bodyDiv w:val="1"/>
      <w:marLeft w:val="0"/>
      <w:marRight w:val="0"/>
      <w:marTop w:val="0"/>
      <w:marBottom w:val="0"/>
      <w:divBdr>
        <w:top w:val="none" w:sz="0" w:space="0" w:color="auto"/>
        <w:left w:val="none" w:sz="0" w:space="0" w:color="auto"/>
        <w:bottom w:val="none" w:sz="0" w:space="0" w:color="auto"/>
        <w:right w:val="none" w:sz="0" w:space="0" w:color="auto"/>
      </w:divBdr>
    </w:div>
    <w:div w:id="1702123748">
      <w:bodyDiv w:val="1"/>
      <w:marLeft w:val="0"/>
      <w:marRight w:val="0"/>
      <w:marTop w:val="0"/>
      <w:marBottom w:val="0"/>
      <w:divBdr>
        <w:top w:val="none" w:sz="0" w:space="0" w:color="auto"/>
        <w:left w:val="none" w:sz="0" w:space="0" w:color="auto"/>
        <w:bottom w:val="none" w:sz="0" w:space="0" w:color="auto"/>
        <w:right w:val="none" w:sz="0" w:space="0" w:color="auto"/>
      </w:divBdr>
      <w:divsChild>
        <w:div w:id="142507713">
          <w:marLeft w:val="0"/>
          <w:marRight w:val="0"/>
          <w:marTop w:val="0"/>
          <w:marBottom w:val="0"/>
          <w:divBdr>
            <w:top w:val="none" w:sz="0" w:space="0" w:color="auto"/>
            <w:left w:val="none" w:sz="0" w:space="0" w:color="auto"/>
            <w:bottom w:val="none" w:sz="0" w:space="0" w:color="auto"/>
            <w:right w:val="none" w:sz="0" w:space="0" w:color="auto"/>
          </w:divBdr>
          <w:divsChild>
            <w:div w:id="1778863373">
              <w:marLeft w:val="0"/>
              <w:marRight w:val="0"/>
              <w:marTop w:val="0"/>
              <w:marBottom w:val="0"/>
              <w:divBdr>
                <w:top w:val="none" w:sz="0" w:space="0" w:color="auto"/>
                <w:left w:val="none" w:sz="0" w:space="0" w:color="auto"/>
                <w:bottom w:val="none" w:sz="0" w:space="0" w:color="auto"/>
                <w:right w:val="none" w:sz="0" w:space="0" w:color="auto"/>
              </w:divBdr>
              <w:divsChild>
                <w:div w:id="2067562291">
                  <w:marLeft w:val="0"/>
                  <w:marRight w:val="0"/>
                  <w:marTop w:val="0"/>
                  <w:marBottom w:val="0"/>
                  <w:divBdr>
                    <w:top w:val="none" w:sz="0" w:space="0" w:color="auto"/>
                    <w:left w:val="none" w:sz="0" w:space="0" w:color="auto"/>
                    <w:bottom w:val="none" w:sz="0" w:space="0" w:color="auto"/>
                    <w:right w:val="none" w:sz="0" w:space="0" w:color="auto"/>
                  </w:divBdr>
                  <w:divsChild>
                    <w:div w:id="2136440063">
                      <w:marLeft w:val="0"/>
                      <w:marRight w:val="0"/>
                      <w:marTop w:val="0"/>
                      <w:marBottom w:val="0"/>
                      <w:divBdr>
                        <w:top w:val="none" w:sz="0" w:space="0" w:color="auto"/>
                        <w:left w:val="none" w:sz="0" w:space="0" w:color="auto"/>
                        <w:bottom w:val="none" w:sz="0" w:space="0" w:color="auto"/>
                        <w:right w:val="none" w:sz="0" w:space="0" w:color="auto"/>
                      </w:divBdr>
                      <w:divsChild>
                        <w:div w:id="20858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346112">
      <w:bodyDiv w:val="1"/>
      <w:marLeft w:val="0"/>
      <w:marRight w:val="0"/>
      <w:marTop w:val="0"/>
      <w:marBottom w:val="0"/>
      <w:divBdr>
        <w:top w:val="none" w:sz="0" w:space="0" w:color="auto"/>
        <w:left w:val="none" w:sz="0" w:space="0" w:color="auto"/>
        <w:bottom w:val="none" w:sz="0" w:space="0" w:color="auto"/>
        <w:right w:val="none" w:sz="0" w:space="0" w:color="auto"/>
      </w:divBdr>
      <w:divsChild>
        <w:div w:id="1016148965">
          <w:marLeft w:val="0"/>
          <w:marRight w:val="0"/>
          <w:marTop w:val="0"/>
          <w:marBottom w:val="0"/>
          <w:divBdr>
            <w:top w:val="none" w:sz="0" w:space="0" w:color="auto"/>
            <w:left w:val="none" w:sz="0" w:space="0" w:color="auto"/>
            <w:bottom w:val="none" w:sz="0" w:space="0" w:color="auto"/>
            <w:right w:val="none" w:sz="0" w:space="0" w:color="auto"/>
          </w:divBdr>
          <w:divsChild>
            <w:div w:id="1133910092">
              <w:marLeft w:val="0"/>
              <w:marRight w:val="0"/>
              <w:marTop w:val="0"/>
              <w:marBottom w:val="0"/>
              <w:divBdr>
                <w:top w:val="none" w:sz="0" w:space="0" w:color="auto"/>
                <w:left w:val="none" w:sz="0" w:space="0" w:color="auto"/>
                <w:bottom w:val="none" w:sz="0" w:space="0" w:color="auto"/>
                <w:right w:val="none" w:sz="0" w:space="0" w:color="auto"/>
              </w:divBdr>
              <w:divsChild>
                <w:div w:id="1355114094">
                  <w:marLeft w:val="0"/>
                  <w:marRight w:val="0"/>
                  <w:marTop w:val="0"/>
                  <w:marBottom w:val="0"/>
                  <w:divBdr>
                    <w:top w:val="none" w:sz="0" w:space="0" w:color="auto"/>
                    <w:left w:val="none" w:sz="0" w:space="0" w:color="auto"/>
                    <w:bottom w:val="none" w:sz="0" w:space="0" w:color="auto"/>
                    <w:right w:val="none" w:sz="0" w:space="0" w:color="auto"/>
                  </w:divBdr>
                  <w:divsChild>
                    <w:div w:id="1161626109">
                      <w:marLeft w:val="0"/>
                      <w:marRight w:val="0"/>
                      <w:marTop w:val="0"/>
                      <w:marBottom w:val="0"/>
                      <w:divBdr>
                        <w:top w:val="none" w:sz="0" w:space="0" w:color="auto"/>
                        <w:left w:val="none" w:sz="0" w:space="0" w:color="auto"/>
                        <w:bottom w:val="none" w:sz="0" w:space="0" w:color="auto"/>
                        <w:right w:val="none" w:sz="0" w:space="0" w:color="auto"/>
                      </w:divBdr>
                      <w:divsChild>
                        <w:div w:id="14096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94530">
      <w:bodyDiv w:val="1"/>
      <w:marLeft w:val="0"/>
      <w:marRight w:val="0"/>
      <w:marTop w:val="0"/>
      <w:marBottom w:val="0"/>
      <w:divBdr>
        <w:top w:val="none" w:sz="0" w:space="0" w:color="auto"/>
        <w:left w:val="none" w:sz="0" w:space="0" w:color="auto"/>
        <w:bottom w:val="none" w:sz="0" w:space="0" w:color="auto"/>
        <w:right w:val="none" w:sz="0" w:space="0" w:color="auto"/>
      </w:divBdr>
    </w:div>
    <w:div w:id="1802652633">
      <w:bodyDiv w:val="1"/>
      <w:marLeft w:val="0"/>
      <w:marRight w:val="0"/>
      <w:marTop w:val="0"/>
      <w:marBottom w:val="0"/>
      <w:divBdr>
        <w:top w:val="none" w:sz="0" w:space="0" w:color="auto"/>
        <w:left w:val="none" w:sz="0" w:space="0" w:color="auto"/>
        <w:bottom w:val="none" w:sz="0" w:space="0" w:color="auto"/>
        <w:right w:val="none" w:sz="0" w:space="0" w:color="auto"/>
      </w:divBdr>
      <w:divsChild>
        <w:div w:id="1106732449">
          <w:marLeft w:val="0"/>
          <w:marRight w:val="0"/>
          <w:marTop w:val="0"/>
          <w:marBottom w:val="0"/>
          <w:divBdr>
            <w:top w:val="none" w:sz="0" w:space="0" w:color="auto"/>
            <w:left w:val="none" w:sz="0" w:space="0" w:color="auto"/>
            <w:bottom w:val="none" w:sz="0" w:space="0" w:color="auto"/>
            <w:right w:val="none" w:sz="0" w:space="0" w:color="auto"/>
          </w:divBdr>
          <w:divsChild>
            <w:div w:id="438840815">
              <w:marLeft w:val="0"/>
              <w:marRight w:val="0"/>
              <w:marTop w:val="0"/>
              <w:marBottom w:val="0"/>
              <w:divBdr>
                <w:top w:val="none" w:sz="0" w:space="0" w:color="auto"/>
                <w:left w:val="none" w:sz="0" w:space="0" w:color="auto"/>
                <w:bottom w:val="none" w:sz="0" w:space="0" w:color="auto"/>
                <w:right w:val="none" w:sz="0" w:space="0" w:color="auto"/>
              </w:divBdr>
              <w:divsChild>
                <w:div w:id="763377672">
                  <w:marLeft w:val="0"/>
                  <w:marRight w:val="0"/>
                  <w:marTop w:val="0"/>
                  <w:marBottom w:val="0"/>
                  <w:divBdr>
                    <w:top w:val="none" w:sz="0" w:space="0" w:color="auto"/>
                    <w:left w:val="none" w:sz="0" w:space="0" w:color="auto"/>
                    <w:bottom w:val="none" w:sz="0" w:space="0" w:color="auto"/>
                    <w:right w:val="none" w:sz="0" w:space="0" w:color="auto"/>
                  </w:divBdr>
                  <w:divsChild>
                    <w:div w:id="1191995781">
                      <w:marLeft w:val="0"/>
                      <w:marRight w:val="0"/>
                      <w:marTop w:val="0"/>
                      <w:marBottom w:val="0"/>
                      <w:divBdr>
                        <w:top w:val="none" w:sz="0" w:space="0" w:color="auto"/>
                        <w:left w:val="none" w:sz="0" w:space="0" w:color="auto"/>
                        <w:bottom w:val="none" w:sz="0" w:space="0" w:color="auto"/>
                        <w:right w:val="none" w:sz="0" w:space="0" w:color="auto"/>
                      </w:divBdr>
                      <w:divsChild>
                        <w:div w:id="465200724">
                          <w:marLeft w:val="0"/>
                          <w:marRight w:val="0"/>
                          <w:marTop w:val="0"/>
                          <w:marBottom w:val="0"/>
                          <w:divBdr>
                            <w:top w:val="none" w:sz="0" w:space="0" w:color="auto"/>
                            <w:left w:val="none" w:sz="0" w:space="0" w:color="auto"/>
                            <w:bottom w:val="none" w:sz="0" w:space="0" w:color="auto"/>
                            <w:right w:val="none" w:sz="0" w:space="0" w:color="auto"/>
                          </w:divBdr>
                          <w:divsChild>
                            <w:div w:id="287054046">
                              <w:marLeft w:val="0"/>
                              <w:marRight w:val="0"/>
                              <w:marTop w:val="0"/>
                              <w:marBottom w:val="0"/>
                              <w:divBdr>
                                <w:top w:val="none" w:sz="0" w:space="0" w:color="auto"/>
                                <w:left w:val="none" w:sz="0" w:space="0" w:color="auto"/>
                                <w:bottom w:val="none" w:sz="0" w:space="0" w:color="auto"/>
                                <w:right w:val="none" w:sz="0" w:space="0" w:color="auto"/>
                              </w:divBdr>
                              <w:divsChild>
                                <w:div w:id="9618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58102">
      <w:bodyDiv w:val="1"/>
      <w:marLeft w:val="0"/>
      <w:marRight w:val="0"/>
      <w:marTop w:val="0"/>
      <w:marBottom w:val="0"/>
      <w:divBdr>
        <w:top w:val="none" w:sz="0" w:space="0" w:color="auto"/>
        <w:left w:val="none" w:sz="0" w:space="0" w:color="auto"/>
        <w:bottom w:val="none" w:sz="0" w:space="0" w:color="auto"/>
        <w:right w:val="none" w:sz="0" w:space="0" w:color="auto"/>
      </w:divBdr>
      <w:divsChild>
        <w:div w:id="862207840">
          <w:marLeft w:val="0"/>
          <w:marRight w:val="0"/>
          <w:marTop w:val="0"/>
          <w:marBottom w:val="0"/>
          <w:divBdr>
            <w:top w:val="none" w:sz="0" w:space="0" w:color="auto"/>
            <w:left w:val="none" w:sz="0" w:space="0" w:color="auto"/>
            <w:bottom w:val="none" w:sz="0" w:space="0" w:color="auto"/>
            <w:right w:val="none" w:sz="0" w:space="0" w:color="auto"/>
          </w:divBdr>
          <w:divsChild>
            <w:div w:id="1543245366">
              <w:marLeft w:val="0"/>
              <w:marRight w:val="0"/>
              <w:marTop w:val="0"/>
              <w:marBottom w:val="0"/>
              <w:divBdr>
                <w:top w:val="none" w:sz="0" w:space="0" w:color="auto"/>
                <w:left w:val="none" w:sz="0" w:space="0" w:color="auto"/>
                <w:bottom w:val="none" w:sz="0" w:space="0" w:color="auto"/>
                <w:right w:val="none" w:sz="0" w:space="0" w:color="auto"/>
              </w:divBdr>
              <w:divsChild>
                <w:div w:id="176626158">
                  <w:marLeft w:val="0"/>
                  <w:marRight w:val="0"/>
                  <w:marTop w:val="0"/>
                  <w:marBottom w:val="0"/>
                  <w:divBdr>
                    <w:top w:val="none" w:sz="0" w:space="0" w:color="auto"/>
                    <w:left w:val="none" w:sz="0" w:space="0" w:color="auto"/>
                    <w:bottom w:val="none" w:sz="0" w:space="0" w:color="auto"/>
                    <w:right w:val="none" w:sz="0" w:space="0" w:color="auto"/>
                  </w:divBdr>
                  <w:divsChild>
                    <w:div w:id="166218704">
                      <w:marLeft w:val="0"/>
                      <w:marRight w:val="0"/>
                      <w:marTop w:val="0"/>
                      <w:marBottom w:val="0"/>
                      <w:divBdr>
                        <w:top w:val="none" w:sz="0" w:space="0" w:color="auto"/>
                        <w:left w:val="none" w:sz="0" w:space="0" w:color="auto"/>
                        <w:bottom w:val="none" w:sz="0" w:space="0" w:color="auto"/>
                        <w:right w:val="none" w:sz="0" w:space="0" w:color="auto"/>
                      </w:divBdr>
                      <w:divsChild>
                        <w:div w:id="208452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80744">
      <w:bodyDiv w:val="1"/>
      <w:marLeft w:val="0"/>
      <w:marRight w:val="0"/>
      <w:marTop w:val="0"/>
      <w:marBottom w:val="0"/>
      <w:divBdr>
        <w:top w:val="none" w:sz="0" w:space="0" w:color="auto"/>
        <w:left w:val="none" w:sz="0" w:space="0" w:color="auto"/>
        <w:bottom w:val="none" w:sz="0" w:space="0" w:color="auto"/>
        <w:right w:val="none" w:sz="0" w:space="0" w:color="auto"/>
      </w:divBdr>
    </w:div>
    <w:div w:id="1891190282">
      <w:bodyDiv w:val="1"/>
      <w:marLeft w:val="0"/>
      <w:marRight w:val="0"/>
      <w:marTop w:val="0"/>
      <w:marBottom w:val="0"/>
      <w:divBdr>
        <w:top w:val="none" w:sz="0" w:space="0" w:color="auto"/>
        <w:left w:val="none" w:sz="0" w:space="0" w:color="auto"/>
        <w:bottom w:val="none" w:sz="0" w:space="0" w:color="auto"/>
        <w:right w:val="none" w:sz="0" w:space="0" w:color="auto"/>
      </w:divBdr>
    </w:div>
    <w:div w:id="1891528380">
      <w:bodyDiv w:val="1"/>
      <w:marLeft w:val="0"/>
      <w:marRight w:val="0"/>
      <w:marTop w:val="0"/>
      <w:marBottom w:val="0"/>
      <w:divBdr>
        <w:top w:val="none" w:sz="0" w:space="0" w:color="auto"/>
        <w:left w:val="none" w:sz="0" w:space="0" w:color="auto"/>
        <w:bottom w:val="none" w:sz="0" w:space="0" w:color="auto"/>
        <w:right w:val="none" w:sz="0" w:space="0" w:color="auto"/>
      </w:divBdr>
      <w:divsChild>
        <w:div w:id="1069303115">
          <w:marLeft w:val="0"/>
          <w:marRight w:val="0"/>
          <w:marTop w:val="0"/>
          <w:marBottom w:val="0"/>
          <w:divBdr>
            <w:top w:val="none" w:sz="0" w:space="0" w:color="auto"/>
            <w:left w:val="none" w:sz="0" w:space="0" w:color="auto"/>
            <w:bottom w:val="none" w:sz="0" w:space="0" w:color="auto"/>
            <w:right w:val="none" w:sz="0" w:space="0" w:color="auto"/>
          </w:divBdr>
          <w:divsChild>
            <w:div w:id="564337347">
              <w:marLeft w:val="0"/>
              <w:marRight w:val="0"/>
              <w:marTop w:val="0"/>
              <w:marBottom w:val="0"/>
              <w:divBdr>
                <w:top w:val="none" w:sz="0" w:space="0" w:color="auto"/>
                <w:left w:val="none" w:sz="0" w:space="0" w:color="auto"/>
                <w:bottom w:val="none" w:sz="0" w:space="0" w:color="auto"/>
                <w:right w:val="none" w:sz="0" w:space="0" w:color="auto"/>
              </w:divBdr>
              <w:divsChild>
                <w:div w:id="1301807709">
                  <w:marLeft w:val="0"/>
                  <w:marRight w:val="0"/>
                  <w:marTop w:val="0"/>
                  <w:marBottom w:val="0"/>
                  <w:divBdr>
                    <w:top w:val="none" w:sz="0" w:space="0" w:color="auto"/>
                    <w:left w:val="none" w:sz="0" w:space="0" w:color="auto"/>
                    <w:bottom w:val="none" w:sz="0" w:space="0" w:color="auto"/>
                    <w:right w:val="none" w:sz="0" w:space="0" w:color="auto"/>
                  </w:divBdr>
                  <w:divsChild>
                    <w:div w:id="1039475509">
                      <w:marLeft w:val="0"/>
                      <w:marRight w:val="0"/>
                      <w:marTop w:val="0"/>
                      <w:marBottom w:val="0"/>
                      <w:divBdr>
                        <w:top w:val="none" w:sz="0" w:space="0" w:color="auto"/>
                        <w:left w:val="none" w:sz="0" w:space="0" w:color="auto"/>
                        <w:bottom w:val="none" w:sz="0" w:space="0" w:color="auto"/>
                        <w:right w:val="none" w:sz="0" w:space="0" w:color="auto"/>
                      </w:divBdr>
                      <w:divsChild>
                        <w:div w:id="17361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385198">
      <w:bodyDiv w:val="1"/>
      <w:marLeft w:val="0"/>
      <w:marRight w:val="0"/>
      <w:marTop w:val="0"/>
      <w:marBottom w:val="0"/>
      <w:divBdr>
        <w:top w:val="none" w:sz="0" w:space="0" w:color="auto"/>
        <w:left w:val="none" w:sz="0" w:space="0" w:color="auto"/>
        <w:bottom w:val="none" w:sz="0" w:space="0" w:color="auto"/>
        <w:right w:val="none" w:sz="0" w:space="0" w:color="auto"/>
      </w:divBdr>
    </w:div>
    <w:div w:id="1961835372">
      <w:bodyDiv w:val="1"/>
      <w:marLeft w:val="0"/>
      <w:marRight w:val="0"/>
      <w:marTop w:val="0"/>
      <w:marBottom w:val="0"/>
      <w:divBdr>
        <w:top w:val="none" w:sz="0" w:space="0" w:color="auto"/>
        <w:left w:val="none" w:sz="0" w:space="0" w:color="auto"/>
        <w:bottom w:val="none" w:sz="0" w:space="0" w:color="auto"/>
        <w:right w:val="none" w:sz="0" w:space="0" w:color="auto"/>
      </w:divBdr>
    </w:div>
    <w:div w:id="2006201179">
      <w:bodyDiv w:val="1"/>
      <w:marLeft w:val="0"/>
      <w:marRight w:val="0"/>
      <w:marTop w:val="0"/>
      <w:marBottom w:val="0"/>
      <w:divBdr>
        <w:top w:val="none" w:sz="0" w:space="0" w:color="auto"/>
        <w:left w:val="none" w:sz="0" w:space="0" w:color="auto"/>
        <w:bottom w:val="none" w:sz="0" w:space="0" w:color="auto"/>
        <w:right w:val="none" w:sz="0" w:space="0" w:color="auto"/>
      </w:divBdr>
    </w:div>
    <w:div w:id="2052419770">
      <w:bodyDiv w:val="1"/>
      <w:marLeft w:val="0"/>
      <w:marRight w:val="0"/>
      <w:marTop w:val="0"/>
      <w:marBottom w:val="0"/>
      <w:divBdr>
        <w:top w:val="none" w:sz="0" w:space="0" w:color="auto"/>
        <w:left w:val="none" w:sz="0" w:space="0" w:color="auto"/>
        <w:bottom w:val="none" w:sz="0" w:space="0" w:color="auto"/>
        <w:right w:val="none" w:sz="0" w:space="0" w:color="auto"/>
      </w:divBdr>
    </w:div>
    <w:div w:id="2052993063">
      <w:bodyDiv w:val="1"/>
      <w:marLeft w:val="0"/>
      <w:marRight w:val="0"/>
      <w:marTop w:val="0"/>
      <w:marBottom w:val="0"/>
      <w:divBdr>
        <w:top w:val="none" w:sz="0" w:space="0" w:color="auto"/>
        <w:left w:val="none" w:sz="0" w:space="0" w:color="auto"/>
        <w:bottom w:val="none" w:sz="0" w:space="0" w:color="auto"/>
        <w:right w:val="none" w:sz="0" w:space="0" w:color="auto"/>
      </w:divBdr>
    </w:div>
    <w:div w:id="213227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www.pobal.ie/FundingProgrammes/Ability%20Programme/Pages/Ability%20Programme.aspx"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welfare.ie/en/downloads/DEASP_OFP_Review.pdf" TargetMode="External"/><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centralbank.ie/docs/default-source/statistics/data-and-analysis/credit-and-banking-statistics/mortgage-arrears/residential-mortgage-arrears-and-repossessions-statistics-june-2017.pdf?sfvrsn=7" TargetMode="External"/><Relationship Id="rId20" Type="http://schemas.openxmlformats.org/officeDocument/2006/relationships/hyperlink" Target="http://www.ombudsman.ie/caseboo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ireachtasdebates.oireachtas.i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oireachtasdebates.oireachtas.ie" TargetMode="External"/><Relationship Id="rId19" Type="http://schemas.openxmlformats.org/officeDocument/2006/relationships/hyperlink" Target="http://www.cso.ie/en/csolatestnews/presspages/2017/census2016profile8-irishtravellersethnicityandrelig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entralbank.ie/"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E6520-864D-445E-AD82-CF8105175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5957</Words>
  <Characters>33956</Characters>
  <Application>Microsoft Office Word</Application>
  <DocSecurity>0</DocSecurity>
  <Lines>282</Lines>
  <Paragraphs>79</Paragraphs>
  <ScaleCrop>false</ScaleCrop>
  <Company/>
  <LinksUpToDate>false</LinksUpToDate>
  <CharactersWithSpaces>39834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2017-12-13T17:13:00Z</dcterms:created>
  <dcterms:modified xsi:type="dcterms:W3CDTF">2017-12-13T17:13:00Z</dcterms:modified>
</cp:coreProperties>
</file>