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77031" w14:textId="4E538469" w:rsidR="007D7CCE" w:rsidRPr="007D7CCE" w:rsidRDefault="007D7CCE" w:rsidP="005C2C79">
      <w:pPr>
        <w:pStyle w:val="Heading1"/>
        <w:rPr>
          <w:b/>
        </w:rPr>
      </w:pPr>
      <w:r w:rsidRPr="007D7CCE">
        <w:rPr>
          <w:b/>
        </w:rPr>
        <w:t>Relate</w:t>
      </w:r>
    </w:p>
    <w:p w14:paraId="750BA16F" w14:textId="5A3D11BD" w:rsidR="007D7CCE" w:rsidRPr="007D7CCE" w:rsidRDefault="007D7CCE" w:rsidP="007D7CCE">
      <w:pPr>
        <w:rPr>
          <w:b/>
        </w:rPr>
      </w:pPr>
    </w:p>
    <w:p w14:paraId="73DE6795" w14:textId="09D8C81A" w:rsidR="007D7CCE" w:rsidRPr="007D7CCE" w:rsidRDefault="007D7CCE" w:rsidP="007D7CCE">
      <w:pPr>
        <w:rPr>
          <w:b/>
        </w:rPr>
      </w:pPr>
      <w:r w:rsidRPr="007D7CCE">
        <w:rPr>
          <w:b/>
        </w:rPr>
        <w:t>July/August 2019</w:t>
      </w:r>
    </w:p>
    <w:p w14:paraId="5C815021" w14:textId="0EEE0A97" w:rsidR="007D7CCE" w:rsidRPr="007D7CCE" w:rsidRDefault="007D7CCE" w:rsidP="007D7CCE">
      <w:pPr>
        <w:rPr>
          <w:b/>
        </w:rPr>
      </w:pPr>
      <w:r w:rsidRPr="007D7CCE">
        <w:rPr>
          <w:b/>
        </w:rPr>
        <w:t>Volume 47: Issues 7-8</w:t>
      </w:r>
    </w:p>
    <w:p w14:paraId="5D18F8E1" w14:textId="1603BACF" w:rsidR="007D7CCE" w:rsidRPr="007D7CCE" w:rsidRDefault="007D7CCE" w:rsidP="007D7CCE">
      <w:pPr>
        <w:rPr>
          <w:b/>
        </w:rPr>
      </w:pPr>
      <w:r w:rsidRPr="007D7CCE">
        <w:rPr>
          <w:b/>
        </w:rPr>
        <w:t>Contents</w:t>
      </w:r>
    </w:p>
    <w:p w14:paraId="28224A27" w14:textId="3D7D11F6" w:rsidR="007D7CCE" w:rsidRDefault="007D7CCE" w:rsidP="007D7CCE">
      <w:r>
        <w:t>Provisions of the Residential Tenancies Acts 2004 to 2019</w:t>
      </w:r>
    </w:p>
    <w:p w14:paraId="0226E483" w14:textId="4E4DDA9E" w:rsidR="007D7CCE" w:rsidRPr="007D7CCE" w:rsidRDefault="007D7CCE" w:rsidP="007D7CCE">
      <w:r>
        <w:t>Land and Conveyancing Law Reform (Amendment) Act 2019</w:t>
      </w:r>
    </w:p>
    <w:p w14:paraId="1155B197" w14:textId="77777777" w:rsidR="00E949F7" w:rsidRDefault="00E949F7" w:rsidP="00E949F7">
      <w:pPr>
        <w:pStyle w:val="Heading1"/>
      </w:pPr>
    </w:p>
    <w:p w14:paraId="1C5A04EB" w14:textId="69843E44" w:rsidR="0050346C" w:rsidRPr="008645BA" w:rsidRDefault="00636588" w:rsidP="00E949F7">
      <w:pPr>
        <w:pStyle w:val="Heading1"/>
      </w:pPr>
      <w:r w:rsidRPr="008645BA">
        <w:t xml:space="preserve">Residential </w:t>
      </w:r>
      <w:r w:rsidR="00163E7D">
        <w:t>t</w:t>
      </w:r>
      <w:r w:rsidRPr="008645BA">
        <w:t xml:space="preserve">enancies </w:t>
      </w:r>
      <w:r w:rsidR="00163E7D">
        <w:t>l</w:t>
      </w:r>
      <w:r w:rsidRPr="008645BA">
        <w:t xml:space="preserve">egislation </w:t>
      </w:r>
    </w:p>
    <w:p w14:paraId="6D1ACD6A" w14:textId="3155DC3F" w:rsidR="00162E0C" w:rsidRPr="008645BA" w:rsidRDefault="006E15FA">
      <w:r w:rsidRPr="008645BA">
        <w:t xml:space="preserve">The Residential Tenancies Acts 2004 to 2019 are the primary pieces of legislation which </w:t>
      </w:r>
      <w:r w:rsidR="00636588" w:rsidRPr="008645BA">
        <w:t xml:space="preserve">govern the relationship between residential landlords and tenants in Ireland. </w:t>
      </w:r>
      <w:r w:rsidR="0010169B">
        <w:t>Many of the</w:t>
      </w:r>
      <w:r w:rsidR="0010169B" w:rsidRPr="008645BA">
        <w:t xml:space="preserve"> terms and conditions of any tenancy are set out in these pieces of legislation</w:t>
      </w:r>
      <w:r w:rsidR="00B00AFE">
        <w:t>,</w:t>
      </w:r>
      <w:r w:rsidR="008365BD">
        <w:t xml:space="preserve"> as well as i</w:t>
      </w:r>
      <w:r w:rsidR="0010169B">
        <w:t xml:space="preserve">n the lease agreement between a landlord and a </w:t>
      </w:r>
      <w:r w:rsidR="00B00AFE">
        <w:t xml:space="preserve">residential </w:t>
      </w:r>
      <w:r w:rsidR="0010169B">
        <w:t xml:space="preserve">tenant. </w:t>
      </w:r>
      <w:r w:rsidR="00162E0C" w:rsidRPr="008645BA">
        <w:t xml:space="preserve">Where a lease and </w:t>
      </w:r>
      <w:r w:rsidR="0010169B">
        <w:t>the legislation</w:t>
      </w:r>
      <w:r w:rsidR="00162E0C" w:rsidRPr="008645BA">
        <w:t xml:space="preserve"> come into conflict, it is generally the case that the legislative provision prevails.</w:t>
      </w:r>
    </w:p>
    <w:p w14:paraId="3047D7B7" w14:textId="13F3C824" w:rsidR="00636588" w:rsidRPr="008645BA" w:rsidRDefault="00636588">
      <w:r w:rsidRPr="008645BA">
        <w:t>On 24 May 2019, the Residential Tenancies (Amendment) Act 2019 was enacted. It contains some significant reforms of the existing law in this area and builds on the changes introduced by the Residential Tenancies (Amendment) Act 2015</w:t>
      </w:r>
      <w:r w:rsidR="00935719" w:rsidRPr="008645BA">
        <w:t xml:space="preserve"> and </w:t>
      </w:r>
      <w:r w:rsidR="00B00AFE">
        <w:t xml:space="preserve">the </w:t>
      </w:r>
      <w:r w:rsidR="00C65A9E" w:rsidRPr="008645BA">
        <w:t>Planning and Development (Housing) and Residential Tenancies Act 2016</w:t>
      </w:r>
      <w:r w:rsidR="0010169B">
        <w:t>. The 2016 Act</w:t>
      </w:r>
      <w:r w:rsidR="00162E0C" w:rsidRPr="008645BA">
        <w:t xml:space="preserve"> </w:t>
      </w:r>
      <w:r w:rsidRPr="008645BA">
        <w:t>includ</w:t>
      </w:r>
      <w:r w:rsidR="00162E0C" w:rsidRPr="008645BA">
        <w:t>ed</w:t>
      </w:r>
      <w:r w:rsidRPr="008645BA">
        <w:t xml:space="preserve"> the introduction of rent pressure zones (RPZs)</w:t>
      </w:r>
      <w:r w:rsidR="008B077D" w:rsidRPr="008645BA">
        <w:t>,</w:t>
      </w:r>
      <w:r w:rsidRPr="008645BA">
        <w:t xml:space="preserve"> restrictions on rent increases in these RPZs</w:t>
      </w:r>
      <w:r w:rsidR="008B077D" w:rsidRPr="008645BA">
        <w:t xml:space="preserve">, and the extension of Part 4 </w:t>
      </w:r>
      <w:r w:rsidR="00162E0C" w:rsidRPr="008645BA">
        <w:t>t</w:t>
      </w:r>
      <w:r w:rsidR="008B077D" w:rsidRPr="008645BA">
        <w:t xml:space="preserve">enancies from </w:t>
      </w:r>
      <w:r w:rsidR="005768E6">
        <w:t>four</w:t>
      </w:r>
      <w:r w:rsidR="008B077D" w:rsidRPr="008645BA">
        <w:t xml:space="preserve"> years to </w:t>
      </w:r>
      <w:r w:rsidR="005768E6">
        <w:t>six</w:t>
      </w:r>
      <w:r w:rsidR="008B077D" w:rsidRPr="008645BA">
        <w:t xml:space="preserve"> years</w:t>
      </w:r>
      <w:r w:rsidRPr="008645BA">
        <w:t>.</w:t>
      </w:r>
    </w:p>
    <w:p w14:paraId="51B42E08" w14:textId="4C5EC73D" w:rsidR="00935719" w:rsidRPr="008645BA" w:rsidRDefault="00B00AFE">
      <w:r>
        <w:t>Although m</w:t>
      </w:r>
      <w:r w:rsidR="00636588" w:rsidRPr="008645BA">
        <w:t>any of the new provisions</w:t>
      </w:r>
      <w:r w:rsidR="00C65A9E" w:rsidRPr="008645BA">
        <w:t xml:space="preserve"> in the 2019 Act</w:t>
      </w:r>
      <w:r w:rsidR="00636588" w:rsidRPr="008645BA">
        <w:t xml:space="preserve"> </w:t>
      </w:r>
      <w:r w:rsidR="00427DA4" w:rsidRPr="008645BA">
        <w:t>have been commenced</w:t>
      </w:r>
      <w:r>
        <w:t xml:space="preserve">, </w:t>
      </w:r>
      <w:r w:rsidR="00636588" w:rsidRPr="008645BA">
        <w:t xml:space="preserve">some </w:t>
      </w:r>
      <w:r>
        <w:t xml:space="preserve">have not </w:t>
      </w:r>
      <w:r w:rsidR="00636588" w:rsidRPr="008645BA">
        <w:t xml:space="preserve">yet come into effect. </w:t>
      </w:r>
      <w:r w:rsidR="00461878" w:rsidRPr="008645BA">
        <w:t>C</w:t>
      </w:r>
      <w:r w:rsidR="00935719" w:rsidRPr="008645BA">
        <w:t>onsolidated version</w:t>
      </w:r>
      <w:r w:rsidR="008B077D" w:rsidRPr="008645BA">
        <w:t>s</w:t>
      </w:r>
      <w:r w:rsidR="00935719" w:rsidRPr="008645BA">
        <w:t xml:space="preserve"> of the </w:t>
      </w:r>
      <w:r w:rsidR="008B077D" w:rsidRPr="008645BA">
        <w:t>2004</w:t>
      </w:r>
      <w:r w:rsidR="0010169B">
        <w:t>,</w:t>
      </w:r>
      <w:r w:rsidR="008B077D" w:rsidRPr="008645BA">
        <w:t xml:space="preserve"> 2015</w:t>
      </w:r>
      <w:r w:rsidR="007922A2" w:rsidRPr="008645BA">
        <w:t xml:space="preserve"> and 2016</w:t>
      </w:r>
      <w:r w:rsidR="008B077D" w:rsidRPr="008645BA">
        <w:t xml:space="preserve"> Acts are available on the Law Reform Commission</w:t>
      </w:r>
      <w:r w:rsidR="00265ED3" w:rsidRPr="008645BA">
        <w:t>’</w:t>
      </w:r>
      <w:r w:rsidR="008B077D" w:rsidRPr="008645BA">
        <w:t>s website</w:t>
      </w:r>
      <w:r w:rsidR="009A62FE">
        <w:t>,</w:t>
      </w:r>
      <w:r w:rsidR="008B077D" w:rsidRPr="008645BA">
        <w:t xml:space="preserve"> </w:t>
      </w:r>
      <w:hyperlink r:id="rId8" w:history="1">
        <w:r w:rsidR="008B077D" w:rsidRPr="00D13C16">
          <w:rPr>
            <w:rStyle w:val="Hyperlink"/>
            <w:b/>
            <w:color w:val="auto"/>
            <w:u w:val="none"/>
          </w:rPr>
          <w:t>lawreform.ie</w:t>
        </w:r>
      </w:hyperlink>
      <w:r w:rsidR="008B077D" w:rsidRPr="0010169B">
        <w:t xml:space="preserve">. </w:t>
      </w:r>
    </w:p>
    <w:p w14:paraId="7DB31E02" w14:textId="022C1B30" w:rsidR="002E2F9A" w:rsidRPr="008645BA" w:rsidRDefault="002E2F9A" w:rsidP="002E2F9A">
      <w:r w:rsidRPr="008645BA">
        <w:t>Related changes have also been introduced to planning legislation in</w:t>
      </w:r>
      <w:r w:rsidR="00162E0C" w:rsidRPr="008645BA">
        <w:t xml:space="preserve"> the 2019 Act and supplemented by</w:t>
      </w:r>
      <w:r w:rsidRPr="008645BA">
        <w:t xml:space="preserve"> the Planning and Development Act 2000 (Exempted Development) (No. 2) Regulations 2019 to deal with</w:t>
      </w:r>
      <w:r w:rsidR="00293810">
        <w:t xml:space="preserve"> the</w:t>
      </w:r>
      <w:r w:rsidRPr="008645BA">
        <w:t xml:space="preserve"> phenomenon of short-term lettings </w:t>
      </w:r>
      <w:r w:rsidR="00162E0C" w:rsidRPr="008645BA">
        <w:t>(</w:t>
      </w:r>
      <w:r w:rsidRPr="008645BA">
        <w:t xml:space="preserve">where properties are let for </w:t>
      </w:r>
      <w:r w:rsidR="00162E0C" w:rsidRPr="008645BA">
        <w:t xml:space="preserve">periods </w:t>
      </w:r>
      <w:r w:rsidR="00CE7B77">
        <w:t xml:space="preserve">of </w:t>
      </w:r>
      <w:r w:rsidR="00162E0C" w:rsidRPr="008645BA">
        <w:t>no longer than 14 days)</w:t>
      </w:r>
      <w:r w:rsidRPr="008645BA">
        <w:t>.</w:t>
      </w:r>
      <w:r w:rsidR="00C74AF8" w:rsidRPr="008645BA">
        <w:t xml:space="preserve"> </w:t>
      </w:r>
      <w:r w:rsidR="00162E0C" w:rsidRPr="008645BA">
        <w:t>T</w:t>
      </w:r>
      <w:r w:rsidRPr="008645BA">
        <w:t xml:space="preserve">hese changes apply </w:t>
      </w:r>
      <w:r w:rsidR="00B336ED" w:rsidRPr="008645BA">
        <w:t xml:space="preserve">only </w:t>
      </w:r>
      <w:r w:rsidRPr="008645BA">
        <w:t xml:space="preserve">to properties in </w:t>
      </w:r>
      <w:r w:rsidR="00B336ED">
        <w:t>RPZs</w:t>
      </w:r>
      <w:r w:rsidR="00162E0C" w:rsidRPr="008645BA">
        <w:t xml:space="preserve"> and </w:t>
      </w:r>
      <w:r w:rsidRPr="008645BA">
        <w:t>ca</w:t>
      </w:r>
      <w:r w:rsidR="008B077D" w:rsidRPr="008645BA">
        <w:t>me</w:t>
      </w:r>
      <w:r w:rsidRPr="008645BA">
        <w:t xml:space="preserve"> into force on 1 July 2019.</w:t>
      </w:r>
    </w:p>
    <w:p w14:paraId="5B8CCFC5" w14:textId="77777777" w:rsidR="00636588" w:rsidRPr="008645BA" w:rsidRDefault="00636588" w:rsidP="00844CF9">
      <w:pPr>
        <w:pStyle w:val="Heading3"/>
      </w:pPr>
      <w:r w:rsidRPr="008645BA">
        <w:t xml:space="preserve">Residential Tenancies Act 2004 </w:t>
      </w:r>
    </w:p>
    <w:p w14:paraId="6BADC731" w14:textId="230BD9B3" w:rsidR="00CE7B77" w:rsidRDefault="00636588">
      <w:r w:rsidRPr="008645BA">
        <w:t>The Residential Tenancies Act 2004 reformed the rules governing private tenancies. It</w:t>
      </w:r>
      <w:r w:rsidR="00265ED3" w:rsidRPr="008645BA">
        <w:t xml:space="preserve"> codified many of the rights and obligations of landlords and tenants. It included provisions for setting rent</w:t>
      </w:r>
      <w:r w:rsidR="00D62F77">
        <w:t xml:space="preserve">s </w:t>
      </w:r>
      <w:r w:rsidR="00265ED3" w:rsidRPr="008645BA">
        <w:t xml:space="preserve">and carrying out rent reviews. </w:t>
      </w:r>
    </w:p>
    <w:p w14:paraId="0BEC76B2" w14:textId="4E98CA9E" w:rsidR="00636588" w:rsidRPr="008645BA" w:rsidRDefault="00265ED3">
      <w:r w:rsidRPr="008645BA">
        <w:t xml:space="preserve">It also introduced the concept of </w:t>
      </w:r>
      <w:r w:rsidRPr="00E31A93">
        <w:rPr>
          <w:i/>
          <w:iCs/>
        </w:rPr>
        <w:t>Part 4 tenancy</w:t>
      </w:r>
      <w:r w:rsidR="00CE7B77">
        <w:t>,</w:t>
      </w:r>
      <w:r w:rsidRPr="008645BA">
        <w:t xml:space="preserve"> which provides automatic security of tenure protection to tenants who have occupied certain dwellings under a tenancy for more than six months. Many significant changes have been made to the rules surrounding Part 4 tenancies in recent years</w:t>
      </w:r>
      <w:r w:rsidR="00CE7B77">
        <w:t>,</w:t>
      </w:r>
      <w:r w:rsidRPr="008645BA">
        <w:t xml:space="preserve"> which are </w:t>
      </w:r>
      <w:r w:rsidR="00E949F7">
        <w:t>outlined</w:t>
      </w:r>
      <w:r w:rsidRPr="008645BA">
        <w:t xml:space="preserve"> below.</w:t>
      </w:r>
    </w:p>
    <w:p w14:paraId="74D246DC" w14:textId="6B6D8776" w:rsidR="002E2F9A" w:rsidRPr="008645BA" w:rsidRDefault="00636588">
      <w:r w:rsidRPr="008645BA">
        <w:lastRenderedPageBreak/>
        <w:t>The 2004 Act</w:t>
      </w:r>
      <w:r w:rsidR="005E446C">
        <w:t xml:space="preserve"> also</w:t>
      </w:r>
      <w:r w:rsidRPr="008645BA">
        <w:t xml:space="preserve"> </w:t>
      </w:r>
      <w:r w:rsidR="00265ED3" w:rsidRPr="008645BA">
        <w:t xml:space="preserve">established the Private Residential Tenancies Board (PRTB) whose responsibilities include hearing and resolving disputes between landlords and tenants in the private rented sector and </w:t>
      </w:r>
      <w:r w:rsidR="00CE7B77">
        <w:t xml:space="preserve">also </w:t>
      </w:r>
      <w:r w:rsidR="00265ED3" w:rsidRPr="008645BA">
        <w:t>operating a system of tenancy registration. In April 2016, the remit of the PRTB was extended</w:t>
      </w:r>
      <w:r w:rsidR="00D91DB4">
        <w:t xml:space="preserve"> to include approved housing bodies</w:t>
      </w:r>
      <w:r w:rsidR="00265ED3" w:rsidRPr="008645BA">
        <w:t xml:space="preserve"> and it was renamed the Residential Tenancies Board (RTB).</w:t>
      </w:r>
      <w:r w:rsidR="00C65A9E" w:rsidRPr="008645BA">
        <w:t xml:space="preserve"> </w:t>
      </w:r>
    </w:p>
    <w:p w14:paraId="56C68A08" w14:textId="1BC5296B" w:rsidR="00195264" w:rsidRPr="008645BA" w:rsidRDefault="00195264">
      <w:r w:rsidRPr="008645BA">
        <w:t>In addition, the 2004 Act prohibited the</w:t>
      </w:r>
      <w:r w:rsidR="00780EB7" w:rsidRPr="008645BA">
        <w:t xml:space="preserve"> practices of having rent reviews more than once every</w:t>
      </w:r>
      <w:r w:rsidR="00E949F7">
        <w:t xml:space="preserve"> 12 months and </w:t>
      </w:r>
      <w:r w:rsidR="00780EB7" w:rsidRPr="008645BA">
        <w:t>setting rents above the market rate</w:t>
      </w:r>
      <w:r w:rsidRPr="008645BA">
        <w:t>.</w:t>
      </w:r>
    </w:p>
    <w:p w14:paraId="3568D798" w14:textId="2B0378C4" w:rsidR="00935719" w:rsidRPr="008645BA" w:rsidRDefault="00C57681" w:rsidP="00844CF9">
      <w:pPr>
        <w:pStyle w:val="Heading3"/>
      </w:pPr>
      <w:r w:rsidRPr="008645BA">
        <w:t>Residential Tenancies (Amendment) Act 2015</w:t>
      </w:r>
    </w:p>
    <w:p w14:paraId="5F63C573" w14:textId="286DEFE4" w:rsidR="00780EB7" w:rsidRPr="008645BA" w:rsidRDefault="00780EB7">
      <w:r w:rsidRPr="008645BA">
        <w:t xml:space="preserve">The </w:t>
      </w:r>
      <w:r w:rsidR="005E446C" w:rsidRPr="005E446C">
        <w:t>Residential Tenancies (Amendment) Act 2015</w:t>
      </w:r>
      <w:r w:rsidRPr="008645BA">
        <w:t xml:space="preserve"> introduced a number of changes, aimed generally at protecting tenants. These included:</w:t>
      </w:r>
    </w:p>
    <w:p w14:paraId="5C0C8B0E" w14:textId="5DBF20FA" w:rsidR="00086A94" w:rsidRDefault="00A06DCC" w:rsidP="00780EB7">
      <w:pPr>
        <w:pStyle w:val="ListParagraph"/>
        <w:numPr>
          <w:ilvl w:val="0"/>
          <w:numId w:val="2"/>
        </w:numPr>
      </w:pPr>
      <w:r w:rsidRPr="008645BA">
        <w:t>Limits on the</w:t>
      </w:r>
      <w:r w:rsidR="00780EB7" w:rsidRPr="008645BA">
        <w:t xml:space="preserve"> frequency of</w:t>
      </w:r>
      <w:r w:rsidRPr="008645BA">
        <w:t xml:space="preserve"> rent reviews</w:t>
      </w:r>
      <w:r w:rsidR="00780EB7" w:rsidRPr="008645BA">
        <w:t xml:space="preserve"> </w:t>
      </w:r>
    </w:p>
    <w:p w14:paraId="1A596A7E" w14:textId="6E82B738" w:rsidR="009066E6" w:rsidRDefault="00B336ED" w:rsidP="00086A94">
      <w:pPr>
        <w:pStyle w:val="ListParagraph"/>
        <w:numPr>
          <w:ilvl w:val="1"/>
          <w:numId w:val="2"/>
        </w:numPr>
      </w:pPr>
      <w:r>
        <w:t>U</w:t>
      </w:r>
      <w:r w:rsidRPr="008645BA">
        <w:t>ntil December 2019</w:t>
      </w:r>
      <w:r>
        <w:t>, r</w:t>
      </w:r>
      <w:r w:rsidR="00780EB7" w:rsidRPr="008645BA">
        <w:t xml:space="preserve">ent reviews could be conducted </w:t>
      </w:r>
      <w:r w:rsidRPr="008645BA">
        <w:t xml:space="preserve">only </w:t>
      </w:r>
      <w:r w:rsidR="00780EB7" w:rsidRPr="008645BA">
        <w:t xml:space="preserve">once every 24 months unless there was a substantial change in the nature of the accommodation </w:t>
      </w:r>
      <w:r w:rsidR="00EB1701">
        <w:t xml:space="preserve">which </w:t>
      </w:r>
      <w:r w:rsidR="00780EB7" w:rsidRPr="008645BA">
        <w:t>affect</w:t>
      </w:r>
      <w:r w:rsidR="00EB1701">
        <w:t>ed</w:t>
      </w:r>
      <w:r w:rsidR="00780EB7" w:rsidRPr="008645BA">
        <w:t xml:space="preserve"> market rent</w:t>
      </w:r>
      <w:r>
        <w:t xml:space="preserve"> (</w:t>
      </w:r>
      <w:r w:rsidR="00780EB7" w:rsidRPr="008645BA">
        <w:t>such as a significant renovation</w:t>
      </w:r>
      <w:r>
        <w:t>)</w:t>
      </w:r>
    </w:p>
    <w:p w14:paraId="71CC7DC0" w14:textId="608B34E9" w:rsidR="00A06DCC" w:rsidRPr="008645BA" w:rsidRDefault="005E446C" w:rsidP="00152DED">
      <w:pPr>
        <w:pStyle w:val="ListParagraph"/>
        <w:numPr>
          <w:ilvl w:val="1"/>
          <w:numId w:val="2"/>
        </w:numPr>
      </w:pPr>
      <w:r>
        <w:t>On 4 June 2019</w:t>
      </w:r>
      <w:r w:rsidR="00CE7B77">
        <w:t>,</w:t>
      </w:r>
      <w:r>
        <w:t xml:space="preserve"> this 24-month limit was</w:t>
      </w:r>
      <w:r w:rsidR="00162E0C" w:rsidRPr="008645BA">
        <w:t xml:space="preserve"> extended to the end of 2021</w:t>
      </w:r>
      <w:r w:rsidR="0055132F" w:rsidRPr="008645BA">
        <w:t xml:space="preserve"> for properties outside </w:t>
      </w:r>
      <w:r w:rsidR="007E1400">
        <w:t>RPZs</w:t>
      </w:r>
      <w:r w:rsidR="009066E6">
        <w:t xml:space="preserve"> (p</w:t>
      </w:r>
      <w:r w:rsidR="0055132F" w:rsidRPr="008645BA">
        <w:t xml:space="preserve">roperties within </w:t>
      </w:r>
      <w:r w:rsidR="007E1400">
        <w:t>RPZs</w:t>
      </w:r>
      <w:r w:rsidR="0055132F" w:rsidRPr="008645BA">
        <w:t xml:space="preserve"> can generally </w:t>
      </w:r>
      <w:r w:rsidR="00CE7B77">
        <w:t>have</w:t>
      </w:r>
      <w:r w:rsidR="0055132F" w:rsidRPr="008645BA">
        <w:t xml:space="preserve"> rent reviews once every 12 months</w:t>
      </w:r>
      <w:r w:rsidR="009066E6">
        <w:t>)</w:t>
      </w:r>
    </w:p>
    <w:p w14:paraId="530CAE4D" w14:textId="2410D2BF" w:rsidR="00773955" w:rsidRPr="008645BA" w:rsidRDefault="00A06DCC" w:rsidP="00773955">
      <w:pPr>
        <w:pStyle w:val="ListParagraph"/>
        <w:numPr>
          <w:ilvl w:val="0"/>
          <w:numId w:val="2"/>
        </w:numPr>
        <w:rPr>
          <w:b/>
        </w:rPr>
      </w:pPr>
      <w:r w:rsidRPr="008645BA">
        <w:t>Changes to notice periods for terminati</w:t>
      </w:r>
      <w:r w:rsidR="00CE7B77">
        <w:t>ng</w:t>
      </w:r>
      <w:r w:rsidRPr="008645BA">
        <w:t xml:space="preserve"> Part 4 tenancies and </w:t>
      </w:r>
      <w:r w:rsidR="00780EB7" w:rsidRPr="008645BA">
        <w:t xml:space="preserve">a </w:t>
      </w:r>
      <w:r w:rsidRPr="008645BA">
        <w:t>require</w:t>
      </w:r>
      <w:r w:rsidR="00780EB7" w:rsidRPr="008645BA">
        <w:t>ment that a</w:t>
      </w:r>
      <w:r w:rsidRPr="008645BA">
        <w:t xml:space="preserve"> landlord provide additional proof in certain circumstances when terminating a Part 4 tenancy</w:t>
      </w:r>
    </w:p>
    <w:p w14:paraId="7DF05BA4" w14:textId="75D2A457" w:rsidR="007C4027" w:rsidRPr="008645BA" w:rsidRDefault="0055132F" w:rsidP="00773955">
      <w:pPr>
        <w:pStyle w:val="ListParagraph"/>
        <w:numPr>
          <w:ilvl w:val="0"/>
          <w:numId w:val="2"/>
        </w:numPr>
      </w:pPr>
      <w:r w:rsidRPr="008645BA">
        <w:t>Bringing a</w:t>
      </w:r>
      <w:r w:rsidR="00A06DCC" w:rsidRPr="008645BA">
        <w:t xml:space="preserve">pproved housing bodies within the remit of the </w:t>
      </w:r>
      <w:r w:rsidR="005768E6">
        <w:t>RTB</w:t>
      </w:r>
      <w:r w:rsidR="00A06DCC" w:rsidRPr="008645BA">
        <w:t xml:space="preserve"> for the first time</w:t>
      </w:r>
    </w:p>
    <w:p w14:paraId="4A9CAC5A" w14:textId="06453455" w:rsidR="00A06DCC" w:rsidRPr="008645BA" w:rsidRDefault="0055132F" w:rsidP="00773955">
      <w:pPr>
        <w:pStyle w:val="ListParagraph"/>
        <w:numPr>
          <w:ilvl w:val="0"/>
          <w:numId w:val="2"/>
        </w:numPr>
      </w:pPr>
      <w:r w:rsidRPr="008645BA">
        <w:t>Making available m</w:t>
      </w:r>
      <w:r w:rsidR="00773955" w:rsidRPr="008645BA">
        <w:t>any, although not all, of the rights under the 2004 Act</w:t>
      </w:r>
      <w:r w:rsidRPr="008645BA">
        <w:t xml:space="preserve"> to tenants of approved housing bodies</w:t>
      </w:r>
      <w:r w:rsidR="00773955" w:rsidRPr="008645BA">
        <w:t>, including those related to Part 4 tenancies</w:t>
      </w:r>
    </w:p>
    <w:p w14:paraId="08BAEE0C" w14:textId="27F546F2" w:rsidR="007C4027" w:rsidRPr="008645BA" w:rsidRDefault="0055132F" w:rsidP="00773955">
      <w:pPr>
        <w:pStyle w:val="ListParagraph"/>
        <w:numPr>
          <w:ilvl w:val="0"/>
          <w:numId w:val="2"/>
        </w:numPr>
      </w:pPr>
      <w:r w:rsidRPr="008645BA">
        <w:t>Allowing e</w:t>
      </w:r>
      <w:r w:rsidR="007C4027" w:rsidRPr="008645BA">
        <w:t>nforcement of RTB orders to take place in the District Court rather than the Circuit Court</w:t>
      </w:r>
      <w:r w:rsidR="007922A2" w:rsidRPr="008645BA">
        <w:t>, thus reducing costs</w:t>
      </w:r>
    </w:p>
    <w:p w14:paraId="6FD2B598" w14:textId="6FED97AD" w:rsidR="00A06DCC" w:rsidRPr="008645BA" w:rsidRDefault="00773955">
      <w:r w:rsidRPr="008645BA">
        <w:t xml:space="preserve">The </w:t>
      </w:r>
      <w:r w:rsidR="007C4027" w:rsidRPr="008645BA">
        <w:t>2015 A</w:t>
      </w:r>
      <w:r w:rsidRPr="008645BA">
        <w:t xml:space="preserve">ct also sought to introduce a security deposit retention scheme which would oblige landlords to </w:t>
      </w:r>
      <w:r w:rsidR="00CE7B77">
        <w:t xml:space="preserve">transfer </w:t>
      </w:r>
      <w:r w:rsidRPr="008645BA">
        <w:t>tenants’ security deposits to the RTB. This aspect of the 2015</w:t>
      </w:r>
      <w:r w:rsidR="0055132F" w:rsidRPr="008645BA">
        <w:t xml:space="preserve"> Act</w:t>
      </w:r>
      <w:r w:rsidRPr="008645BA">
        <w:t xml:space="preserve"> has never </w:t>
      </w:r>
      <w:r w:rsidR="00A610F8">
        <w:t>come into force</w:t>
      </w:r>
      <w:r w:rsidRPr="008645BA">
        <w:t>.</w:t>
      </w:r>
    </w:p>
    <w:p w14:paraId="6218D6F9" w14:textId="261FE582" w:rsidR="00935719" w:rsidRPr="008645BA" w:rsidRDefault="00C65A9E" w:rsidP="00844CF9">
      <w:pPr>
        <w:pStyle w:val="Heading3"/>
      </w:pPr>
      <w:r w:rsidRPr="008645BA">
        <w:t>Planning and Development (Housing) and Residential Tenancies Act 2016</w:t>
      </w:r>
    </w:p>
    <w:p w14:paraId="69F96176" w14:textId="32BB7C88" w:rsidR="00935719" w:rsidRPr="008645BA" w:rsidRDefault="00935719" w:rsidP="00935719">
      <w:r w:rsidRPr="008645BA">
        <w:t>The</w:t>
      </w:r>
      <w:r w:rsidR="007C4027" w:rsidRPr="008645BA">
        <w:t xml:space="preserve"> </w:t>
      </w:r>
      <w:r w:rsidR="005768E6" w:rsidRPr="005768E6">
        <w:t>Planning and Development (Housing) and Residential Tenancies Act 2016</w:t>
      </w:r>
      <w:r w:rsidR="005768E6">
        <w:t xml:space="preserve"> </w:t>
      </w:r>
      <w:r w:rsidRPr="008645BA">
        <w:t>provide</w:t>
      </w:r>
      <w:r w:rsidR="007C4027" w:rsidRPr="008645BA">
        <w:t>d</w:t>
      </w:r>
      <w:r w:rsidRPr="008645BA">
        <w:t xml:space="preserve"> for </w:t>
      </w:r>
      <w:r w:rsidR="007C4027" w:rsidRPr="008645BA">
        <w:t xml:space="preserve">a number of additional </w:t>
      </w:r>
      <w:r w:rsidRPr="008645BA">
        <w:t xml:space="preserve">changes. The provisions that </w:t>
      </w:r>
      <w:r w:rsidR="00316FCB" w:rsidRPr="008645BA">
        <w:t xml:space="preserve">were </w:t>
      </w:r>
      <w:r w:rsidR="00C74AF8" w:rsidRPr="008645BA">
        <w:t>brought into force include</w:t>
      </w:r>
      <w:r w:rsidR="00E949F7">
        <w:t>d</w:t>
      </w:r>
      <w:r w:rsidRPr="008645BA">
        <w:t>:</w:t>
      </w:r>
    </w:p>
    <w:p w14:paraId="1F1CCBB4" w14:textId="11958F75" w:rsidR="00935719" w:rsidRPr="008645BA" w:rsidRDefault="00935719" w:rsidP="00CB4BEB">
      <w:pPr>
        <w:numPr>
          <w:ilvl w:val="0"/>
          <w:numId w:val="1"/>
        </w:numPr>
        <w:spacing w:after="0"/>
      </w:pPr>
      <w:r w:rsidRPr="008645BA">
        <w:t xml:space="preserve">Measures to prevent </w:t>
      </w:r>
      <w:r w:rsidR="00B336ED">
        <w:t xml:space="preserve">landlords </w:t>
      </w:r>
      <w:r w:rsidRPr="008645BA">
        <w:t>simultaneous</w:t>
      </w:r>
      <w:r w:rsidR="00B336ED">
        <w:t>ly</w:t>
      </w:r>
      <w:r w:rsidRPr="008645BA">
        <w:t xml:space="preserve"> serving termination notices on large numbers of residents in a single development</w:t>
      </w:r>
      <w:r w:rsidR="00D91DB4">
        <w:t>, known as the ‘Tyrrelstown’ amendment</w:t>
      </w:r>
    </w:p>
    <w:p w14:paraId="4FD48622" w14:textId="245696CB" w:rsidR="000563DF" w:rsidRPr="008645BA" w:rsidRDefault="000563DF" w:rsidP="00CB4BEB">
      <w:pPr>
        <w:numPr>
          <w:ilvl w:val="0"/>
          <w:numId w:val="1"/>
        </w:numPr>
        <w:spacing w:after="0"/>
      </w:pPr>
      <w:r w:rsidRPr="008645BA">
        <w:t xml:space="preserve">Extending the tenancy cycle for Part 4 tenancies from </w:t>
      </w:r>
      <w:r w:rsidR="005768E6">
        <w:t>four</w:t>
      </w:r>
      <w:r w:rsidRPr="008645BA">
        <w:t xml:space="preserve"> years to </w:t>
      </w:r>
      <w:r w:rsidR="005768E6">
        <w:t>six</w:t>
      </w:r>
      <w:r w:rsidRPr="008645BA">
        <w:t xml:space="preserve"> years</w:t>
      </w:r>
    </w:p>
    <w:p w14:paraId="026E803F" w14:textId="3CC16B72" w:rsidR="00935719" w:rsidRPr="008645BA" w:rsidRDefault="00265ED3" w:rsidP="00CB4BEB">
      <w:pPr>
        <w:numPr>
          <w:ilvl w:val="0"/>
          <w:numId w:val="1"/>
        </w:numPr>
        <w:spacing w:after="0"/>
      </w:pPr>
      <w:r w:rsidRPr="008645BA">
        <w:t>Creati</w:t>
      </w:r>
      <w:r w:rsidR="00B336ED">
        <w:t>ng</w:t>
      </w:r>
      <w:r w:rsidR="00935719" w:rsidRPr="008645BA">
        <w:t xml:space="preserve"> </w:t>
      </w:r>
      <w:r w:rsidR="0034254F">
        <w:t>r</w:t>
      </w:r>
      <w:r w:rsidR="00935719" w:rsidRPr="008645BA">
        <w:t xml:space="preserve">ent </w:t>
      </w:r>
      <w:r w:rsidR="0034254F">
        <w:t>p</w:t>
      </w:r>
      <w:r w:rsidR="00935719" w:rsidRPr="008645BA">
        <w:t xml:space="preserve">ressure </w:t>
      </w:r>
      <w:r w:rsidR="00FC2296">
        <w:t>z</w:t>
      </w:r>
      <w:r w:rsidR="00935719" w:rsidRPr="008645BA">
        <w:t>ones</w:t>
      </w:r>
      <w:r w:rsidR="0034254F">
        <w:t xml:space="preserve"> (RPZs)</w:t>
      </w:r>
      <w:r w:rsidR="00D91DB4">
        <w:t xml:space="preserve">. In these </w:t>
      </w:r>
      <w:r w:rsidR="007922A2" w:rsidRPr="008645BA">
        <w:t xml:space="preserve">areas </w:t>
      </w:r>
      <w:r w:rsidR="00935719" w:rsidRPr="008645BA">
        <w:t>rent increases </w:t>
      </w:r>
      <w:r w:rsidR="00D91DB4">
        <w:t>were</w:t>
      </w:r>
      <w:r w:rsidR="00935719" w:rsidRPr="008645BA">
        <w:t xml:space="preserve"> capped</w:t>
      </w:r>
      <w:r w:rsidR="00D91DB4">
        <w:t xml:space="preserve"> until the end of 2019. RPZs are areas where rents are highest and rising quickly.</w:t>
      </w:r>
    </w:p>
    <w:p w14:paraId="422F2FE2" w14:textId="2FC76004" w:rsidR="00517745" w:rsidRPr="008645BA" w:rsidRDefault="00517745" w:rsidP="00CB4BEB">
      <w:pPr>
        <w:numPr>
          <w:ilvl w:val="0"/>
          <w:numId w:val="1"/>
        </w:numPr>
        <w:spacing w:after="0"/>
      </w:pPr>
      <w:r w:rsidRPr="008645BA">
        <w:t xml:space="preserve">Changes to </w:t>
      </w:r>
      <w:r w:rsidR="0034254F">
        <w:t xml:space="preserve">the </w:t>
      </w:r>
      <w:r w:rsidRPr="008645BA">
        <w:t>frequency</w:t>
      </w:r>
      <w:r w:rsidR="005A4BBC" w:rsidRPr="008645BA">
        <w:t xml:space="preserve"> of rent reviews in RPZs</w:t>
      </w:r>
    </w:p>
    <w:p w14:paraId="643A905B" w14:textId="164723A5" w:rsidR="00935719" w:rsidRPr="008645BA" w:rsidRDefault="00935719" w:rsidP="00CB4BEB">
      <w:pPr>
        <w:numPr>
          <w:ilvl w:val="0"/>
          <w:numId w:val="1"/>
        </w:numPr>
        <w:spacing w:after="0"/>
      </w:pPr>
      <w:r w:rsidRPr="008645BA">
        <w:t>Simplified procedures for dispute resolution</w:t>
      </w:r>
    </w:p>
    <w:p w14:paraId="033CEB94" w14:textId="5DA53230" w:rsidR="00935719" w:rsidRPr="008645BA" w:rsidRDefault="00935719" w:rsidP="00CB4BEB">
      <w:pPr>
        <w:numPr>
          <w:ilvl w:val="0"/>
          <w:numId w:val="1"/>
        </w:numPr>
        <w:spacing w:after="0"/>
      </w:pPr>
      <w:r w:rsidRPr="008645BA">
        <w:t>Requir</w:t>
      </w:r>
      <w:r w:rsidR="00D62F77">
        <w:t>ement for</w:t>
      </w:r>
      <w:r w:rsidRPr="008645BA">
        <w:t xml:space="preserve"> a landlord to give a reason when terminating a Further Part 4 tenancy in the first </w:t>
      </w:r>
      <w:r w:rsidR="0034254F">
        <w:t>six</w:t>
      </w:r>
      <w:r w:rsidRPr="008645BA">
        <w:t xml:space="preserve"> months</w:t>
      </w:r>
      <w:r w:rsidR="00CF129C">
        <w:t xml:space="preserve"> </w:t>
      </w:r>
    </w:p>
    <w:p w14:paraId="57270DA9" w14:textId="51C951E9" w:rsidR="00C65A9E" w:rsidRPr="008645BA" w:rsidRDefault="00C74AF8" w:rsidP="00844CF9">
      <w:pPr>
        <w:pStyle w:val="Heading3"/>
      </w:pPr>
      <w:r w:rsidRPr="008645BA">
        <w:lastRenderedPageBreak/>
        <w:t>Residential Tenancies (Amendment) Act 2019</w:t>
      </w:r>
    </w:p>
    <w:p w14:paraId="647E2F11" w14:textId="11B6E4AE" w:rsidR="00DE1E33" w:rsidRPr="008645BA" w:rsidRDefault="00C74AF8">
      <w:r w:rsidRPr="008645BA">
        <w:t xml:space="preserve">The </w:t>
      </w:r>
      <w:r w:rsidR="005768E6" w:rsidRPr="005768E6">
        <w:t>Residential Tenancies (Amendment) Act 2019</w:t>
      </w:r>
      <w:r w:rsidR="005768E6">
        <w:t xml:space="preserve"> </w:t>
      </w:r>
      <w:r w:rsidR="00DE1E33" w:rsidRPr="008645BA">
        <w:t>make</w:t>
      </w:r>
      <w:r w:rsidR="00C24357">
        <w:t>s</w:t>
      </w:r>
      <w:r w:rsidR="00DE1E33" w:rsidRPr="008645BA">
        <w:t xml:space="preserve"> </w:t>
      </w:r>
      <w:r w:rsidR="009A7201">
        <w:t xml:space="preserve">further </w:t>
      </w:r>
      <w:r w:rsidR="00DE1E33" w:rsidRPr="008645BA">
        <w:t>important changes affecting tenants’ rights, including:</w:t>
      </w:r>
    </w:p>
    <w:p w14:paraId="219611CB" w14:textId="441F543F" w:rsidR="00DE1E33" w:rsidRPr="008645BA" w:rsidRDefault="00DE1E33" w:rsidP="00DE1E33">
      <w:pPr>
        <w:pStyle w:val="ListParagraph"/>
        <w:numPr>
          <w:ilvl w:val="0"/>
          <w:numId w:val="3"/>
        </w:numPr>
      </w:pPr>
      <w:r w:rsidRPr="008645BA">
        <w:t>New notice periods for landlords for the termination of ten</w:t>
      </w:r>
      <w:r w:rsidR="00DA5B65" w:rsidRPr="008645BA">
        <w:t>a</w:t>
      </w:r>
      <w:r w:rsidRPr="008645BA">
        <w:t>ncies</w:t>
      </w:r>
    </w:p>
    <w:p w14:paraId="18691E43" w14:textId="77777777" w:rsidR="00DE1E33" w:rsidRPr="008645BA" w:rsidRDefault="00DE1E33" w:rsidP="00DE1E33">
      <w:pPr>
        <w:pStyle w:val="ListParagraph"/>
        <w:numPr>
          <w:ilvl w:val="0"/>
          <w:numId w:val="3"/>
        </w:numPr>
      </w:pPr>
      <w:r w:rsidRPr="008645BA">
        <w:t>Changes to notice procedures and obligations</w:t>
      </w:r>
    </w:p>
    <w:p w14:paraId="46AC0A15" w14:textId="2CD03A2D" w:rsidR="00DE1E33" w:rsidRPr="008645BA" w:rsidRDefault="00E949F7" w:rsidP="00DE1E33">
      <w:pPr>
        <w:pStyle w:val="ListParagraph"/>
        <w:numPr>
          <w:ilvl w:val="0"/>
          <w:numId w:val="3"/>
        </w:numPr>
      </w:pPr>
      <w:r>
        <w:t>The e</w:t>
      </w:r>
      <w:r w:rsidR="00DE1E33" w:rsidRPr="008645BA">
        <w:t xml:space="preserve">xtension of existing </w:t>
      </w:r>
      <w:r w:rsidR="006E3953">
        <w:t>RPZs</w:t>
      </w:r>
      <w:r w:rsidR="00D91DB4">
        <w:t xml:space="preserve"> from the end of 2019</w:t>
      </w:r>
      <w:r w:rsidR="00DE1E33" w:rsidRPr="008645BA">
        <w:t xml:space="preserve"> to </w:t>
      </w:r>
      <w:r w:rsidR="00D91DB4">
        <w:t xml:space="preserve">the end of </w:t>
      </w:r>
      <w:r w:rsidR="00DE1E33" w:rsidRPr="008645BA">
        <w:t>2021</w:t>
      </w:r>
    </w:p>
    <w:p w14:paraId="3854B396" w14:textId="283BF860" w:rsidR="00DE1E33" w:rsidRPr="008645BA" w:rsidRDefault="00DE1E33" w:rsidP="00DE1E33">
      <w:pPr>
        <w:pStyle w:val="ListParagraph"/>
        <w:numPr>
          <w:ilvl w:val="0"/>
          <w:numId w:val="3"/>
        </w:numPr>
      </w:pPr>
      <w:r w:rsidRPr="008645BA">
        <w:t xml:space="preserve">Updated criteria for the designation of </w:t>
      </w:r>
      <w:r w:rsidR="006E3953">
        <w:t>RPZs</w:t>
      </w:r>
    </w:p>
    <w:p w14:paraId="13789FB8" w14:textId="1957F35A" w:rsidR="00DE1E33" w:rsidRPr="008645BA" w:rsidRDefault="00DE1E33" w:rsidP="00DE1E33">
      <w:pPr>
        <w:pStyle w:val="ListParagraph"/>
        <w:numPr>
          <w:ilvl w:val="0"/>
          <w:numId w:val="3"/>
        </w:numPr>
      </w:pPr>
      <w:r w:rsidRPr="008645BA">
        <w:t xml:space="preserve">Providing a legal definition of </w:t>
      </w:r>
      <w:r w:rsidR="00B336ED">
        <w:t>‘</w:t>
      </w:r>
      <w:r w:rsidRPr="008645BA">
        <w:t>substantial change</w:t>
      </w:r>
      <w:r w:rsidR="00B336ED">
        <w:t>’</w:t>
      </w:r>
      <w:r w:rsidRPr="008645BA">
        <w:t xml:space="preserve"> for the purpose of </w:t>
      </w:r>
      <w:r w:rsidR="00E949F7">
        <w:t>allowing a rent increase above</w:t>
      </w:r>
      <w:r w:rsidRPr="008645BA">
        <w:t xml:space="preserve"> the percentage allowed in a</w:t>
      </w:r>
      <w:r w:rsidR="006E3953">
        <w:t>n RPZ</w:t>
      </w:r>
    </w:p>
    <w:p w14:paraId="5D2A169C" w14:textId="31889664" w:rsidR="00DE1E33" w:rsidRPr="008645BA" w:rsidRDefault="00DE1E33" w:rsidP="00DE1E33">
      <w:pPr>
        <w:pStyle w:val="ListParagraph"/>
        <w:numPr>
          <w:ilvl w:val="0"/>
          <w:numId w:val="3"/>
        </w:numPr>
      </w:pPr>
      <w:r w:rsidRPr="008645BA">
        <w:t>Enhance</w:t>
      </w:r>
      <w:r w:rsidR="00CC24ED" w:rsidRPr="008645BA">
        <w:t>d</w:t>
      </w:r>
      <w:r w:rsidRPr="008645BA">
        <w:t xml:space="preserve"> investigation and sanctioning powers for the RTB </w:t>
      </w:r>
    </w:p>
    <w:p w14:paraId="059D7714" w14:textId="2E2514F3" w:rsidR="00DE1E33" w:rsidRDefault="006E3953" w:rsidP="002D60D5">
      <w:pPr>
        <w:pStyle w:val="ListParagraph"/>
        <w:numPr>
          <w:ilvl w:val="0"/>
          <w:numId w:val="3"/>
        </w:numPr>
      </w:pPr>
      <w:r>
        <w:t>T</w:t>
      </w:r>
      <w:r w:rsidR="00DE1E33" w:rsidRPr="008645BA">
        <w:t>reat</w:t>
      </w:r>
      <w:r w:rsidR="00AD19F2">
        <w:t>ing</w:t>
      </w:r>
      <w:r w:rsidR="00DE1E33" w:rsidRPr="008645BA">
        <w:t xml:space="preserve"> </w:t>
      </w:r>
      <w:r w:rsidR="00E46AA1">
        <w:t xml:space="preserve">certain </w:t>
      </w:r>
      <w:r w:rsidR="00DE1E33" w:rsidRPr="008645BA">
        <w:t xml:space="preserve">student accommodation in a similar </w:t>
      </w:r>
      <w:r>
        <w:t>way</w:t>
      </w:r>
      <w:r w:rsidRPr="008645BA">
        <w:t xml:space="preserve"> </w:t>
      </w:r>
      <w:r w:rsidR="00DE1E33" w:rsidRPr="008645BA">
        <w:t xml:space="preserve">to tenancies </w:t>
      </w:r>
      <w:r>
        <w:t xml:space="preserve">that are </w:t>
      </w:r>
      <w:r w:rsidR="00DE1E33" w:rsidRPr="008645BA">
        <w:t xml:space="preserve">covered by the </w:t>
      </w:r>
      <w:r w:rsidR="005768E6">
        <w:t xml:space="preserve">Residential Tenancies </w:t>
      </w:r>
      <w:r w:rsidR="00DE1E33" w:rsidRPr="008645BA">
        <w:t>Acts</w:t>
      </w:r>
    </w:p>
    <w:p w14:paraId="2F81D10D" w14:textId="77777777" w:rsidR="002D60D5" w:rsidRPr="008645BA" w:rsidRDefault="002D60D5" w:rsidP="00152DED">
      <w:pPr>
        <w:pStyle w:val="ListParagraph"/>
      </w:pPr>
    </w:p>
    <w:p w14:paraId="019091E7" w14:textId="0A51B924" w:rsidR="00935719" w:rsidRPr="008645BA" w:rsidRDefault="002D60D5">
      <w:r>
        <w:t>It also made a proposal r</w:t>
      </w:r>
      <w:r w:rsidR="00AD19F2">
        <w:t xml:space="preserve">equiring landlords to register annually </w:t>
      </w:r>
      <w:r w:rsidR="009D68CD">
        <w:t xml:space="preserve">with the RTB </w:t>
      </w:r>
      <w:r w:rsidR="00AD19F2">
        <w:t>and pay a</w:t>
      </w:r>
      <w:r w:rsidR="00E46AA1">
        <w:t>n annual registration</w:t>
      </w:r>
      <w:r w:rsidR="00AD19F2">
        <w:t xml:space="preserve"> </w:t>
      </w:r>
      <w:r w:rsidR="00DE1E33" w:rsidRPr="008645BA">
        <w:t>fee</w:t>
      </w:r>
      <w:r>
        <w:t>.</w:t>
      </w:r>
    </w:p>
    <w:p w14:paraId="6388D7FE" w14:textId="3D377ADD" w:rsidR="00922D8F" w:rsidRPr="008645BA" w:rsidRDefault="00B32405" w:rsidP="00152DED">
      <w:pPr>
        <w:pStyle w:val="Heading2"/>
      </w:pPr>
      <w:r>
        <w:t>Provisions of</w:t>
      </w:r>
      <w:r w:rsidR="00935719" w:rsidRPr="008645BA">
        <w:t xml:space="preserve"> the Residential Tenancies Act</w:t>
      </w:r>
      <w:r w:rsidR="00B90DD8" w:rsidRPr="008645BA">
        <w:t>s 2004 to</w:t>
      </w:r>
      <w:r w:rsidR="00935719" w:rsidRPr="008645BA">
        <w:t xml:space="preserve"> 2019</w:t>
      </w:r>
      <w:r w:rsidR="00C57681" w:rsidRPr="008645BA">
        <w:t xml:space="preserve"> </w:t>
      </w:r>
    </w:p>
    <w:p w14:paraId="25E0DDF0" w14:textId="1F797555" w:rsidR="00C65A9E" w:rsidRPr="008645BA" w:rsidRDefault="00922D8F" w:rsidP="00844CF9">
      <w:pPr>
        <w:pStyle w:val="Heading3"/>
      </w:pPr>
      <w:r w:rsidRPr="008645BA">
        <w:t xml:space="preserve">Security of </w:t>
      </w:r>
      <w:r w:rsidR="005768E6">
        <w:t>t</w:t>
      </w:r>
      <w:r w:rsidR="005768E6" w:rsidRPr="008645BA">
        <w:t>enure</w:t>
      </w:r>
    </w:p>
    <w:p w14:paraId="2C658801" w14:textId="0FD60712" w:rsidR="00C24357" w:rsidRDefault="006E15FA" w:rsidP="006E15FA">
      <w:r w:rsidRPr="008645BA">
        <w:t xml:space="preserve">Residential tenancies generally begin as </w:t>
      </w:r>
      <w:r w:rsidR="005768E6" w:rsidRPr="008645BA">
        <w:t>fixed</w:t>
      </w:r>
      <w:r w:rsidR="005768E6">
        <w:t>-</w:t>
      </w:r>
      <w:r w:rsidRPr="008645BA">
        <w:t xml:space="preserve">term tenancies (which are for a defined period, </w:t>
      </w:r>
      <w:r w:rsidR="00C24357">
        <w:t>such as</w:t>
      </w:r>
      <w:r w:rsidR="005768E6">
        <w:t xml:space="preserve"> one</w:t>
      </w:r>
      <w:r w:rsidRPr="008645BA">
        <w:t xml:space="preserve"> year) or periodic tenancies (which</w:t>
      </w:r>
      <w:r w:rsidR="00DE4829" w:rsidRPr="008645BA">
        <w:t xml:space="preserve"> run weekly or monthly </w:t>
      </w:r>
      <w:r w:rsidR="00C741E2">
        <w:t>and</w:t>
      </w:r>
      <w:r w:rsidR="00C741E2" w:rsidRPr="008645BA">
        <w:t xml:space="preserve"> </w:t>
      </w:r>
      <w:r w:rsidRPr="008645BA">
        <w:t xml:space="preserve">have no fixed end </w:t>
      </w:r>
      <w:r w:rsidR="00264F02" w:rsidRPr="008645BA">
        <w:t xml:space="preserve">date). </w:t>
      </w:r>
    </w:p>
    <w:p w14:paraId="3DB6F8DD" w14:textId="2D96664C" w:rsidR="00C741E2" w:rsidRDefault="00264F02" w:rsidP="006E15FA">
      <w:r w:rsidRPr="008645BA">
        <w:t xml:space="preserve">However, due to changes initially brought into effect under the 2004 Act, many tenants now </w:t>
      </w:r>
      <w:r w:rsidR="00E949F7">
        <w:t>have</w:t>
      </w:r>
      <w:r w:rsidRPr="008645BA">
        <w:t xml:space="preserve"> a much greater security of tenure under what is known as a Part 4 </w:t>
      </w:r>
      <w:r w:rsidR="005768E6">
        <w:t>t</w:t>
      </w:r>
      <w:r w:rsidRPr="008645BA">
        <w:t>enancy.</w:t>
      </w:r>
      <w:r w:rsidR="00265ED3" w:rsidRPr="008645BA">
        <w:t xml:space="preserve"> Most private rental arrangements can become a Part 4 tenancy.</w:t>
      </w:r>
      <w:r w:rsidR="00CF129C">
        <w:t xml:space="preserve"> </w:t>
      </w:r>
    </w:p>
    <w:p w14:paraId="51B14D20" w14:textId="372C6550" w:rsidR="00B90DD8" w:rsidRPr="008645BA" w:rsidRDefault="00C741E2" w:rsidP="006E15FA">
      <w:r>
        <w:t>However, i</w:t>
      </w:r>
      <w:r w:rsidR="00CF129C" w:rsidRPr="008645BA">
        <w:t xml:space="preserve">f a tenancy relates to a self-contained apartment in the same property </w:t>
      </w:r>
      <w:r w:rsidR="00001576">
        <w:t>where</w:t>
      </w:r>
      <w:r w:rsidR="00CF129C" w:rsidRPr="008645BA">
        <w:t xml:space="preserve"> your landlord lives, the landlord </w:t>
      </w:r>
      <w:r w:rsidR="00001576">
        <w:t>can opt</w:t>
      </w:r>
      <w:r w:rsidR="00CF129C" w:rsidRPr="008645BA">
        <w:t xml:space="preserve"> out of the provisions of Part 4.</w:t>
      </w:r>
      <w:r w:rsidR="00E46AA1">
        <w:t xml:space="preserve"> </w:t>
      </w:r>
      <w:r w:rsidR="00CF129C">
        <w:t xml:space="preserve">Some </w:t>
      </w:r>
      <w:r w:rsidR="00C24357">
        <w:t>accommodation cannot become a Part 4 tenancy</w:t>
      </w:r>
      <w:r w:rsidR="00CF129C">
        <w:t>. For example, i</w:t>
      </w:r>
      <w:r w:rsidR="00DA5B65" w:rsidRPr="008645BA">
        <w:t xml:space="preserve">f you rent a room in the same property </w:t>
      </w:r>
      <w:r w:rsidR="00265ED3" w:rsidRPr="008645BA">
        <w:t>that</w:t>
      </w:r>
      <w:r w:rsidR="00DA5B65" w:rsidRPr="008645BA">
        <w:t xml:space="preserve"> your landlord </w:t>
      </w:r>
      <w:r w:rsidR="00CF129C">
        <w:t>(</w:t>
      </w:r>
      <w:r w:rsidR="00B90DD8" w:rsidRPr="008645BA">
        <w:t xml:space="preserve">or </w:t>
      </w:r>
      <w:r w:rsidR="00CF129C">
        <w:t xml:space="preserve">their </w:t>
      </w:r>
      <w:r w:rsidR="00B90DD8" w:rsidRPr="008645BA">
        <w:t>family member</w:t>
      </w:r>
      <w:r w:rsidR="00CF129C">
        <w:t>)</w:t>
      </w:r>
      <w:r w:rsidR="00B90DD8" w:rsidRPr="008645BA">
        <w:t xml:space="preserve"> </w:t>
      </w:r>
      <w:r w:rsidR="00DA5B65" w:rsidRPr="008645BA">
        <w:t>lives in, you are not entitled a Part 4 tenancy.</w:t>
      </w:r>
    </w:p>
    <w:p w14:paraId="3EA57140" w14:textId="0CD184A9" w:rsidR="00B90DD8" w:rsidRPr="008645BA" w:rsidRDefault="00CF129C" w:rsidP="006E15FA">
      <w:r w:rsidRPr="008645BA">
        <w:t xml:space="preserve">Certain </w:t>
      </w:r>
      <w:r>
        <w:t>types of accommodation</w:t>
      </w:r>
      <w:r w:rsidRPr="008645BA">
        <w:t xml:space="preserve"> </w:t>
      </w:r>
      <w:r>
        <w:t>provided</w:t>
      </w:r>
      <w:r w:rsidRPr="008645BA">
        <w:t xml:space="preserve"> by </w:t>
      </w:r>
      <w:r>
        <w:t>a</w:t>
      </w:r>
      <w:r w:rsidRPr="008645BA">
        <w:t>pproved housing bodies</w:t>
      </w:r>
      <w:r>
        <w:t xml:space="preserve"> (AHBs)</w:t>
      </w:r>
      <w:r w:rsidRPr="008645BA">
        <w:t>, such as hostels</w:t>
      </w:r>
      <w:r>
        <w:t>,</w:t>
      </w:r>
      <w:r w:rsidRPr="008645BA">
        <w:t xml:space="preserve"> fall outside the scope of Part 4</w:t>
      </w:r>
      <w:r>
        <w:t xml:space="preserve"> tenancies</w:t>
      </w:r>
      <w:r w:rsidRPr="008645BA">
        <w:t>.</w:t>
      </w:r>
      <w:r>
        <w:t xml:space="preserve"> </w:t>
      </w:r>
      <w:r w:rsidR="00B90DD8" w:rsidRPr="008645BA">
        <w:t>A</w:t>
      </w:r>
      <w:r>
        <w:t xml:space="preserve">HBs </w:t>
      </w:r>
      <w:r w:rsidR="00B90DD8" w:rsidRPr="008645BA">
        <w:t xml:space="preserve">are independent, not-for-profit organisations that provide rented accommodation to people who cannot afford to purchase a home or to pay rent in the private sector. </w:t>
      </w:r>
      <w:r w:rsidR="005768E6">
        <w:t xml:space="preserve">AHBs </w:t>
      </w:r>
      <w:r w:rsidR="00B90DD8" w:rsidRPr="008645BA">
        <w:t xml:space="preserve">are also known as </w:t>
      </w:r>
      <w:r w:rsidR="00C741E2">
        <w:t>‘</w:t>
      </w:r>
      <w:r w:rsidR="00B90DD8" w:rsidRPr="008645BA">
        <w:t>housing associations</w:t>
      </w:r>
      <w:r w:rsidR="00C741E2">
        <w:t>’</w:t>
      </w:r>
      <w:r w:rsidR="00B90DD8" w:rsidRPr="008645BA">
        <w:t xml:space="preserve"> or </w:t>
      </w:r>
      <w:r w:rsidR="00C741E2">
        <w:t>‘</w:t>
      </w:r>
      <w:r w:rsidR="00D91DB4">
        <w:t>housing cooperatives</w:t>
      </w:r>
      <w:r w:rsidR="00C741E2">
        <w:t>’</w:t>
      </w:r>
      <w:r w:rsidR="00B90DD8" w:rsidRPr="008645BA">
        <w:t xml:space="preserve">. AHB accommodation may be designated for specific vulnerable groups such as older </w:t>
      </w:r>
      <w:r w:rsidR="00C24357">
        <w:t xml:space="preserve">people </w:t>
      </w:r>
      <w:r w:rsidR="00B90DD8" w:rsidRPr="008645BA">
        <w:t>or homeless people.</w:t>
      </w:r>
    </w:p>
    <w:p w14:paraId="33CD976F" w14:textId="1C5A4157" w:rsidR="00B90DD8" w:rsidRPr="008645BA" w:rsidRDefault="00CF129C" w:rsidP="00844CF9">
      <w:pPr>
        <w:pStyle w:val="Heading4"/>
      </w:pPr>
      <w:r>
        <w:t xml:space="preserve">What is a </w:t>
      </w:r>
      <w:r w:rsidR="00B90DD8" w:rsidRPr="008645BA">
        <w:t xml:space="preserve">Part 4 </w:t>
      </w:r>
      <w:r w:rsidR="005768E6">
        <w:t>t</w:t>
      </w:r>
      <w:r w:rsidR="005768E6" w:rsidRPr="008645BA">
        <w:t>enanc</w:t>
      </w:r>
      <w:r>
        <w:t>y?</w:t>
      </w:r>
    </w:p>
    <w:p w14:paraId="1C62F2B6" w14:textId="294909B1" w:rsidR="006E15FA" w:rsidRPr="008645BA" w:rsidRDefault="006E15FA" w:rsidP="006E15FA">
      <w:r w:rsidRPr="008645BA">
        <w:t xml:space="preserve">If you have been renting </w:t>
      </w:r>
      <w:r w:rsidR="00264F02" w:rsidRPr="008645BA">
        <w:t xml:space="preserve">a property continuously </w:t>
      </w:r>
      <w:r w:rsidRPr="008645BA">
        <w:t xml:space="preserve">for at least </w:t>
      </w:r>
      <w:r w:rsidR="00CF129C">
        <w:t>six</w:t>
      </w:r>
      <w:r w:rsidRPr="008645BA">
        <w:t xml:space="preserve"> months and have</w:t>
      </w:r>
      <w:r w:rsidR="00CF129C">
        <w:t xml:space="preserve"> not</w:t>
      </w:r>
      <w:r w:rsidRPr="008645BA">
        <w:t xml:space="preserve"> been served with a valid written notice of termination</w:t>
      </w:r>
      <w:r w:rsidR="00F62F46" w:rsidRPr="008645BA">
        <w:t xml:space="preserve"> during that period</w:t>
      </w:r>
      <w:r w:rsidRPr="008645BA">
        <w:t>, in general you automatically acquire security of tenure and can stay in the property for a number of years.</w:t>
      </w:r>
    </w:p>
    <w:p w14:paraId="1B05EEE9" w14:textId="59A67567" w:rsidR="006E15FA" w:rsidRPr="008645BA" w:rsidRDefault="006E15FA" w:rsidP="006E15FA">
      <w:pPr>
        <w:pStyle w:val="ListParagraph"/>
        <w:numPr>
          <w:ilvl w:val="0"/>
          <w:numId w:val="10"/>
        </w:numPr>
      </w:pPr>
      <w:r w:rsidRPr="008645BA">
        <w:t xml:space="preserve">If your tenancy started on or before 24 December 2016, this period is </w:t>
      </w:r>
      <w:r w:rsidR="00CF129C">
        <w:t>four</w:t>
      </w:r>
      <w:r w:rsidRPr="008645BA">
        <w:t xml:space="preserve"> years</w:t>
      </w:r>
      <w:r w:rsidR="005768E6">
        <w:t>.</w:t>
      </w:r>
    </w:p>
    <w:p w14:paraId="1F64BC30" w14:textId="72058AB0" w:rsidR="006E15FA" w:rsidRPr="008645BA" w:rsidRDefault="006E15FA" w:rsidP="006E15FA">
      <w:pPr>
        <w:pStyle w:val="ListParagraph"/>
        <w:numPr>
          <w:ilvl w:val="0"/>
          <w:numId w:val="10"/>
        </w:numPr>
      </w:pPr>
      <w:r w:rsidRPr="008645BA">
        <w:t xml:space="preserve">If your tenancy started after 24 December 2016, this period is </w:t>
      </w:r>
      <w:r w:rsidR="00CF129C">
        <w:t>six</w:t>
      </w:r>
      <w:r w:rsidR="00CF129C" w:rsidRPr="008645BA">
        <w:t xml:space="preserve"> </w:t>
      </w:r>
      <w:r w:rsidRPr="008645BA">
        <w:t>years</w:t>
      </w:r>
      <w:r w:rsidR="005768E6">
        <w:t>.</w:t>
      </w:r>
    </w:p>
    <w:p w14:paraId="3ACBA56D" w14:textId="39C1DD99" w:rsidR="00397894" w:rsidRDefault="006E15FA" w:rsidP="006E15FA">
      <w:r w:rsidRPr="008645BA">
        <w:lastRenderedPageBreak/>
        <w:t xml:space="preserve">If you have a fixed-term contract or lease and you wish to remain in the property under the rights acquired under Part 4, you </w:t>
      </w:r>
      <w:r w:rsidR="00264F02" w:rsidRPr="008645BA">
        <w:t>should</w:t>
      </w:r>
      <w:r w:rsidRPr="008645BA">
        <w:t xml:space="preserve"> notify your landlord of your intention to stay in the property. You must do this between </w:t>
      </w:r>
      <w:r w:rsidR="00CF129C">
        <w:t>three</w:t>
      </w:r>
      <w:r w:rsidRPr="008645BA">
        <w:t xml:space="preserve"> months and </w:t>
      </w:r>
      <w:r w:rsidR="00CF129C">
        <w:t>one</w:t>
      </w:r>
      <w:r w:rsidRPr="008645BA">
        <w:t xml:space="preserve"> month before the expiry of your fixed</w:t>
      </w:r>
      <w:r w:rsidR="005768E6">
        <w:t>-</w:t>
      </w:r>
      <w:r w:rsidRPr="008645BA">
        <w:t>term tenancy or lease agreement.</w:t>
      </w:r>
      <w:r w:rsidR="00264F02" w:rsidRPr="008645BA">
        <w:t xml:space="preserve"> </w:t>
      </w:r>
    </w:p>
    <w:p w14:paraId="4609B6BF" w14:textId="229E5590" w:rsidR="006E15FA" w:rsidRPr="008645BA" w:rsidRDefault="006E15FA" w:rsidP="006E15FA">
      <w:r w:rsidRPr="008645BA">
        <w:t>If you do not notify your landlord, you cannot be refused coverage under Part 4</w:t>
      </w:r>
      <w:r w:rsidR="00CF129C">
        <w:t xml:space="preserve">. However, </w:t>
      </w:r>
      <w:r w:rsidRPr="008645BA">
        <w:t>you may have to compensate the landlord for any financial loss that they incur because you did not notify them of your intention to remain in the tenancy.</w:t>
      </w:r>
    </w:p>
    <w:p w14:paraId="1DE11F13" w14:textId="4097C8E6" w:rsidR="00264F02" w:rsidRPr="008645BA" w:rsidRDefault="00264F02" w:rsidP="00844CF9">
      <w:pPr>
        <w:pStyle w:val="Heading4"/>
      </w:pPr>
      <w:r w:rsidRPr="008645BA">
        <w:t>At the end of the Part 4 period</w:t>
      </w:r>
    </w:p>
    <w:p w14:paraId="524E1201" w14:textId="4F088739" w:rsidR="00D616A1" w:rsidRPr="008645BA" w:rsidRDefault="00F62F46" w:rsidP="00264F02">
      <w:r w:rsidRPr="008645BA">
        <w:t>After the first cycle (</w:t>
      </w:r>
      <w:r w:rsidR="00CF129C">
        <w:t>four years</w:t>
      </w:r>
      <w:r w:rsidRPr="008645BA">
        <w:t xml:space="preserve"> or </w:t>
      </w:r>
      <w:r w:rsidR="00CF129C">
        <w:t>six</w:t>
      </w:r>
      <w:r w:rsidRPr="008645BA">
        <w:t xml:space="preserve"> years</w:t>
      </w:r>
      <w:r w:rsidR="00CF129C">
        <w:t>,</w:t>
      </w:r>
      <w:r w:rsidRPr="008645BA">
        <w:t xml:space="preserve"> depending on when the tenancy</w:t>
      </w:r>
      <w:r w:rsidR="005768E6">
        <w:t xml:space="preserve"> began</w:t>
      </w:r>
      <w:r w:rsidR="00293810">
        <w:t>)</w:t>
      </w:r>
      <w:r w:rsidRPr="008645BA">
        <w:t xml:space="preserve"> your Part 4 tenancy ends</w:t>
      </w:r>
      <w:r w:rsidR="00397894">
        <w:t>. Then</w:t>
      </w:r>
      <w:r w:rsidRPr="008645BA">
        <w:t xml:space="preserve"> a new tenancy begins</w:t>
      </w:r>
      <w:r w:rsidR="00D616A1" w:rsidRPr="008645BA">
        <w:t xml:space="preserve">, unless your landlord has provided you with the necessary notice of termination </w:t>
      </w:r>
      <w:r w:rsidR="00397894">
        <w:t>before the end of</w:t>
      </w:r>
      <w:r w:rsidR="00D616A1" w:rsidRPr="008645BA">
        <w:t xml:space="preserve"> this tenancy. </w:t>
      </w:r>
      <w:r w:rsidRPr="008645BA">
        <w:t xml:space="preserve">You now have a </w:t>
      </w:r>
      <w:r w:rsidR="00DF5B55" w:rsidRPr="00F8406D">
        <w:rPr>
          <w:i/>
        </w:rPr>
        <w:t>F</w:t>
      </w:r>
      <w:r w:rsidRPr="00F8406D">
        <w:rPr>
          <w:i/>
        </w:rPr>
        <w:t>urther Part 4 tenancy</w:t>
      </w:r>
      <w:r w:rsidRPr="008645BA">
        <w:t xml:space="preserve">. </w:t>
      </w:r>
    </w:p>
    <w:p w14:paraId="3DA70849" w14:textId="3BF64F2F" w:rsidR="00F62F46" w:rsidRPr="008645BA" w:rsidRDefault="00F62F46" w:rsidP="00264F02">
      <w:r w:rsidRPr="008645BA">
        <w:t xml:space="preserve">This </w:t>
      </w:r>
      <w:r w:rsidR="00DF5B55" w:rsidRPr="008645BA">
        <w:t>F</w:t>
      </w:r>
      <w:r w:rsidRPr="008645BA">
        <w:t xml:space="preserve">urther Part 4 tenancy now runs for a period </w:t>
      </w:r>
      <w:r w:rsidR="00293810">
        <w:t xml:space="preserve">of </w:t>
      </w:r>
      <w:r w:rsidR="00397894">
        <w:t>six</w:t>
      </w:r>
      <w:r w:rsidRPr="008645BA">
        <w:t xml:space="preserve"> years. Previously, a landlord could end this </w:t>
      </w:r>
      <w:r w:rsidR="005768E6">
        <w:t>F</w:t>
      </w:r>
      <w:r w:rsidRPr="008645BA">
        <w:t xml:space="preserve">urther Part 4 tenancy at any time in the first </w:t>
      </w:r>
      <w:r w:rsidR="00397894">
        <w:t>six</w:t>
      </w:r>
      <w:r w:rsidRPr="008645BA">
        <w:t xml:space="preserve"> months without having to </w:t>
      </w:r>
      <w:r w:rsidR="00523033">
        <w:t>provide</w:t>
      </w:r>
      <w:r w:rsidR="00523033" w:rsidRPr="008645BA">
        <w:t xml:space="preserve"> </w:t>
      </w:r>
      <w:r w:rsidRPr="008645BA">
        <w:t>a valid reason. However, a landlord can now end the</w:t>
      </w:r>
      <w:r w:rsidR="00DF5B55" w:rsidRPr="008645BA">
        <w:t xml:space="preserve"> Further Part 4</w:t>
      </w:r>
      <w:r w:rsidRPr="008645BA">
        <w:t xml:space="preserve"> tenancy </w:t>
      </w:r>
      <w:r w:rsidR="00523033" w:rsidRPr="008645BA">
        <w:t xml:space="preserve">only </w:t>
      </w:r>
      <w:r w:rsidRPr="008645BA">
        <w:t>in certain defined cir</w:t>
      </w:r>
      <w:r w:rsidR="00D616A1" w:rsidRPr="008645BA">
        <w:t>c</w:t>
      </w:r>
      <w:r w:rsidRPr="008645BA">
        <w:t>umstances</w:t>
      </w:r>
      <w:r w:rsidR="00523033">
        <w:t>.</w:t>
      </w:r>
      <w:r w:rsidR="00AA101C" w:rsidRPr="008645BA">
        <w:t xml:space="preserve"> </w:t>
      </w:r>
    </w:p>
    <w:p w14:paraId="7BEE997B" w14:textId="3B15A013" w:rsidR="007763E3" w:rsidRPr="008645BA" w:rsidRDefault="007763E3" w:rsidP="00264F02">
      <w:r w:rsidRPr="008645BA">
        <w:t xml:space="preserve">When the </w:t>
      </w:r>
      <w:r w:rsidR="00DF5B55" w:rsidRPr="008645BA">
        <w:t>F</w:t>
      </w:r>
      <w:r w:rsidRPr="008645BA">
        <w:t xml:space="preserve">urther Part 4 tenancy ends, another </w:t>
      </w:r>
      <w:r w:rsidR="00135812">
        <w:t xml:space="preserve">Further </w:t>
      </w:r>
      <w:r w:rsidRPr="008645BA">
        <w:t>Part 4 tenancy automatically comes into operation in an identical manner</w:t>
      </w:r>
      <w:r w:rsidR="00AA101C" w:rsidRPr="008645BA">
        <w:t xml:space="preserve"> with identical rights</w:t>
      </w:r>
      <w:r w:rsidRPr="008645BA">
        <w:t>.</w:t>
      </w:r>
    </w:p>
    <w:p w14:paraId="48B46BC2" w14:textId="5664E983" w:rsidR="00D616A1" w:rsidRPr="008645BA" w:rsidRDefault="00D616A1" w:rsidP="00844CF9">
      <w:pPr>
        <w:pStyle w:val="Heading4"/>
      </w:pPr>
      <w:r w:rsidRPr="008645BA">
        <w:t xml:space="preserve">Grounds for a landlord ending a Part 4 tenancy or a </w:t>
      </w:r>
      <w:r w:rsidR="00DF5B55" w:rsidRPr="008645BA">
        <w:t>F</w:t>
      </w:r>
      <w:r w:rsidRPr="008645BA">
        <w:t xml:space="preserve">urther </w:t>
      </w:r>
      <w:r w:rsidR="00DF5B55" w:rsidRPr="008645BA">
        <w:t>P</w:t>
      </w:r>
      <w:r w:rsidRPr="008645BA">
        <w:t xml:space="preserve">art 4 tenancy </w:t>
      </w:r>
    </w:p>
    <w:p w14:paraId="1A538A98" w14:textId="785F3B66" w:rsidR="00DF5B55" w:rsidRPr="008645BA" w:rsidRDefault="00DF5B55" w:rsidP="00DF5B55">
      <w:r w:rsidRPr="008645BA">
        <w:t xml:space="preserve">A landlord can terminate a Part 4 tenancy or a </w:t>
      </w:r>
      <w:r w:rsidR="005768E6">
        <w:t>F</w:t>
      </w:r>
      <w:r w:rsidR="005768E6" w:rsidRPr="008645BA">
        <w:t xml:space="preserve">urther </w:t>
      </w:r>
      <w:r w:rsidRPr="008645BA">
        <w:t xml:space="preserve">Part 4 tenancy </w:t>
      </w:r>
      <w:r w:rsidR="00523033" w:rsidRPr="008645BA">
        <w:t xml:space="preserve">only </w:t>
      </w:r>
      <w:r w:rsidRPr="008645BA">
        <w:t>in one of the following six circumstances:</w:t>
      </w:r>
    </w:p>
    <w:p w14:paraId="766C9DC6" w14:textId="5C7BA5E0" w:rsidR="00D616A1" w:rsidRPr="008645BA" w:rsidRDefault="00DF5B55" w:rsidP="00886D62">
      <w:pPr>
        <w:pStyle w:val="ListParagraph"/>
        <w:numPr>
          <w:ilvl w:val="0"/>
          <w:numId w:val="12"/>
        </w:numPr>
      </w:pPr>
      <w:r w:rsidRPr="008645BA">
        <w:t>A</w:t>
      </w:r>
      <w:r w:rsidR="00DE4829" w:rsidRPr="008645BA">
        <w:t xml:space="preserve"> b</w:t>
      </w:r>
      <w:r w:rsidR="00D616A1" w:rsidRPr="008645BA">
        <w:t>reach of the lease by the tenant</w:t>
      </w:r>
      <w:r w:rsidR="00523033">
        <w:t>,</w:t>
      </w:r>
      <w:r w:rsidR="004675FB" w:rsidRPr="008645BA">
        <w:t xml:space="preserve"> which</w:t>
      </w:r>
      <w:r w:rsidRPr="008645BA">
        <w:t xml:space="preserve"> is capable of being remedied but which</w:t>
      </w:r>
      <w:r w:rsidR="004675FB" w:rsidRPr="008645BA">
        <w:t xml:space="preserve"> has not been remedied</w:t>
      </w:r>
      <w:r w:rsidR="005768E6">
        <w:t>.</w:t>
      </w:r>
    </w:p>
    <w:p w14:paraId="1B1464A7" w14:textId="7876BF13" w:rsidR="00D616A1" w:rsidRPr="008645BA" w:rsidRDefault="00DF5B55" w:rsidP="00886D62">
      <w:pPr>
        <w:pStyle w:val="ListParagraph"/>
        <w:numPr>
          <w:ilvl w:val="0"/>
          <w:numId w:val="12"/>
        </w:numPr>
      </w:pPr>
      <w:r w:rsidRPr="008645BA">
        <w:t>The p</w:t>
      </w:r>
      <w:r w:rsidR="00D616A1" w:rsidRPr="008645BA">
        <w:t>roperty</w:t>
      </w:r>
      <w:r w:rsidRPr="008645BA">
        <w:t xml:space="preserve"> becomes</w:t>
      </w:r>
      <w:r w:rsidR="00D616A1" w:rsidRPr="008645BA">
        <w:t xml:space="preserve"> </w:t>
      </w:r>
      <w:r w:rsidRPr="008645BA">
        <w:t>un</w:t>
      </w:r>
      <w:r w:rsidR="00D616A1" w:rsidRPr="008645BA">
        <w:t>suitable for the ne</w:t>
      </w:r>
      <w:r w:rsidR="00886D62" w:rsidRPr="008645BA">
        <w:t>e</w:t>
      </w:r>
      <w:r w:rsidR="00D616A1" w:rsidRPr="008645BA">
        <w:t>ds</w:t>
      </w:r>
      <w:r w:rsidR="00523033">
        <w:t xml:space="preserve"> of the tenant(s)</w:t>
      </w:r>
      <w:r w:rsidR="005768E6">
        <w:t>.</w:t>
      </w:r>
    </w:p>
    <w:p w14:paraId="3C17E033" w14:textId="7E8D2207" w:rsidR="004675FB" w:rsidRPr="008645BA" w:rsidRDefault="004675FB" w:rsidP="004675FB">
      <w:pPr>
        <w:pStyle w:val="ListParagraph"/>
        <w:numPr>
          <w:ilvl w:val="0"/>
          <w:numId w:val="12"/>
        </w:numPr>
      </w:pPr>
      <w:r w:rsidRPr="008645BA">
        <w:t>The landlord wishes to sell the property within nine months of the termination date</w:t>
      </w:r>
      <w:r w:rsidR="005768E6">
        <w:t>.</w:t>
      </w:r>
      <w:r w:rsidR="00EB6E2A" w:rsidRPr="008645BA">
        <w:t xml:space="preserve"> (</w:t>
      </w:r>
      <w:r w:rsidR="005768E6">
        <w:t>H</w:t>
      </w:r>
      <w:r w:rsidR="00EB6E2A" w:rsidRPr="008645BA">
        <w:t xml:space="preserve">owever, this reason may not apply if the landlord plans to sell 10 or more dwellings in a development within a </w:t>
      </w:r>
      <w:r w:rsidR="00523033">
        <w:t>six</w:t>
      </w:r>
      <w:r w:rsidR="00EB6E2A" w:rsidRPr="008645BA">
        <w:t>-month period</w:t>
      </w:r>
      <w:r w:rsidR="005768E6">
        <w:t>.</w:t>
      </w:r>
      <w:r w:rsidR="00EB6E2A" w:rsidRPr="008645BA">
        <w:t>)</w:t>
      </w:r>
    </w:p>
    <w:p w14:paraId="7F591CCC" w14:textId="51A6E6F1" w:rsidR="00D616A1" w:rsidRPr="008645BA" w:rsidRDefault="00D616A1" w:rsidP="00886D62">
      <w:pPr>
        <w:pStyle w:val="ListParagraph"/>
        <w:numPr>
          <w:ilvl w:val="0"/>
          <w:numId w:val="12"/>
        </w:numPr>
      </w:pPr>
      <w:r w:rsidRPr="008645BA">
        <w:t>The landlord requires the property for personal use</w:t>
      </w:r>
      <w:r w:rsidR="004675FB" w:rsidRPr="008645BA">
        <w:t xml:space="preserve"> or </w:t>
      </w:r>
      <w:r w:rsidR="0010764D">
        <w:t xml:space="preserve">for </w:t>
      </w:r>
      <w:r w:rsidR="004675FB" w:rsidRPr="008645BA">
        <w:t>use by a family member</w:t>
      </w:r>
      <w:r w:rsidR="005768E6">
        <w:t>.</w:t>
      </w:r>
    </w:p>
    <w:p w14:paraId="04A1E7FE" w14:textId="7DDF32B9" w:rsidR="00886D62" w:rsidRPr="008645BA" w:rsidRDefault="00886D62" w:rsidP="00617DAD">
      <w:pPr>
        <w:pStyle w:val="ListParagraph"/>
      </w:pPr>
      <w:r w:rsidRPr="008645BA">
        <w:t>Family use is defined as use by a spouse, civil partner, child, step</w:t>
      </w:r>
      <w:r w:rsidR="00E949F7">
        <w:t>-</w:t>
      </w:r>
      <w:r w:rsidRPr="008645BA">
        <w:t xml:space="preserve">child, foster child, grandchild, parent, grandparent, </w:t>
      </w:r>
      <w:r w:rsidR="00617DAD" w:rsidRPr="008645BA">
        <w:t>step</w:t>
      </w:r>
      <w:r w:rsidR="00617DAD">
        <w:t>-</w:t>
      </w:r>
      <w:r w:rsidRPr="008645BA">
        <w:t>parent, parent-in-law, brother, sister, nephew, niece or person adopted by the landlord under the Adoption Acts. </w:t>
      </w:r>
    </w:p>
    <w:p w14:paraId="2ABB48E0" w14:textId="7A65107E" w:rsidR="0054265E" w:rsidRPr="008645BA" w:rsidRDefault="00D616A1" w:rsidP="004675FB">
      <w:pPr>
        <w:pStyle w:val="ListParagraph"/>
        <w:numPr>
          <w:ilvl w:val="0"/>
          <w:numId w:val="12"/>
        </w:numPr>
      </w:pPr>
      <w:r w:rsidRPr="008645BA">
        <w:t>Significant refurbishment of the property</w:t>
      </w:r>
      <w:r w:rsidR="0054265E" w:rsidRPr="008645BA">
        <w:t xml:space="preserve"> which requires the property to be vacated</w:t>
      </w:r>
      <w:r w:rsidR="00617DAD">
        <w:t>.</w:t>
      </w:r>
    </w:p>
    <w:p w14:paraId="681660B9" w14:textId="128A61E0" w:rsidR="00DE4829" w:rsidRPr="008645BA" w:rsidRDefault="00001576" w:rsidP="004675FB">
      <w:pPr>
        <w:pStyle w:val="ListParagraph"/>
      </w:pPr>
      <w:r>
        <w:t>I</w:t>
      </w:r>
      <w:r w:rsidRPr="008645BA">
        <w:t>f the landlord wishes to lease it again</w:t>
      </w:r>
      <w:r>
        <w:t>, t</w:t>
      </w:r>
      <w:r w:rsidR="00DE4829" w:rsidRPr="008645BA">
        <w:t>he refurbished property must be</w:t>
      </w:r>
      <w:r w:rsidR="00F865CD" w:rsidRPr="008645BA">
        <w:t xml:space="preserve"> first</w:t>
      </w:r>
      <w:r w:rsidR="00DE4829" w:rsidRPr="008645BA">
        <w:t xml:space="preserve"> re</w:t>
      </w:r>
      <w:r w:rsidR="00523033">
        <w:t>-</w:t>
      </w:r>
      <w:r w:rsidR="00DE4829" w:rsidRPr="008645BA">
        <w:t>offered to the tenant</w:t>
      </w:r>
      <w:r w:rsidR="0010764D">
        <w:t>,</w:t>
      </w:r>
      <w:r w:rsidR="00DE4829" w:rsidRPr="008645BA">
        <w:t xml:space="preserve"> </w:t>
      </w:r>
      <w:r w:rsidR="00523033">
        <w:t>when the</w:t>
      </w:r>
      <w:r w:rsidR="00DE4829" w:rsidRPr="008645BA">
        <w:t xml:space="preserve"> works </w:t>
      </w:r>
      <w:r w:rsidR="00523033">
        <w:t>are completed</w:t>
      </w:r>
      <w:r>
        <w:t>.</w:t>
      </w:r>
    </w:p>
    <w:p w14:paraId="2AD6E400" w14:textId="725702D8" w:rsidR="00D616A1" w:rsidRPr="008645BA" w:rsidRDefault="00D616A1" w:rsidP="00886D62">
      <w:pPr>
        <w:pStyle w:val="ListParagraph"/>
        <w:numPr>
          <w:ilvl w:val="0"/>
          <w:numId w:val="12"/>
        </w:numPr>
      </w:pPr>
      <w:r w:rsidRPr="008645BA">
        <w:t>Changes to the use of the property</w:t>
      </w:r>
      <w:r w:rsidR="00523033">
        <w:t xml:space="preserve"> (</w:t>
      </w:r>
      <w:r w:rsidR="00617DAD">
        <w:t xml:space="preserve">for example, </w:t>
      </w:r>
      <w:r w:rsidR="00886D62" w:rsidRPr="008645BA">
        <w:t>from a residential to a commercial letting</w:t>
      </w:r>
      <w:r w:rsidR="00523033">
        <w:t>)</w:t>
      </w:r>
      <w:r w:rsidR="00617DAD">
        <w:t>.</w:t>
      </w:r>
    </w:p>
    <w:p w14:paraId="14A7B304" w14:textId="497A6381" w:rsidR="00886D62" w:rsidRPr="008645BA" w:rsidRDefault="00886D62" w:rsidP="00264F02">
      <w:r w:rsidRPr="008645BA">
        <w:t xml:space="preserve">Where a tenancy is ended on the basis of </w:t>
      </w:r>
      <w:r w:rsidR="00F865CD" w:rsidRPr="008645BA">
        <w:t>letting to a family member</w:t>
      </w:r>
      <w:r w:rsidR="00197596">
        <w:t>, a substantial refurbishment</w:t>
      </w:r>
      <w:r w:rsidR="00F865CD" w:rsidRPr="008645BA">
        <w:t xml:space="preserve"> or a change in use</w:t>
      </w:r>
      <w:r w:rsidRPr="008645BA">
        <w:t>, a landlord must offer the property back to the tenant who left the property if the relevant ground ceases to apply within one year of the tenancy ending</w:t>
      </w:r>
      <w:r w:rsidR="00523033">
        <w:t xml:space="preserve"> (or within six months f</w:t>
      </w:r>
      <w:r w:rsidRPr="008645BA">
        <w:t xml:space="preserve">or tenancies which ended </w:t>
      </w:r>
      <w:r w:rsidR="00523033">
        <w:t>before</w:t>
      </w:r>
      <w:r w:rsidRPr="008645BA">
        <w:t xml:space="preserve"> 4 June 2019</w:t>
      </w:r>
      <w:r w:rsidR="00523033">
        <w:t xml:space="preserve">). </w:t>
      </w:r>
    </w:p>
    <w:p w14:paraId="16166BA2" w14:textId="50590650" w:rsidR="00886D62" w:rsidRPr="008645BA" w:rsidRDefault="00E949F7" w:rsidP="00264F02">
      <w:r>
        <w:t>Details of</w:t>
      </w:r>
      <w:r w:rsidR="00886D62" w:rsidRPr="008645BA">
        <w:t xml:space="preserve"> what must be contained in the written notice of termination for each particular ground are set out on the RTB’s website</w:t>
      </w:r>
      <w:r w:rsidR="00523033">
        <w:t>:</w:t>
      </w:r>
      <w:r w:rsidR="00886D62" w:rsidRPr="008645BA">
        <w:t xml:space="preserve"> </w:t>
      </w:r>
      <w:r w:rsidR="00886D62" w:rsidRPr="005C4D17">
        <w:rPr>
          <w:b/>
        </w:rPr>
        <w:t>onestopshop.rtb.ie/ending-a-tenancy/how-a-landlord-can-end-a-tenancy/landlords-grounds-for-ending-a-tenancy</w:t>
      </w:r>
      <w:r w:rsidR="004B3484">
        <w:t>.</w:t>
      </w:r>
    </w:p>
    <w:p w14:paraId="5052716F" w14:textId="66BEE9EF" w:rsidR="0054265E" w:rsidRDefault="0054265E" w:rsidP="00264F02">
      <w:r w:rsidRPr="008645BA">
        <w:t xml:space="preserve">In addition, </w:t>
      </w:r>
      <w:r w:rsidR="004675FB" w:rsidRPr="008645BA">
        <w:t>a landlord is now obliged to provide a copy of the notice of termination which cites one of the above grounds to the RTB</w:t>
      </w:r>
      <w:r w:rsidR="00E949F7">
        <w:t>. This must be submitted within 28 days of the date that the tenancy ends</w:t>
      </w:r>
      <w:r w:rsidR="004675FB" w:rsidRPr="008645BA">
        <w:t>.</w:t>
      </w:r>
    </w:p>
    <w:p w14:paraId="28DAB989" w14:textId="0F6FB669" w:rsidR="00197596" w:rsidRPr="008645BA" w:rsidRDefault="00197596" w:rsidP="00264F02">
      <w:r>
        <w:lastRenderedPageBreak/>
        <w:t>There are also c</w:t>
      </w:r>
      <w:r w:rsidR="00FF3E6B">
        <w:t>hanges to</w:t>
      </w:r>
      <w:r w:rsidRPr="00197596">
        <w:t xml:space="preserve"> </w:t>
      </w:r>
      <w:r>
        <w:t xml:space="preserve">the </w:t>
      </w:r>
      <w:r w:rsidRPr="00197596">
        <w:t>notice periods for the termination of a tenancy by a landlord</w:t>
      </w:r>
      <w:r>
        <w:t>.</w:t>
      </w:r>
    </w:p>
    <w:tbl>
      <w:tblPr>
        <w:tblStyle w:val="TableGrid"/>
        <w:tblpPr w:leftFromText="180" w:rightFromText="180" w:vertAnchor="text" w:horzAnchor="margin" w:tblpY="274"/>
        <w:tblW w:w="0" w:type="auto"/>
        <w:tblLook w:val="04A0" w:firstRow="1" w:lastRow="0" w:firstColumn="1" w:lastColumn="0" w:noHBand="0" w:noVBand="1"/>
      </w:tblPr>
      <w:tblGrid>
        <w:gridCol w:w="3964"/>
        <w:gridCol w:w="2526"/>
        <w:gridCol w:w="2526"/>
      </w:tblGrid>
      <w:tr w:rsidR="007763E3" w:rsidRPr="008645BA" w14:paraId="3D27C609" w14:textId="77777777" w:rsidTr="00517745">
        <w:tc>
          <w:tcPr>
            <w:tcW w:w="3964" w:type="dxa"/>
          </w:tcPr>
          <w:p w14:paraId="6D12F915" w14:textId="039C9636" w:rsidR="007763E3" w:rsidRPr="008645BA" w:rsidRDefault="007763E3" w:rsidP="007763E3">
            <w:pPr>
              <w:jc w:val="center"/>
              <w:rPr>
                <w:b/>
              </w:rPr>
            </w:pPr>
            <w:r w:rsidRPr="008645BA">
              <w:rPr>
                <w:b/>
              </w:rPr>
              <w:t xml:space="preserve">Duration of </w:t>
            </w:r>
            <w:r w:rsidR="00617DAD">
              <w:rPr>
                <w:b/>
              </w:rPr>
              <w:t>t</w:t>
            </w:r>
            <w:r w:rsidRPr="008645BA">
              <w:rPr>
                <w:b/>
              </w:rPr>
              <w:t>enancy</w:t>
            </w:r>
          </w:p>
        </w:tc>
        <w:tc>
          <w:tcPr>
            <w:tcW w:w="2526" w:type="dxa"/>
          </w:tcPr>
          <w:p w14:paraId="0BEA858E" w14:textId="647DF7B9" w:rsidR="007763E3" w:rsidRPr="008645BA" w:rsidRDefault="007763E3" w:rsidP="00517745">
            <w:pPr>
              <w:jc w:val="center"/>
              <w:rPr>
                <w:b/>
              </w:rPr>
            </w:pPr>
            <w:r w:rsidRPr="008645BA">
              <w:rPr>
                <w:b/>
              </w:rPr>
              <w:t xml:space="preserve">Old </w:t>
            </w:r>
            <w:r w:rsidR="00617DAD">
              <w:rPr>
                <w:b/>
              </w:rPr>
              <w:t>n</w:t>
            </w:r>
            <w:r w:rsidRPr="008645BA">
              <w:rPr>
                <w:b/>
              </w:rPr>
              <w:t xml:space="preserve">otice </w:t>
            </w:r>
            <w:r w:rsidR="00617DAD">
              <w:rPr>
                <w:b/>
              </w:rPr>
              <w:t>p</w:t>
            </w:r>
            <w:r w:rsidRPr="008645BA">
              <w:rPr>
                <w:b/>
              </w:rPr>
              <w:t>eriod</w:t>
            </w:r>
          </w:p>
        </w:tc>
        <w:tc>
          <w:tcPr>
            <w:tcW w:w="2526" w:type="dxa"/>
          </w:tcPr>
          <w:p w14:paraId="3F1253DB" w14:textId="2FC5BE2D" w:rsidR="007763E3" w:rsidRPr="008645BA" w:rsidRDefault="007763E3" w:rsidP="00517745">
            <w:pPr>
              <w:jc w:val="center"/>
              <w:rPr>
                <w:b/>
              </w:rPr>
            </w:pPr>
            <w:r w:rsidRPr="008645BA">
              <w:rPr>
                <w:b/>
              </w:rPr>
              <w:t xml:space="preserve">New </w:t>
            </w:r>
            <w:r w:rsidR="00617DAD">
              <w:rPr>
                <w:b/>
              </w:rPr>
              <w:t>n</w:t>
            </w:r>
            <w:r w:rsidRPr="008645BA">
              <w:rPr>
                <w:b/>
              </w:rPr>
              <w:t xml:space="preserve">otice </w:t>
            </w:r>
            <w:r w:rsidR="00617DAD">
              <w:rPr>
                <w:b/>
              </w:rPr>
              <w:t>p</w:t>
            </w:r>
            <w:r w:rsidRPr="008645BA">
              <w:rPr>
                <w:b/>
              </w:rPr>
              <w:t>eriod</w:t>
            </w:r>
          </w:p>
        </w:tc>
      </w:tr>
      <w:tr w:rsidR="007763E3" w:rsidRPr="008645BA" w14:paraId="5D934E16" w14:textId="77777777" w:rsidTr="00517745">
        <w:tc>
          <w:tcPr>
            <w:tcW w:w="3964" w:type="dxa"/>
          </w:tcPr>
          <w:p w14:paraId="39E51A11" w14:textId="77777777" w:rsidR="007763E3" w:rsidRPr="008645BA" w:rsidRDefault="007763E3" w:rsidP="007763E3">
            <w:r w:rsidRPr="008645BA">
              <w:t>Less than 6 months</w:t>
            </w:r>
          </w:p>
        </w:tc>
        <w:tc>
          <w:tcPr>
            <w:tcW w:w="2526" w:type="dxa"/>
          </w:tcPr>
          <w:p w14:paraId="2525CD01" w14:textId="77777777" w:rsidR="007763E3" w:rsidRPr="008645BA" w:rsidRDefault="007763E3" w:rsidP="00517745">
            <w:pPr>
              <w:jc w:val="center"/>
            </w:pPr>
            <w:r w:rsidRPr="008645BA">
              <w:t>28 days</w:t>
            </w:r>
          </w:p>
        </w:tc>
        <w:tc>
          <w:tcPr>
            <w:tcW w:w="2526" w:type="dxa"/>
          </w:tcPr>
          <w:p w14:paraId="36365623" w14:textId="39635F6F" w:rsidR="007763E3" w:rsidRPr="008645BA" w:rsidRDefault="00517745" w:rsidP="00517745">
            <w:pPr>
              <w:jc w:val="center"/>
            </w:pPr>
            <w:r w:rsidRPr="008645BA">
              <w:t>28 days</w:t>
            </w:r>
          </w:p>
        </w:tc>
      </w:tr>
      <w:tr w:rsidR="007763E3" w:rsidRPr="008645BA" w14:paraId="493209EE" w14:textId="77777777" w:rsidTr="00517745">
        <w:tc>
          <w:tcPr>
            <w:tcW w:w="3964" w:type="dxa"/>
          </w:tcPr>
          <w:p w14:paraId="772785DE" w14:textId="77777777" w:rsidR="007763E3" w:rsidRPr="008645BA" w:rsidRDefault="007763E3" w:rsidP="007763E3">
            <w:r w:rsidRPr="008645BA">
              <w:t>6 or more months but less than 1 year</w:t>
            </w:r>
          </w:p>
        </w:tc>
        <w:tc>
          <w:tcPr>
            <w:tcW w:w="2526" w:type="dxa"/>
          </w:tcPr>
          <w:p w14:paraId="42479AB9" w14:textId="77777777" w:rsidR="007763E3" w:rsidRPr="008645BA" w:rsidRDefault="007763E3" w:rsidP="00517745">
            <w:pPr>
              <w:jc w:val="center"/>
            </w:pPr>
            <w:r w:rsidRPr="008645BA">
              <w:t>35 days</w:t>
            </w:r>
          </w:p>
        </w:tc>
        <w:tc>
          <w:tcPr>
            <w:tcW w:w="2526" w:type="dxa"/>
          </w:tcPr>
          <w:p w14:paraId="50077576" w14:textId="63E93954" w:rsidR="007763E3" w:rsidRPr="008645BA" w:rsidRDefault="00517745" w:rsidP="00517745">
            <w:pPr>
              <w:jc w:val="center"/>
            </w:pPr>
            <w:r w:rsidRPr="008645BA">
              <w:t>90 days</w:t>
            </w:r>
          </w:p>
        </w:tc>
      </w:tr>
      <w:tr w:rsidR="007763E3" w:rsidRPr="008645BA" w14:paraId="4708A64A" w14:textId="77777777" w:rsidTr="00517745">
        <w:tc>
          <w:tcPr>
            <w:tcW w:w="3964" w:type="dxa"/>
          </w:tcPr>
          <w:p w14:paraId="1FB3D60A" w14:textId="77777777" w:rsidR="007763E3" w:rsidRPr="008645BA" w:rsidRDefault="007763E3" w:rsidP="007763E3">
            <w:r w:rsidRPr="008645BA">
              <w:t>1 year or more but less than 2 years</w:t>
            </w:r>
          </w:p>
        </w:tc>
        <w:tc>
          <w:tcPr>
            <w:tcW w:w="2526" w:type="dxa"/>
          </w:tcPr>
          <w:p w14:paraId="61D0C4BE" w14:textId="5D93CDB4" w:rsidR="007763E3" w:rsidRPr="008645BA" w:rsidRDefault="007763E3" w:rsidP="00517745">
            <w:pPr>
              <w:jc w:val="center"/>
            </w:pPr>
            <w:r w:rsidRPr="008645BA">
              <w:t>42 days</w:t>
            </w:r>
          </w:p>
        </w:tc>
        <w:tc>
          <w:tcPr>
            <w:tcW w:w="2526" w:type="dxa"/>
          </w:tcPr>
          <w:p w14:paraId="21189494" w14:textId="0B9C5158" w:rsidR="007763E3" w:rsidRPr="008645BA" w:rsidRDefault="00517745" w:rsidP="00517745">
            <w:pPr>
              <w:jc w:val="center"/>
            </w:pPr>
            <w:r w:rsidRPr="008645BA">
              <w:t>120 days</w:t>
            </w:r>
          </w:p>
        </w:tc>
      </w:tr>
      <w:tr w:rsidR="007763E3" w:rsidRPr="008645BA" w14:paraId="0C6AEF7C" w14:textId="77777777" w:rsidTr="00517745">
        <w:tc>
          <w:tcPr>
            <w:tcW w:w="3964" w:type="dxa"/>
          </w:tcPr>
          <w:p w14:paraId="31E04B63" w14:textId="77777777" w:rsidR="007763E3" w:rsidRPr="008645BA" w:rsidRDefault="007763E3" w:rsidP="007763E3">
            <w:r w:rsidRPr="008645BA">
              <w:t>2 years or more but less than 3 years</w:t>
            </w:r>
          </w:p>
        </w:tc>
        <w:tc>
          <w:tcPr>
            <w:tcW w:w="2526" w:type="dxa"/>
          </w:tcPr>
          <w:p w14:paraId="04B8DB07" w14:textId="77777777" w:rsidR="007763E3" w:rsidRPr="008645BA" w:rsidRDefault="007763E3" w:rsidP="00517745">
            <w:pPr>
              <w:jc w:val="center"/>
            </w:pPr>
            <w:r w:rsidRPr="008645BA">
              <w:t>56 days</w:t>
            </w:r>
          </w:p>
        </w:tc>
        <w:tc>
          <w:tcPr>
            <w:tcW w:w="2526" w:type="dxa"/>
          </w:tcPr>
          <w:p w14:paraId="42B748A6" w14:textId="5FB109E4" w:rsidR="007763E3" w:rsidRPr="008645BA" w:rsidRDefault="00517745" w:rsidP="00517745">
            <w:pPr>
              <w:jc w:val="center"/>
            </w:pPr>
            <w:r w:rsidRPr="008645BA">
              <w:t>120 days</w:t>
            </w:r>
          </w:p>
        </w:tc>
      </w:tr>
      <w:tr w:rsidR="007763E3" w:rsidRPr="008645BA" w14:paraId="2F8C7175" w14:textId="77777777" w:rsidTr="00517745">
        <w:tc>
          <w:tcPr>
            <w:tcW w:w="3964" w:type="dxa"/>
          </w:tcPr>
          <w:p w14:paraId="7D722017" w14:textId="77777777" w:rsidR="007763E3" w:rsidRPr="008645BA" w:rsidRDefault="007763E3" w:rsidP="007763E3">
            <w:r w:rsidRPr="008645BA">
              <w:t>3 years or more but less than 4 years</w:t>
            </w:r>
          </w:p>
        </w:tc>
        <w:tc>
          <w:tcPr>
            <w:tcW w:w="2526" w:type="dxa"/>
          </w:tcPr>
          <w:p w14:paraId="1E460D77" w14:textId="07B38B00" w:rsidR="007763E3" w:rsidRPr="008645BA" w:rsidRDefault="00517745" w:rsidP="00517745">
            <w:pPr>
              <w:jc w:val="center"/>
            </w:pPr>
            <w:r w:rsidRPr="008645BA">
              <w:t>84 days</w:t>
            </w:r>
          </w:p>
        </w:tc>
        <w:tc>
          <w:tcPr>
            <w:tcW w:w="2526" w:type="dxa"/>
          </w:tcPr>
          <w:p w14:paraId="007F527F" w14:textId="50D2BF3F" w:rsidR="007763E3" w:rsidRPr="008645BA" w:rsidRDefault="00517745" w:rsidP="00517745">
            <w:pPr>
              <w:jc w:val="center"/>
            </w:pPr>
            <w:r w:rsidRPr="008645BA">
              <w:t>180 days</w:t>
            </w:r>
          </w:p>
        </w:tc>
      </w:tr>
      <w:tr w:rsidR="007763E3" w:rsidRPr="008645BA" w14:paraId="5E244EE5" w14:textId="77777777" w:rsidTr="00517745">
        <w:tc>
          <w:tcPr>
            <w:tcW w:w="3964" w:type="dxa"/>
          </w:tcPr>
          <w:p w14:paraId="39E96C7F" w14:textId="77777777" w:rsidR="007763E3" w:rsidRPr="008645BA" w:rsidRDefault="007763E3" w:rsidP="007763E3">
            <w:r w:rsidRPr="008645BA">
              <w:t>4 years or more but less than 5 years</w:t>
            </w:r>
          </w:p>
        </w:tc>
        <w:tc>
          <w:tcPr>
            <w:tcW w:w="2526" w:type="dxa"/>
          </w:tcPr>
          <w:p w14:paraId="4AF4250E" w14:textId="249AA593" w:rsidR="007763E3" w:rsidRPr="008645BA" w:rsidRDefault="00517745" w:rsidP="00517745">
            <w:pPr>
              <w:jc w:val="center"/>
            </w:pPr>
            <w:r w:rsidRPr="008645BA">
              <w:t>112 days</w:t>
            </w:r>
          </w:p>
        </w:tc>
        <w:tc>
          <w:tcPr>
            <w:tcW w:w="2526" w:type="dxa"/>
          </w:tcPr>
          <w:p w14:paraId="133E753D" w14:textId="43E93C9A" w:rsidR="007763E3" w:rsidRPr="008645BA" w:rsidRDefault="00517745" w:rsidP="00517745">
            <w:pPr>
              <w:jc w:val="center"/>
            </w:pPr>
            <w:r w:rsidRPr="008645BA">
              <w:t>180 days</w:t>
            </w:r>
          </w:p>
        </w:tc>
      </w:tr>
      <w:tr w:rsidR="00517745" w:rsidRPr="008645BA" w14:paraId="1CD2A5B2" w14:textId="77777777" w:rsidTr="00517745">
        <w:tc>
          <w:tcPr>
            <w:tcW w:w="3964" w:type="dxa"/>
          </w:tcPr>
          <w:p w14:paraId="2A4A24AC" w14:textId="46C9293F" w:rsidR="00517745" w:rsidRPr="008645BA" w:rsidRDefault="00517745" w:rsidP="007763E3">
            <w:r w:rsidRPr="008645BA">
              <w:t>5 years or more but less than 6 years</w:t>
            </w:r>
          </w:p>
        </w:tc>
        <w:tc>
          <w:tcPr>
            <w:tcW w:w="2526" w:type="dxa"/>
          </w:tcPr>
          <w:p w14:paraId="796DB6B8" w14:textId="00F6EC9B" w:rsidR="00517745" w:rsidRPr="008645BA" w:rsidRDefault="00517745" w:rsidP="00517745">
            <w:pPr>
              <w:jc w:val="center"/>
            </w:pPr>
            <w:r w:rsidRPr="008645BA">
              <w:t>140 days</w:t>
            </w:r>
          </w:p>
        </w:tc>
        <w:tc>
          <w:tcPr>
            <w:tcW w:w="2526" w:type="dxa"/>
          </w:tcPr>
          <w:p w14:paraId="0107A1B1" w14:textId="65C6B2AA" w:rsidR="00517745" w:rsidRPr="008645BA" w:rsidRDefault="00517745" w:rsidP="00517745">
            <w:pPr>
              <w:jc w:val="center"/>
            </w:pPr>
            <w:r w:rsidRPr="008645BA">
              <w:t>180 days</w:t>
            </w:r>
          </w:p>
        </w:tc>
      </w:tr>
      <w:tr w:rsidR="00517745" w:rsidRPr="008645BA" w14:paraId="0C3FB630" w14:textId="77777777" w:rsidTr="00517745">
        <w:tc>
          <w:tcPr>
            <w:tcW w:w="3964" w:type="dxa"/>
          </w:tcPr>
          <w:p w14:paraId="582B5F73" w14:textId="7245EA1F" w:rsidR="00517745" w:rsidRPr="008645BA" w:rsidRDefault="00517745" w:rsidP="007763E3">
            <w:r w:rsidRPr="008645BA">
              <w:t>6 years or more but less than 7 years</w:t>
            </w:r>
          </w:p>
        </w:tc>
        <w:tc>
          <w:tcPr>
            <w:tcW w:w="2526" w:type="dxa"/>
          </w:tcPr>
          <w:p w14:paraId="12F9B68E" w14:textId="482809DD" w:rsidR="00517745" w:rsidRPr="008645BA" w:rsidRDefault="00517745" w:rsidP="00517745">
            <w:pPr>
              <w:jc w:val="center"/>
            </w:pPr>
            <w:r w:rsidRPr="008645BA">
              <w:t>168 days</w:t>
            </w:r>
          </w:p>
        </w:tc>
        <w:tc>
          <w:tcPr>
            <w:tcW w:w="2526" w:type="dxa"/>
          </w:tcPr>
          <w:p w14:paraId="10DD1372" w14:textId="12C111FB" w:rsidR="00517745" w:rsidRPr="008645BA" w:rsidRDefault="00517745" w:rsidP="00517745">
            <w:pPr>
              <w:jc w:val="center"/>
            </w:pPr>
            <w:r w:rsidRPr="008645BA">
              <w:t>180 days</w:t>
            </w:r>
          </w:p>
        </w:tc>
      </w:tr>
      <w:tr w:rsidR="00517745" w:rsidRPr="008645BA" w14:paraId="3B5E65D6" w14:textId="77777777" w:rsidTr="00517745">
        <w:tc>
          <w:tcPr>
            <w:tcW w:w="3964" w:type="dxa"/>
          </w:tcPr>
          <w:p w14:paraId="033D04A4" w14:textId="5CE5B8C3" w:rsidR="00517745" w:rsidRPr="008645BA" w:rsidRDefault="00517745" w:rsidP="00517745">
            <w:r w:rsidRPr="008645BA">
              <w:t>7 years or more but less than 8 years</w:t>
            </w:r>
          </w:p>
        </w:tc>
        <w:tc>
          <w:tcPr>
            <w:tcW w:w="2526" w:type="dxa"/>
          </w:tcPr>
          <w:p w14:paraId="56E7B9B4" w14:textId="6FD746C7" w:rsidR="00517745" w:rsidRPr="008645BA" w:rsidRDefault="00517745" w:rsidP="00517745">
            <w:pPr>
              <w:jc w:val="center"/>
            </w:pPr>
            <w:r w:rsidRPr="008645BA">
              <w:t>196 days</w:t>
            </w:r>
          </w:p>
        </w:tc>
        <w:tc>
          <w:tcPr>
            <w:tcW w:w="2526" w:type="dxa"/>
          </w:tcPr>
          <w:p w14:paraId="12CC1C17" w14:textId="3AD71581" w:rsidR="00517745" w:rsidRPr="008645BA" w:rsidRDefault="00517745" w:rsidP="00517745">
            <w:pPr>
              <w:jc w:val="center"/>
            </w:pPr>
            <w:r w:rsidRPr="008645BA">
              <w:t>196 days</w:t>
            </w:r>
          </w:p>
        </w:tc>
      </w:tr>
      <w:tr w:rsidR="00517745" w:rsidRPr="008645BA" w14:paraId="1222701E" w14:textId="77777777" w:rsidTr="00517745">
        <w:tc>
          <w:tcPr>
            <w:tcW w:w="3964" w:type="dxa"/>
          </w:tcPr>
          <w:p w14:paraId="2F75A786" w14:textId="53134EF8" w:rsidR="00517745" w:rsidRPr="008645BA" w:rsidRDefault="00517745" w:rsidP="00517745">
            <w:r w:rsidRPr="008645BA">
              <w:t>8 or more years</w:t>
            </w:r>
          </w:p>
        </w:tc>
        <w:tc>
          <w:tcPr>
            <w:tcW w:w="2526" w:type="dxa"/>
          </w:tcPr>
          <w:p w14:paraId="4FA87EEB" w14:textId="005ADA34" w:rsidR="00517745" w:rsidRPr="008645BA" w:rsidRDefault="00517745" w:rsidP="00517745">
            <w:pPr>
              <w:jc w:val="center"/>
            </w:pPr>
            <w:r w:rsidRPr="008645BA">
              <w:t>224 days</w:t>
            </w:r>
          </w:p>
        </w:tc>
        <w:tc>
          <w:tcPr>
            <w:tcW w:w="2526" w:type="dxa"/>
          </w:tcPr>
          <w:p w14:paraId="0E19E2E7" w14:textId="6860BF97" w:rsidR="00517745" w:rsidRPr="008645BA" w:rsidRDefault="00517745" w:rsidP="00517745">
            <w:pPr>
              <w:jc w:val="center"/>
            </w:pPr>
            <w:r w:rsidRPr="008645BA">
              <w:t>224 days</w:t>
            </w:r>
          </w:p>
        </w:tc>
      </w:tr>
    </w:tbl>
    <w:p w14:paraId="20CDA691" w14:textId="0C7BD242" w:rsidR="003873F7" w:rsidRPr="008645BA" w:rsidRDefault="003873F7"/>
    <w:p w14:paraId="28968928" w14:textId="18CFEFC7" w:rsidR="00C65A9E" w:rsidRPr="008645BA" w:rsidRDefault="00C65A9E"/>
    <w:p w14:paraId="57C8B4C8" w14:textId="7A7D1A81" w:rsidR="0066588F" w:rsidRPr="008645BA" w:rsidRDefault="0066588F">
      <w:r w:rsidRPr="008645BA">
        <w:t xml:space="preserve">There are no changes in the notice periods for termination by a tenant. </w:t>
      </w:r>
    </w:p>
    <w:p w14:paraId="20D54AA3" w14:textId="0969EECD" w:rsidR="00EB6E2A" w:rsidRPr="008645BA" w:rsidRDefault="00EB6E2A"/>
    <w:p w14:paraId="1A9DB0BD" w14:textId="7A2208B0" w:rsidR="00123140" w:rsidRPr="00123140" w:rsidRDefault="00EB6E2A" w:rsidP="00123140">
      <w:pPr>
        <w:pStyle w:val="Heading4"/>
      </w:pPr>
      <w:r w:rsidRPr="008645BA">
        <w:t>Remedial notices of termination</w:t>
      </w:r>
      <w:r w:rsidR="00123140">
        <w:t xml:space="preserve"> of a tenancy</w:t>
      </w:r>
    </w:p>
    <w:p w14:paraId="42330477" w14:textId="193413B3" w:rsidR="00C31DDB" w:rsidRDefault="00EB6E2A">
      <w:r w:rsidRPr="008645BA">
        <w:t>The 2019 Act introduced the concept of remedial notices of termination to deal with situations where there is a</w:t>
      </w:r>
      <w:r w:rsidR="00844113">
        <w:t>n error</w:t>
      </w:r>
      <w:r w:rsidRPr="008645BA">
        <w:t xml:space="preserve"> in the notice of termination.</w:t>
      </w:r>
      <w:r w:rsidR="00224531" w:rsidRPr="008645BA">
        <w:t xml:space="preserve"> </w:t>
      </w:r>
      <w:r w:rsidR="00844113">
        <w:t xml:space="preserve">For example, if </w:t>
      </w:r>
      <w:r w:rsidR="001C702F">
        <w:t>a</w:t>
      </w:r>
      <w:r w:rsidR="006A6850">
        <w:t xml:space="preserve"> landlord</w:t>
      </w:r>
      <w:r w:rsidR="00123140">
        <w:t xml:space="preserve"> or tenant</w:t>
      </w:r>
      <w:r w:rsidR="006A6850">
        <w:t xml:space="preserve"> provide</w:t>
      </w:r>
      <w:r w:rsidR="001C702F">
        <w:t>s</w:t>
      </w:r>
      <w:r w:rsidR="006A6850">
        <w:t xml:space="preserve"> </w:t>
      </w:r>
      <w:r w:rsidR="00844113">
        <w:t xml:space="preserve">incorrect dates in the </w:t>
      </w:r>
      <w:r w:rsidR="00123140">
        <w:t>notice to terminate the tenancy</w:t>
      </w:r>
      <w:r w:rsidR="00844113">
        <w:t>.</w:t>
      </w:r>
    </w:p>
    <w:p w14:paraId="54D47794" w14:textId="136D89CC" w:rsidR="001D6D1C" w:rsidRPr="008645BA" w:rsidRDefault="009004CE" w:rsidP="006A24B4">
      <w:r>
        <w:t>When</w:t>
      </w:r>
      <w:r w:rsidR="00FF3E6B">
        <w:t xml:space="preserve"> an RTB Tenancy T</w:t>
      </w:r>
      <w:r w:rsidR="006A24B4" w:rsidRPr="008645BA">
        <w:t>ribunal determine</w:t>
      </w:r>
      <w:r w:rsidR="00844113">
        <w:t>s</w:t>
      </w:r>
      <w:r w:rsidR="006A24B4" w:rsidRPr="008645BA">
        <w:t xml:space="preserve"> </w:t>
      </w:r>
      <w:r w:rsidR="00F546C2">
        <w:t xml:space="preserve">that </w:t>
      </w:r>
      <w:r w:rsidR="006A24B4" w:rsidRPr="008645BA">
        <w:t>a mistake</w:t>
      </w:r>
      <w:r w:rsidR="00F546C2">
        <w:t xml:space="preserve"> has been made</w:t>
      </w:r>
      <w:r w:rsidR="006A24B4" w:rsidRPr="008645BA">
        <w:t>, the landlord or tenant then ha</w:t>
      </w:r>
      <w:r w:rsidR="00123140">
        <w:t>s</w:t>
      </w:r>
      <w:r w:rsidR="006A24B4" w:rsidRPr="008645BA">
        <w:t xml:space="preserve"> 28 days to serve the remedial notice</w:t>
      </w:r>
      <w:r w:rsidR="006A6850">
        <w:t xml:space="preserve">, which </w:t>
      </w:r>
      <w:r w:rsidR="00F546C2">
        <w:t>corrects the error</w:t>
      </w:r>
      <w:r w:rsidR="006A24B4" w:rsidRPr="008645BA">
        <w:t>.</w:t>
      </w:r>
      <w:r w:rsidR="00EB6E2A" w:rsidRPr="008645BA">
        <w:t xml:space="preserve"> </w:t>
      </w:r>
    </w:p>
    <w:p w14:paraId="37632BE5" w14:textId="77777777" w:rsidR="007763E3" w:rsidRPr="008645BA" w:rsidRDefault="007763E3"/>
    <w:p w14:paraId="4061FEFF" w14:textId="78465366" w:rsidR="00DE1E33" w:rsidRPr="00FB6BE3" w:rsidRDefault="00DE1E33" w:rsidP="00844CF9">
      <w:pPr>
        <w:pStyle w:val="Heading3"/>
        <w:rPr>
          <w:sz w:val="24"/>
          <w:szCs w:val="24"/>
        </w:rPr>
      </w:pPr>
      <w:r w:rsidRPr="00FB6BE3">
        <w:rPr>
          <w:sz w:val="24"/>
          <w:szCs w:val="24"/>
        </w:rPr>
        <w:t xml:space="preserve">Rent </w:t>
      </w:r>
      <w:r w:rsidR="009E79EB">
        <w:rPr>
          <w:sz w:val="24"/>
          <w:szCs w:val="24"/>
        </w:rPr>
        <w:t>p</w:t>
      </w:r>
      <w:r w:rsidRPr="00FB6BE3">
        <w:rPr>
          <w:sz w:val="24"/>
          <w:szCs w:val="24"/>
        </w:rPr>
        <w:t xml:space="preserve">ressure </w:t>
      </w:r>
      <w:r w:rsidR="009E79EB">
        <w:rPr>
          <w:sz w:val="24"/>
          <w:szCs w:val="24"/>
        </w:rPr>
        <w:t>z</w:t>
      </w:r>
      <w:r w:rsidRPr="00FB6BE3">
        <w:rPr>
          <w:sz w:val="24"/>
          <w:szCs w:val="24"/>
        </w:rPr>
        <w:t>ones</w:t>
      </w:r>
      <w:r w:rsidR="00FB6BE3" w:rsidRPr="00FB6BE3">
        <w:rPr>
          <w:sz w:val="24"/>
          <w:szCs w:val="24"/>
        </w:rPr>
        <w:t xml:space="preserve"> (RPZs)</w:t>
      </w:r>
    </w:p>
    <w:p w14:paraId="26D874C7" w14:textId="632EE07C" w:rsidR="00CB4BEB" w:rsidRPr="008645BA" w:rsidRDefault="00DE1E33" w:rsidP="00CB4BEB">
      <w:r w:rsidRPr="008645BA">
        <w:t>RPZs are areas where rents are highest and rising quickly. An area must meet certain criteria to become an RPZ</w:t>
      </w:r>
      <w:r w:rsidR="00FF3E6B">
        <w:t xml:space="preserve">. This criteria was </w:t>
      </w:r>
      <w:r w:rsidR="00DA5B65" w:rsidRPr="008645BA">
        <w:t>changed in the 2019 Act</w:t>
      </w:r>
      <w:r w:rsidRPr="008645BA">
        <w:t xml:space="preserve">. </w:t>
      </w:r>
      <w:r w:rsidR="00293810">
        <w:t xml:space="preserve">You can find out more about the criteria used to designate an RPZ at </w:t>
      </w:r>
      <w:hyperlink r:id="rId9" w:history="1">
        <w:r w:rsidR="00293810" w:rsidRPr="00BD72C4">
          <w:rPr>
            <w:rStyle w:val="Hyperlink"/>
          </w:rPr>
          <w:t>onestopshop.rtb.ie/new-changes-to-rental-legislation/new-rent-pressure-zone-criteria</w:t>
        </w:r>
      </w:hyperlink>
      <w:r w:rsidR="00293810">
        <w:t xml:space="preserve">. </w:t>
      </w:r>
      <w:r w:rsidR="00FF3E6B">
        <w:t xml:space="preserve">The 2019 Act also extended </w:t>
      </w:r>
      <w:r w:rsidR="00E949F7">
        <w:t>RPZ designations</w:t>
      </w:r>
      <w:r w:rsidR="00CB4BEB" w:rsidRPr="008645BA">
        <w:t xml:space="preserve"> until 31 December 2021.</w:t>
      </w:r>
    </w:p>
    <w:p w14:paraId="512D86FE" w14:textId="4236E788" w:rsidR="009547F2" w:rsidRPr="008645BA" w:rsidRDefault="003873F7" w:rsidP="009547F2">
      <w:r w:rsidRPr="008645BA">
        <w:t xml:space="preserve">An estimated 65% of </w:t>
      </w:r>
      <w:r w:rsidR="00617DAD">
        <w:t>people renting</w:t>
      </w:r>
      <w:r w:rsidR="00617DAD" w:rsidRPr="008645BA">
        <w:t xml:space="preserve"> </w:t>
      </w:r>
      <w:r w:rsidR="0010764D">
        <w:t xml:space="preserve">residential property </w:t>
      </w:r>
      <w:r w:rsidRPr="008645BA">
        <w:t xml:space="preserve">now live within RPZs. </w:t>
      </w:r>
      <w:r w:rsidR="00922D8F" w:rsidRPr="008645BA">
        <w:t xml:space="preserve">The following </w:t>
      </w:r>
      <w:r w:rsidR="00037903" w:rsidRPr="008645BA">
        <w:t xml:space="preserve">electoral </w:t>
      </w:r>
      <w:r w:rsidR="00922D8F" w:rsidRPr="008645BA">
        <w:t>areas are designated as RPZs:</w:t>
      </w:r>
    </w:p>
    <w:p w14:paraId="2B06D9C1" w14:textId="268D1D41" w:rsidR="009547F2" w:rsidRPr="008645BA" w:rsidRDefault="009547F2" w:rsidP="009547F2">
      <w:r w:rsidRPr="008645BA">
        <w:t>Dublin</w:t>
      </w:r>
    </w:p>
    <w:p w14:paraId="2AB25AA6" w14:textId="670F02E3" w:rsidR="009547F2" w:rsidRPr="008645BA" w:rsidRDefault="00DE1E33" w:rsidP="009547F2">
      <w:pPr>
        <w:pStyle w:val="ListParagraph"/>
        <w:numPr>
          <w:ilvl w:val="0"/>
          <w:numId w:val="5"/>
        </w:numPr>
      </w:pPr>
      <w:r w:rsidRPr="008645BA">
        <w:t xml:space="preserve">Dublin City </w:t>
      </w:r>
    </w:p>
    <w:p w14:paraId="24BFDD10" w14:textId="6DA27D8C" w:rsidR="009547F2" w:rsidRPr="008645BA" w:rsidRDefault="00DE1E33" w:rsidP="009547F2">
      <w:pPr>
        <w:pStyle w:val="ListParagraph"/>
        <w:numPr>
          <w:ilvl w:val="0"/>
          <w:numId w:val="5"/>
        </w:numPr>
      </w:pPr>
      <w:r w:rsidRPr="008645BA">
        <w:t xml:space="preserve">South Dublin </w:t>
      </w:r>
    </w:p>
    <w:p w14:paraId="149E19F3" w14:textId="60EA969D" w:rsidR="009547F2" w:rsidRPr="008645BA" w:rsidRDefault="005E617A" w:rsidP="009547F2">
      <w:pPr>
        <w:pStyle w:val="ListParagraph"/>
        <w:numPr>
          <w:ilvl w:val="0"/>
          <w:numId w:val="5"/>
        </w:numPr>
      </w:pPr>
      <w:r w:rsidRPr="008645BA">
        <w:t>D</w:t>
      </w:r>
      <w:r>
        <w:t>ú</w:t>
      </w:r>
      <w:r w:rsidRPr="008645BA">
        <w:t>n</w:t>
      </w:r>
      <w:r w:rsidR="00DE1E33" w:rsidRPr="008645BA">
        <w:t xml:space="preserve"> Laoghaire/Rathdown</w:t>
      </w:r>
    </w:p>
    <w:p w14:paraId="576156B7" w14:textId="4BD4D62F" w:rsidR="009547F2" w:rsidRPr="008645BA" w:rsidRDefault="00DE1E33" w:rsidP="009547F2">
      <w:pPr>
        <w:pStyle w:val="ListParagraph"/>
        <w:numPr>
          <w:ilvl w:val="0"/>
          <w:numId w:val="5"/>
        </w:numPr>
      </w:pPr>
      <w:r w:rsidRPr="008645BA">
        <w:t>Fingal County Council</w:t>
      </w:r>
    </w:p>
    <w:p w14:paraId="323D33D0" w14:textId="1A83FAD3" w:rsidR="009547F2" w:rsidRPr="008645BA" w:rsidRDefault="009547F2" w:rsidP="009547F2">
      <w:r w:rsidRPr="008645BA">
        <w:t>Cork</w:t>
      </w:r>
    </w:p>
    <w:p w14:paraId="649F51EA" w14:textId="22A0E971" w:rsidR="009547F2" w:rsidRPr="008645BA" w:rsidRDefault="00DE1E33" w:rsidP="009547F2">
      <w:pPr>
        <w:pStyle w:val="ListParagraph"/>
        <w:numPr>
          <w:ilvl w:val="0"/>
          <w:numId w:val="5"/>
        </w:numPr>
      </w:pPr>
      <w:r w:rsidRPr="008645BA">
        <w:t>Ballincollig</w:t>
      </w:r>
      <w:r w:rsidR="00FB6BE3">
        <w:t>-</w:t>
      </w:r>
      <w:r w:rsidRPr="008645BA">
        <w:t>Carrigaline</w:t>
      </w:r>
    </w:p>
    <w:p w14:paraId="50C16CAF" w14:textId="4947EAFF" w:rsidR="00922D8F" w:rsidRPr="008645BA" w:rsidRDefault="009547F2" w:rsidP="00922D8F">
      <w:pPr>
        <w:pStyle w:val="ListParagraph"/>
        <w:numPr>
          <w:ilvl w:val="0"/>
          <w:numId w:val="5"/>
        </w:numPr>
      </w:pPr>
      <w:r w:rsidRPr="008645BA">
        <w:t xml:space="preserve">Cobh </w:t>
      </w:r>
    </w:p>
    <w:p w14:paraId="53571033" w14:textId="5FFE5A3C" w:rsidR="00922D8F" w:rsidRPr="008645BA" w:rsidRDefault="00922D8F" w:rsidP="00922D8F">
      <w:pPr>
        <w:pStyle w:val="ListParagraph"/>
        <w:numPr>
          <w:ilvl w:val="0"/>
          <w:numId w:val="5"/>
        </w:numPr>
      </w:pPr>
      <w:r w:rsidRPr="008645BA">
        <w:t>Cork City Council</w:t>
      </w:r>
    </w:p>
    <w:p w14:paraId="3BD89CD1" w14:textId="70FDA7F9" w:rsidR="00CC24ED" w:rsidRPr="008645BA" w:rsidRDefault="00CC24ED" w:rsidP="00922D8F">
      <w:pPr>
        <w:pStyle w:val="ListParagraph"/>
        <w:numPr>
          <w:ilvl w:val="0"/>
          <w:numId w:val="5"/>
        </w:numPr>
      </w:pPr>
      <w:r w:rsidRPr="008645BA">
        <w:t>Fermoy</w:t>
      </w:r>
      <w:r w:rsidR="0066588F" w:rsidRPr="008645BA">
        <w:t>*</w:t>
      </w:r>
    </w:p>
    <w:p w14:paraId="1ECC4937" w14:textId="4E21DF09" w:rsidR="00CC24ED" w:rsidRPr="008645BA" w:rsidRDefault="00CC24ED" w:rsidP="00922D8F">
      <w:pPr>
        <w:pStyle w:val="ListParagraph"/>
        <w:numPr>
          <w:ilvl w:val="0"/>
          <w:numId w:val="5"/>
        </w:numPr>
      </w:pPr>
      <w:r w:rsidRPr="008645BA">
        <w:lastRenderedPageBreak/>
        <w:t>Midleton</w:t>
      </w:r>
      <w:r w:rsidR="0066588F" w:rsidRPr="008645BA">
        <w:t>*</w:t>
      </w:r>
    </w:p>
    <w:p w14:paraId="2CE7F17A" w14:textId="0F19D4CC" w:rsidR="009547F2" w:rsidRPr="008645BA" w:rsidRDefault="009547F2" w:rsidP="009547F2">
      <w:r w:rsidRPr="008645BA">
        <w:t>Galway</w:t>
      </w:r>
    </w:p>
    <w:p w14:paraId="5E23429C" w14:textId="0476458C" w:rsidR="00CC24ED" w:rsidRPr="008645BA" w:rsidRDefault="00CC24ED" w:rsidP="009547F2">
      <w:pPr>
        <w:pStyle w:val="ListParagraph"/>
        <w:numPr>
          <w:ilvl w:val="0"/>
          <w:numId w:val="5"/>
        </w:numPr>
      </w:pPr>
      <w:r w:rsidRPr="008645BA">
        <w:t>Athenry-Oranmore</w:t>
      </w:r>
      <w:r w:rsidR="0066588F" w:rsidRPr="008645BA">
        <w:t>*</w:t>
      </w:r>
    </w:p>
    <w:p w14:paraId="00B95C17" w14:textId="399870FC" w:rsidR="009547F2" w:rsidRPr="008645BA" w:rsidRDefault="00DE1E33" w:rsidP="009547F2">
      <w:pPr>
        <w:pStyle w:val="ListParagraph"/>
        <w:numPr>
          <w:ilvl w:val="0"/>
          <w:numId w:val="5"/>
        </w:numPr>
      </w:pPr>
      <w:r w:rsidRPr="008645BA">
        <w:t xml:space="preserve">Galway City </w:t>
      </w:r>
    </w:p>
    <w:p w14:paraId="6100CC73" w14:textId="52550A56" w:rsidR="009547F2" w:rsidRPr="008645BA" w:rsidRDefault="00DE1E33" w:rsidP="009547F2">
      <w:pPr>
        <w:pStyle w:val="ListParagraph"/>
        <w:numPr>
          <w:ilvl w:val="0"/>
          <w:numId w:val="5"/>
        </w:numPr>
      </w:pPr>
      <w:r w:rsidRPr="008645BA">
        <w:t>Galway City East</w:t>
      </w:r>
    </w:p>
    <w:p w14:paraId="655FF309" w14:textId="237A60CE" w:rsidR="009547F2" w:rsidRPr="008645BA" w:rsidRDefault="00DE1E33" w:rsidP="009547F2">
      <w:pPr>
        <w:pStyle w:val="ListParagraph"/>
        <w:numPr>
          <w:ilvl w:val="0"/>
          <w:numId w:val="5"/>
        </w:numPr>
      </w:pPr>
      <w:r w:rsidRPr="008645BA">
        <w:t xml:space="preserve">Galway City West </w:t>
      </w:r>
    </w:p>
    <w:p w14:paraId="66868C68" w14:textId="573EB3EA" w:rsidR="00CC24ED" w:rsidRPr="008645BA" w:rsidRDefault="00CC24ED" w:rsidP="009547F2">
      <w:pPr>
        <w:pStyle w:val="ListParagraph"/>
        <w:numPr>
          <w:ilvl w:val="0"/>
          <w:numId w:val="5"/>
        </w:numPr>
      </w:pPr>
      <w:r w:rsidRPr="008645BA">
        <w:t>Gort</w:t>
      </w:r>
      <w:r w:rsidR="0066588F" w:rsidRPr="008645BA">
        <w:t>-</w:t>
      </w:r>
      <w:r w:rsidRPr="008645BA">
        <w:t>Kinvara</w:t>
      </w:r>
      <w:r w:rsidR="0066588F" w:rsidRPr="008645BA">
        <w:t>*</w:t>
      </w:r>
    </w:p>
    <w:p w14:paraId="51A1D826" w14:textId="61F1A0AB" w:rsidR="009547F2" w:rsidRPr="008645BA" w:rsidRDefault="009547F2" w:rsidP="009547F2">
      <w:r w:rsidRPr="008645BA">
        <w:t>Kildare</w:t>
      </w:r>
    </w:p>
    <w:p w14:paraId="560B5827" w14:textId="77777777" w:rsidR="00922D8F" w:rsidRPr="008645BA" w:rsidRDefault="00922D8F" w:rsidP="00922D8F">
      <w:pPr>
        <w:pStyle w:val="ListParagraph"/>
        <w:numPr>
          <w:ilvl w:val="0"/>
          <w:numId w:val="5"/>
        </w:numPr>
      </w:pPr>
      <w:r w:rsidRPr="008645BA">
        <w:t>Celbridge-Leixlip</w:t>
      </w:r>
    </w:p>
    <w:p w14:paraId="0C41AA03" w14:textId="77777777" w:rsidR="00922D8F" w:rsidRPr="008645BA" w:rsidRDefault="00922D8F" w:rsidP="00922D8F">
      <w:pPr>
        <w:pStyle w:val="ListParagraph"/>
        <w:numPr>
          <w:ilvl w:val="0"/>
          <w:numId w:val="5"/>
        </w:numPr>
      </w:pPr>
      <w:r w:rsidRPr="008645BA">
        <w:t>Maynooth</w:t>
      </w:r>
    </w:p>
    <w:p w14:paraId="5A42A9A8" w14:textId="7A95ECC8" w:rsidR="009547F2" w:rsidRPr="008645BA" w:rsidRDefault="00DE1E33" w:rsidP="009547F2">
      <w:pPr>
        <w:pStyle w:val="ListParagraph"/>
        <w:numPr>
          <w:ilvl w:val="0"/>
          <w:numId w:val="5"/>
        </w:numPr>
      </w:pPr>
      <w:r w:rsidRPr="008645BA">
        <w:t>Naas</w:t>
      </w:r>
    </w:p>
    <w:p w14:paraId="496B56C5" w14:textId="5426607A" w:rsidR="009547F2" w:rsidRPr="008645BA" w:rsidRDefault="00DE1E33" w:rsidP="009547F2">
      <w:pPr>
        <w:pStyle w:val="ListParagraph"/>
        <w:numPr>
          <w:ilvl w:val="0"/>
          <w:numId w:val="5"/>
        </w:numPr>
      </w:pPr>
      <w:r w:rsidRPr="008645BA">
        <w:t xml:space="preserve">Newbridge </w:t>
      </w:r>
    </w:p>
    <w:p w14:paraId="1453D26C" w14:textId="3DECEA75" w:rsidR="00CC24ED" w:rsidRPr="008645BA" w:rsidRDefault="00CC24ED" w:rsidP="009547F2">
      <w:r w:rsidRPr="008645BA">
        <w:t>Kilkenny</w:t>
      </w:r>
    </w:p>
    <w:p w14:paraId="44EB4F23" w14:textId="1B890D93" w:rsidR="00CC24ED" w:rsidRPr="008645BA" w:rsidRDefault="00CC24ED" w:rsidP="00CC24ED">
      <w:pPr>
        <w:pStyle w:val="ListParagraph"/>
        <w:numPr>
          <w:ilvl w:val="0"/>
          <w:numId w:val="6"/>
        </w:numPr>
      </w:pPr>
      <w:r w:rsidRPr="008645BA">
        <w:t>Kilkenny</w:t>
      </w:r>
      <w:r w:rsidR="0066588F" w:rsidRPr="008645BA">
        <w:t>*</w:t>
      </w:r>
    </w:p>
    <w:p w14:paraId="72A3A911" w14:textId="53A604E7" w:rsidR="00CC24ED" w:rsidRPr="008645BA" w:rsidRDefault="00CC24ED" w:rsidP="009547F2">
      <w:r w:rsidRPr="008645BA">
        <w:t>Laois</w:t>
      </w:r>
    </w:p>
    <w:p w14:paraId="3BF2F20A" w14:textId="1E93B0CD" w:rsidR="00CC24ED" w:rsidRPr="008645BA" w:rsidRDefault="00CC24ED" w:rsidP="00CC24ED">
      <w:pPr>
        <w:pStyle w:val="ListParagraph"/>
        <w:numPr>
          <w:ilvl w:val="0"/>
          <w:numId w:val="6"/>
        </w:numPr>
      </w:pPr>
      <w:r w:rsidRPr="008645BA">
        <w:t>Graiguecullen-Portarlington</w:t>
      </w:r>
      <w:r w:rsidR="0066588F" w:rsidRPr="008645BA">
        <w:t>*</w:t>
      </w:r>
    </w:p>
    <w:p w14:paraId="2316FB45" w14:textId="73DA73A7" w:rsidR="00CC24ED" w:rsidRPr="008645BA" w:rsidRDefault="00CC24ED" w:rsidP="00CC24ED">
      <w:pPr>
        <w:pStyle w:val="ListParagraph"/>
        <w:numPr>
          <w:ilvl w:val="0"/>
          <w:numId w:val="6"/>
        </w:numPr>
      </w:pPr>
      <w:r w:rsidRPr="008645BA">
        <w:t>Portlaoise</w:t>
      </w:r>
      <w:r w:rsidR="0066588F" w:rsidRPr="008645BA">
        <w:t>*</w:t>
      </w:r>
    </w:p>
    <w:p w14:paraId="4372A795" w14:textId="3E3EE193" w:rsidR="00CC24ED" w:rsidRPr="008645BA" w:rsidRDefault="00CC24ED" w:rsidP="009547F2">
      <w:r w:rsidRPr="008645BA">
        <w:t>Limerick</w:t>
      </w:r>
    </w:p>
    <w:p w14:paraId="57351AD3" w14:textId="77777777" w:rsidR="00CC24ED" w:rsidRPr="008645BA" w:rsidRDefault="00CC24ED" w:rsidP="00CC24ED">
      <w:pPr>
        <w:numPr>
          <w:ilvl w:val="0"/>
          <w:numId w:val="7"/>
        </w:numPr>
        <w:spacing w:after="0"/>
      </w:pPr>
      <w:r w:rsidRPr="008645BA">
        <w:t>Limerick City East</w:t>
      </w:r>
    </w:p>
    <w:p w14:paraId="5B95EF48" w14:textId="22F267F0" w:rsidR="00CC24ED" w:rsidRPr="008645BA" w:rsidRDefault="00CC24ED" w:rsidP="00CC24ED">
      <w:pPr>
        <w:pStyle w:val="ListParagraph"/>
        <w:numPr>
          <w:ilvl w:val="0"/>
          <w:numId w:val="7"/>
        </w:numPr>
      </w:pPr>
      <w:r w:rsidRPr="008645BA">
        <w:t>Limerick City North</w:t>
      </w:r>
      <w:r w:rsidR="0066588F" w:rsidRPr="008645BA">
        <w:t>*</w:t>
      </w:r>
    </w:p>
    <w:p w14:paraId="0D60A1EB" w14:textId="488A3642" w:rsidR="00CC24ED" w:rsidRPr="008645BA" w:rsidRDefault="00CC24ED" w:rsidP="00CC24ED">
      <w:pPr>
        <w:pStyle w:val="ListParagraph"/>
        <w:numPr>
          <w:ilvl w:val="0"/>
          <w:numId w:val="7"/>
        </w:numPr>
      </w:pPr>
      <w:r w:rsidRPr="008645BA">
        <w:t>Limerick City West</w:t>
      </w:r>
      <w:r w:rsidR="0066588F" w:rsidRPr="008645BA">
        <w:t>*</w:t>
      </w:r>
    </w:p>
    <w:p w14:paraId="77822975" w14:textId="77777777" w:rsidR="00CC24ED" w:rsidRPr="008645BA" w:rsidRDefault="00CC24ED" w:rsidP="00CC24ED">
      <w:r w:rsidRPr="008645BA">
        <w:t>Louth</w:t>
      </w:r>
    </w:p>
    <w:p w14:paraId="04A453CC" w14:textId="7950542B" w:rsidR="00CC24ED" w:rsidRPr="008645BA" w:rsidRDefault="00CC24ED" w:rsidP="003873F7">
      <w:pPr>
        <w:numPr>
          <w:ilvl w:val="0"/>
          <w:numId w:val="4"/>
        </w:numPr>
        <w:spacing w:after="0"/>
      </w:pPr>
      <w:r w:rsidRPr="008645BA">
        <w:t>Ardee</w:t>
      </w:r>
      <w:r w:rsidR="0066588F" w:rsidRPr="008645BA">
        <w:t>*</w:t>
      </w:r>
    </w:p>
    <w:p w14:paraId="577D66D0" w14:textId="62C397D3" w:rsidR="00CC24ED" w:rsidRPr="008645BA" w:rsidRDefault="00CC24ED" w:rsidP="003873F7">
      <w:pPr>
        <w:numPr>
          <w:ilvl w:val="0"/>
          <w:numId w:val="4"/>
        </w:numPr>
        <w:spacing w:after="0"/>
      </w:pPr>
      <w:r w:rsidRPr="008645BA">
        <w:t>Drogheda</w:t>
      </w:r>
    </w:p>
    <w:p w14:paraId="630E22EA" w14:textId="19B9FFCB" w:rsidR="00CC24ED" w:rsidRPr="008645BA" w:rsidRDefault="00CC24ED" w:rsidP="003873F7">
      <w:pPr>
        <w:numPr>
          <w:ilvl w:val="0"/>
          <w:numId w:val="4"/>
        </w:numPr>
        <w:spacing w:after="0"/>
      </w:pPr>
      <w:r w:rsidRPr="008645BA">
        <w:t>Dundalk-Carlingford</w:t>
      </w:r>
      <w:r w:rsidR="0066588F" w:rsidRPr="008645BA">
        <w:t>*</w:t>
      </w:r>
    </w:p>
    <w:p w14:paraId="745E0F16" w14:textId="0F96C021" w:rsidR="00CC24ED" w:rsidRPr="008645BA" w:rsidRDefault="00CC24ED" w:rsidP="003873F7">
      <w:pPr>
        <w:numPr>
          <w:ilvl w:val="0"/>
          <w:numId w:val="4"/>
        </w:numPr>
        <w:spacing w:after="0"/>
      </w:pPr>
      <w:r w:rsidRPr="008645BA">
        <w:t>Dundalk South</w:t>
      </w:r>
      <w:r w:rsidR="0066588F" w:rsidRPr="008645BA">
        <w:t>*</w:t>
      </w:r>
    </w:p>
    <w:p w14:paraId="14DEF615" w14:textId="77777777" w:rsidR="00CC24ED" w:rsidRPr="008645BA" w:rsidRDefault="00CC24ED" w:rsidP="009547F2"/>
    <w:p w14:paraId="1A82C546" w14:textId="78674694" w:rsidR="009547F2" w:rsidRPr="008645BA" w:rsidRDefault="009547F2" w:rsidP="009547F2">
      <w:r w:rsidRPr="008645BA">
        <w:t>Meath</w:t>
      </w:r>
    </w:p>
    <w:p w14:paraId="6AE020E0" w14:textId="22098070" w:rsidR="009547F2" w:rsidRPr="008645BA" w:rsidRDefault="00DE1E33" w:rsidP="009547F2">
      <w:pPr>
        <w:pStyle w:val="ListParagraph"/>
        <w:numPr>
          <w:ilvl w:val="0"/>
          <w:numId w:val="5"/>
        </w:numPr>
      </w:pPr>
      <w:r w:rsidRPr="008645BA">
        <w:t xml:space="preserve">Ashbourne </w:t>
      </w:r>
    </w:p>
    <w:p w14:paraId="61911603" w14:textId="0CB24B7E" w:rsidR="00CC24ED" w:rsidRPr="008645BA" w:rsidRDefault="00CC24ED" w:rsidP="009547F2">
      <w:pPr>
        <w:pStyle w:val="ListParagraph"/>
        <w:numPr>
          <w:ilvl w:val="0"/>
          <w:numId w:val="5"/>
        </w:numPr>
      </w:pPr>
      <w:r w:rsidRPr="008645BA">
        <w:t>Kells</w:t>
      </w:r>
      <w:r w:rsidR="0096131E" w:rsidRPr="008645BA">
        <w:t>*</w:t>
      </w:r>
    </w:p>
    <w:p w14:paraId="4620DB2E" w14:textId="2631E18A" w:rsidR="00922D8F" w:rsidRPr="008645BA" w:rsidRDefault="00DE1E33" w:rsidP="00922D8F">
      <w:pPr>
        <w:pStyle w:val="ListParagraph"/>
        <w:numPr>
          <w:ilvl w:val="0"/>
          <w:numId w:val="5"/>
        </w:numPr>
      </w:pPr>
      <w:r w:rsidRPr="008645BA">
        <w:t xml:space="preserve">Laytown-Bettystown </w:t>
      </w:r>
    </w:p>
    <w:p w14:paraId="381F61E9" w14:textId="2A875E1A" w:rsidR="00922D8F" w:rsidRPr="008645BA" w:rsidRDefault="00922D8F" w:rsidP="00922D8F">
      <w:pPr>
        <w:pStyle w:val="ListParagraph"/>
        <w:numPr>
          <w:ilvl w:val="0"/>
          <w:numId w:val="5"/>
        </w:numPr>
      </w:pPr>
      <w:r w:rsidRPr="008645BA">
        <w:t xml:space="preserve">Navan </w:t>
      </w:r>
    </w:p>
    <w:p w14:paraId="119D7A3B" w14:textId="34C87B17" w:rsidR="00922D8F" w:rsidRPr="008645BA" w:rsidRDefault="00922D8F" w:rsidP="00922D8F">
      <w:pPr>
        <w:pStyle w:val="ListParagraph"/>
        <w:numPr>
          <w:ilvl w:val="0"/>
          <w:numId w:val="5"/>
        </w:numPr>
      </w:pPr>
      <w:r w:rsidRPr="008645BA">
        <w:t>Ratoath</w:t>
      </w:r>
    </w:p>
    <w:p w14:paraId="0A26F534" w14:textId="2F06C93C" w:rsidR="00CC24ED" w:rsidRPr="008645BA" w:rsidRDefault="00CC24ED" w:rsidP="00922D8F">
      <w:pPr>
        <w:pStyle w:val="ListParagraph"/>
        <w:numPr>
          <w:ilvl w:val="0"/>
          <w:numId w:val="5"/>
        </w:numPr>
      </w:pPr>
      <w:r w:rsidRPr="008645BA">
        <w:t>Trim</w:t>
      </w:r>
      <w:r w:rsidR="0096131E" w:rsidRPr="008645BA">
        <w:t>*</w:t>
      </w:r>
    </w:p>
    <w:p w14:paraId="17B65F56" w14:textId="150699B2" w:rsidR="009547F2" w:rsidRPr="008645BA" w:rsidRDefault="00CC24ED" w:rsidP="009547F2">
      <w:r w:rsidRPr="008645BA">
        <w:t>Waterford</w:t>
      </w:r>
    </w:p>
    <w:p w14:paraId="3942EC86" w14:textId="3262DFEF" w:rsidR="00CC24ED" w:rsidRPr="008645BA" w:rsidRDefault="00CC24ED" w:rsidP="00CC24ED">
      <w:pPr>
        <w:pStyle w:val="ListParagraph"/>
        <w:numPr>
          <w:ilvl w:val="0"/>
          <w:numId w:val="8"/>
        </w:numPr>
      </w:pPr>
      <w:r w:rsidRPr="008645BA">
        <w:t>Waterford City South</w:t>
      </w:r>
      <w:r w:rsidR="0096131E" w:rsidRPr="008645BA">
        <w:t>*</w:t>
      </w:r>
    </w:p>
    <w:p w14:paraId="50321506" w14:textId="1635A533" w:rsidR="00CC24ED" w:rsidRPr="008645BA" w:rsidRDefault="00CC24ED" w:rsidP="00CC24ED">
      <w:pPr>
        <w:pStyle w:val="ListParagraph"/>
        <w:numPr>
          <w:ilvl w:val="0"/>
          <w:numId w:val="8"/>
        </w:numPr>
      </w:pPr>
      <w:r w:rsidRPr="008645BA">
        <w:t>Waterford City East</w:t>
      </w:r>
      <w:r w:rsidR="0096131E" w:rsidRPr="008645BA">
        <w:t>*</w:t>
      </w:r>
    </w:p>
    <w:p w14:paraId="22F90358" w14:textId="1DC185B9" w:rsidR="003873F7" w:rsidRPr="008645BA" w:rsidRDefault="003873F7" w:rsidP="009547F2">
      <w:r w:rsidRPr="008645BA">
        <w:lastRenderedPageBreak/>
        <w:t>Westmeath</w:t>
      </w:r>
    </w:p>
    <w:p w14:paraId="2433C0FB" w14:textId="230F530C" w:rsidR="003873F7" w:rsidRPr="008645BA" w:rsidRDefault="003873F7" w:rsidP="003873F7">
      <w:pPr>
        <w:pStyle w:val="ListParagraph"/>
        <w:numPr>
          <w:ilvl w:val="0"/>
          <w:numId w:val="9"/>
        </w:numPr>
      </w:pPr>
      <w:r w:rsidRPr="008645BA">
        <w:t>Athlone</w:t>
      </w:r>
      <w:r w:rsidR="0096131E" w:rsidRPr="008645BA">
        <w:t>*</w:t>
      </w:r>
    </w:p>
    <w:p w14:paraId="3FD1EC1B" w14:textId="3CA72A5F" w:rsidR="003873F7" w:rsidRPr="008645BA" w:rsidRDefault="003873F7" w:rsidP="009547F2">
      <w:r w:rsidRPr="008645BA">
        <w:t>Wexford</w:t>
      </w:r>
    </w:p>
    <w:p w14:paraId="74114A43" w14:textId="1DF1ABB5" w:rsidR="003873F7" w:rsidRPr="008645BA" w:rsidRDefault="003873F7" w:rsidP="003873F7">
      <w:pPr>
        <w:pStyle w:val="ListParagraph"/>
        <w:numPr>
          <w:ilvl w:val="0"/>
          <w:numId w:val="9"/>
        </w:numPr>
      </w:pPr>
      <w:r w:rsidRPr="008645BA">
        <w:t>Gorey</w:t>
      </w:r>
      <w:r w:rsidR="0096131E" w:rsidRPr="008645BA">
        <w:t>*</w:t>
      </w:r>
    </w:p>
    <w:p w14:paraId="0E0C8524" w14:textId="175252B7" w:rsidR="009547F2" w:rsidRPr="008645BA" w:rsidRDefault="009547F2" w:rsidP="009547F2">
      <w:r w:rsidRPr="008645BA">
        <w:t>Wicklow</w:t>
      </w:r>
    </w:p>
    <w:p w14:paraId="383823C6" w14:textId="5B550902" w:rsidR="00CC24ED" w:rsidRPr="008645BA" w:rsidRDefault="00CC24ED" w:rsidP="009547F2">
      <w:pPr>
        <w:pStyle w:val="ListParagraph"/>
        <w:numPr>
          <w:ilvl w:val="0"/>
          <w:numId w:val="5"/>
        </w:numPr>
      </w:pPr>
      <w:r w:rsidRPr="008645BA">
        <w:t>Arklow</w:t>
      </w:r>
      <w:r w:rsidR="0096131E" w:rsidRPr="008645BA">
        <w:t>*</w:t>
      </w:r>
    </w:p>
    <w:p w14:paraId="18D9EAEB" w14:textId="31F251C8" w:rsidR="00922D8F" w:rsidRPr="008645BA" w:rsidRDefault="00DE1E33" w:rsidP="009547F2">
      <w:pPr>
        <w:pStyle w:val="ListParagraph"/>
        <w:numPr>
          <w:ilvl w:val="0"/>
          <w:numId w:val="5"/>
        </w:numPr>
      </w:pPr>
      <w:r w:rsidRPr="008645BA">
        <w:t xml:space="preserve">Bray </w:t>
      </w:r>
    </w:p>
    <w:p w14:paraId="3B71518B" w14:textId="1A93C444" w:rsidR="00922D8F" w:rsidRPr="008645BA" w:rsidRDefault="00922D8F" w:rsidP="00922D8F">
      <w:pPr>
        <w:pStyle w:val="ListParagraph"/>
        <w:numPr>
          <w:ilvl w:val="0"/>
          <w:numId w:val="5"/>
        </w:numPr>
      </w:pPr>
      <w:r w:rsidRPr="008645BA">
        <w:t>Greystones</w:t>
      </w:r>
    </w:p>
    <w:p w14:paraId="25BA1DA6" w14:textId="3C86CDD9" w:rsidR="00922D8F" w:rsidRPr="008645BA" w:rsidRDefault="00DE1E33" w:rsidP="009547F2">
      <w:pPr>
        <w:pStyle w:val="ListParagraph"/>
        <w:numPr>
          <w:ilvl w:val="0"/>
          <w:numId w:val="5"/>
        </w:numPr>
      </w:pPr>
      <w:r w:rsidRPr="008645BA">
        <w:t>Wicklow</w:t>
      </w:r>
    </w:p>
    <w:p w14:paraId="66D84FEE" w14:textId="2722892B" w:rsidR="00922D8F" w:rsidRPr="008645BA" w:rsidRDefault="00CB4BEB" w:rsidP="00922D8F">
      <w:r w:rsidRPr="008645BA">
        <w:t xml:space="preserve">* </w:t>
      </w:r>
      <w:r>
        <w:t>These a</w:t>
      </w:r>
      <w:r w:rsidR="0096131E" w:rsidRPr="008645BA">
        <w:t>reas were designated RPZs on 2 July 2019</w:t>
      </w:r>
      <w:r w:rsidR="003D6640">
        <w:t xml:space="preserve"> using the amended criteria</w:t>
      </w:r>
      <w:r w:rsidR="0096131E" w:rsidRPr="008645BA">
        <w:t>.</w:t>
      </w:r>
    </w:p>
    <w:p w14:paraId="55E5BC18" w14:textId="2FA95BA1" w:rsidR="00DE1E33" w:rsidRPr="008645BA" w:rsidRDefault="00DE1E33" w:rsidP="00844CF9">
      <w:pPr>
        <w:pStyle w:val="Heading3"/>
      </w:pPr>
      <w:r w:rsidRPr="008645BA">
        <w:t>Setting new rents</w:t>
      </w:r>
    </w:p>
    <w:p w14:paraId="112443BD" w14:textId="76AFC715" w:rsidR="00573C2F" w:rsidRPr="008645BA" w:rsidRDefault="00573C2F" w:rsidP="00844CF9">
      <w:pPr>
        <w:pStyle w:val="Heading4"/>
      </w:pPr>
      <w:r w:rsidRPr="008645BA">
        <w:t xml:space="preserve">Rent </w:t>
      </w:r>
      <w:r w:rsidR="00617DAD">
        <w:t>r</w:t>
      </w:r>
      <w:r w:rsidR="00617DAD" w:rsidRPr="008645BA">
        <w:t xml:space="preserve">eviews </w:t>
      </w:r>
      <w:r w:rsidR="0013652F" w:rsidRPr="008645BA">
        <w:t xml:space="preserve">of </w:t>
      </w:r>
      <w:r w:rsidR="00617DAD">
        <w:t>p</w:t>
      </w:r>
      <w:r w:rsidR="00617DAD" w:rsidRPr="008645BA">
        <w:t xml:space="preserve">rivate </w:t>
      </w:r>
      <w:r w:rsidR="00617DAD">
        <w:t>p</w:t>
      </w:r>
      <w:r w:rsidR="00617DAD" w:rsidRPr="008645BA">
        <w:t xml:space="preserve">roperties </w:t>
      </w:r>
      <w:r w:rsidRPr="008645BA">
        <w:t xml:space="preserve">outside </w:t>
      </w:r>
      <w:r w:rsidR="00FB6BE3">
        <w:t>RPZs</w:t>
      </w:r>
    </w:p>
    <w:p w14:paraId="48C9CE01" w14:textId="50755AA7" w:rsidR="00573C2F" w:rsidRPr="008645BA" w:rsidRDefault="00573C2F" w:rsidP="00573C2F">
      <w:r w:rsidRPr="008645BA">
        <w:t>If you live outside a</w:t>
      </w:r>
      <w:r w:rsidR="00FB6BE3">
        <w:t>n</w:t>
      </w:r>
      <w:r w:rsidRPr="008645BA">
        <w:t xml:space="preserve"> RPZ, the rent for a property can be reviewed </w:t>
      </w:r>
      <w:r w:rsidR="00FB6BE3" w:rsidRPr="008645BA">
        <w:t xml:space="preserve">only </w:t>
      </w:r>
      <w:r w:rsidRPr="008645BA">
        <w:t>once every 24 months. This rent certainty measure is in place until 31 December 2021. Any attempt</w:t>
      </w:r>
      <w:r w:rsidR="006A24B4" w:rsidRPr="008645BA">
        <w:t xml:space="preserve"> by a landlord</w:t>
      </w:r>
      <w:r w:rsidRPr="008645BA">
        <w:t xml:space="preserve"> to increase rent before the 24 months have </w:t>
      </w:r>
      <w:r w:rsidR="00952BF6" w:rsidRPr="008645BA">
        <w:t>passed</w:t>
      </w:r>
      <w:r w:rsidRPr="008645BA">
        <w:t xml:space="preserve"> is invalid. Previously, rent</w:t>
      </w:r>
      <w:r w:rsidR="00303F1D" w:rsidRPr="008645BA">
        <w:t>s</w:t>
      </w:r>
      <w:r w:rsidRPr="008645BA">
        <w:t xml:space="preserve"> could be reviewed once every 12 months </w:t>
      </w:r>
      <w:r w:rsidR="00FB6BE3">
        <w:t xml:space="preserve">– </w:t>
      </w:r>
      <w:r w:rsidRPr="008645BA">
        <w:t>and this may become the case again after 31 December 2021</w:t>
      </w:r>
      <w:r w:rsidR="004B3484">
        <w:t>,</w:t>
      </w:r>
      <w:r w:rsidRPr="008645BA">
        <w:t xml:space="preserve"> if no further extension is included in legislation. </w:t>
      </w:r>
    </w:p>
    <w:p w14:paraId="3234D019" w14:textId="41F94CF7" w:rsidR="00573C2F" w:rsidRPr="008645BA" w:rsidRDefault="00573C2F" w:rsidP="00573C2F">
      <w:r w:rsidRPr="008645BA">
        <w:t xml:space="preserve">Before the rent can be increased, a landlord must provide at least 90 days’ notice of the new rent. This notice must state the amount of the new rent and </w:t>
      </w:r>
      <w:r w:rsidR="00293810">
        <w:t xml:space="preserve">the </w:t>
      </w:r>
      <w:r w:rsidRPr="008645BA">
        <w:t xml:space="preserve">date the new rent will take effect. </w:t>
      </w:r>
      <w:r w:rsidR="00800B90" w:rsidRPr="008645BA">
        <w:t xml:space="preserve">New </w:t>
      </w:r>
      <w:r w:rsidR="00293810">
        <w:t>Notice of Rent R</w:t>
      </w:r>
      <w:r w:rsidR="0043557A">
        <w:t xml:space="preserve">eview </w:t>
      </w:r>
      <w:r w:rsidR="00293810">
        <w:t>prescribed forms have been</w:t>
      </w:r>
      <w:r w:rsidR="0043557A">
        <w:t xml:space="preserve"> in </w:t>
      </w:r>
      <w:r w:rsidR="00293810">
        <w:t>effect since</w:t>
      </w:r>
      <w:r w:rsidR="00800B90" w:rsidRPr="008645BA">
        <w:t xml:space="preserve"> 1 July 2019</w:t>
      </w:r>
      <w:r w:rsidR="0043557A">
        <w:t xml:space="preserve"> and are available t</w:t>
      </w:r>
      <w:r w:rsidR="00E949F7">
        <w:t>o download on the RTB’s website,</w:t>
      </w:r>
      <w:r w:rsidR="0043557A">
        <w:t xml:space="preserve"> </w:t>
      </w:r>
      <w:r w:rsidR="0043557A" w:rsidRPr="0043557A">
        <w:rPr>
          <w:b/>
        </w:rPr>
        <w:t>rtb.ie</w:t>
      </w:r>
      <w:r w:rsidR="00800B90" w:rsidRPr="008645BA">
        <w:t>.</w:t>
      </w:r>
    </w:p>
    <w:p w14:paraId="216C2043" w14:textId="62D001CD" w:rsidR="00573C2F" w:rsidRPr="008645BA" w:rsidRDefault="00FB6BE3" w:rsidP="00573C2F">
      <w:r>
        <w:t>A</w:t>
      </w:r>
      <w:r w:rsidRPr="008645BA">
        <w:t xml:space="preserve"> </w:t>
      </w:r>
      <w:r w:rsidR="00573C2F" w:rsidRPr="008645BA">
        <w:t>landlord cannot charge more than</w:t>
      </w:r>
      <w:r w:rsidR="00293810">
        <w:t xml:space="preserve"> the</w:t>
      </w:r>
      <w:r w:rsidR="00573C2F" w:rsidRPr="008645BA">
        <w:t xml:space="preserve"> </w:t>
      </w:r>
      <w:r>
        <w:t>‘</w:t>
      </w:r>
      <w:r w:rsidR="00573C2F" w:rsidRPr="008645BA">
        <w:t>market rent</w:t>
      </w:r>
      <w:r>
        <w:t>’</w:t>
      </w:r>
      <w:r w:rsidR="0019147E">
        <w:t>,</w:t>
      </w:r>
      <w:r w:rsidR="00573C2F" w:rsidRPr="008645BA">
        <w:t xml:space="preserve"> which is the going rate for </w:t>
      </w:r>
      <w:r w:rsidR="00C31DDB">
        <w:t>similar</w:t>
      </w:r>
      <w:r w:rsidR="00573C2F" w:rsidRPr="008645BA">
        <w:t xml:space="preserve"> accommodation in </w:t>
      </w:r>
      <w:r w:rsidR="00E949F7">
        <w:t>the</w:t>
      </w:r>
      <w:r w:rsidR="00DA2665" w:rsidRPr="008645BA">
        <w:t xml:space="preserve"> </w:t>
      </w:r>
      <w:r w:rsidR="00573C2F" w:rsidRPr="008645BA">
        <w:t>area.</w:t>
      </w:r>
    </w:p>
    <w:p w14:paraId="274DBC52" w14:textId="2ACF3DBB" w:rsidR="0013652F" w:rsidRPr="008645BA" w:rsidRDefault="0013652F" w:rsidP="00844CF9">
      <w:pPr>
        <w:pStyle w:val="Heading4"/>
      </w:pPr>
      <w:r w:rsidRPr="008645BA">
        <w:t xml:space="preserve">Rent </w:t>
      </w:r>
      <w:r w:rsidR="00617DAD">
        <w:t>r</w:t>
      </w:r>
      <w:r w:rsidR="00617DAD" w:rsidRPr="008645BA">
        <w:t xml:space="preserve">eviews </w:t>
      </w:r>
      <w:r w:rsidRPr="008645BA">
        <w:t xml:space="preserve">of </w:t>
      </w:r>
      <w:r w:rsidR="00617DAD">
        <w:t>p</w:t>
      </w:r>
      <w:r w:rsidR="00617DAD" w:rsidRPr="008645BA">
        <w:t xml:space="preserve">rivate </w:t>
      </w:r>
      <w:r w:rsidR="00617DAD">
        <w:t>p</w:t>
      </w:r>
      <w:r w:rsidR="00617DAD" w:rsidRPr="008645BA">
        <w:t xml:space="preserve">roperties </w:t>
      </w:r>
      <w:r w:rsidRPr="008645BA">
        <w:t xml:space="preserve">in </w:t>
      </w:r>
      <w:r w:rsidR="0019147E">
        <w:t>RPZs</w:t>
      </w:r>
    </w:p>
    <w:p w14:paraId="6189BA69" w14:textId="283ACA2E" w:rsidR="000E7D2F" w:rsidRPr="008645BA" w:rsidRDefault="000E7D2F" w:rsidP="00844CF9">
      <w:pPr>
        <w:pStyle w:val="Heading5"/>
      </w:pPr>
      <w:r w:rsidRPr="008645BA">
        <w:t>New tenancies</w:t>
      </w:r>
      <w:r w:rsidR="003D6640">
        <w:t xml:space="preserve"> in an RPZ</w:t>
      </w:r>
    </w:p>
    <w:p w14:paraId="28E401B8" w14:textId="6272D3F7" w:rsidR="0013652F" w:rsidRPr="008645BA" w:rsidRDefault="0013652F" w:rsidP="0013652F">
      <w:r w:rsidRPr="008645BA">
        <w:t xml:space="preserve">For a new tenancy </w:t>
      </w:r>
      <w:r w:rsidR="00293810">
        <w:t xml:space="preserve">in an RPZ </w:t>
      </w:r>
      <w:r w:rsidRPr="008645BA">
        <w:t xml:space="preserve">(starting on or after 24 December 2016), the landlord can review the rent once every 12 months. The maximum rent increase </w:t>
      </w:r>
      <w:r w:rsidR="0019147E">
        <w:t>is</w:t>
      </w:r>
      <w:r w:rsidRPr="008645BA">
        <w:t xml:space="preserve"> 4% per year. This means that if more than </w:t>
      </w:r>
      <w:r w:rsidR="0019147E">
        <w:t>one</w:t>
      </w:r>
      <w:r w:rsidRPr="008645BA">
        <w:t xml:space="preserve"> year has passed</w:t>
      </w:r>
      <w:r w:rsidR="0019147E">
        <w:t xml:space="preserve"> since the last rent review</w:t>
      </w:r>
      <w:r w:rsidRPr="008645BA">
        <w:t xml:space="preserve">, a total rent increase of more than 4% </w:t>
      </w:r>
      <w:r w:rsidR="0019147E">
        <w:t>is</w:t>
      </w:r>
      <w:r w:rsidRPr="008645BA">
        <w:t xml:space="preserve"> permitted.</w:t>
      </w:r>
    </w:p>
    <w:p w14:paraId="5A01B440" w14:textId="5C401CE2" w:rsidR="0013652F" w:rsidRDefault="0019147E" w:rsidP="0013652F">
      <w:r>
        <w:t>For example</w:t>
      </w:r>
      <w:r w:rsidR="00952BF6" w:rsidRPr="008645BA">
        <w:t>,</w:t>
      </w:r>
      <w:r w:rsidR="0013652F" w:rsidRPr="008645BA">
        <w:t xml:space="preserve"> if a new tenancy began on 1 January 2018 with rent fixed at €1,000 and </w:t>
      </w:r>
      <w:r>
        <w:t xml:space="preserve">a rent review proposed increasing </w:t>
      </w:r>
      <w:r w:rsidR="0013652F" w:rsidRPr="008645BA">
        <w:t xml:space="preserve">it from 1 July 2019 </w:t>
      </w:r>
      <w:r>
        <w:t>(18 months after the rent was fixed)</w:t>
      </w:r>
      <w:r w:rsidR="0013652F" w:rsidRPr="008645BA">
        <w:t xml:space="preserve">, the rent could </w:t>
      </w:r>
      <w:r w:rsidR="007361C2">
        <w:t xml:space="preserve">increase </w:t>
      </w:r>
      <w:r>
        <w:t>by</w:t>
      </w:r>
      <w:r w:rsidR="007361C2">
        <w:t xml:space="preserve"> a maximum of</w:t>
      </w:r>
      <w:r w:rsidR="0013652F" w:rsidRPr="008645BA">
        <w:t xml:space="preserve"> </w:t>
      </w:r>
      <w:r>
        <w:t xml:space="preserve">6%. The new rent rate </w:t>
      </w:r>
      <w:r w:rsidR="00D278A1">
        <w:t>c</w:t>
      </w:r>
      <w:r>
        <w:t xml:space="preserve">ould be </w:t>
      </w:r>
      <w:r w:rsidR="00D278A1">
        <w:t xml:space="preserve">a maximum of </w:t>
      </w:r>
      <w:r w:rsidR="0013652F" w:rsidRPr="008645BA">
        <w:t>€1,060</w:t>
      </w:r>
      <w:r w:rsidR="00D278A1">
        <w:t xml:space="preserve"> (provided t</w:t>
      </w:r>
      <w:r w:rsidR="00060F30">
        <w:t xml:space="preserve">he landlord </w:t>
      </w:r>
      <w:r w:rsidR="00D278A1">
        <w:t>had served a valid notice of a rent review).</w:t>
      </w:r>
    </w:p>
    <w:p w14:paraId="2B9DF082" w14:textId="037F8074" w:rsidR="000E7D2F" w:rsidRPr="008645BA" w:rsidRDefault="00E949F7" w:rsidP="0013652F">
      <w:r>
        <w:t xml:space="preserve">The RTB provides a rent increase calculator on its website, </w:t>
      </w:r>
      <w:hyperlink r:id="rId10" w:history="1">
        <w:r w:rsidRPr="00E426B5">
          <w:rPr>
            <w:rStyle w:val="Hyperlink"/>
          </w:rPr>
          <w:t>rtb.ie/calculator/rpz</w:t>
        </w:r>
      </w:hyperlink>
      <w:r>
        <w:rPr>
          <w:rStyle w:val="Hyperlink"/>
        </w:rPr>
        <w:t>.</w:t>
      </w:r>
    </w:p>
    <w:p w14:paraId="6B60E627" w14:textId="36746D9D" w:rsidR="0013652F" w:rsidRPr="008645BA" w:rsidRDefault="0013652F" w:rsidP="0013652F">
      <w:r w:rsidRPr="008645BA">
        <w:t>The landlord must give the tenant the following information, in writing, at the start of the tenancy:</w:t>
      </w:r>
    </w:p>
    <w:p w14:paraId="7F6A63F8" w14:textId="649A9A09" w:rsidR="0013652F" w:rsidRPr="008645BA" w:rsidRDefault="0013652F" w:rsidP="00952BF6">
      <w:pPr>
        <w:pStyle w:val="ListParagraph"/>
        <w:numPr>
          <w:ilvl w:val="0"/>
          <w:numId w:val="13"/>
        </w:numPr>
      </w:pPr>
      <w:r w:rsidRPr="008645BA">
        <w:t>The amount of rent that was last set for the property</w:t>
      </w:r>
      <w:r w:rsidR="00617DAD">
        <w:t xml:space="preserve"> under a tenancy </w:t>
      </w:r>
    </w:p>
    <w:p w14:paraId="2F8A2066" w14:textId="77777777" w:rsidR="0013652F" w:rsidRPr="008645BA" w:rsidRDefault="0013652F" w:rsidP="00952BF6">
      <w:pPr>
        <w:pStyle w:val="ListParagraph"/>
        <w:numPr>
          <w:ilvl w:val="0"/>
          <w:numId w:val="13"/>
        </w:numPr>
      </w:pPr>
      <w:r w:rsidRPr="008645BA">
        <w:t>The date the rent was last set for the property</w:t>
      </w:r>
    </w:p>
    <w:p w14:paraId="6109B3E8" w14:textId="1A143811" w:rsidR="0013652F" w:rsidRPr="008645BA" w:rsidRDefault="0013652F" w:rsidP="00952BF6">
      <w:pPr>
        <w:pStyle w:val="ListParagraph"/>
        <w:numPr>
          <w:ilvl w:val="0"/>
          <w:numId w:val="13"/>
        </w:numPr>
      </w:pPr>
      <w:r w:rsidRPr="008645BA">
        <w:t xml:space="preserve">A statement as to how the rent set for the property has been calculated, having regard to the </w:t>
      </w:r>
      <w:r w:rsidR="00E426B5">
        <w:t>RPZ</w:t>
      </w:r>
      <w:r w:rsidRPr="008645BA">
        <w:t xml:space="preserve"> formula</w:t>
      </w:r>
    </w:p>
    <w:p w14:paraId="5230951F" w14:textId="3F855950" w:rsidR="0013652F" w:rsidRPr="008645BA" w:rsidRDefault="0013652F">
      <w:r w:rsidRPr="008645BA">
        <w:lastRenderedPageBreak/>
        <w:t>The rent being set should not be more than market rents for similar propertie</w:t>
      </w:r>
      <w:r w:rsidR="00952BF6" w:rsidRPr="008645BA">
        <w:t>s</w:t>
      </w:r>
      <w:r w:rsidR="00617DAD">
        <w:t xml:space="preserve"> in the area</w:t>
      </w:r>
      <w:r w:rsidR="00F41EB4">
        <w:t xml:space="preserve">. </w:t>
      </w:r>
      <w:r w:rsidR="008A6219">
        <w:t>To demonstrate this, t</w:t>
      </w:r>
      <w:r w:rsidR="00F41EB4">
        <w:t>he landlord must provide</w:t>
      </w:r>
      <w:r w:rsidR="00617DAD">
        <w:t xml:space="preserve"> three comparable examples for similar properties in </w:t>
      </w:r>
      <w:r w:rsidR="000C1737">
        <w:t>the locality or in similar areas</w:t>
      </w:r>
      <w:r w:rsidR="00800B90" w:rsidRPr="008645BA">
        <w:t>.</w:t>
      </w:r>
    </w:p>
    <w:p w14:paraId="5A778199" w14:textId="40B6FE1A" w:rsidR="00952BF6" w:rsidRPr="008645BA" w:rsidRDefault="000E7D2F" w:rsidP="00844CF9">
      <w:pPr>
        <w:pStyle w:val="Heading5"/>
      </w:pPr>
      <w:r w:rsidRPr="008645BA">
        <w:t>Existing tenancies</w:t>
      </w:r>
      <w:r w:rsidR="003D6640">
        <w:t xml:space="preserve"> in an RPZ</w:t>
      </w:r>
    </w:p>
    <w:p w14:paraId="13274E34" w14:textId="3290D5E3" w:rsidR="00272BB4" w:rsidRDefault="00952BF6">
      <w:r w:rsidRPr="008645BA">
        <w:t>In existing tenancies (starting before 24 December 2016) in a</w:t>
      </w:r>
      <w:r w:rsidR="00272BB4">
        <w:t>n</w:t>
      </w:r>
      <w:r w:rsidRPr="008645BA">
        <w:t xml:space="preserve"> RPZ</w:t>
      </w:r>
      <w:r w:rsidR="00617DAD">
        <w:t>,</w:t>
      </w:r>
      <w:r w:rsidRPr="008645BA">
        <w:t xml:space="preserve"> the first rent review can take place after 24 months from the start of the tenancy or </w:t>
      </w:r>
      <w:r w:rsidR="00272BB4">
        <w:t xml:space="preserve">24 months </w:t>
      </w:r>
      <w:r w:rsidRPr="008645BA">
        <w:t xml:space="preserve">from the date you were notified in writing of your last review. The maximum rent increase is 2% per year since the previous rent was set. </w:t>
      </w:r>
    </w:p>
    <w:p w14:paraId="48AEC9C9" w14:textId="292A1F27" w:rsidR="00952BF6" w:rsidRPr="008645BA" w:rsidRDefault="00272BB4">
      <w:r>
        <w:t>For example</w:t>
      </w:r>
      <w:r w:rsidR="00952BF6" w:rsidRPr="008645BA">
        <w:t>, if the rent is reviewed after the minimum 24-month period, the maximum rent increase is 4%. If more time has passed since the previous rent was set, the maximum rent increase is higher (2% per additional year up until 2016). Subsequent rent reviews can take place after 12 months and must adhere to the RPZ rules</w:t>
      </w:r>
      <w:r w:rsidR="00AA101C" w:rsidRPr="008645BA">
        <w:t xml:space="preserve"> set out above for new tenancies</w:t>
      </w:r>
      <w:r w:rsidR="00952BF6" w:rsidRPr="008645BA">
        <w:t>.</w:t>
      </w:r>
    </w:p>
    <w:p w14:paraId="16B5D05D" w14:textId="40765480" w:rsidR="000E7D2F" w:rsidRPr="008645BA" w:rsidRDefault="00293810" w:rsidP="00844CF9">
      <w:pPr>
        <w:pStyle w:val="Heading5"/>
      </w:pPr>
      <w:r>
        <w:t>Exemptions</w:t>
      </w:r>
      <w:r w:rsidR="000C1737">
        <w:t xml:space="preserve"> to the RPZ regulations</w:t>
      </w:r>
    </w:p>
    <w:p w14:paraId="1B602C21" w14:textId="5B15D787" w:rsidR="0013652F" w:rsidRPr="008645BA" w:rsidRDefault="004B3484">
      <w:r>
        <w:t xml:space="preserve">Rent can </w:t>
      </w:r>
      <w:r w:rsidR="007F03B1">
        <w:t xml:space="preserve">only </w:t>
      </w:r>
      <w:r>
        <w:t xml:space="preserve">be </w:t>
      </w:r>
      <w:r w:rsidR="008F19F2" w:rsidRPr="008645BA">
        <w:t>increase</w:t>
      </w:r>
      <w:r>
        <w:t>d</w:t>
      </w:r>
      <w:r w:rsidR="008F19F2" w:rsidRPr="008645BA">
        <w:t xml:space="preserve"> above</w:t>
      </w:r>
      <w:r w:rsidR="000E7D2F" w:rsidRPr="008645BA">
        <w:t xml:space="preserve"> the </w:t>
      </w:r>
      <w:r w:rsidR="008F19F2" w:rsidRPr="008645BA">
        <w:t xml:space="preserve">maximum </w:t>
      </w:r>
      <w:r w:rsidR="000E7D2F" w:rsidRPr="008645BA">
        <w:t xml:space="preserve">annual percentages </w:t>
      </w:r>
      <w:r>
        <w:t>for</w:t>
      </w:r>
      <w:r w:rsidR="000E7D2F" w:rsidRPr="008645BA">
        <w:t>:</w:t>
      </w:r>
    </w:p>
    <w:p w14:paraId="1C4CB43F" w14:textId="3CB0E021" w:rsidR="007F03B1" w:rsidRDefault="007F03B1" w:rsidP="00152DED">
      <w:pPr>
        <w:pStyle w:val="ListParagraph"/>
        <w:numPr>
          <w:ilvl w:val="0"/>
          <w:numId w:val="36"/>
        </w:numPr>
      </w:pPr>
      <w:r>
        <w:t>Tenancies in protected structures or proposed protected structures that have not been let in the previous year</w:t>
      </w:r>
    </w:p>
    <w:p w14:paraId="7BDC9D4C" w14:textId="6CB1DD05" w:rsidR="000E7D2F" w:rsidRPr="008645BA" w:rsidRDefault="007F03B1" w:rsidP="00152DED">
      <w:pPr>
        <w:pStyle w:val="ListParagraph"/>
        <w:numPr>
          <w:ilvl w:val="0"/>
          <w:numId w:val="36"/>
        </w:numPr>
      </w:pPr>
      <w:r>
        <w:t>Other p</w:t>
      </w:r>
      <w:r w:rsidR="000E7D2F" w:rsidRPr="008645BA">
        <w:t xml:space="preserve">roperties that have not been let at any time in the previous </w:t>
      </w:r>
      <w:r w:rsidR="00272BB4">
        <w:t>two</w:t>
      </w:r>
      <w:r w:rsidR="000E7D2F" w:rsidRPr="008645BA">
        <w:t xml:space="preserve"> years</w:t>
      </w:r>
    </w:p>
    <w:p w14:paraId="6DF8EDE3" w14:textId="7894F044" w:rsidR="000E7D2F" w:rsidRPr="008645BA" w:rsidRDefault="000E7D2F" w:rsidP="00152DED">
      <w:pPr>
        <w:pStyle w:val="ListParagraph"/>
        <w:numPr>
          <w:ilvl w:val="0"/>
          <w:numId w:val="36"/>
        </w:numPr>
      </w:pPr>
      <w:r w:rsidRPr="008645BA">
        <w:t>Properties that have been substantially changed</w:t>
      </w:r>
    </w:p>
    <w:p w14:paraId="3EF08684" w14:textId="04D26C39" w:rsidR="008F19F2" w:rsidRPr="008645BA" w:rsidRDefault="000E7D2F">
      <w:r w:rsidRPr="008645BA">
        <w:t xml:space="preserve">The 2019 Act introduces a definition of what amounts to a substantial change. </w:t>
      </w:r>
      <w:r w:rsidR="008F19F2" w:rsidRPr="008645BA">
        <w:t>A substantial change is</w:t>
      </w:r>
      <w:r w:rsidR="00272BB4">
        <w:t xml:space="preserve"> any of the following</w:t>
      </w:r>
      <w:r w:rsidR="008F19F2" w:rsidRPr="008645BA">
        <w:t>:</w:t>
      </w:r>
    </w:p>
    <w:p w14:paraId="1DC03DB5" w14:textId="758A6D3A" w:rsidR="008F19F2" w:rsidRPr="008645BA" w:rsidRDefault="008F19F2" w:rsidP="00272BB4">
      <w:pPr>
        <w:pStyle w:val="ListParagraph"/>
        <w:numPr>
          <w:ilvl w:val="0"/>
          <w:numId w:val="34"/>
        </w:numPr>
      </w:pPr>
      <w:r w:rsidRPr="008645BA">
        <w:t>A permanent extension which increases the floor area of the dwelling by at least 25%</w:t>
      </w:r>
    </w:p>
    <w:p w14:paraId="473D50E1" w14:textId="5A8D3165" w:rsidR="008F19F2" w:rsidRPr="008645BA" w:rsidRDefault="008F19F2" w:rsidP="00272BB4">
      <w:pPr>
        <w:pStyle w:val="ListParagraph"/>
        <w:numPr>
          <w:ilvl w:val="0"/>
          <w:numId w:val="34"/>
        </w:numPr>
      </w:pPr>
      <w:r w:rsidRPr="008645BA">
        <w:t xml:space="preserve">An improvement which increases the energy rating of the dwelling by at least </w:t>
      </w:r>
      <w:r w:rsidR="005F37BF">
        <w:t>seven</w:t>
      </w:r>
      <w:r w:rsidRPr="008645BA">
        <w:t xml:space="preserve"> building energy ratings</w:t>
      </w:r>
    </w:p>
    <w:p w14:paraId="14D6688E" w14:textId="4D0ADD49" w:rsidR="008F19F2" w:rsidRPr="008645BA" w:rsidRDefault="008F19F2" w:rsidP="00152DED">
      <w:pPr>
        <w:pStyle w:val="ListParagraph"/>
        <w:numPr>
          <w:ilvl w:val="0"/>
          <w:numId w:val="34"/>
        </w:numPr>
      </w:pPr>
      <w:r w:rsidRPr="008645BA">
        <w:t xml:space="preserve">An improvement which </w:t>
      </w:r>
      <w:r w:rsidR="00272BB4" w:rsidRPr="008645BA">
        <w:t xml:space="preserve">is not required by existing legislation </w:t>
      </w:r>
      <w:r w:rsidR="00272BB4">
        <w:t xml:space="preserve">and </w:t>
      </w:r>
      <w:r w:rsidRPr="008645BA">
        <w:t>consists of at least three of the following</w:t>
      </w:r>
      <w:r w:rsidR="00E875DD" w:rsidRPr="008645BA">
        <w:t>:</w:t>
      </w:r>
    </w:p>
    <w:p w14:paraId="584C946B" w14:textId="79F98AD8" w:rsidR="008F19F2" w:rsidRPr="008645BA" w:rsidRDefault="00617DAD" w:rsidP="00516FDC">
      <w:pPr>
        <w:pStyle w:val="ListParagraph"/>
        <w:numPr>
          <w:ilvl w:val="1"/>
          <w:numId w:val="40"/>
        </w:numPr>
      </w:pPr>
      <w:r>
        <w:t>T</w:t>
      </w:r>
      <w:r w:rsidR="008F19F2" w:rsidRPr="008645BA">
        <w:t xml:space="preserve">he internal layout of the dwelling </w:t>
      </w:r>
      <w:r w:rsidR="00272BB4">
        <w:t>is</w:t>
      </w:r>
      <w:r w:rsidR="00272BB4" w:rsidRPr="008645BA">
        <w:t xml:space="preserve"> </w:t>
      </w:r>
      <w:r w:rsidR="008F19F2" w:rsidRPr="008645BA">
        <w:t>permanently altered</w:t>
      </w:r>
      <w:r w:rsidR="005529BE">
        <w:t>.</w:t>
      </w:r>
    </w:p>
    <w:p w14:paraId="0CE6C06A" w14:textId="28F29FDC" w:rsidR="008F19F2" w:rsidRPr="008645BA" w:rsidRDefault="00617DAD" w:rsidP="00516FDC">
      <w:pPr>
        <w:pStyle w:val="ListParagraph"/>
        <w:numPr>
          <w:ilvl w:val="1"/>
          <w:numId w:val="40"/>
        </w:numPr>
      </w:pPr>
      <w:r>
        <w:t>T</w:t>
      </w:r>
      <w:r w:rsidR="008F19F2" w:rsidRPr="008645BA">
        <w:t xml:space="preserve">he dwelling </w:t>
      </w:r>
      <w:r w:rsidR="00272BB4">
        <w:t>is</w:t>
      </w:r>
      <w:r w:rsidR="00272BB4" w:rsidRPr="008645BA">
        <w:t xml:space="preserve"> </w:t>
      </w:r>
      <w:r w:rsidR="008F19F2" w:rsidRPr="008645BA">
        <w:t>adapted to provide for access and use by a person with a disability</w:t>
      </w:r>
      <w:r w:rsidR="005529BE">
        <w:t>.</w:t>
      </w:r>
    </w:p>
    <w:p w14:paraId="0B70596F" w14:textId="51B6B2E1" w:rsidR="008F19F2" w:rsidRPr="008645BA" w:rsidRDefault="005529BE" w:rsidP="00516FDC">
      <w:pPr>
        <w:pStyle w:val="ListParagraph"/>
        <w:numPr>
          <w:ilvl w:val="1"/>
          <w:numId w:val="40"/>
        </w:numPr>
      </w:pPr>
      <w:r>
        <w:t>T</w:t>
      </w:r>
      <w:r w:rsidRPr="008645BA">
        <w:t xml:space="preserve">he number of rooms </w:t>
      </w:r>
      <w:r>
        <w:t xml:space="preserve">is </w:t>
      </w:r>
      <w:r w:rsidR="008F19F2" w:rsidRPr="008645BA">
        <w:t>permanent</w:t>
      </w:r>
      <w:r>
        <w:t>ly</w:t>
      </w:r>
      <w:r w:rsidR="008F19F2" w:rsidRPr="008645BA">
        <w:t xml:space="preserve"> increase</w:t>
      </w:r>
      <w:r>
        <w:t>d.</w:t>
      </w:r>
      <w:r w:rsidR="008F19F2" w:rsidRPr="008645BA">
        <w:t xml:space="preserve"> </w:t>
      </w:r>
    </w:p>
    <w:p w14:paraId="7023B044" w14:textId="5444B40D" w:rsidR="008F19F2" w:rsidRPr="008645BA" w:rsidRDefault="00272BB4" w:rsidP="00516FDC">
      <w:pPr>
        <w:pStyle w:val="ListParagraph"/>
        <w:numPr>
          <w:ilvl w:val="1"/>
          <w:numId w:val="40"/>
        </w:numPr>
      </w:pPr>
      <w:r>
        <w:t>T</w:t>
      </w:r>
      <w:r w:rsidRPr="008645BA">
        <w:t xml:space="preserve">he BER </w:t>
      </w:r>
      <w:r w:rsidR="005529BE">
        <w:t xml:space="preserve">rating </w:t>
      </w:r>
      <w:r>
        <w:t>is</w:t>
      </w:r>
      <w:r w:rsidRPr="008645BA">
        <w:t xml:space="preserve"> improved by at least </w:t>
      </w:r>
      <w:r w:rsidR="005529BE">
        <w:t>three</w:t>
      </w:r>
      <w:r w:rsidR="00CF4F32">
        <w:t xml:space="preserve"> levels</w:t>
      </w:r>
      <w:r w:rsidR="005529BE">
        <w:t xml:space="preserve"> on the BER (</w:t>
      </w:r>
      <w:r w:rsidR="005529BE" w:rsidRPr="008645BA">
        <w:t xml:space="preserve">building </w:t>
      </w:r>
      <w:r w:rsidR="005529BE">
        <w:t>en</w:t>
      </w:r>
      <w:r w:rsidRPr="008645BA">
        <w:t>ergy ratings</w:t>
      </w:r>
      <w:r w:rsidR="005529BE">
        <w:t>) scale</w:t>
      </w:r>
      <w:r>
        <w:t>, i</w:t>
      </w:r>
      <w:r w:rsidR="005529BE">
        <w:t>n</w:t>
      </w:r>
      <w:r>
        <w:t xml:space="preserve"> </w:t>
      </w:r>
      <w:r w:rsidR="008F19F2" w:rsidRPr="008645BA">
        <w:t>a dwelling that has a BER of D1 or lower</w:t>
      </w:r>
      <w:r w:rsidR="005529BE">
        <w:t>.</w:t>
      </w:r>
    </w:p>
    <w:p w14:paraId="7DEE0320" w14:textId="6ABC47F0" w:rsidR="00E875DD" w:rsidRPr="008645BA" w:rsidRDefault="00272BB4" w:rsidP="00516FDC">
      <w:pPr>
        <w:pStyle w:val="ListParagraph"/>
        <w:numPr>
          <w:ilvl w:val="1"/>
          <w:numId w:val="40"/>
        </w:numPr>
      </w:pPr>
      <w:r>
        <w:t>T</w:t>
      </w:r>
      <w:r w:rsidRPr="008645BA">
        <w:t xml:space="preserve">he BER </w:t>
      </w:r>
      <w:r w:rsidR="005529BE">
        <w:t xml:space="preserve">rating </w:t>
      </w:r>
      <w:r>
        <w:t>is</w:t>
      </w:r>
      <w:r w:rsidRPr="008645BA">
        <w:t xml:space="preserve"> improved by </w:t>
      </w:r>
      <w:r w:rsidR="005529BE">
        <w:t>at least</w:t>
      </w:r>
      <w:r w:rsidRPr="008645BA">
        <w:t xml:space="preserve"> </w:t>
      </w:r>
      <w:r w:rsidR="005529BE">
        <w:t>two</w:t>
      </w:r>
      <w:r w:rsidRPr="008645BA">
        <w:t xml:space="preserve"> </w:t>
      </w:r>
      <w:r w:rsidR="00CF4F32">
        <w:t>levels</w:t>
      </w:r>
      <w:r w:rsidR="005529BE">
        <w:t xml:space="preserve"> on the BER scale, in </w:t>
      </w:r>
      <w:r w:rsidR="008F19F2" w:rsidRPr="008645BA">
        <w:t>a dwelling that has a BER of C3 o</w:t>
      </w:r>
      <w:r w:rsidR="00E50CE3">
        <w:t>r</w:t>
      </w:r>
      <w:r w:rsidR="008F19F2" w:rsidRPr="008645BA">
        <w:t xml:space="preserve"> higher</w:t>
      </w:r>
      <w:r w:rsidR="005529BE">
        <w:t>.</w:t>
      </w:r>
    </w:p>
    <w:p w14:paraId="355313C4" w14:textId="7AE7E608" w:rsidR="00E875DD" w:rsidRPr="008645BA" w:rsidRDefault="00E875DD" w:rsidP="00E875DD">
      <w:pPr>
        <w:pStyle w:val="ListParagraph"/>
      </w:pPr>
    </w:p>
    <w:p w14:paraId="58258B24" w14:textId="3A82CADF" w:rsidR="00E875DD" w:rsidRPr="008645BA" w:rsidRDefault="008E4987" w:rsidP="00CB33A5">
      <w:pPr>
        <w:pStyle w:val="Heading4"/>
      </w:pPr>
      <w:r w:rsidRPr="008645BA">
        <w:t xml:space="preserve">Need to notify </w:t>
      </w:r>
      <w:r w:rsidR="000C1737">
        <w:t>the RTB of exemption</w:t>
      </w:r>
    </w:p>
    <w:p w14:paraId="4629ADB5" w14:textId="76F0FA33" w:rsidR="00E875DD" w:rsidRPr="008645BA" w:rsidRDefault="0021270E" w:rsidP="009B661A">
      <w:r w:rsidRPr="008645BA">
        <w:t>Since 1 July 2019</w:t>
      </w:r>
      <w:r w:rsidR="009475C4">
        <w:t>,</w:t>
      </w:r>
      <w:r w:rsidRPr="008645BA">
        <w:t xml:space="preserve"> landlords must inform the RTB </w:t>
      </w:r>
      <w:r w:rsidR="0014113F">
        <w:t>if</w:t>
      </w:r>
      <w:r w:rsidR="0014113F" w:rsidRPr="008645BA">
        <w:t xml:space="preserve"> </w:t>
      </w:r>
      <w:r w:rsidRPr="008645BA">
        <w:t>they are relying on an exemption which means that they do not have to adhere to the R</w:t>
      </w:r>
      <w:r w:rsidR="0014113F">
        <w:t>PZ</w:t>
      </w:r>
      <w:r w:rsidRPr="008645BA">
        <w:t xml:space="preserve"> formula. Landlords must </w:t>
      </w:r>
      <w:r w:rsidR="009475C4">
        <w:t>complete</w:t>
      </w:r>
      <w:r w:rsidRPr="008645BA">
        <w:t xml:space="preserve"> a</w:t>
      </w:r>
      <w:r w:rsidR="000C1737">
        <w:t>n RPZ Exemption Form</w:t>
      </w:r>
      <w:r w:rsidR="00CF4F32">
        <w:t xml:space="preserve"> available on the RTB website,</w:t>
      </w:r>
      <w:r w:rsidRPr="008645BA">
        <w:t xml:space="preserve"> </w:t>
      </w:r>
      <w:r w:rsidR="002C12F1" w:rsidRPr="002C12F1">
        <w:rPr>
          <w:b/>
        </w:rPr>
        <w:t>rtb.ie</w:t>
      </w:r>
      <w:r w:rsidR="002C12F1">
        <w:t xml:space="preserve">, </w:t>
      </w:r>
      <w:r w:rsidRPr="008645BA">
        <w:t>and send it to the RTB within one month of the new rent amount being set.</w:t>
      </w:r>
    </w:p>
    <w:p w14:paraId="2BA42224" w14:textId="3B3CBF4C" w:rsidR="00303F1D" w:rsidRPr="008645BA" w:rsidRDefault="0021270E">
      <w:r w:rsidRPr="008645BA">
        <w:t>Under the Residential Tenancies (Amendment) Act 2019</w:t>
      </w:r>
      <w:r w:rsidR="0014113F">
        <w:t>,</w:t>
      </w:r>
      <w:r w:rsidRPr="008645BA">
        <w:t xml:space="preserve"> there are sanctions for landlords who do not follow rent increase limits in RPZs, provide false information about an exemption in an RPZ area or </w:t>
      </w:r>
      <w:r w:rsidR="0014113F">
        <w:t>fail to</w:t>
      </w:r>
      <w:r w:rsidRPr="008645BA">
        <w:t xml:space="preserve"> notify the RTB about availing of an exemption.</w:t>
      </w:r>
    </w:p>
    <w:p w14:paraId="65965FBE" w14:textId="2AC2473D" w:rsidR="000C21B6" w:rsidRPr="008645BA" w:rsidRDefault="000C21B6" w:rsidP="00CB33A5">
      <w:pPr>
        <w:pStyle w:val="Heading3"/>
      </w:pPr>
      <w:r w:rsidRPr="008645BA">
        <w:t>Investigation</w:t>
      </w:r>
      <w:r w:rsidR="005C2C79" w:rsidRPr="008645BA">
        <w:t>s, s</w:t>
      </w:r>
      <w:r w:rsidRPr="008645BA">
        <w:t>anction</w:t>
      </w:r>
      <w:r w:rsidR="005C2C79" w:rsidRPr="008645BA">
        <w:t>s and new criminal offences</w:t>
      </w:r>
    </w:p>
    <w:p w14:paraId="690ADC74" w14:textId="4B663B53" w:rsidR="000C21B6" w:rsidRPr="008645BA" w:rsidRDefault="004F4123">
      <w:r w:rsidRPr="008645BA">
        <w:lastRenderedPageBreak/>
        <w:t>The 2019 Act significantly enhances the investigation and sanctioning powers of the RTB and introduces new criminal offence</w:t>
      </w:r>
      <w:r w:rsidR="002C12F1">
        <w:t>s for failure to comply with</w:t>
      </w:r>
      <w:r w:rsidRPr="008645BA">
        <w:t xml:space="preserve"> residential tenancies legislation. </w:t>
      </w:r>
    </w:p>
    <w:p w14:paraId="24399D17" w14:textId="7766FA3E" w:rsidR="004F4123" w:rsidRPr="008645BA" w:rsidRDefault="004F4123" w:rsidP="00CB33A5">
      <w:pPr>
        <w:pStyle w:val="Heading4"/>
      </w:pPr>
      <w:r w:rsidRPr="008645BA">
        <w:t>Investigati</w:t>
      </w:r>
      <w:r w:rsidR="00E93B1F" w:rsidRPr="008645BA">
        <w:t>ons</w:t>
      </w:r>
    </w:p>
    <w:p w14:paraId="76A50D0E" w14:textId="6A9400D1" w:rsidR="00E15A12" w:rsidRDefault="00E15A12" w:rsidP="00E15A12">
      <w:r>
        <w:t>The 2019 Act introduces new powers of investigation and sanctions</w:t>
      </w:r>
      <w:r w:rsidR="00437D62">
        <w:t>. These powers</w:t>
      </w:r>
      <w:r>
        <w:t xml:space="preserve"> give the RTB a more active and direct regulatory role in the rental sector and will allow the RTB to support landlords in complying with the legislation.</w:t>
      </w:r>
    </w:p>
    <w:p w14:paraId="347684FC" w14:textId="7D07D623" w:rsidR="00E15A12" w:rsidRDefault="00E15A12" w:rsidP="00E15A12">
      <w:r>
        <w:t xml:space="preserve">The RTB can conduct investigations into potential breaches of law by </w:t>
      </w:r>
      <w:r w:rsidR="00437D62">
        <w:t>l</w:t>
      </w:r>
      <w:r>
        <w:t>andlords</w:t>
      </w:r>
      <w:r w:rsidR="00437D62">
        <w:t>,</w:t>
      </w:r>
      <w:r>
        <w:t xml:space="preserve"> with or without a formal complaint. The landlord will be afforded the opportunity to acknowledge their breach and bring the investigation to an end at an early stage. </w:t>
      </w:r>
    </w:p>
    <w:p w14:paraId="08D881D7" w14:textId="7E24BACF" w:rsidR="00A078CE" w:rsidRPr="008645BA" w:rsidRDefault="00DF784D" w:rsidP="00546B03">
      <w:r>
        <w:t xml:space="preserve">The RTB has established a new </w:t>
      </w:r>
      <w:r w:rsidR="000A162A">
        <w:t xml:space="preserve">investigations and sanctions unit with a dedicated information helpline on </w:t>
      </w:r>
      <w:r w:rsidR="000A162A" w:rsidRPr="000A162A">
        <w:t>0818 776297 or 01 6753724</w:t>
      </w:r>
      <w:r w:rsidR="000A162A">
        <w:t xml:space="preserve">. </w:t>
      </w:r>
      <w:r w:rsidR="00A078CE" w:rsidRPr="008645BA">
        <w:t xml:space="preserve">Where the RTB receives a complaint alleging improper conduct by a landlord, it </w:t>
      </w:r>
      <w:r w:rsidR="00A857EF" w:rsidRPr="008645BA">
        <w:t>will have</w:t>
      </w:r>
      <w:r w:rsidR="00A078CE" w:rsidRPr="008645BA">
        <w:t xml:space="preserve"> the power to commence an investigation into that complaint. Improper conduct includes:</w:t>
      </w:r>
    </w:p>
    <w:p w14:paraId="229896EA" w14:textId="41ED8EC7" w:rsidR="00A078CE" w:rsidRPr="008645BA" w:rsidRDefault="00437D62" w:rsidP="00C52EF1">
      <w:pPr>
        <w:pStyle w:val="ListParagraph"/>
        <w:numPr>
          <w:ilvl w:val="0"/>
          <w:numId w:val="38"/>
        </w:numPr>
      </w:pPr>
      <w:r>
        <w:t>Breaching</w:t>
      </w:r>
      <w:r w:rsidR="00A078CE" w:rsidRPr="008645BA">
        <w:t xml:space="preserve"> the RPZ rent restrictions</w:t>
      </w:r>
    </w:p>
    <w:p w14:paraId="52E25BE2" w14:textId="518B5025" w:rsidR="00A078CE" w:rsidRPr="008645BA" w:rsidRDefault="00A078CE" w:rsidP="00C52EF1">
      <w:pPr>
        <w:pStyle w:val="ListParagraph"/>
        <w:numPr>
          <w:ilvl w:val="0"/>
          <w:numId w:val="38"/>
        </w:numPr>
      </w:pPr>
      <w:r w:rsidRPr="008645BA">
        <w:t>Failing to notify the RTB that the</w:t>
      </w:r>
      <w:r w:rsidR="00437D62">
        <w:t>y are</w:t>
      </w:r>
      <w:r w:rsidRPr="008645BA">
        <w:t xml:space="preserve"> relying on an exemption from the RPZ rent restrictions</w:t>
      </w:r>
    </w:p>
    <w:p w14:paraId="50EBD4E0" w14:textId="13B5DA99" w:rsidR="00A078CE" w:rsidRPr="008645BA" w:rsidRDefault="00A078CE" w:rsidP="00C52EF1">
      <w:pPr>
        <w:pStyle w:val="ListParagraph"/>
        <w:numPr>
          <w:ilvl w:val="0"/>
          <w:numId w:val="38"/>
        </w:numPr>
      </w:pPr>
      <w:r w:rsidRPr="008645BA">
        <w:t>Failing to register a tenancy</w:t>
      </w:r>
    </w:p>
    <w:p w14:paraId="0252852C" w14:textId="1E9D2EED" w:rsidR="00A078CE" w:rsidRPr="008645BA" w:rsidRDefault="00A078CE" w:rsidP="00C52EF1">
      <w:pPr>
        <w:pStyle w:val="ListParagraph"/>
        <w:numPr>
          <w:ilvl w:val="0"/>
          <w:numId w:val="38"/>
        </w:numPr>
      </w:pPr>
      <w:r w:rsidRPr="008645BA">
        <w:t>Failing to notify the RTB of an alteration in the rent set under a tenancy</w:t>
      </w:r>
    </w:p>
    <w:p w14:paraId="32CB9CC3" w14:textId="12A65449" w:rsidR="00A078CE" w:rsidRPr="008645BA" w:rsidRDefault="00A078CE" w:rsidP="00C52EF1">
      <w:pPr>
        <w:pStyle w:val="ListParagraph"/>
        <w:numPr>
          <w:ilvl w:val="0"/>
          <w:numId w:val="38"/>
        </w:numPr>
      </w:pPr>
      <w:r w:rsidRPr="008645BA">
        <w:t>Attempting to rely on an exemption from the RPZ rent restrictions where an exemption does not apply</w:t>
      </w:r>
    </w:p>
    <w:p w14:paraId="4849AC06" w14:textId="1111BFF7" w:rsidR="00A078CE" w:rsidRPr="008645BA" w:rsidRDefault="00A078CE" w:rsidP="00C52EF1">
      <w:pPr>
        <w:pStyle w:val="ListParagraph"/>
        <w:numPr>
          <w:ilvl w:val="0"/>
          <w:numId w:val="38"/>
        </w:numPr>
      </w:pPr>
      <w:r w:rsidRPr="008645BA">
        <w:t>Citing a reason for termination that the landlord knows to be materially false or misleading</w:t>
      </w:r>
    </w:p>
    <w:p w14:paraId="5C7AAF9E" w14:textId="0ACAD994" w:rsidR="00A078CE" w:rsidRPr="008645BA" w:rsidRDefault="00A078CE" w:rsidP="00C52EF1">
      <w:pPr>
        <w:pStyle w:val="ListParagraph"/>
        <w:numPr>
          <w:ilvl w:val="0"/>
          <w:numId w:val="38"/>
        </w:numPr>
      </w:pPr>
      <w:r w:rsidRPr="008645BA">
        <w:t>Failing to re-offer a dwelling for letting to a former tenant</w:t>
      </w:r>
      <w:r w:rsidR="007854EA">
        <w:t>,</w:t>
      </w:r>
      <w:r w:rsidRPr="008645BA">
        <w:t xml:space="preserve"> where </w:t>
      </w:r>
      <w:r w:rsidR="002C12F1">
        <w:t>required under</w:t>
      </w:r>
      <w:r w:rsidR="00437D62">
        <w:t xml:space="preserve"> legislation</w:t>
      </w:r>
    </w:p>
    <w:p w14:paraId="5559CBFD" w14:textId="3C54AC2F" w:rsidR="00A857EF" w:rsidRPr="008645BA" w:rsidRDefault="00881F43" w:rsidP="00546B03">
      <w:r w:rsidRPr="008645BA">
        <w:t xml:space="preserve">A landlord will be notified of the investigation and provided with the relevant documents. </w:t>
      </w:r>
    </w:p>
    <w:p w14:paraId="5668A042" w14:textId="17A805FD" w:rsidR="00E15A12" w:rsidRPr="008645BA" w:rsidRDefault="00437D62" w:rsidP="00E15A12">
      <w:r>
        <w:t>In relation to investigations, t</w:t>
      </w:r>
      <w:r w:rsidR="00E15A12" w:rsidRPr="008645BA">
        <w:t xml:space="preserve">he Act allows the RTB to appoint two categories of </w:t>
      </w:r>
      <w:r>
        <w:t>people</w:t>
      </w:r>
      <w:r w:rsidR="00E15A12" w:rsidRPr="008645BA">
        <w:t>:</w:t>
      </w:r>
    </w:p>
    <w:p w14:paraId="06D8E5FD" w14:textId="5B3868D0" w:rsidR="00E15A12" w:rsidRPr="008645BA" w:rsidRDefault="00437D62" w:rsidP="00E15A12">
      <w:pPr>
        <w:pStyle w:val="ListParagraph"/>
        <w:numPr>
          <w:ilvl w:val="0"/>
          <w:numId w:val="19"/>
        </w:numPr>
      </w:pPr>
      <w:r>
        <w:t>A</w:t>
      </w:r>
      <w:r w:rsidR="00E15A12" w:rsidRPr="008645BA">
        <w:t>uthorised officers</w:t>
      </w:r>
    </w:p>
    <w:p w14:paraId="49FBBE80" w14:textId="3339B4EE" w:rsidR="00E15A12" w:rsidRPr="008645BA" w:rsidRDefault="00437D62" w:rsidP="00E15A12">
      <w:pPr>
        <w:pStyle w:val="ListParagraph"/>
        <w:numPr>
          <w:ilvl w:val="0"/>
          <w:numId w:val="19"/>
        </w:numPr>
      </w:pPr>
      <w:r>
        <w:t>D</w:t>
      </w:r>
      <w:r w:rsidR="00E15A12" w:rsidRPr="008645BA">
        <w:t>ecision</w:t>
      </w:r>
      <w:r>
        <w:t>-</w:t>
      </w:r>
      <w:r w:rsidR="00E15A12" w:rsidRPr="008645BA">
        <w:t>makers</w:t>
      </w:r>
    </w:p>
    <w:p w14:paraId="5C408C0B" w14:textId="1A323C4C" w:rsidR="00437D62" w:rsidRDefault="00E15A12" w:rsidP="00546B03">
      <w:r w:rsidRPr="008645BA">
        <w:t xml:space="preserve">Many of these will be staff members of the </w:t>
      </w:r>
      <w:r w:rsidR="00437D62">
        <w:t>RTB</w:t>
      </w:r>
      <w:r w:rsidRPr="008645BA">
        <w:t xml:space="preserve">. </w:t>
      </w:r>
    </w:p>
    <w:p w14:paraId="1AF52730" w14:textId="41588711" w:rsidR="00E93B1F" w:rsidRPr="008645BA" w:rsidRDefault="00E93B1F" w:rsidP="00546B03">
      <w:r w:rsidRPr="008645BA">
        <w:t xml:space="preserve">Authorised officers </w:t>
      </w:r>
      <w:r w:rsidR="00F77499" w:rsidRPr="008645BA">
        <w:t>are</w:t>
      </w:r>
      <w:r w:rsidRPr="008645BA">
        <w:t xml:space="preserve"> given wide-ranging powers in relation to investigations of possible </w:t>
      </w:r>
      <w:r w:rsidR="00437D62" w:rsidRPr="008645BA">
        <w:t xml:space="preserve">breaches </w:t>
      </w:r>
      <w:r w:rsidR="00437D62">
        <w:t>of r</w:t>
      </w:r>
      <w:r w:rsidRPr="008645BA">
        <w:t>esidential tenancies</w:t>
      </w:r>
      <w:r w:rsidR="00437D62">
        <w:t xml:space="preserve"> legislation</w:t>
      </w:r>
      <w:r w:rsidRPr="008645BA">
        <w:t xml:space="preserve">. </w:t>
      </w:r>
      <w:r w:rsidR="007F03B1">
        <w:t>These powers include to</w:t>
      </w:r>
      <w:r w:rsidRPr="008645BA">
        <w:t>:</w:t>
      </w:r>
    </w:p>
    <w:p w14:paraId="4AB8F59C" w14:textId="019660F6" w:rsidR="00E93B1F" w:rsidRPr="008645BA" w:rsidRDefault="00437D62" w:rsidP="00E93B1F">
      <w:pPr>
        <w:pStyle w:val="ListParagraph"/>
        <w:numPr>
          <w:ilvl w:val="0"/>
          <w:numId w:val="20"/>
        </w:numPr>
      </w:pPr>
      <w:r>
        <w:t>E</w:t>
      </w:r>
      <w:r w:rsidR="00E93B1F" w:rsidRPr="008645BA">
        <w:t xml:space="preserve">nter, inspect, examine and search any premises connected with a </w:t>
      </w:r>
      <w:r w:rsidR="007854EA">
        <w:t xml:space="preserve">residential </w:t>
      </w:r>
      <w:r w:rsidR="00E93B1F" w:rsidRPr="008645BA">
        <w:t>tenancy at a reasonable time</w:t>
      </w:r>
      <w:r w:rsidR="00044CF3" w:rsidRPr="008645BA">
        <w:t xml:space="preserve"> (</w:t>
      </w:r>
      <w:r>
        <w:t xml:space="preserve">although </w:t>
      </w:r>
      <w:r w:rsidR="00044CF3" w:rsidRPr="008645BA">
        <w:t>a warrant may be necessary if the premises is a private dwelling and the occupier withholds consent</w:t>
      </w:r>
      <w:r w:rsidRPr="008645BA">
        <w:t>, as explained below</w:t>
      </w:r>
      <w:r w:rsidR="00044CF3" w:rsidRPr="008645BA">
        <w:t>)</w:t>
      </w:r>
      <w:r w:rsidR="00E93B1F" w:rsidRPr="008645BA">
        <w:t xml:space="preserve"> </w:t>
      </w:r>
    </w:p>
    <w:p w14:paraId="03941B36" w14:textId="39C25430" w:rsidR="00E93B1F" w:rsidRPr="008645BA" w:rsidRDefault="009475C4" w:rsidP="00E93B1F">
      <w:pPr>
        <w:pStyle w:val="ListParagraph"/>
        <w:numPr>
          <w:ilvl w:val="0"/>
          <w:numId w:val="20"/>
        </w:numPr>
      </w:pPr>
      <w:r>
        <w:t>R</w:t>
      </w:r>
      <w:r w:rsidR="00E93B1F" w:rsidRPr="008645BA">
        <w:t xml:space="preserve">emove or take copies of relevant records held at </w:t>
      </w:r>
      <w:r w:rsidR="00437D62">
        <w:t>the</w:t>
      </w:r>
      <w:r w:rsidR="00437D62" w:rsidRPr="008645BA">
        <w:t xml:space="preserve"> </w:t>
      </w:r>
      <w:r w:rsidR="00E93B1F" w:rsidRPr="008645BA">
        <w:t>premises</w:t>
      </w:r>
    </w:p>
    <w:p w14:paraId="0D06CC53" w14:textId="4B2E66DA" w:rsidR="00E10EC8" w:rsidRDefault="009475C4" w:rsidP="00E10EC8">
      <w:pPr>
        <w:pStyle w:val="ListParagraph"/>
        <w:numPr>
          <w:ilvl w:val="0"/>
          <w:numId w:val="20"/>
        </w:numPr>
      </w:pPr>
      <w:r>
        <w:t>R</w:t>
      </w:r>
      <w:r w:rsidR="00E10EC8" w:rsidRPr="008645BA">
        <w:t xml:space="preserve">equest the owner of the </w:t>
      </w:r>
      <w:r w:rsidR="007854EA">
        <w:t>property</w:t>
      </w:r>
      <w:r w:rsidR="007854EA" w:rsidRPr="008645BA">
        <w:t xml:space="preserve"> </w:t>
      </w:r>
      <w:r w:rsidR="00E10EC8" w:rsidRPr="008645BA">
        <w:t xml:space="preserve">or any person there to assist </w:t>
      </w:r>
      <w:r w:rsidR="00437D62">
        <w:t>them</w:t>
      </w:r>
      <w:r w:rsidR="00437D62" w:rsidRPr="008645BA">
        <w:t xml:space="preserve"> </w:t>
      </w:r>
      <w:r w:rsidR="00E10EC8" w:rsidRPr="008645BA">
        <w:t>and</w:t>
      </w:r>
      <w:r w:rsidR="00437D62">
        <w:t>,</w:t>
      </w:r>
      <w:r w:rsidR="00E10EC8" w:rsidRPr="008645BA">
        <w:t xml:space="preserve"> if necessary, to produce copies of records </w:t>
      </w:r>
      <w:r w:rsidR="007854EA">
        <w:t xml:space="preserve">that are </w:t>
      </w:r>
      <w:r w:rsidR="007854EA" w:rsidRPr="008645BA">
        <w:t xml:space="preserve">held </w:t>
      </w:r>
      <w:r w:rsidR="00E10EC8" w:rsidRPr="008645BA">
        <w:t xml:space="preserve">digitally </w:t>
      </w:r>
    </w:p>
    <w:p w14:paraId="17D9ABBA" w14:textId="1E4BB9B3" w:rsidR="007854EA" w:rsidRPr="008645BA" w:rsidRDefault="007854EA" w:rsidP="007854EA">
      <w:pPr>
        <w:pStyle w:val="ListParagraph"/>
        <w:numPr>
          <w:ilvl w:val="0"/>
          <w:numId w:val="20"/>
        </w:numPr>
      </w:pPr>
      <w:r>
        <w:t>R</w:t>
      </w:r>
      <w:r w:rsidRPr="008645BA">
        <w:t>equire any</w:t>
      </w:r>
      <w:r>
        <w:t>one</w:t>
      </w:r>
      <w:r w:rsidRPr="008645BA">
        <w:t xml:space="preserve"> who has relevant information or records to provide th</w:t>
      </w:r>
      <w:r>
        <w:t>e necessary</w:t>
      </w:r>
      <w:r w:rsidRPr="008645BA">
        <w:t xml:space="preserve"> information or records</w:t>
      </w:r>
    </w:p>
    <w:p w14:paraId="5B02C0F4" w14:textId="08BF1F85" w:rsidR="00E10EC8" w:rsidRPr="008645BA" w:rsidRDefault="009475C4" w:rsidP="00E10EC8">
      <w:pPr>
        <w:pStyle w:val="ListParagraph"/>
        <w:numPr>
          <w:ilvl w:val="0"/>
          <w:numId w:val="20"/>
        </w:numPr>
      </w:pPr>
      <w:r>
        <w:t>R</w:t>
      </w:r>
      <w:r w:rsidR="00E10EC8" w:rsidRPr="008645BA">
        <w:t>equire an explanation from a landlord in relation to any decision or practice</w:t>
      </w:r>
    </w:p>
    <w:p w14:paraId="6D0D6C42" w14:textId="260E5BAD" w:rsidR="00E10EC8" w:rsidRPr="008645BA" w:rsidRDefault="00E10EC8" w:rsidP="00E10EC8">
      <w:r w:rsidRPr="008645BA">
        <w:t>The authorised officer may be accompanied by a member of An Garda S</w:t>
      </w:r>
      <w:r w:rsidRPr="008645BA">
        <w:rPr>
          <w:rFonts w:cstheme="minorHAnsi"/>
        </w:rPr>
        <w:t>í</w:t>
      </w:r>
      <w:r w:rsidRPr="008645BA">
        <w:t>ochána.</w:t>
      </w:r>
      <w:r w:rsidR="00011490">
        <w:t xml:space="preserve"> </w:t>
      </w:r>
    </w:p>
    <w:p w14:paraId="29878D7A" w14:textId="7E479A26" w:rsidR="00E10EC8" w:rsidRPr="008645BA" w:rsidRDefault="00E10EC8" w:rsidP="00546B03">
      <w:r w:rsidRPr="008645BA">
        <w:t xml:space="preserve">If a person fails to comply with any of the requirements, the authorised officer can apply to the District Court for an order requiring compliance. Alternatively, the District Court may grant a warrant </w:t>
      </w:r>
      <w:r w:rsidRPr="008645BA">
        <w:lastRenderedPageBreak/>
        <w:t xml:space="preserve">to </w:t>
      </w:r>
      <w:r w:rsidR="0030602F">
        <w:t xml:space="preserve">allow </w:t>
      </w:r>
      <w:r w:rsidR="0030602F" w:rsidRPr="008645BA">
        <w:t xml:space="preserve">the authorised officer </w:t>
      </w:r>
      <w:r w:rsidR="00776BD4">
        <w:t xml:space="preserve">to </w:t>
      </w:r>
      <w:r w:rsidRPr="008645BA">
        <w:t xml:space="preserve">enter </w:t>
      </w:r>
      <w:r w:rsidR="0030602F">
        <w:t>a</w:t>
      </w:r>
      <w:r w:rsidR="0030602F" w:rsidRPr="008645BA">
        <w:t xml:space="preserve"> </w:t>
      </w:r>
      <w:r w:rsidRPr="008645BA">
        <w:t>premises</w:t>
      </w:r>
      <w:r w:rsidR="000D07E1" w:rsidRPr="008645BA">
        <w:t xml:space="preserve"> </w:t>
      </w:r>
      <w:r w:rsidR="0030602F">
        <w:t>(</w:t>
      </w:r>
      <w:r w:rsidR="00044CF3" w:rsidRPr="008645BA">
        <w:t>including a private dwelling where the occupier withholds consent</w:t>
      </w:r>
      <w:r w:rsidR="0030602F">
        <w:t>)</w:t>
      </w:r>
      <w:r w:rsidRPr="008645BA">
        <w:t>.</w:t>
      </w:r>
    </w:p>
    <w:p w14:paraId="191CE460" w14:textId="430A55D2" w:rsidR="00E10EC8" w:rsidRPr="008645BA" w:rsidDel="0030602F" w:rsidRDefault="00E10EC8" w:rsidP="00546B03">
      <w:r w:rsidRPr="008645BA" w:rsidDel="0030602F">
        <w:t xml:space="preserve">An authorised officer may </w:t>
      </w:r>
      <w:r w:rsidR="00044CF3" w:rsidRPr="008645BA" w:rsidDel="0030602F">
        <w:t>also conduct a</w:t>
      </w:r>
      <w:r w:rsidR="00A078CE" w:rsidRPr="008645BA" w:rsidDel="0030602F">
        <w:t>n</w:t>
      </w:r>
      <w:r w:rsidR="00044CF3" w:rsidRPr="008645BA" w:rsidDel="0030602F">
        <w:t xml:space="preserve"> oral hearing</w:t>
      </w:r>
      <w:r w:rsidR="00A078CE" w:rsidRPr="008645BA" w:rsidDel="0030602F">
        <w:t xml:space="preserve"> in relation to any aspect of </w:t>
      </w:r>
      <w:r w:rsidR="009475C4" w:rsidDel="0030602F">
        <w:t>the</w:t>
      </w:r>
      <w:r w:rsidR="00A078CE" w:rsidRPr="008645BA" w:rsidDel="0030602F">
        <w:t xml:space="preserve"> investigation</w:t>
      </w:r>
      <w:r w:rsidR="00044CF3" w:rsidRPr="008645BA" w:rsidDel="0030602F">
        <w:t>.</w:t>
      </w:r>
    </w:p>
    <w:p w14:paraId="3BB53399" w14:textId="65C42DD5" w:rsidR="00044CF3" w:rsidRPr="008645BA" w:rsidRDefault="00044CF3" w:rsidP="00546B03">
      <w:r w:rsidRPr="008645BA">
        <w:t>Failure to comply with any of the above requirements</w:t>
      </w:r>
      <w:r w:rsidR="0030602F">
        <w:t xml:space="preserve"> </w:t>
      </w:r>
      <w:r w:rsidR="002C12F1">
        <w:t>and</w:t>
      </w:r>
      <w:r w:rsidRPr="008645BA">
        <w:t xml:space="preserve"> </w:t>
      </w:r>
      <w:r w:rsidR="0030602F" w:rsidRPr="008645BA">
        <w:t xml:space="preserve">destroying or concealing relevant records </w:t>
      </w:r>
      <w:r w:rsidR="0030602F">
        <w:t>are</w:t>
      </w:r>
      <w:r w:rsidRPr="008645BA">
        <w:t xml:space="preserve"> criminal offence</w:t>
      </w:r>
      <w:r w:rsidR="0030602F">
        <w:t>s</w:t>
      </w:r>
      <w:r w:rsidRPr="008645BA">
        <w:t>. The maximum penalties are</w:t>
      </w:r>
      <w:r w:rsidR="006A32D1">
        <w:t>:</w:t>
      </w:r>
    </w:p>
    <w:p w14:paraId="1029A59B" w14:textId="5B7FF132" w:rsidR="00044CF3" w:rsidRPr="008645BA" w:rsidRDefault="00362ACD" w:rsidP="00044CF3">
      <w:pPr>
        <w:pStyle w:val="ListParagraph"/>
        <w:numPr>
          <w:ilvl w:val="0"/>
          <w:numId w:val="21"/>
        </w:numPr>
      </w:pPr>
      <w:r>
        <w:t>C</w:t>
      </w:r>
      <w:r w:rsidR="00044CF3" w:rsidRPr="008645BA">
        <w:t>lass A fine and/or imprisonment for up to 12 months</w:t>
      </w:r>
      <w:r>
        <w:t>,</w:t>
      </w:r>
      <w:r w:rsidR="00044CF3" w:rsidRPr="008645BA">
        <w:t xml:space="preserve"> if prosecuted in the District Court</w:t>
      </w:r>
    </w:p>
    <w:p w14:paraId="74022642" w14:textId="143DCDE1" w:rsidR="00044CF3" w:rsidRPr="008645BA" w:rsidRDefault="00362ACD" w:rsidP="00044CF3">
      <w:pPr>
        <w:pStyle w:val="ListParagraph"/>
        <w:numPr>
          <w:ilvl w:val="0"/>
          <w:numId w:val="21"/>
        </w:numPr>
      </w:pPr>
      <w:r>
        <w:t>F</w:t>
      </w:r>
      <w:r w:rsidR="00044CF3" w:rsidRPr="008645BA">
        <w:t xml:space="preserve">ine of €50,000 and/or imprisonment for up to </w:t>
      </w:r>
      <w:r w:rsidR="0030602F">
        <w:t>five</w:t>
      </w:r>
      <w:r w:rsidR="00044CF3" w:rsidRPr="008645BA">
        <w:t xml:space="preserve"> years</w:t>
      </w:r>
      <w:r>
        <w:t>,</w:t>
      </w:r>
      <w:r w:rsidR="00044CF3" w:rsidRPr="008645BA">
        <w:t xml:space="preserve"> if prosecuted in the Circuit Court</w:t>
      </w:r>
    </w:p>
    <w:p w14:paraId="5156FFCE" w14:textId="30E20B15" w:rsidR="00881F43" w:rsidRPr="008645BA" w:rsidRDefault="00011490" w:rsidP="00546B03">
      <w:r>
        <w:t xml:space="preserve">When </w:t>
      </w:r>
      <w:r w:rsidR="00881F43" w:rsidRPr="008645BA">
        <w:t xml:space="preserve">an investigation </w:t>
      </w:r>
      <w:r>
        <w:t>is concluded</w:t>
      </w:r>
      <w:r w:rsidR="00881F43" w:rsidRPr="008645BA">
        <w:t>, a draft of the investigation report must be provided to the landlord</w:t>
      </w:r>
      <w:r w:rsidR="00AE06E7">
        <w:t>, who</w:t>
      </w:r>
      <w:r w:rsidR="00881F43" w:rsidRPr="008645BA">
        <w:t xml:space="preserve"> has 21 days to make submissions in respect of the draft</w:t>
      </w:r>
      <w:r w:rsidR="002C12F1">
        <w:t xml:space="preserve"> report</w:t>
      </w:r>
      <w:r w:rsidR="00881F43" w:rsidRPr="008645BA">
        <w:t>.  A final report will then be prepared and provided to a decision</w:t>
      </w:r>
      <w:r>
        <w:t>-</w:t>
      </w:r>
      <w:r w:rsidR="00881F43" w:rsidRPr="008645BA">
        <w:t>maker.</w:t>
      </w:r>
    </w:p>
    <w:p w14:paraId="25C77EDA" w14:textId="143FF3DF" w:rsidR="005A4BBC" w:rsidRDefault="00616E41">
      <w:r w:rsidRPr="008645BA">
        <w:t>The decision</w:t>
      </w:r>
      <w:r w:rsidR="00011490">
        <w:t>-</w:t>
      </w:r>
      <w:r w:rsidRPr="008645BA">
        <w:t>maker will then consider the report and any attached submissions</w:t>
      </w:r>
      <w:r w:rsidR="00C7582D">
        <w:t>, and may conduct</w:t>
      </w:r>
      <w:r w:rsidR="00C7582D" w:rsidRPr="008645BA">
        <w:t xml:space="preserve"> an oral hearing.</w:t>
      </w:r>
      <w:r w:rsidR="00C7582D">
        <w:t xml:space="preserve"> </w:t>
      </w:r>
      <w:r w:rsidRPr="008645BA">
        <w:t xml:space="preserve">If </w:t>
      </w:r>
      <w:r w:rsidR="00011490">
        <w:t xml:space="preserve">they </w:t>
      </w:r>
      <w:r w:rsidR="00362ACD">
        <w:t>decide</w:t>
      </w:r>
      <w:r w:rsidRPr="008645BA">
        <w:t xml:space="preserve"> that improper conduct has occurred, </w:t>
      </w:r>
      <w:r w:rsidR="009475C4">
        <w:t xml:space="preserve">they </w:t>
      </w:r>
      <w:r w:rsidRPr="008645BA">
        <w:t xml:space="preserve">can impose a sanction on the landlord. </w:t>
      </w:r>
    </w:p>
    <w:p w14:paraId="747B77B1" w14:textId="683ACA11" w:rsidR="003D6640" w:rsidRPr="008645BA" w:rsidRDefault="003D6640" w:rsidP="003D6640">
      <w:r>
        <w:t>A</w:t>
      </w:r>
      <w:r w:rsidRPr="008645BA">
        <w:t xml:space="preserve"> person cannot be an authorised officer and a decision</w:t>
      </w:r>
      <w:r>
        <w:t>-</w:t>
      </w:r>
      <w:r w:rsidRPr="008645BA">
        <w:t>maker at the same time.</w:t>
      </w:r>
    </w:p>
    <w:p w14:paraId="34B029E1" w14:textId="69B990DF" w:rsidR="00340AE6" w:rsidRPr="008645BA" w:rsidRDefault="00340AE6" w:rsidP="001D226E">
      <w:pPr>
        <w:pStyle w:val="Heading4"/>
      </w:pPr>
      <w:r w:rsidRPr="008645BA">
        <w:t>Sanctions</w:t>
      </w:r>
    </w:p>
    <w:p w14:paraId="72EAB854" w14:textId="3266EDB4" w:rsidR="005A4BBC" w:rsidRPr="008645BA" w:rsidRDefault="00CA420B" w:rsidP="00D74C8A">
      <w:pPr>
        <w:shd w:val="clear" w:color="auto" w:fill="FFFFFF"/>
        <w:spacing w:after="0" w:line="315" w:lineRule="atLeast"/>
      </w:pPr>
      <w:r>
        <w:t>RTB s</w:t>
      </w:r>
      <w:r w:rsidR="005A4BBC" w:rsidRPr="008645BA">
        <w:t>anctions for</w:t>
      </w:r>
      <w:r w:rsidR="000D07E1" w:rsidRPr="008645BA">
        <w:t xml:space="preserve"> </w:t>
      </w:r>
      <w:r w:rsidR="005A4BBC" w:rsidRPr="008645BA">
        <w:t xml:space="preserve">improper conduct by a landlord </w:t>
      </w:r>
      <w:r>
        <w:t xml:space="preserve">may </w:t>
      </w:r>
      <w:r w:rsidR="005A4BBC" w:rsidRPr="008645BA">
        <w:t>include any one or all of the following:</w:t>
      </w:r>
    </w:p>
    <w:p w14:paraId="31AE5D90" w14:textId="77777777" w:rsidR="005A4BBC" w:rsidRPr="008645BA" w:rsidRDefault="005A4BBC" w:rsidP="00D74C8A">
      <w:pPr>
        <w:pStyle w:val="ListParagraph"/>
        <w:numPr>
          <w:ilvl w:val="0"/>
          <w:numId w:val="37"/>
        </w:numPr>
        <w:shd w:val="clear" w:color="auto" w:fill="FFFFFF"/>
        <w:spacing w:before="150" w:after="150" w:line="315" w:lineRule="atLeast"/>
        <w:ind w:right="360"/>
      </w:pPr>
      <w:r w:rsidRPr="008645BA">
        <w:t>Payment of a financial penalty of up to €15,000 to the RTB</w:t>
      </w:r>
    </w:p>
    <w:p w14:paraId="09481849" w14:textId="77777777" w:rsidR="005A4BBC" w:rsidRPr="008645BA" w:rsidRDefault="005A4BBC" w:rsidP="00D74C8A">
      <w:pPr>
        <w:pStyle w:val="ListParagraph"/>
        <w:numPr>
          <w:ilvl w:val="0"/>
          <w:numId w:val="37"/>
        </w:numPr>
        <w:shd w:val="clear" w:color="auto" w:fill="FFFFFF"/>
        <w:spacing w:before="150" w:after="150" w:line="315" w:lineRule="atLeast"/>
        <w:ind w:right="360"/>
      </w:pPr>
      <w:r w:rsidRPr="008645BA">
        <w:t>Payment of the costs of the RTB of up to €15,000</w:t>
      </w:r>
    </w:p>
    <w:p w14:paraId="2DD85A20" w14:textId="48AC65C8" w:rsidR="005A4BBC" w:rsidRPr="008645BA" w:rsidRDefault="005A4BBC" w:rsidP="00D74C8A">
      <w:pPr>
        <w:pStyle w:val="ListParagraph"/>
        <w:numPr>
          <w:ilvl w:val="0"/>
          <w:numId w:val="37"/>
        </w:numPr>
        <w:shd w:val="clear" w:color="auto" w:fill="FFFFFF"/>
        <w:spacing w:before="150" w:after="150" w:line="315" w:lineRule="atLeast"/>
        <w:ind w:right="360"/>
      </w:pPr>
      <w:r w:rsidRPr="008645BA">
        <w:t>A written caution to the landlord</w:t>
      </w:r>
    </w:p>
    <w:p w14:paraId="18C97855" w14:textId="5FE4C102" w:rsidR="00340AE6" w:rsidRPr="008645BA" w:rsidRDefault="00340AE6" w:rsidP="00152DED">
      <w:pPr>
        <w:shd w:val="clear" w:color="auto" w:fill="FFFFFF"/>
        <w:spacing w:before="150" w:after="150" w:line="315" w:lineRule="atLeast"/>
        <w:ind w:right="360"/>
      </w:pPr>
      <w:r w:rsidRPr="008645BA">
        <w:t xml:space="preserve">Sanctions must be confirmed by the Circuit Court. </w:t>
      </w:r>
      <w:r w:rsidR="00FE4953">
        <w:t xml:space="preserve">However, </w:t>
      </w:r>
      <w:r w:rsidR="000D07E1" w:rsidRPr="008645BA">
        <w:t>sanction</w:t>
      </w:r>
      <w:r w:rsidR="004E2609">
        <w:t>s</w:t>
      </w:r>
      <w:r w:rsidR="000D07E1" w:rsidRPr="008645BA">
        <w:t xml:space="preserve"> will be confirmed as a matter of course</w:t>
      </w:r>
      <w:r w:rsidR="004E2609">
        <w:t xml:space="preserve"> unless </w:t>
      </w:r>
      <w:r w:rsidR="000D07E1" w:rsidRPr="008645BA">
        <w:t>the landlord appeals, or</w:t>
      </w:r>
      <w:r w:rsidR="004E2609">
        <w:t xml:space="preserve"> if t</w:t>
      </w:r>
      <w:r w:rsidRPr="008645BA">
        <w:t xml:space="preserve">he Circuit Court considers there is good reason not to </w:t>
      </w:r>
      <w:r w:rsidR="004E2609">
        <w:t>confirm them.</w:t>
      </w:r>
    </w:p>
    <w:p w14:paraId="0CCFE85C" w14:textId="40854BC2" w:rsidR="00340AE6" w:rsidRPr="008645BA" w:rsidRDefault="00340AE6" w:rsidP="001D226E">
      <w:pPr>
        <w:pStyle w:val="Heading4"/>
        <w:rPr>
          <w:rFonts w:eastAsiaTheme="minorHAnsi"/>
        </w:rPr>
      </w:pPr>
      <w:r w:rsidRPr="008645BA">
        <w:rPr>
          <w:rFonts w:eastAsiaTheme="minorHAnsi"/>
        </w:rPr>
        <w:t>New criminal offences</w:t>
      </w:r>
    </w:p>
    <w:p w14:paraId="54B81BBB" w14:textId="7EB40D9F" w:rsidR="00340AE6" w:rsidRPr="008645BA" w:rsidRDefault="005C2C79" w:rsidP="005A4BBC">
      <w:pPr>
        <w:shd w:val="clear" w:color="auto" w:fill="FFFFFF"/>
        <w:spacing w:after="360" w:line="315" w:lineRule="atLeast"/>
      </w:pPr>
      <w:r w:rsidRPr="008645BA">
        <w:t>T</w:t>
      </w:r>
      <w:r w:rsidR="00340AE6" w:rsidRPr="008645BA">
        <w:t>he 2019 Act also introduces a range of new criminal offences. These include:</w:t>
      </w:r>
    </w:p>
    <w:p w14:paraId="6A8810AD" w14:textId="77777777" w:rsidR="00776BD4" w:rsidRDefault="00340AE6" w:rsidP="00032DA0">
      <w:pPr>
        <w:pStyle w:val="ListParagraph"/>
        <w:numPr>
          <w:ilvl w:val="0"/>
          <w:numId w:val="23"/>
        </w:numPr>
        <w:shd w:val="clear" w:color="auto" w:fill="FFFFFF"/>
        <w:spacing w:before="150" w:after="0" w:line="315" w:lineRule="atLeast"/>
        <w:ind w:right="360"/>
      </w:pPr>
      <w:r w:rsidRPr="008645BA">
        <w:t>Fail</w:t>
      </w:r>
      <w:r w:rsidR="00901E0C" w:rsidRPr="008645BA">
        <w:t>ing</w:t>
      </w:r>
      <w:r w:rsidRPr="008645BA">
        <w:t xml:space="preserve"> to comply with the RPZ rent restrictions</w:t>
      </w:r>
    </w:p>
    <w:p w14:paraId="75EAB5CB" w14:textId="6582EB41" w:rsidR="00901E0C" w:rsidRPr="008645BA" w:rsidRDefault="00901E0C" w:rsidP="00032DA0">
      <w:pPr>
        <w:pStyle w:val="ListParagraph"/>
        <w:numPr>
          <w:ilvl w:val="0"/>
          <w:numId w:val="23"/>
        </w:numPr>
        <w:shd w:val="clear" w:color="auto" w:fill="FFFFFF"/>
        <w:spacing w:before="150" w:after="0" w:line="315" w:lineRule="atLeast"/>
        <w:ind w:right="360"/>
      </w:pPr>
      <w:r w:rsidRPr="008645BA">
        <w:t>Knowingly or recklessly providing materially false or misleading information to the RTB in connection with a notice relating to an exemption from the RPZ rent restrictions</w:t>
      </w:r>
    </w:p>
    <w:p w14:paraId="73103CDF" w14:textId="3A2ADB34" w:rsidR="00901E0C" w:rsidRPr="008645BA" w:rsidRDefault="00901E0C" w:rsidP="00032DA0">
      <w:pPr>
        <w:numPr>
          <w:ilvl w:val="0"/>
          <w:numId w:val="23"/>
        </w:numPr>
        <w:shd w:val="clear" w:color="auto" w:fill="FFFFFF"/>
        <w:spacing w:after="0" w:line="315" w:lineRule="atLeast"/>
        <w:ind w:right="360"/>
      </w:pPr>
      <w:r w:rsidRPr="008645BA">
        <w:t>Failing to comply with a notice from the RTB to update rent information on the RTB register after a rent alteration</w:t>
      </w:r>
      <w:r w:rsidR="001D226E">
        <w:br/>
      </w:r>
    </w:p>
    <w:p w14:paraId="2E53FD15" w14:textId="1B0F228A" w:rsidR="005A4BBC" w:rsidRPr="008645BA" w:rsidRDefault="00546B03" w:rsidP="001D226E">
      <w:pPr>
        <w:pStyle w:val="Heading4"/>
      </w:pPr>
      <w:r w:rsidRPr="008645BA">
        <w:t>Prohibition against double punishment</w:t>
      </w:r>
      <w:r w:rsidR="005305A4" w:rsidRPr="008645BA">
        <w:t xml:space="preserve"> for the same wrongful act</w:t>
      </w:r>
    </w:p>
    <w:p w14:paraId="38CD3DB2" w14:textId="578F5D8E" w:rsidR="005305A4" w:rsidRPr="008645BA" w:rsidRDefault="005305A4">
      <w:r w:rsidRPr="008645BA">
        <w:t>If a landlord has been sanctioned</w:t>
      </w:r>
      <w:r w:rsidR="000D07E1" w:rsidRPr="008645BA">
        <w:t xml:space="preserve"> by the RTB</w:t>
      </w:r>
      <w:r w:rsidRPr="008645BA">
        <w:t xml:space="preserve"> for something which is also a criminal offence, they cannot be prosecuted for that criminal offence.</w:t>
      </w:r>
      <w:r w:rsidR="00CE68CE">
        <w:t xml:space="preserve"> So, if a landlord is sanctioned by the RTB for failing to comply with RPZ rent restrictions, they cannot also be the subject of a criminal prosecution for the same failure to comply with RPZ rent restrictions.</w:t>
      </w:r>
    </w:p>
    <w:p w14:paraId="48C45701" w14:textId="77053006" w:rsidR="005305A4" w:rsidRPr="008645BA" w:rsidRDefault="005305A4">
      <w:r w:rsidRPr="008645BA">
        <w:t>Similarly, if a landlord has been criminally prosecuted for something which is also sanctionable</w:t>
      </w:r>
      <w:r w:rsidR="000D07E1" w:rsidRPr="008645BA">
        <w:t xml:space="preserve"> by the RTB</w:t>
      </w:r>
      <w:r w:rsidRPr="008645BA">
        <w:t>, a sanction cannot</w:t>
      </w:r>
      <w:r w:rsidR="00CE68CE">
        <w:t xml:space="preserve"> then</w:t>
      </w:r>
      <w:r w:rsidRPr="008645BA">
        <w:t xml:space="preserve"> be imposed</w:t>
      </w:r>
      <w:r w:rsidR="00445AE0">
        <w:t xml:space="preserve"> by the RTB</w:t>
      </w:r>
      <w:r w:rsidRPr="008645BA">
        <w:t>.</w:t>
      </w:r>
    </w:p>
    <w:p w14:paraId="31722FE0" w14:textId="7157F915" w:rsidR="000C21B6" w:rsidRPr="008645BA" w:rsidRDefault="000C21B6" w:rsidP="001D226E">
      <w:pPr>
        <w:pStyle w:val="Heading3"/>
      </w:pPr>
      <w:r w:rsidRPr="008645BA">
        <w:t>Student accommodation</w:t>
      </w:r>
    </w:p>
    <w:p w14:paraId="7953DDCE" w14:textId="1891FBE7" w:rsidR="00EA1510" w:rsidRDefault="00546B03">
      <w:r w:rsidRPr="008645BA">
        <w:lastRenderedPageBreak/>
        <w:t>Traditionally, student</w:t>
      </w:r>
      <w:r w:rsidR="00EA1510">
        <w:t>-</w:t>
      </w:r>
      <w:r w:rsidRPr="008645BA">
        <w:t>specific accommodation has</w:t>
      </w:r>
      <w:r w:rsidR="002C12F1">
        <w:t xml:space="preserve"> fallen outside the remit of</w:t>
      </w:r>
      <w:r w:rsidRPr="008645BA">
        <w:t xml:space="preserve"> residential tenancies legislation</w:t>
      </w:r>
      <w:r w:rsidR="005C2C79" w:rsidRPr="008645BA">
        <w:t>, particularly where the accommodation was subject to a licence rather than a lease.</w:t>
      </w:r>
      <w:r w:rsidRPr="008645BA">
        <w:t xml:space="preserve"> </w:t>
      </w:r>
    </w:p>
    <w:p w14:paraId="47BDA0D9" w14:textId="31D66DCB" w:rsidR="000C21B6" w:rsidRPr="008645BA" w:rsidRDefault="00546B03">
      <w:r w:rsidRPr="008645BA">
        <w:t xml:space="preserve">However, </w:t>
      </w:r>
      <w:r w:rsidR="00293810">
        <w:t>a student whose residential licence in student accommodation is</w:t>
      </w:r>
      <w:r w:rsidR="00CE68CE">
        <w:t xml:space="preserve"> created on or after 15 August</w:t>
      </w:r>
      <w:r w:rsidR="006A32D1">
        <w:t xml:space="preserve"> 2019</w:t>
      </w:r>
      <w:r w:rsidR="00CE68CE">
        <w:t xml:space="preserve"> (such as on-campus accommodation or purpose-built student accommodation) will</w:t>
      </w:r>
      <w:r w:rsidR="00A41BBF">
        <w:t xml:space="preserve"> </w:t>
      </w:r>
      <w:r w:rsidR="005C2C79" w:rsidRPr="008645BA">
        <w:t>have many, but not all</w:t>
      </w:r>
      <w:r w:rsidR="00767939" w:rsidRPr="008645BA">
        <w:t>,</w:t>
      </w:r>
      <w:r w:rsidR="005C2C79" w:rsidRPr="008645BA">
        <w:t xml:space="preserve"> of the same rights as </w:t>
      </w:r>
      <w:r w:rsidR="00EA1510">
        <w:t>tenants</w:t>
      </w:r>
      <w:r w:rsidR="00EA1510" w:rsidRPr="008645BA">
        <w:t xml:space="preserve"> </w:t>
      </w:r>
      <w:r w:rsidR="005C2C79" w:rsidRPr="008645BA">
        <w:t>in privately rented accommodation.</w:t>
      </w:r>
      <w:r w:rsidRPr="008645BA">
        <w:t xml:space="preserve"> </w:t>
      </w:r>
    </w:p>
    <w:p w14:paraId="3335063C" w14:textId="38B1AF44" w:rsidR="005C2C79" w:rsidRPr="008645BA" w:rsidRDefault="006A32D1">
      <w:r>
        <w:t>C</w:t>
      </w:r>
      <w:r w:rsidR="005C2C79" w:rsidRPr="008645BA">
        <w:t xml:space="preserve">ertain properties will </w:t>
      </w:r>
      <w:r>
        <w:t>remain</w:t>
      </w:r>
      <w:r w:rsidR="005C2C79" w:rsidRPr="008645BA">
        <w:t xml:space="preserve"> outside the scope of the relevant provisions. Most notably, properties where the landlord also lives, such as digs, will continue to be exempted.</w:t>
      </w:r>
      <w:r w:rsidR="00767939" w:rsidRPr="008645BA">
        <w:t xml:space="preserve"> </w:t>
      </w:r>
    </w:p>
    <w:p w14:paraId="358FDB30" w14:textId="40F48116" w:rsidR="00767939" w:rsidRPr="008645BA" w:rsidRDefault="00767939">
      <w:r w:rsidRPr="008645BA">
        <w:t xml:space="preserve">The </w:t>
      </w:r>
      <w:r w:rsidR="006A32D1">
        <w:t xml:space="preserve">2019 </w:t>
      </w:r>
      <w:r w:rsidRPr="008645BA">
        <w:t>Act also takes into account the fact that student accommodation generally involves some form of communal living</w:t>
      </w:r>
      <w:r w:rsidR="00EA1510">
        <w:t>,</w:t>
      </w:r>
      <w:r w:rsidR="006804D4" w:rsidRPr="008645BA">
        <w:t xml:space="preserve"> where only the bedroom is let</w:t>
      </w:r>
      <w:r w:rsidRPr="008645BA">
        <w:t xml:space="preserve">. </w:t>
      </w:r>
      <w:r w:rsidR="00EA1510">
        <w:t>However, even in these situations</w:t>
      </w:r>
      <w:r w:rsidRPr="008645BA">
        <w:t>, the following protections</w:t>
      </w:r>
      <w:r w:rsidR="00BF4EA7">
        <w:t xml:space="preserve"> still apply</w:t>
      </w:r>
      <w:r w:rsidRPr="008645BA">
        <w:t>:</w:t>
      </w:r>
    </w:p>
    <w:p w14:paraId="4E44540F" w14:textId="5DE0EC0F" w:rsidR="00767939" w:rsidRPr="008645BA" w:rsidRDefault="00767939" w:rsidP="00767939">
      <w:pPr>
        <w:pStyle w:val="ListParagraph"/>
        <w:numPr>
          <w:ilvl w:val="0"/>
          <w:numId w:val="24"/>
        </w:numPr>
      </w:pPr>
      <w:r w:rsidRPr="008645BA">
        <w:t>The inability to set rent above the market rate</w:t>
      </w:r>
    </w:p>
    <w:p w14:paraId="033ABA2F" w14:textId="15537AE1" w:rsidR="00767939" w:rsidRPr="008645BA" w:rsidRDefault="00767939" w:rsidP="00767939">
      <w:pPr>
        <w:pStyle w:val="ListParagraph"/>
        <w:numPr>
          <w:ilvl w:val="0"/>
          <w:numId w:val="24"/>
        </w:numPr>
      </w:pPr>
      <w:r w:rsidRPr="008645BA">
        <w:t>The benefit of RPZ rent increase restrictions</w:t>
      </w:r>
    </w:p>
    <w:p w14:paraId="3E9DCB13" w14:textId="00DE08A7" w:rsidR="00767939" w:rsidRPr="008645BA" w:rsidRDefault="00767939" w:rsidP="00767939">
      <w:pPr>
        <w:pStyle w:val="ListParagraph"/>
        <w:numPr>
          <w:ilvl w:val="0"/>
          <w:numId w:val="24"/>
        </w:numPr>
      </w:pPr>
      <w:r w:rsidRPr="008645BA">
        <w:t>The requirement to register the tenancy with the RTB</w:t>
      </w:r>
    </w:p>
    <w:p w14:paraId="60FEB1F4" w14:textId="0C0B807E" w:rsidR="00767939" w:rsidRPr="008645BA" w:rsidRDefault="00767939" w:rsidP="00767939">
      <w:pPr>
        <w:pStyle w:val="ListParagraph"/>
        <w:numPr>
          <w:ilvl w:val="0"/>
          <w:numId w:val="24"/>
        </w:numPr>
      </w:pPr>
      <w:r w:rsidRPr="008645BA">
        <w:t>Access to the RTB’s dispute resolution procedures</w:t>
      </w:r>
    </w:p>
    <w:p w14:paraId="304D1AA5" w14:textId="150C9618" w:rsidR="00767939" w:rsidRPr="008645BA" w:rsidRDefault="00767939" w:rsidP="00767939">
      <w:r w:rsidRPr="008645BA">
        <w:t xml:space="preserve">However, </w:t>
      </w:r>
      <w:r w:rsidR="006804D4" w:rsidRPr="008645BA">
        <w:t>students will not gain Part 4 tenancies and the</w:t>
      </w:r>
      <w:r w:rsidR="00577082">
        <w:t>ir</w:t>
      </w:r>
      <w:r w:rsidR="006804D4" w:rsidRPr="008645BA">
        <w:t xml:space="preserve"> entitlements despite </w:t>
      </w:r>
      <w:r w:rsidR="00577082">
        <w:t>living</w:t>
      </w:r>
      <w:r w:rsidR="00577082" w:rsidRPr="008645BA">
        <w:t xml:space="preserve"> </w:t>
      </w:r>
      <w:r w:rsidR="006804D4" w:rsidRPr="008645BA">
        <w:t xml:space="preserve">in the accommodation for a continuous period of six months. </w:t>
      </w:r>
    </w:p>
    <w:p w14:paraId="6101B328" w14:textId="53385536" w:rsidR="005C2C79" w:rsidRPr="008645BA" w:rsidRDefault="006804D4">
      <w:r w:rsidRPr="008645BA">
        <w:t>The</w:t>
      </w:r>
      <w:r w:rsidR="00B957C1">
        <w:t>se</w:t>
      </w:r>
      <w:r w:rsidRPr="008645BA">
        <w:t xml:space="preserve"> enhanced protections </w:t>
      </w:r>
      <w:r w:rsidR="000D07E1" w:rsidRPr="008645BA">
        <w:t xml:space="preserve">only </w:t>
      </w:r>
      <w:r w:rsidRPr="008645BA">
        <w:t xml:space="preserve">apply to student accommodation arrangements entered into </w:t>
      </w:r>
      <w:r w:rsidR="005E2915">
        <w:t xml:space="preserve">after </w:t>
      </w:r>
      <w:r w:rsidR="00BF4EA7">
        <w:t>15 August 2019</w:t>
      </w:r>
      <w:r w:rsidRPr="008645BA">
        <w:t xml:space="preserve">. </w:t>
      </w:r>
      <w:r w:rsidR="00767939" w:rsidRPr="008645BA">
        <w:t xml:space="preserve">Tenants in student accommodation which already </w:t>
      </w:r>
      <w:r w:rsidR="00577082">
        <w:t>came</w:t>
      </w:r>
      <w:r w:rsidR="00577082" w:rsidRPr="008645BA">
        <w:t xml:space="preserve"> </w:t>
      </w:r>
      <w:r w:rsidR="00767939" w:rsidRPr="008645BA">
        <w:t xml:space="preserve">under the Residential Tenancies Acts </w:t>
      </w:r>
      <w:r w:rsidR="00BF4EA7">
        <w:t>are</w:t>
      </w:r>
      <w:r w:rsidRPr="008645BA">
        <w:t xml:space="preserve"> </w:t>
      </w:r>
      <w:r w:rsidR="00493AB4">
        <w:t xml:space="preserve">not </w:t>
      </w:r>
      <w:r w:rsidR="00767939" w:rsidRPr="008645BA">
        <w:t>affected</w:t>
      </w:r>
      <w:r w:rsidRPr="008645BA">
        <w:t xml:space="preserve"> by the changes.</w:t>
      </w:r>
    </w:p>
    <w:p w14:paraId="0EA64317" w14:textId="75D3CBC8" w:rsidR="00DE1E33" w:rsidRPr="008645BA" w:rsidRDefault="00303F1D" w:rsidP="001D226E">
      <w:pPr>
        <w:pStyle w:val="Heading3"/>
      </w:pPr>
      <w:r w:rsidRPr="008645BA">
        <w:t>Annual registration of tenancies</w:t>
      </w:r>
    </w:p>
    <w:p w14:paraId="06C1A467" w14:textId="1992C9C7" w:rsidR="00303F1D" w:rsidRPr="008645BA" w:rsidRDefault="00303F1D">
      <w:r w:rsidRPr="008645BA">
        <w:t>The 2019 Act also</w:t>
      </w:r>
      <w:r w:rsidR="000D07E1" w:rsidRPr="008645BA">
        <w:t xml:space="preserve"> seeks to</w:t>
      </w:r>
      <w:r w:rsidRPr="008645BA">
        <w:t xml:space="preserve"> introduce a new requirement that </w:t>
      </w:r>
      <w:r w:rsidR="00C21F99">
        <w:t xml:space="preserve">landlords register </w:t>
      </w:r>
      <w:r w:rsidRPr="008645BA">
        <w:t xml:space="preserve">tenancies annually with the RTB. Annual registration is expected to </w:t>
      </w:r>
      <w:r w:rsidR="00C21F99">
        <w:t>cost</w:t>
      </w:r>
      <w:r w:rsidR="00C21F99" w:rsidRPr="008645BA">
        <w:t xml:space="preserve"> </w:t>
      </w:r>
      <w:r w:rsidRPr="008645BA">
        <w:t xml:space="preserve">€40 for private rented tenancies and €20 for approved housing body tenancies. It is expected that the new registration regime will </w:t>
      </w:r>
      <w:r w:rsidR="00C21F99">
        <w:t>begin</w:t>
      </w:r>
      <w:r w:rsidR="00C21F99" w:rsidRPr="008645BA">
        <w:t xml:space="preserve"> </w:t>
      </w:r>
      <w:r w:rsidRPr="008645BA">
        <w:t>in early 2020.</w:t>
      </w:r>
    </w:p>
    <w:p w14:paraId="6223A3B7" w14:textId="77777777" w:rsidR="00293810" w:rsidRDefault="00C21F99" w:rsidP="00293810">
      <w:r>
        <w:t>U</w:t>
      </w:r>
      <w:r w:rsidR="00303F1D" w:rsidRPr="008645BA">
        <w:t>ntil</w:t>
      </w:r>
      <w:r w:rsidR="00F53B53" w:rsidRPr="008645BA">
        <w:t xml:space="preserve"> th</w:t>
      </w:r>
      <w:r w:rsidR="000D07E1" w:rsidRPr="008645BA">
        <w:t>is</w:t>
      </w:r>
      <w:r w:rsidR="00F53B53" w:rsidRPr="008645BA">
        <w:t xml:space="preserve"> new regime comes into effect</w:t>
      </w:r>
      <w:r w:rsidR="00303F1D" w:rsidRPr="008645BA">
        <w:t>, a landlord ha</w:t>
      </w:r>
      <w:r w:rsidR="00F53B53" w:rsidRPr="008645BA">
        <w:t>s</w:t>
      </w:r>
      <w:r w:rsidR="00303F1D" w:rsidRPr="008645BA">
        <w:t xml:space="preserve"> to register a tenancy </w:t>
      </w:r>
      <w:r>
        <w:t xml:space="preserve">at the start of a </w:t>
      </w:r>
      <w:r w:rsidR="00303F1D" w:rsidRPr="008645BA">
        <w:t xml:space="preserve">tenancy </w:t>
      </w:r>
      <w:r w:rsidR="0066588F" w:rsidRPr="008645BA">
        <w:t xml:space="preserve">or </w:t>
      </w:r>
      <w:r>
        <w:t xml:space="preserve">when </w:t>
      </w:r>
      <w:r w:rsidR="0066588F" w:rsidRPr="008645BA">
        <w:t xml:space="preserve">a </w:t>
      </w:r>
      <w:r w:rsidR="00BF4EA7">
        <w:t>F</w:t>
      </w:r>
      <w:r w:rsidR="0066588F" w:rsidRPr="008645BA">
        <w:t>urther Part 4 tenancy comes into operation</w:t>
      </w:r>
      <w:r w:rsidR="00F53B53" w:rsidRPr="008645BA">
        <w:t>.</w:t>
      </w:r>
    </w:p>
    <w:p w14:paraId="4F04122D" w14:textId="70F7812E" w:rsidR="00DE1E33" w:rsidRPr="008645BA" w:rsidRDefault="00AD0B6E" w:rsidP="00293810">
      <w:pPr>
        <w:pStyle w:val="Heading3"/>
      </w:pPr>
      <w:r w:rsidRPr="008645BA">
        <w:t>Changes to the planning permission requirements of short</w:t>
      </w:r>
      <w:r w:rsidR="008438AA">
        <w:t>-</w:t>
      </w:r>
      <w:r w:rsidRPr="008645BA">
        <w:t>term lettings</w:t>
      </w:r>
      <w:r w:rsidR="008438AA">
        <w:t xml:space="preserve"> in RPZs</w:t>
      </w:r>
    </w:p>
    <w:p w14:paraId="30E71D08" w14:textId="47011715" w:rsidR="00AD0B6E" w:rsidRPr="008645BA" w:rsidRDefault="00293810">
      <w:r>
        <w:t>Since</w:t>
      </w:r>
      <w:r w:rsidR="002C12F1">
        <w:t xml:space="preserve"> 1 July 2019, t</w:t>
      </w:r>
      <w:r w:rsidR="00AD0B6E" w:rsidRPr="008645BA">
        <w:t xml:space="preserve">he 2019 Act imposes additional obligations on </w:t>
      </w:r>
      <w:r w:rsidR="008438AA">
        <w:t>people</w:t>
      </w:r>
      <w:r w:rsidR="008438AA" w:rsidRPr="008645BA">
        <w:t xml:space="preserve"> </w:t>
      </w:r>
      <w:r w:rsidR="00C81425" w:rsidRPr="008645BA">
        <w:t xml:space="preserve">who </w:t>
      </w:r>
      <w:r w:rsidR="00AD0B6E" w:rsidRPr="008645BA">
        <w:t>rent out their property on a short</w:t>
      </w:r>
      <w:r w:rsidR="00BF4EA7">
        <w:t>-</w:t>
      </w:r>
      <w:r w:rsidR="00AD0B6E" w:rsidRPr="008645BA">
        <w:t>term basis</w:t>
      </w:r>
      <w:r w:rsidR="00C81425" w:rsidRPr="008645BA">
        <w:t xml:space="preserve"> in a</w:t>
      </w:r>
      <w:r w:rsidR="008438AA">
        <w:t>n</w:t>
      </w:r>
      <w:r w:rsidR="00C81425" w:rsidRPr="008645BA">
        <w:t xml:space="preserve"> RPZ</w:t>
      </w:r>
      <w:r w:rsidR="002C12F1">
        <w:t xml:space="preserve"> </w:t>
      </w:r>
      <w:r w:rsidR="007E7DBF">
        <w:t>(with some exceptions, see below)</w:t>
      </w:r>
      <w:r w:rsidR="00AD0B6E" w:rsidRPr="008645BA">
        <w:t>. A short</w:t>
      </w:r>
      <w:r w:rsidR="00BF4EA7">
        <w:t>-</w:t>
      </w:r>
      <w:r w:rsidR="00AD0B6E" w:rsidRPr="008645BA">
        <w:t xml:space="preserve">term letting is defined as </w:t>
      </w:r>
      <w:r w:rsidR="00C81425" w:rsidRPr="008645BA">
        <w:t xml:space="preserve">the letting of a dwelling or part of a dwelling for </w:t>
      </w:r>
      <w:r w:rsidR="00B36C51">
        <w:t xml:space="preserve">any period not exceeding </w:t>
      </w:r>
      <w:r w:rsidR="00C81425" w:rsidRPr="008645BA">
        <w:t xml:space="preserve">14 days. </w:t>
      </w:r>
    </w:p>
    <w:p w14:paraId="62AB81C9" w14:textId="092DE1C8" w:rsidR="003B0C42" w:rsidRPr="008645BA" w:rsidRDefault="009E2FA1" w:rsidP="009E2FA1">
      <w:r w:rsidRPr="008645BA">
        <w:t>Use of a property for short</w:t>
      </w:r>
      <w:r w:rsidR="00BF4EA7">
        <w:t>-</w:t>
      </w:r>
      <w:r w:rsidRPr="008645BA">
        <w:t>term le</w:t>
      </w:r>
      <w:bookmarkStart w:id="0" w:name="_GoBack"/>
      <w:bookmarkEnd w:id="0"/>
      <w:r w:rsidRPr="008645BA">
        <w:t>ttings in a</w:t>
      </w:r>
      <w:r w:rsidR="008438AA">
        <w:t>n</w:t>
      </w:r>
      <w:r w:rsidRPr="008645BA">
        <w:t xml:space="preserve"> RPZ can amount to a material change of use</w:t>
      </w:r>
      <w:r w:rsidR="008438AA">
        <w:t xml:space="preserve">. This means that </w:t>
      </w:r>
      <w:r w:rsidR="005A03DC">
        <w:t xml:space="preserve">you </w:t>
      </w:r>
      <w:r w:rsidR="004E5401">
        <w:t>must</w:t>
      </w:r>
      <w:r w:rsidR="005A03DC">
        <w:t xml:space="preserve"> make </w:t>
      </w:r>
      <w:r w:rsidR="005A03DC" w:rsidRPr="008645BA">
        <w:t>a formal application for planning permission</w:t>
      </w:r>
      <w:r w:rsidR="005A03DC">
        <w:t xml:space="preserve"> </w:t>
      </w:r>
      <w:r w:rsidR="008438AA">
        <w:t xml:space="preserve">if the property is not your </w:t>
      </w:r>
      <w:r w:rsidR="008438AA" w:rsidRPr="008645BA">
        <w:t>principal private residence</w:t>
      </w:r>
      <w:r w:rsidR="000439EA">
        <w:t>, or if you rent your property for more than 90 days in a calendar year</w:t>
      </w:r>
      <w:r w:rsidR="005A03DC">
        <w:t>.</w:t>
      </w:r>
      <w:r w:rsidRPr="008645BA">
        <w:t xml:space="preserve"> </w:t>
      </w:r>
    </w:p>
    <w:p w14:paraId="47718438" w14:textId="2DA7BB12" w:rsidR="00707075" w:rsidRPr="008645BA" w:rsidRDefault="0051544F" w:rsidP="009E2FA1">
      <w:r w:rsidRPr="008645BA">
        <w:t>Whet</w:t>
      </w:r>
      <w:r w:rsidR="003B0C42" w:rsidRPr="008645BA">
        <w:t>her</w:t>
      </w:r>
      <w:r w:rsidRPr="008645BA">
        <w:t xml:space="preserve"> permission is granted is at the discretion of the local planning authority</w:t>
      </w:r>
      <w:r w:rsidR="008438AA">
        <w:t>. I</w:t>
      </w:r>
      <w:r w:rsidR="00707075" w:rsidRPr="008645BA">
        <w:t>t has been indicated that planning applications may be refused in areas of high housing demand</w:t>
      </w:r>
      <w:r w:rsidRPr="008645BA">
        <w:t>.</w:t>
      </w:r>
      <w:r w:rsidR="003B0C42" w:rsidRPr="008645BA">
        <w:t xml:space="preserve"> </w:t>
      </w:r>
      <w:r w:rsidR="00162E0C" w:rsidRPr="008645BA">
        <w:t>Failure to have the correct planning permission is a criminal offence.</w:t>
      </w:r>
    </w:p>
    <w:p w14:paraId="420DED4E" w14:textId="16C07BAE" w:rsidR="009E2FA1" w:rsidRPr="008645BA" w:rsidRDefault="003C6050" w:rsidP="009E2FA1">
      <w:r w:rsidRPr="008645BA">
        <w:t xml:space="preserve">Properties located outside </w:t>
      </w:r>
      <w:r w:rsidR="00BF4EA7">
        <w:t>RPZs</w:t>
      </w:r>
      <w:r w:rsidRPr="008645BA">
        <w:t xml:space="preserve"> are not affected by the new rules.</w:t>
      </w:r>
    </w:p>
    <w:p w14:paraId="3C74EB91" w14:textId="71558964" w:rsidR="003C6050" w:rsidRPr="008645BA" w:rsidRDefault="003C6050" w:rsidP="003974D6">
      <w:pPr>
        <w:pStyle w:val="Heading4"/>
      </w:pPr>
      <w:r w:rsidRPr="008645BA">
        <w:lastRenderedPageBreak/>
        <w:t>Exemptions</w:t>
      </w:r>
      <w:r w:rsidR="003B0C42" w:rsidRPr="008645BA">
        <w:t xml:space="preserve"> </w:t>
      </w:r>
      <w:r w:rsidR="00F75CD5">
        <w:t>to the requirement for planning permission</w:t>
      </w:r>
    </w:p>
    <w:p w14:paraId="0D88F950" w14:textId="27D82034" w:rsidR="003C6050" w:rsidRPr="008645BA" w:rsidRDefault="00A230CF">
      <w:r w:rsidRPr="008645BA">
        <w:t xml:space="preserve">The </w:t>
      </w:r>
      <w:r w:rsidR="003C6050" w:rsidRPr="008645BA">
        <w:t xml:space="preserve">Planning and Development Act 2000 (Exempted Development) (No. 2) Regulations 2019 provide two exemptions to the above </w:t>
      </w:r>
      <w:r w:rsidRPr="008645BA">
        <w:t>requirement to apply for planning permission</w:t>
      </w:r>
      <w:r w:rsidR="003C6050" w:rsidRPr="008645BA">
        <w:t xml:space="preserve"> for properties in a</w:t>
      </w:r>
      <w:r w:rsidR="00517749">
        <w:t>n</w:t>
      </w:r>
      <w:r w:rsidR="003C6050" w:rsidRPr="008645BA">
        <w:t xml:space="preserve"> RPZ if the notification requirements below are met:</w:t>
      </w:r>
    </w:p>
    <w:p w14:paraId="6A795819" w14:textId="6AF89FFC" w:rsidR="009E2FA1" w:rsidRPr="008645BA" w:rsidRDefault="009E2FA1" w:rsidP="002C12F1">
      <w:pPr>
        <w:ind w:left="360"/>
      </w:pPr>
      <w:r w:rsidRPr="008645BA">
        <w:t>Home</w:t>
      </w:r>
      <w:r w:rsidR="00517749">
        <w:t>-</w:t>
      </w:r>
      <w:r w:rsidRPr="008645BA">
        <w:t>sharing</w:t>
      </w:r>
      <w:r w:rsidR="002626B8">
        <w:t xml:space="preserve"> </w:t>
      </w:r>
      <w:r w:rsidRPr="008645BA">
        <w:t xml:space="preserve">(where a person lets </w:t>
      </w:r>
      <w:r w:rsidR="00692E35">
        <w:t>one or more</w:t>
      </w:r>
      <w:r w:rsidRPr="008645BA">
        <w:t xml:space="preserve"> bedroom</w:t>
      </w:r>
      <w:r w:rsidR="00692E35">
        <w:t xml:space="preserve">s </w:t>
      </w:r>
      <w:r w:rsidRPr="008645BA">
        <w:t xml:space="preserve">in their own home for less than 14 days at a time) will continue to be </w:t>
      </w:r>
      <w:r w:rsidR="003C6050" w:rsidRPr="008645BA">
        <w:t>exempted</w:t>
      </w:r>
      <w:r w:rsidRPr="008645BA">
        <w:t xml:space="preserve"> in a</w:t>
      </w:r>
      <w:r w:rsidR="00517749">
        <w:t>n</w:t>
      </w:r>
      <w:r w:rsidRPr="008645BA">
        <w:t xml:space="preserve"> RPZ</w:t>
      </w:r>
      <w:r w:rsidR="00D047EF">
        <w:t>,</w:t>
      </w:r>
      <w:r w:rsidR="003C6050" w:rsidRPr="008645BA">
        <w:t xml:space="preserve"> </w:t>
      </w:r>
      <w:r w:rsidRPr="008645BA">
        <w:t>provided</w:t>
      </w:r>
      <w:r w:rsidR="00BF4EA7">
        <w:t>:</w:t>
      </w:r>
      <w:r w:rsidRPr="008645BA">
        <w:t xml:space="preserve">  </w:t>
      </w:r>
    </w:p>
    <w:p w14:paraId="44196EF4" w14:textId="50C1D102" w:rsidR="009E2FA1" w:rsidRPr="008645BA" w:rsidRDefault="009E2FA1" w:rsidP="002C12F1">
      <w:pPr>
        <w:pStyle w:val="ListParagraph"/>
        <w:numPr>
          <w:ilvl w:val="0"/>
          <w:numId w:val="27"/>
        </w:numPr>
        <w:ind w:left="1080"/>
      </w:pPr>
      <w:r w:rsidRPr="008645BA">
        <w:t xml:space="preserve">No more than </w:t>
      </w:r>
      <w:r w:rsidR="00BF4EA7">
        <w:t>four</w:t>
      </w:r>
      <w:r w:rsidRPr="008645BA">
        <w:t xml:space="preserve"> bedrooms are let</w:t>
      </w:r>
    </w:p>
    <w:p w14:paraId="0E9884D9" w14:textId="7BC26063" w:rsidR="00BE3251" w:rsidRPr="008645BA" w:rsidRDefault="009E2FA1" w:rsidP="002C12F1">
      <w:pPr>
        <w:pStyle w:val="ListParagraph"/>
        <w:numPr>
          <w:ilvl w:val="0"/>
          <w:numId w:val="27"/>
        </w:numPr>
        <w:ind w:left="1080"/>
      </w:pPr>
      <w:r w:rsidRPr="008645BA">
        <w:t xml:space="preserve">Each bedroom is let to no more than </w:t>
      </w:r>
      <w:r w:rsidR="00BF4EA7">
        <w:t>four</w:t>
      </w:r>
      <w:r w:rsidRPr="008645BA">
        <w:t xml:space="preserve"> </w:t>
      </w:r>
      <w:r w:rsidR="00517749">
        <w:t>people</w:t>
      </w:r>
      <w:r w:rsidR="00517749" w:rsidRPr="008645BA">
        <w:t xml:space="preserve"> </w:t>
      </w:r>
    </w:p>
    <w:p w14:paraId="46768BE2" w14:textId="54B648EE" w:rsidR="009E2FA1" w:rsidRPr="008645BA" w:rsidRDefault="00BE3251" w:rsidP="002C12F1">
      <w:pPr>
        <w:pStyle w:val="ListParagraph"/>
        <w:numPr>
          <w:ilvl w:val="0"/>
          <w:numId w:val="27"/>
        </w:numPr>
        <w:ind w:left="1080"/>
      </w:pPr>
      <w:r w:rsidRPr="008645BA">
        <w:t>There is no prohibition on such letting in the property’s current planning permission</w:t>
      </w:r>
    </w:p>
    <w:p w14:paraId="27FB0875" w14:textId="312609AD" w:rsidR="009E2FA1" w:rsidRPr="008645BA" w:rsidRDefault="002626B8" w:rsidP="002C12F1">
      <w:pPr>
        <w:ind w:left="360"/>
      </w:pPr>
      <w:r>
        <w:t xml:space="preserve">Letting your whole home will also </w:t>
      </w:r>
      <w:r w:rsidRPr="008645BA">
        <w:t>continue to be exempted in a</w:t>
      </w:r>
      <w:r>
        <w:t>n</w:t>
      </w:r>
      <w:r w:rsidRPr="008645BA">
        <w:t xml:space="preserve"> RPZ</w:t>
      </w:r>
      <w:r w:rsidR="00D047EF">
        <w:t>,</w:t>
      </w:r>
      <w:r w:rsidRPr="008645BA">
        <w:t xml:space="preserve"> provided</w:t>
      </w:r>
      <w:r w:rsidR="00BF4EA7">
        <w:t>:</w:t>
      </w:r>
      <w:r w:rsidR="009E2FA1" w:rsidRPr="008645BA">
        <w:t xml:space="preserve"> </w:t>
      </w:r>
    </w:p>
    <w:p w14:paraId="48986CA7" w14:textId="55DBEE0D" w:rsidR="009E2FA1" w:rsidRPr="008645BA" w:rsidRDefault="002626B8" w:rsidP="002C12F1">
      <w:pPr>
        <w:pStyle w:val="ListParagraph"/>
        <w:numPr>
          <w:ilvl w:val="0"/>
          <w:numId w:val="28"/>
        </w:numPr>
        <w:ind w:left="1080"/>
      </w:pPr>
      <w:r>
        <w:t xml:space="preserve">It is rented </w:t>
      </w:r>
      <w:r w:rsidR="00D047EF">
        <w:t>f</w:t>
      </w:r>
      <w:r w:rsidR="009E2FA1" w:rsidRPr="008645BA">
        <w:t xml:space="preserve">or no more than 14 days at a time </w:t>
      </w:r>
    </w:p>
    <w:p w14:paraId="673FE074" w14:textId="7E9E23EB" w:rsidR="009E2FA1" w:rsidRPr="008645BA" w:rsidRDefault="002626B8" w:rsidP="002C12F1">
      <w:pPr>
        <w:pStyle w:val="ListParagraph"/>
        <w:numPr>
          <w:ilvl w:val="0"/>
          <w:numId w:val="28"/>
        </w:numPr>
        <w:ind w:left="1080"/>
      </w:pPr>
      <w:r>
        <w:t>It is rented f</w:t>
      </w:r>
      <w:r w:rsidR="009E2FA1" w:rsidRPr="008645BA">
        <w:t>or no more than 90 days in a</w:t>
      </w:r>
      <w:r w:rsidR="00707075" w:rsidRPr="008645BA">
        <w:t xml:space="preserve"> calendar</w:t>
      </w:r>
      <w:r w:rsidR="009E2FA1" w:rsidRPr="008645BA">
        <w:t xml:space="preserve"> year</w:t>
      </w:r>
    </w:p>
    <w:p w14:paraId="7812B23E" w14:textId="36C4D3F0" w:rsidR="009E2FA1" w:rsidRPr="008645BA" w:rsidRDefault="00BE3251" w:rsidP="002C12F1">
      <w:pPr>
        <w:pStyle w:val="ListParagraph"/>
        <w:numPr>
          <w:ilvl w:val="0"/>
          <w:numId w:val="28"/>
        </w:numPr>
        <w:ind w:left="1080"/>
      </w:pPr>
      <w:r w:rsidRPr="008645BA">
        <w:t>There is no prohibition on such letting in the property’s planning permission</w:t>
      </w:r>
    </w:p>
    <w:p w14:paraId="45BE3CAA" w14:textId="13D4E24A" w:rsidR="003C6050" w:rsidRPr="008645BA" w:rsidRDefault="003C6050" w:rsidP="009E2FA1">
      <w:r w:rsidRPr="008645BA">
        <w:t>If the 90</w:t>
      </w:r>
      <w:r w:rsidR="00A20E5E">
        <w:t>-</w:t>
      </w:r>
      <w:r w:rsidRPr="008645BA">
        <w:t>day cap is exceeded, formal planning permission will be required</w:t>
      </w:r>
      <w:r w:rsidR="00707075" w:rsidRPr="008645BA">
        <w:t>.</w:t>
      </w:r>
    </w:p>
    <w:p w14:paraId="12E3BE28" w14:textId="77777777" w:rsidR="002626B8" w:rsidRPr="003974D6" w:rsidRDefault="002626B8" w:rsidP="009E2FA1">
      <w:pPr>
        <w:rPr>
          <w:i/>
          <w:iCs/>
          <w:color w:val="4472C4" w:themeColor="accent1"/>
        </w:rPr>
      </w:pPr>
      <w:r w:rsidRPr="003974D6">
        <w:rPr>
          <w:i/>
          <w:iCs/>
          <w:color w:val="4472C4" w:themeColor="accent1"/>
        </w:rPr>
        <w:t>Notifications regarding exemptions</w:t>
      </w:r>
    </w:p>
    <w:p w14:paraId="6FF4C8EF" w14:textId="77AE4D58" w:rsidR="009E2FA1" w:rsidRPr="008645BA" w:rsidRDefault="00184041" w:rsidP="009E2FA1">
      <w:r>
        <w:t>T</w:t>
      </w:r>
      <w:r w:rsidR="000439EA">
        <w:t xml:space="preserve">o avail of </w:t>
      </w:r>
      <w:r w:rsidR="002C12F1">
        <w:t>an exemption</w:t>
      </w:r>
      <w:r w:rsidR="000439EA">
        <w:t>, t</w:t>
      </w:r>
      <w:r w:rsidR="009E2FA1" w:rsidRPr="008645BA">
        <w:t>he local planning authority</w:t>
      </w:r>
      <w:r w:rsidR="00BE3251" w:rsidRPr="008645BA">
        <w:t xml:space="preserve"> must be notified in writing</w:t>
      </w:r>
      <w:r w:rsidR="009E2FA1" w:rsidRPr="008645BA">
        <w:t xml:space="preserve"> of the </w:t>
      </w:r>
      <w:r w:rsidR="00BE3251" w:rsidRPr="008645BA">
        <w:t>intention to let the property on a short</w:t>
      </w:r>
      <w:r w:rsidR="00BF4EA7">
        <w:t>-</w:t>
      </w:r>
      <w:r w:rsidR="00BE3251" w:rsidRPr="008645BA">
        <w:t>term basis</w:t>
      </w:r>
      <w:r>
        <w:t xml:space="preserve"> at least</w:t>
      </w:r>
      <w:r w:rsidR="00BE3251" w:rsidRPr="008645BA">
        <w:t xml:space="preserve"> two weeks before the first letting.</w:t>
      </w:r>
      <w:r w:rsidR="009E2FA1" w:rsidRPr="008645BA">
        <w:t xml:space="preserve"> </w:t>
      </w:r>
      <w:r w:rsidR="00BE3251" w:rsidRPr="008645BA">
        <w:t>That notification must include:</w:t>
      </w:r>
    </w:p>
    <w:p w14:paraId="1B68CAD0" w14:textId="60AD75AC" w:rsidR="00BE3251" w:rsidRPr="008645BA" w:rsidRDefault="00BE3251" w:rsidP="00BE3251">
      <w:pPr>
        <w:pStyle w:val="ListParagraph"/>
        <w:numPr>
          <w:ilvl w:val="0"/>
          <w:numId w:val="29"/>
        </w:numPr>
      </w:pPr>
      <w:r w:rsidRPr="008645BA">
        <w:t xml:space="preserve">Proof that the property is the place where </w:t>
      </w:r>
      <w:r w:rsidR="00184041">
        <w:t xml:space="preserve">you </w:t>
      </w:r>
      <w:r w:rsidRPr="008645BA">
        <w:t>normally reside</w:t>
      </w:r>
    </w:p>
    <w:p w14:paraId="511CF995" w14:textId="2A5F49BB" w:rsidR="00BE3251" w:rsidRPr="008645BA" w:rsidRDefault="00184041" w:rsidP="00BE3251">
      <w:pPr>
        <w:pStyle w:val="ListParagraph"/>
        <w:numPr>
          <w:ilvl w:val="0"/>
          <w:numId w:val="29"/>
        </w:numPr>
      </w:pPr>
      <w:r>
        <w:t>T</w:t>
      </w:r>
      <w:r w:rsidRPr="008645BA">
        <w:t>he owner’s consent</w:t>
      </w:r>
      <w:r>
        <w:t>, i</w:t>
      </w:r>
      <w:r w:rsidR="00BE3251" w:rsidRPr="008645BA">
        <w:t xml:space="preserve">f the person </w:t>
      </w:r>
      <w:r>
        <w:t>providing the notification</w:t>
      </w:r>
      <w:r w:rsidRPr="008645BA">
        <w:t xml:space="preserve"> </w:t>
      </w:r>
      <w:r w:rsidR="00BE3251" w:rsidRPr="008645BA">
        <w:t>is not the owner</w:t>
      </w:r>
    </w:p>
    <w:p w14:paraId="3171710F" w14:textId="1F81D1F8" w:rsidR="00BE3251" w:rsidRPr="008645BA" w:rsidRDefault="00BE3251" w:rsidP="00BE3251">
      <w:pPr>
        <w:pStyle w:val="ListParagraph"/>
        <w:numPr>
          <w:ilvl w:val="0"/>
          <w:numId w:val="29"/>
        </w:numPr>
      </w:pPr>
      <w:r w:rsidRPr="008645BA">
        <w:t>A specification of which of the above two exemptions the letting falls into</w:t>
      </w:r>
    </w:p>
    <w:p w14:paraId="5FA5AE99" w14:textId="59906537" w:rsidR="00BE3251" w:rsidRPr="008645BA" w:rsidRDefault="00BE3251" w:rsidP="009E2FA1">
      <w:pPr>
        <w:pStyle w:val="ListParagraph"/>
        <w:numPr>
          <w:ilvl w:val="0"/>
          <w:numId w:val="29"/>
        </w:numPr>
      </w:pPr>
      <w:r w:rsidRPr="008645BA">
        <w:t>Any other information which the local authority may require</w:t>
      </w:r>
    </w:p>
    <w:p w14:paraId="122AAA70" w14:textId="77777777" w:rsidR="003D3883" w:rsidRPr="008645BA" w:rsidRDefault="003D3883" w:rsidP="009E2FA1">
      <w:r w:rsidRPr="008645BA">
        <w:t xml:space="preserve">In addition, the relevant statutory declaration must be provided to the local authority. </w:t>
      </w:r>
    </w:p>
    <w:p w14:paraId="3EA83A2D" w14:textId="6A64860A" w:rsidR="00427DA4" w:rsidRPr="008645BA" w:rsidRDefault="003D3883">
      <w:pPr>
        <w:rPr>
          <w:rFonts w:asciiTheme="majorHAnsi" w:eastAsiaTheme="majorEastAsia" w:hAnsiTheme="majorHAnsi" w:cstheme="majorBidi"/>
          <w:color w:val="2F5496" w:themeColor="accent1" w:themeShade="BF"/>
          <w:sz w:val="32"/>
          <w:szCs w:val="32"/>
        </w:rPr>
      </w:pPr>
      <w:r w:rsidRPr="008645BA">
        <w:t>Where the short</w:t>
      </w:r>
      <w:r w:rsidR="00BF4EA7">
        <w:t>-</w:t>
      </w:r>
      <w:r w:rsidRPr="008645BA">
        <w:t xml:space="preserve">term letting relates to the whole property, an additional form and statutory declaration must be provided to the local authority at the beginning of each year and </w:t>
      </w:r>
      <w:r w:rsidR="00700EA0">
        <w:t>before</w:t>
      </w:r>
      <w:r w:rsidRPr="008645BA">
        <w:t xml:space="preserve"> the letting</w:t>
      </w:r>
      <w:r w:rsidR="00DF0449">
        <w:t xml:space="preserve"> begins</w:t>
      </w:r>
      <w:r w:rsidRPr="008645BA">
        <w:t xml:space="preserve">. </w:t>
      </w:r>
      <w:r w:rsidR="003C6050" w:rsidRPr="008645BA">
        <w:t xml:space="preserve"> </w:t>
      </w:r>
      <w:r w:rsidR="00700EA0">
        <w:t xml:space="preserve">At the end of the year, </w:t>
      </w:r>
      <w:r w:rsidR="00DF0449">
        <w:t xml:space="preserve">and </w:t>
      </w:r>
      <w:r w:rsidR="00700EA0">
        <w:t>i</w:t>
      </w:r>
      <w:r w:rsidR="003C6050" w:rsidRPr="008645BA">
        <w:t>f the 90</w:t>
      </w:r>
      <w:r w:rsidR="00BF4EA7">
        <w:t>-</w:t>
      </w:r>
      <w:r w:rsidR="003C6050" w:rsidRPr="008645BA">
        <w:t xml:space="preserve">day limit </w:t>
      </w:r>
      <w:r w:rsidR="00700EA0">
        <w:t xml:space="preserve">was </w:t>
      </w:r>
      <w:r w:rsidR="00B36C51">
        <w:t>exceeded</w:t>
      </w:r>
      <w:r w:rsidR="00700EA0">
        <w:t xml:space="preserve">, </w:t>
      </w:r>
      <w:r w:rsidR="003C6050" w:rsidRPr="008645BA">
        <w:t>a further form and statutory declaration must be provided to the local authority</w:t>
      </w:r>
      <w:r w:rsidR="00977030">
        <w:t>,</w:t>
      </w:r>
      <w:r w:rsidR="003C6050" w:rsidRPr="008645BA">
        <w:t xml:space="preserve"> specifying the details of the letting during the period.</w:t>
      </w:r>
    </w:p>
    <w:p w14:paraId="559DBF33" w14:textId="3B5D6FCA" w:rsidR="00F77499" w:rsidRPr="008645BA" w:rsidRDefault="00F77499" w:rsidP="003974D6">
      <w:pPr>
        <w:pStyle w:val="Heading2"/>
      </w:pPr>
      <w:r w:rsidRPr="008645BA">
        <w:t xml:space="preserve">Land and Conveyancing Law Reform (Amendment) </w:t>
      </w:r>
      <w:r w:rsidR="00A230CF" w:rsidRPr="008645BA">
        <w:t>Act</w:t>
      </w:r>
      <w:r w:rsidRPr="008645BA">
        <w:t xml:space="preserve"> 2019</w:t>
      </w:r>
    </w:p>
    <w:p w14:paraId="0B6C2719" w14:textId="6B8A510C" w:rsidR="008011E5" w:rsidRPr="008645BA" w:rsidRDefault="00A42268" w:rsidP="008011E5">
      <w:r>
        <w:t xml:space="preserve">Under the </w:t>
      </w:r>
      <w:r w:rsidR="008011E5" w:rsidRPr="008645BA">
        <w:t>Land and Conveyancing Law Reform Act 2013</w:t>
      </w:r>
      <w:r>
        <w:t>, a court</w:t>
      </w:r>
      <w:r w:rsidR="008011E5" w:rsidRPr="008645BA">
        <w:t xml:space="preserve"> </w:t>
      </w:r>
      <w:r w:rsidR="005F29A5">
        <w:t xml:space="preserve">which is </w:t>
      </w:r>
      <w:r w:rsidR="008011E5" w:rsidRPr="008645BA">
        <w:t xml:space="preserve">considering whether to grant a repossession order to a lender in respect of a borrower’s </w:t>
      </w:r>
      <w:r w:rsidR="00461878" w:rsidRPr="008645BA">
        <w:t>home</w:t>
      </w:r>
      <w:r>
        <w:t xml:space="preserve"> may </w:t>
      </w:r>
      <w:r w:rsidR="008011E5" w:rsidRPr="008645BA">
        <w:t>adjourn the proceedings to allow the possibility of a personal insolvency arrangement</w:t>
      </w:r>
      <w:r w:rsidR="00BF4EA7">
        <w:t xml:space="preserve"> (PIA)</w:t>
      </w:r>
      <w:r w:rsidR="008011E5" w:rsidRPr="008645BA">
        <w:t xml:space="preserve"> to be explored. If a PIA is granted, the borrower </w:t>
      </w:r>
      <w:r w:rsidR="00AC3D84">
        <w:t xml:space="preserve">will be able </w:t>
      </w:r>
      <w:r w:rsidR="008011E5" w:rsidRPr="008645BA">
        <w:t xml:space="preserve">to remain in their home. </w:t>
      </w:r>
    </w:p>
    <w:p w14:paraId="4CF07982" w14:textId="600677DE" w:rsidR="005F29A5" w:rsidRDefault="00316FCB" w:rsidP="00DD4695">
      <w:r w:rsidRPr="008645BA">
        <w:t xml:space="preserve">The Land and Conveyancing Law </w:t>
      </w:r>
      <w:r w:rsidR="000439EA">
        <w:t>Reform (Amendment) Act 2019 came into effect on</w:t>
      </w:r>
      <w:r w:rsidRPr="008645BA">
        <w:t xml:space="preserve"> </w:t>
      </w:r>
      <w:r w:rsidR="009A62FE">
        <w:t>29</w:t>
      </w:r>
      <w:r w:rsidRPr="008645BA">
        <w:t xml:space="preserve"> July 2019</w:t>
      </w:r>
      <w:r w:rsidR="005F29A5">
        <w:t>. It</w:t>
      </w:r>
      <w:r w:rsidR="008011E5" w:rsidRPr="008645BA">
        <w:t xml:space="preserve"> </w:t>
      </w:r>
      <w:r w:rsidR="009A62FE">
        <w:t>applies</w:t>
      </w:r>
      <w:r w:rsidR="008011E5" w:rsidRPr="008645BA">
        <w:t xml:space="preserve"> to situations where a PIA is not granted or where a borrower has positively engaged in a mortgage arrears scheme but </w:t>
      </w:r>
      <w:r w:rsidR="00AC3D84">
        <w:t>it has not been</w:t>
      </w:r>
      <w:r w:rsidR="008011E5" w:rsidRPr="008645BA">
        <w:t xml:space="preserve"> successful</w:t>
      </w:r>
      <w:r w:rsidRPr="008645BA">
        <w:t xml:space="preserve">. </w:t>
      </w:r>
      <w:r w:rsidR="009A62FE">
        <w:t>It</w:t>
      </w:r>
      <w:r w:rsidRPr="008645BA">
        <w:t xml:space="preserve"> broaden</w:t>
      </w:r>
      <w:r w:rsidR="009A62FE">
        <w:t>s</w:t>
      </w:r>
      <w:r w:rsidRPr="008645BA">
        <w:t xml:space="preserve"> the matters that a court must take into account when a lender applies for a </w:t>
      </w:r>
      <w:r w:rsidR="009A62FE">
        <w:t>re</w:t>
      </w:r>
      <w:r w:rsidRPr="008645BA">
        <w:t>possession order in respect of a borrower</w:t>
      </w:r>
      <w:r w:rsidR="00BA20DC">
        <w:t>’</w:t>
      </w:r>
      <w:r w:rsidRPr="008645BA">
        <w:t xml:space="preserve">s </w:t>
      </w:r>
      <w:r w:rsidR="008011E5" w:rsidRPr="008645BA">
        <w:t>home</w:t>
      </w:r>
      <w:r w:rsidRPr="008645BA">
        <w:t>.</w:t>
      </w:r>
      <w:r w:rsidR="00427DA4" w:rsidRPr="008645BA">
        <w:t xml:space="preserve"> </w:t>
      </w:r>
    </w:p>
    <w:p w14:paraId="003D3443" w14:textId="13CA888D" w:rsidR="00DD4695" w:rsidRPr="00DD4695" w:rsidRDefault="00427DA4" w:rsidP="00DD4695">
      <w:r w:rsidRPr="008645BA">
        <w:t>Many of these matters are already considered by a court</w:t>
      </w:r>
      <w:r w:rsidR="00AC3D84">
        <w:t>,</w:t>
      </w:r>
      <w:r w:rsidRPr="008645BA">
        <w:t xml:space="preserve"> but it now has an obligation to consider </w:t>
      </w:r>
      <w:r w:rsidR="00BF4EA7">
        <w:t>each</w:t>
      </w:r>
      <w:r w:rsidRPr="008645BA">
        <w:t xml:space="preserve"> of the following</w:t>
      </w:r>
      <w:r w:rsidR="00DD4695" w:rsidRPr="00DD4695">
        <w:t>:</w:t>
      </w:r>
    </w:p>
    <w:p w14:paraId="470A900F" w14:textId="6C78B248" w:rsidR="00DD4695" w:rsidRPr="00DD4695" w:rsidRDefault="00BF4EA7" w:rsidP="00A50517">
      <w:pPr>
        <w:numPr>
          <w:ilvl w:val="0"/>
          <w:numId w:val="30"/>
        </w:numPr>
        <w:spacing w:after="0"/>
      </w:pPr>
      <w:r>
        <w:lastRenderedPageBreak/>
        <w:t>W</w:t>
      </w:r>
      <w:r w:rsidR="00DD4695" w:rsidRPr="00DD4695">
        <w:t>hether the possession order would be proportionate, having regard to all the circumstances of the case</w:t>
      </w:r>
    </w:p>
    <w:p w14:paraId="7B455F3F" w14:textId="712362EC" w:rsidR="00DD4695" w:rsidRPr="00DD4695" w:rsidRDefault="00BF4EA7" w:rsidP="00A50517">
      <w:pPr>
        <w:numPr>
          <w:ilvl w:val="0"/>
          <w:numId w:val="30"/>
        </w:numPr>
        <w:spacing w:after="0"/>
      </w:pPr>
      <w:r>
        <w:t>T</w:t>
      </w:r>
      <w:r w:rsidR="00DD4695" w:rsidRPr="00DD4695">
        <w:t>he borrower</w:t>
      </w:r>
      <w:r w:rsidR="00BA20DC">
        <w:t>’</w:t>
      </w:r>
      <w:r w:rsidR="00DD4695" w:rsidRPr="00DD4695">
        <w:t>s circumstances (and those of any depend</w:t>
      </w:r>
      <w:r w:rsidR="005F29A5">
        <w:t>a</w:t>
      </w:r>
      <w:r w:rsidR="00DD4695" w:rsidRPr="00DD4695">
        <w:t>nts)</w:t>
      </w:r>
    </w:p>
    <w:p w14:paraId="2F63ED46" w14:textId="39B5BAE7" w:rsidR="00DD4695" w:rsidRPr="00DD4695" w:rsidRDefault="00BF4EA7" w:rsidP="00A50517">
      <w:pPr>
        <w:numPr>
          <w:ilvl w:val="0"/>
          <w:numId w:val="30"/>
        </w:numPr>
        <w:spacing w:after="0"/>
      </w:pPr>
      <w:r>
        <w:t>W</w:t>
      </w:r>
      <w:r w:rsidR="00DD4695" w:rsidRPr="00DD4695">
        <w:t xml:space="preserve">hether the lender has informed the borrower of terms on which it would be prepared to settle the case </w:t>
      </w:r>
      <w:r w:rsidR="000C183B">
        <w:t>and</w:t>
      </w:r>
      <w:r w:rsidR="000C183B" w:rsidRPr="00DD4695">
        <w:t xml:space="preserve"> </w:t>
      </w:r>
      <w:r w:rsidR="00DD4695" w:rsidRPr="00DD4695">
        <w:t>would allow the borrower (and any depend</w:t>
      </w:r>
      <w:r w:rsidR="005F29A5">
        <w:t>a</w:t>
      </w:r>
      <w:r w:rsidR="00DD4695" w:rsidRPr="00DD4695">
        <w:t>nts) to remain in the</w:t>
      </w:r>
      <w:r w:rsidR="00182D56" w:rsidRPr="008645BA">
        <w:t>ir home</w:t>
      </w:r>
    </w:p>
    <w:p w14:paraId="279253CC" w14:textId="65B1B9C8" w:rsidR="00DD4695" w:rsidRPr="00DD4695" w:rsidRDefault="00BF4EA7" w:rsidP="00A50517">
      <w:pPr>
        <w:numPr>
          <w:ilvl w:val="0"/>
          <w:numId w:val="30"/>
        </w:numPr>
        <w:spacing w:after="0"/>
      </w:pPr>
      <w:r>
        <w:t>A</w:t>
      </w:r>
      <w:r w:rsidR="00DD4695" w:rsidRPr="00DD4695">
        <w:t>ny proposal by the</w:t>
      </w:r>
      <w:r w:rsidR="002C12F1">
        <w:t xml:space="preserve"> borrower to</w:t>
      </w:r>
      <w:r w:rsidR="00DD4695" w:rsidRPr="00DD4695">
        <w:t xml:space="preserve">: </w:t>
      </w:r>
    </w:p>
    <w:p w14:paraId="33A589E2" w14:textId="3E986A26" w:rsidR="00DD4695" w:rsidRPr="00DD4695" w:rsidRDefault="00BF4EA7" w:rsidP="00032DA0">
      <w:pPr>
        <w:numPr>
          <w:ilvl w:val="1"/>
          <w:numId w:val="41"/>
        </w:numPr>
        <w:spacing w:after="0"/>
      </w:pPr>
      <w:r>
        <w:t>E</w:t>
      </w:r>
      <w:r w:rsidR="00DD4695" w:rsidRPr="00DD4695">
        <w:t xml:space="preserve">nable </w:t>
      </w:r>
      <w:r w:rsidR="005F29A5">
        <w:t>them</w:t>
      </w:r>
      <w:r w:rsidR="000C183B">
        <w:t>,</w:t>
      </w:r>
      <w:r w:rsidR="005F29A5" w:rsidRPr="00DD4695">
        <w:t xml:space="preserve"> </w:t>
      </w:r>
      <w:r w:rsidR="00DD4695" w:rsidRPr="00DD4695">
        <w:t>and any depend</w:t>
      </w:r>
      <w:r w:rsidR="005F29A5">
        <w:t>a</w:t>
      </w:r>
      <w:r w:rsidR="00DD4695" w:rsidRPr="00DD4695">
        <w:t>nts</w:t>
      </w:r>
      <w:r w:rsidR="000C183B">
        <w:t>,</w:t>
      </w:r>
      <w:r w:rsidR="00DD4695" w:rsidRPr="00DD4695">
        <w:t xml:space="preserve"> to remain in the</w:t>
      </w:r>
      <w:r w:rsidR="005F29A5">
        <w:t>ir</w:t>
      </w:r>
      <w:r w:rsidR="00DD4695" w:rsidRPr="00DD4695">
        <w:t xml:space="preserve"> </w:t>
      </w:r>
      <w:r w:rsidR="00182D56" w:rsidRPr="008645BA">
        <w:t>home</w:t>
      </w:r>
      <w:r w:rsidR="00DD4695" w:rsidRPr="00DD4695">
        <w:t xml:space="preserve"> (</w:t>
      </w:r>
      <w:r>
        <w:t>for example,</w:t>
      </w:r>
      <w:r w:rsidR="00DD4695" w:rsidRPr="00DD4695">
        <w:t xml:space="preserve"> </w:t>
      </w:r>
      <w:r w:rsidR="00916785">
        <w:t xml:space="preserve">by </w:t>
      </w:r>
      <w:r w:rsidR="00DD4695" w:rsidRPr="00DD4695">
        <w:t>participat</w:t>
      </w:r>
      <w:r w:rsidR="000C183B">
        <w:t>ing</w:t>
      </w:r>
      <w:r w:rsidR="00DD4695" w:rsidRPr="00DD4695">
        <w:t xml:space="preserve"> in a </w:t>
      </w:r>
      <w:r w:rsidR="00182D56" w:rsidRPr="008645BA">
        <w:t xml:space="preserve">designated </w:t>
      </w:r>
      <w:r w:rsidR="00DD4695" w:rsidRPr="00DD4695">
        <w:t xml:space="preserve">scheme that </w:t>
      </w:r>
      <w:r w:rsidR="005F29A5">
        <w:t>helps people</w:t>
      </w:r>
      <w:r w:rsidR="00DD4695" w:rsidRPr="00DD4695">
        <w:t xml:space="preserve"> in mortgage arrears to remain in their </w:t>
      </w:r>
      <w:r w:rsidR="00182D56" w:rsidRPr="008645BA">
        <w:t>home</w:t>
      </w:r>
      <w:r>
        <w:t>)</w:t>
      </w:r>
    </w:p>
    <w:p w14:paraId="70A77598" w14:textId="3A7D8FFE" w:rsidR="00DD4695" w:rsidRPr="00DD4695" w:rsidRDefault="00BF4EA7" w:rsidP="00032DA0">
      <w:pPr>
        <w:numPr>
          <w:ilvl w:val="1"/>
          <w:numId w:val="41"/>
        </w:numPr>
        <w:spacing w:after="0"/>
      </w:pPr>
      <w:r>
        <w:t>S</w:t>
      </w:r>
      <w:r w:rsidR="00DD4695" w:rsidRPr="00DD4695">
        <w:t>ecure alternative accommodation</w:t>
      </w:r>
    </w:p>
    <w:p w14:paraId="635747E5" w14:textId="0A70AB5E" w:rsidR="00DD4695" w:rsidRPr="00DD4695" w:rsidRDefault="00BF4EA7" w:rsidP="00A50517">
      <w:pPr>
        <w:numPr>
          <w:ilvl w:val="0"/>
          <w:numId w:val="30"/>
        </w:numPr>
        <w:spacing w:after="0"/>
      </w:pPr>
      <w:r>
        <w:t>A</w:t>
      </w:r>
      <w:r w:rsidR="00DD4695" w:rsidRPr="00DD4695">
        <w:t>ny response from the lender to the borrower</w:t>
      </w:r>
      <w:r w:rsidR="00BA20DC">
        <w:t>’</w:t>
      </w:r>
      <w:r w:rsidR="00DD4695" w:rsidRPr="00DD4695">
        <w:t xml:space="preserve">s proposal to remain in </w:t>
      </w:r>
      <w:r w:rsidR="005F29A5">
        <w:t>their</w:t>
      </w:r>
      <w:r w:rsidR="005F29A5" w:rsidRPr="00DD4695">
        <w:t xml:space="preserve"> </w:t>
      </w:r>
      <w:r w:rsidR="00DD4695" w:rsidRPr="00DD4695">
        <w:t>primary residence</w:t>
      </w:r>
    </w:p>
    <w:p w14:paraId="266E09D0" w14:textId="62544057" w:rsidR="00DD4695" w:rsidRPr="00DD4695" w:rsidRDefault="00BF4EA7" w:rsidP="00DD4695">
      <w:pPr>
        <w:numPr>
          <w:ilvl w:val="0"/>
          <w:numId w:val="30"/>
        </w:numPr>
      </w:pPr>
      <w:r>
        <w:t>H</w:t>
      </w:r>
      <w:r w:rsidR="00DD4695" w:rsidRPr="00DD4695">
        <w:t>ow the lender and the borrower have conducted themselves when trying to resolve the borrower</w:t>
      </w:r>
      <w:r w:rsidR="005F29A5">
        <w:t>’</w:t>
      </w:r>
      <w:r w:rsidR="00DD4695" w:rsidRPr="00DD4695">
        <w:t>s mortgage arrears (</w:t>
      </w:r>
      <w:r w:rsidR="005F29A5">
        <w:t>such as</w:t>
      </w:r>
      <w:r w:rsidR="00DD4695" w:rsidRPr="00DD4695">
        <w:t xml:space="preserve"> whether either party refused</w:t>
      </w:r>
      <w:r w:rsidR="00916785">
        <w:t>,</w:t>
      </w:r>
      <w:r w:rsidR="00182D56" w:rsidRPr="008645BA">
        <w:t xml:space="preserve"> or was slow</w:t>
      </w:r>
      <w:r w:rsidR="00916785">
        <w:t>,</w:t>
      </w:r>
      <w:r w:rsidR="00DD4695" w:rsidRPr="00DD4695">
        <w:t xml:space="preserve"> to engage)</w:t>
      </w:r>
    </w:p>
    <w:p w14:paraId="667B406F" w14:textId="77777777" w:rsidR="00DD4695" w:rsidRPr="00DD4695" w:rsidRDefault="00DD4695" w:rsidP="00DD4695">
      <w:r w:rsidRPr="00DD4695">
        <w:t>The court may also take the following into account when deciding whether it would be proportionate to grant a possession order:</w:t>
      </w:r>
    </w:p>
    <w:p w14:paraId="2163D44B" w14:textId="7CEDA0A6" w:rsidR="00DD4695" w:rsidRPr="00DD4695" w:rsidRDefault="00BF4EA7" w:rsidP="00A50517">
      <w:pPr>
        <w:numPr>
          <w:ilvl w:val="0"/>
          <w:numId w:val="31"/>
        </w:numPr>
        <w:spacing w:after="0"/>
      </w:pPr>
      <w:r>
        <w:t>T</w:t>
      </w:r>
      <w:r w:rsidR="00DD4695" w:rsidRPr="00DD4695">
        <w:t>he amount of secured debt outstanding on the</w:t>
      </w:r>
      <w:r w:rsidR="00182D56" w:rsidRPr="008645BA">
        <w:t xml:space="preserve"> property</w:t>
      </w:r>
    </w:p>
    <w:p w14:paraId="0DD3FF4A" w14:textId="79E9EE98" w:rsidR="00DD4695" w:rsidRPr="00DD4695" w:rsidRDefault="00BF4EA7" w:rsidP="00A50517">
      <w:pPr>
        <w:numPr>
          <w:ilvl w:val="0"/>
          <w:numId w:val="31"/>
        </w:numPr>
        <w:spacing w:after="0"/>
      </w:pPr>
      <w:r>
        <w:t>T</w:t>
      </w:r>
      <w:r w:rsidR="00DD4695" w:rsidRPr="00DD4695">
        <w:t xml:space="preserve">he outstanding arrears under the mortgage </w:t>
      </w:r>
    </w:p>
    <w:p w14:paraId="18F57CA6" w14:textId="528EB0A1" w:rsidR="00DD4695" w:rsidRPr="008645BA" w:rsidRDefault="00BF4EA7" w:rsidP="00A50517">
      <w:pPr>
        <w:numPr>
          <w:ilvl w:val="0"/>
          <w:numId w:val="31"/>
        </w:numPr>
        <w:spacing w:after="0"/>
      </w:pPr>
      <w:r>
        <w:t>T</w:t>
      </w:r>
      <w:r w:rsidR="00DD4695" w:rsidRPr="00DD4695">
        <w:t xml:space="preserve">he market value of the </w:t>
      </w:r>
      <w:r w:rsidR="00182D56" w:rsidRPr="008645BA">
        <w:t>property</w:t>
      </w:r>
      <w:r w:rsidR="00DD4695" w:rsidRPr="00DD4695">
        <w:t xml:space="preserve"> </w:t>
      </w:r>
      <w:r w:rsidR="009E79EB">
        <w:t>on</w:t>
      </w:r>
      <w:r w:rsidR="00DD4695" w:rsidRPr="00DD4695">
        <w:t xml:space="preserve"> the date the proceedings were commenced</w:t>
      </w:r>
    </w:p>
    <w:p w14:paraId="22C247B1" w14:textId="2B2E9CD5" w:rsidR="00182D56" w:rsidRPr="00DD4695" w:rsidRDefault="00BF4EA7" w:rsidP="00A50517">
      <w:pPr>
        <w:numPr>
          <w:ilvl w:val="0"/>
          <w:numId w:val="31"/>
        </w:numPr>
        <w:spacing w:after="0"/>
      </w:pPr>
      <w:r>
        <w:t>A</w:t>
      </w:r>
      <w:r w:rsidR="00182D56" w:rsidRPr="008645BA">
        <w:t>ny other matter it considers appropriate</w:t>
      </w:r>
    </w:p>
    <w:p w14:paraId="4C013F42" w14:textId="1DD60C75" w:rsidR="00182D56" w:rsidRPr="00182D56" w:rsidRDefault="00182D56" w:rsidP="00F77499"/>
    <w:sectPr w:rsidR="00182D56" w:rsidRPr="00182D56">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A0F9B7" w16cid:durableId="20E539C5"/>
  <w16cid:commentId w16cid:paraId="0E5001E0" w16cid:durableId="20E14191"/>
  <w16cid:commentId w16cid:paraId="796311B6" w16cid:durableId="20E53113"/>
  <w16cid:commentId w16cid:paraId="1D4C0C53" w16cid:durableId="20E144F5"/>
  <w16cid:commentId w16cid:paraId="67BE7634" w16cid:durableId="20E14623"/>
  <w16cid:commentId w16cid:paraId="3A6FE149" w16cid:durableId="20E5329C"/>
  <w16cid:commentId w16cid:paraId="3DB46F40" w16cid:durableId="20E1457E"/>
  <w16cid:commentId w16cid:paraId="44BE679E" w16cid:durableId="20E2CCC3"/>
  <w16cid:commentId w16cid:paraId="6EBD91E4" w16cid:durableId="20E1453C"/>
  <w16cid:commentId w16cid:paraId="6C24C3B8" w16cid:durableId="20E148BA"/>
  <w16cid:commentId w16cid:paraId="2DE0FC30" w16cid:durableId="20E13DD5"/>
  <w16cid:commentId w16cid:paraId="1C75D908" w16cid:durableId="20E14AC8"/>
  <w16cid:commentId w16cid:paraId="3A3F1B5A" w16cid:durableId="20E2AB58"/>
  <w16cid:commentId w16cid:paraId="6DBDE54E" w16cid:durableId="20E2AB7B"/>
  <w16cid:commentId w16cid:paraId="5D77680E" w16cid:durableId="20E2B0B8"/>
  <w16cid:commentId w16cid:paraId="0DE10460" w16cid:durableId="20E2B03E"/>
  <w16cid:commentId w16cid:paraId="57DD81BF" w16cid:durableId="20E2A6A7"/>
  <w16cid:commentId w16cid:paraId="397E7855" w16cid:durableId="20E53A0C"/>
  <w16cid:commentId w16cid:paraId="5ADF70BD" w16cid:durableId="20E53457"/>
  <w16cid:commentId w16cid:paraId="1A634A3A" w16cid:durableId="20E2CD71"/>
  <w16cid:commentId w16cid:paraId="20A297ED" w16cid:durableId="20E2B758"/>
  <w16cid:commentId w16cid:paraId="21563114" w16cid:durableId="20E2B454"/>
  <w16cid:commentId w16cid:paraId="4AC170E1" w16cid:durableId="20E2B71E"/>
  <w16cid:commentId w16cid:paraId="3B906F46" w16cid:durableId="20E2B626"/>
  <w16cid:commentId w16cid:paraId="3920186C" w16cid:durableId="20E2B5F7"/>
  <w16cid:commentId w16cid:paraId="48C6973D" w16cid:durableId="20E2BB74"/>
  <w16cid:commentId w16cid:paraId="149DB678" w16cid:durableId="20E53727"/>
  <w16cid:commentId w16cid:paraId="016DE068" w16cid:durableId="20E53726"/>
  <w16cid:commentId w16cid:paraId="7F162A11" w16cid:durableId="20E2BCBB"/>
  <w16cid:commentId w16cid:paraId="592C8473" w16cid:durableId="20E2BD15"/>
  <w16cid:commentId w16cid:paraId="0A92C880" w16cid:durableId="20E2BE96"/>
  <w16cid:commentId w16cid:paraId="43AED51C" w16cid:durableId="20E2C053"/>
  <w16cid:commentId w16cid:paraId="5D686199" w16cid:durableId="20E13DD6"/>
  <w16cid:commentId w16cid:paraId="3AF93F97" w16cid:durableId="20E2C1DA"/>
  <w16cid:commentId w16cid:paraId="74EEB91A" w16cid:durableId="20E13DD7"/>
  <w16cid:commentId w16cid:paraId="66DD91AA" w16cid:durableId="20E2C63E"/>
  <w16cid:commentId w16cid:paraId="15B8BE2E" w16cid:durableId="20E2C7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94E40" w14:textId="77777777" w:rsidR="009A7201" w:rsidRDefault="009A7201" w:rsidP="00F77499">
      <w:pPr>
        <w:spacing w:after="0" w:line="240" w:lineRule="auto"/>
      </w:pPr>
      <w:r>
        <w:separator/>
      </w:r>
    </w:p>
  </w:endnote>
  <w:endnote w:type="continuationSeparator" w:id="0">
    <w:p w14:paraId="1C9C30B6" w14:textId="77777777" w:rsidR="009A7201" w:rsidRDefault="009A7201" w:rsidP="00F77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96874" w14:textId="77777777" w:rsidR="009A7201" w:rsidRDefault="009A7201" w:rsidP="00F77499">
      <w:pPr>
        <w:spacing w:after="0" w:line="240" w:lineRule="auto"/>
      </w:pPr>
      <w:r>
        <w:separator/>
      </w:r>
    </w:p>
  </w:footnote>
  <w:footnote w:type="continuationSeparator" w:id="0">
    <w:p w14:paraId="74E26D06" w14:textId="77777777" w:rsidR="009A7201" w:rsidRDefault="009A7201" w:rsidP="00F77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C9E"/>
    <w:multiLevelType w:val="hybridMultilevel"/>
    <w:tmpl w:val="42145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F494B"/>
    <w:multiLevelType w:val="multilevel"/>
    <w:tmpl w:val="194A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726C7"/>
    <w:multiLevelType w:val="hybridMultilevel"/>
    <w:tmpl w:val="D6F65A42"/>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C57D11"/>
    <w:multiLevelType w:val="hybridMultilevel"/>
    <w:tmpl w:val="736C5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600B5"/>
    <w:multiLevelType w:val="hybridMultilevel"/>
    <w:tmpl w:val="91BC60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247698B"/>
    <w:multiLevelType w:val="hybridMultilevel"/>
    <w:tmpl w:val="8762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56751"/>
    <w:multiLevelType w:val="hybridMultilevel"/>
    <w:tmpl w:val="C1A2F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40368"/>
    <w:multiLevelType w:val="multilevel"/>
    <w:tmpl w:val="B3C8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97426"/>
    <w:multiLevelType w:val="hybridMultilevel"/>
    <w:tmpl w:val="5A640520"/>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919FB"/>
    <w:multiLevelType w:val="hybridMultilevel"/>
    <w:tmpl w:val="DC02B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C22226"/>
    <w:multiLevelType w:val="hybridMultilevel"/>
    <w:tmpl w:val="AD22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230EF7"/>
    <w:multiLevelType w:val="hybridMultilevel"/>
    <w:tmpl w:val="B184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8960FF"/>
    <w:multiLevelType w:val="hybridMultilevel"/>
    <w:tmpl w:val="AFEC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E82305"/>
    <w:multiLevelType w:val="hybridMultilevel"/>
    <w:tmpl w:val="52029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0100F9"/>
    <w:multiLevelType w:val="hybridMultilevel"/>
    <w:tmpl w:val="F530D39C"/>
    <w:lvl w:ilvl="0" w:tplc="08090001">
      <w:start w:val="1"/>
      <w:numFmt w:val="bullet"/>
      <w:lvlText w:val=""/>
      <w:lvlJc w:val="left"/>
      <w:pPr>
        <w:ind w:left="720" w:hanging="360"/>
      </w:pPr>
      <w:rPr>
        <w:rFonts w:ascii="Symbol" w:hAnsi="Symbol" w:hint="default"/>
      </w:rPr>
    </w:lvl>
    <w:lvl w:ilvl="1" w:tplc="CC56B99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04795A"/>
    <w:multiLevelType w:val="hybridMultilevel"/>
    <w:tmpl w:val="ACCEE8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8D1302"/>
    <w:multiLevelType w:val="multilevel"/>
    <w:tmpl w:val="F008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922C34"/>
    <w:multiLevelType w:val="hybridMultilevel"/>
    <w:tmpl w:val="244250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DA255D2"/>
    <w:multiLevelType w:val="multilevel"/>
    <w:tmpl w:val="55E0DDFE"/>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19" w15:restartNumberingAfterBreak="0">
    <w:nsid w:val="318878A6"/>
    <w:multiLevelType w:val="hybridMultilevel"/>
    <w:tmpl w:val="7130D94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32B17D16"/>
    <w:multiLevelType w:val="hybridMultilevel"/>
    <w:tmpl w:val="B0507D24"/>
    <w:lvl w:ilvl="0" w:tplc="0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C325A2"/>
    <w:multiLevelType w:val="hybridMultilevel"/>
    <w:tmpl w:val="DF4CE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0F57B8"/>
    <w:multiLevelType w:val="hybridMultilevel"/>
    <w:tmpl w:val="FC143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24076F"/>
    <w:multiLevelType w:val="hybridMultilevel"/>
    <w:tmpl w:val="B4C692AE"/>
    <w:lvl w:ilvl="0" w:tplc="1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AB6D18"/>
    <w:multiLevelType w:val="hybridMultilevel"/>
    <w:tmpl w:val="EB18B1F0"/>
    <w:lvl w:ilvl="0" w:tplc="08090001">
      <w:start w:val="1"/>
      <w:numFmt w:val="bullet"/>
      <w:lvlText w:val=""/>
      <w:lvlJc w:val="left"/>
      <w:pPr>
        <w:ind w:left="720" w:hanging="360"/>
      </w:pPr>
      <w:rPr>
        <w:rFonts w:ascii="Symbol" w:hAnsi="Symbol" w:hint="default"/>
      </w:rPr>
    </w:lvl>
    <w:lvl w:ilvl="1" w:tplc="43BE534C">
      <w:start w:val="417"/>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6167DE"/>
    <w:multiLevelType w:val="multilevel"/>
    <w:tmpl w:val="F9D28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7C0431"/>
    <w:multiLevelType w:val="multilevel"/>
    <w:tmpl w:val="04CEC93C"/>
    <w:lvl w:ilvl="0">
      <w:start w:val="1"/>
      <w:numFmt w:val="bullet"/>
      <w:lvlText w:val=""/>
      <w:lvlJc w:val="left"/>
      <w:pPr>
        <w:tabs>
          <w:tab w:val="num" w:pos="720"/>
        </w:tabs>
        <w:ind w:left="720" w:hanging="360"/>
      </w:pPr>
      <w:rPr>
        <w:rFonts w:ascii="Symbol" w:hAnsi="Symbol" w:hint="default"/>
        <w:sz w:val="20"/>
      </w:rPr>
    </w:lvl>
    <w:lvl w:ilvl="1">
      <w:start w:val="417"/>
      <w:numFmt w:val="bullet"/>
      <w:lvlText w:val="-"/>
      <w:lvlJc w:val="left"/>
      <w:pPr>
        <w:tabs>
          <w:tab w:val="num" w:pos="1440"/>
        </w:tabs>
        <w:ind w:left="1440" w:hanging="360"/>
      </w:pPr>
      <w:rPr>
        <w:rFonts w:ascii="Calibri" w:eastAsiaTheme="minorHAnsi" w:hAnsi="Calibri" w:cs="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2F0D40"/>
    <w:multiLevelType w:val="hybridMultilevel"/>
    <w:tmpl w:val="16CCC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D37647"/>
    <w:multiLevelType w:val="hybridMultilevel"/>
    <w:tmpl w:val="B40A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95599B"/>
    <w:multiLevelType w:val="multilevel"/>
    <w:tmpl w:val="B3C8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AD4561"/>
    <w:multiLevelType w:val="multilevel"/>
    <w:tmpl w:val="B64C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9C33CF"/>
    <w:multiLevelType w:val="hybridMultilevel"/>
    <w:tmpl w:val="C79EAB6C"/>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32" w15:restartNumberingAfterBreak="0">
    <w:nsid w:val="647F26D9"/>
    <w:multiLevelType w:val="hybridMultilevel"/>
    <w:tmpl w:val="FFFAA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F41C7B"/>
    <w:multiLevelType w:val="hybridMultilevel"/>
    <w:tmpl w:val="A704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9747B2"/>
    <w:multiLevelType w:val="hybridMultilevel"/>
    <w:tmpl w:val="992A7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B21A5A"/>
    <w:multiLevelType w:val="hybridMultilevel"/>
    <w:tmpl w:val="5AA4C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3B4A86"/>
    <w:multiLevelType w:val="hybridMultilevel"/>
    <w:tmpl w:val="81122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483736"/>
    <w:multiLevelType w:val="hybridMultilevel"/>
    <w:tmpl w:val="9E268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D419A2"/>
    <w:multiLevelType w:val="hybridMultilevel"/>
    <w:tmpl w:val="BA1EB0FC"/>
    <w:lvl w:ilvl="0" w:tplc="08090001">
      <w:start w:val="1"/>
      <w:numFmt w:val="bullet"/>
      <w:lvlText w:val=""/>
      <w:lvlJc w:val="left"/>
      <w:pPr>
        <w:ind w:left="720" w:hanging="360"/>
      </w:pPr>
      <w:rPr>
        <w:rFonts w:ascii="Symbol" w:hAnsi="Symbol" w:hint="default"/>
      </w:rPr>
    </w:lvl>
    <w:lvl w:ilvl="1" w:tplc="3976E3FC">
      <w:start w:val="12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4057C5"/>
    <w:multiLevelType w:val="hybridMultilevel"/>
    <w:tmpl w:val="E88E2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0407A2"/>
    <w:multiLevelType w:val="hybridMultilevel"/>
    <w:tmpl w:val="16E0E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0"/>
  </w:num>
  <w:num w:numId="4">
    <w:abstractNumId w:val="29"/>
  </w:num>
  <w:num w:numId="5">
    <w:abstractNumId w:val="11"/>
  </w:num>
  <w:num w:numId="6">
    <w:abstractNumId w:val="5"/>
  </w:num>
  <w:num w:numId="7">
    <w:abstractNumId w:val="27"/>
  </w:num>
  <w:num w:numId="8">
    <w:abstractNumId w:val="36"/>
  </w:num>
  <w:num w:numId="9">
    <w:abstractNumId w:val="38"/>
  </w:num>
  <w:num w:numId="10">
    <w:abstractNumId w:val="39"/>
  </w:num>
  <w:num w:numId="11">
    <w:abstractNumId w:val="21"/>
  </w:num>
  <w:num w:numId="12">
    <w:abstractNumId w:val="15"/>
  </w:num>
  <w:num w:numId="13">
    <w:abstractNumId w:val="3"/>
  </w:num>
  <w:num w:numId="14">
    <w:abstractNumId w:val="28"/>
  </w:num>
  <w:num w:numId="15">
    <w:abstractNumId w:val="34"/>
  </w:num>
  <w:num w:numId="16">
    <w:abstractNumId w:val="16"/>
  </w:num>
  <w:num w:numId="17">
    <w:abstractNumId w:val="30"/>
  </w:num>
  <w:num w:numId="18">
    <w:abstractNumId w:val="18"/>
  </w:num>
  <w:num w:numId="19">
    <w:abstractNumId w:val="33"/>
  </w:num>
  <w:num w:numId="20">
    <w:abstractNumId w:val="35"/>
  </w:num>
  <w:num w:numId="21">
    <w:abstractNumId w:val="19"/>
  </w:num>
  <w:num w:numId="22">
    <w:abstractNumId w:val="37"/>
  </w:num>
  <w:num w:numId="23">
    <w:abstractNumId w:val="12"/>
  </w:num>
  <w:num w:numId="24">
    <w:abstractNumId w:val="40"/>
  </w:num>
  <w:num w:numId="25">
    <w:abstractNumId w:val="6"/>
  </w:num>
  <w:num w:numId="26">
    <w:abstractNumId w:val="22"/>
  </w:num>
  <w:num w:numId="27">
    <w:abstractNumId w:val="10"/>
  </w:num>
  <w:num w:numId="28">
    <w:abstractNumId w:val="32"/>
  </w:num>
  <w:num w:numId="29">
    <w:abstractNumId w:val="9"/>
  </w:num>
  <w:num w:numId="30">
    <w:abstractNumId w:val="25"/>
  </w:num>
  <w:num w:numId="31">
    <w:abstractNumId w:val="1"/>
  </w:num>
  <w:num w:numId="32">
    <w:abstractNumId w:val="13"/>
  </w:num>
  <w:num w:numId="33">
    <w:abstractNumId w:val="31"/>
  </w:num>
  <w:num w:numId="34">
    <w:abstractNumId w:val="4"/>
  </w:num>
  <w:num w:numId="35">
    <w:abstractNumId w:val="23"/>
  </w:num>
  <w:num w:numId="36">
    <w:abstractNumId w:val="8"/>
  </w:num>
  <w:num w:numId="37">
    <w:abstractNumId w:val="17"/>
  </w:num>
  <w:num w:numId="38">
    <w:abstractNumId w:val="2"/>
  </w:num>
  <w:num w:numId="39">
    <w:abstractNumId w:val="14"/>
  </w:num>
  <w:num w:numId="40">
    <w:abstractNumId w:val="24"/>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88"/>
    <w:rsid w:val="00001576"/>
    <w:rsid w:val="0000273E"/>
    <w:rsid w:val="00011490"/>
    <w:rsid w:val="000220DE"/>
    <w:rsid w:val="00032DA0"/>
    <w:rsid w:val="00037903"/>
    <w:rsid w:val="000439EA"/>
    <w:rsid w:val="00044CF3"/>
    <w:rsid w:val="000563DF"/>
    <w:rsid w:val="00060F30"/>
    <w:rsid w:val="00086A94"/>
    <w:rsid w:val="000A162A"/>
    <w:rsid w:val="000C1737"/>
    <w:rsid w:val="000C183B"/>
    <w:rsid w:val="000C21B6"/>
    <w:rsid w:val="000D07E1"/>
    <w:rsid w:val="000E7D2F"/>
    <w:rsid w:val="0010169B"/>
    <w:rsid w:val="0010764D"/>
    <w:rsid w:val="00114322"/>
    <w:rsid w:val="00123140"/>
    <w:rsid w:val="00135812"/>
    <w:rsid w:val="0013652F"/>
    <w:rsid w:val="0014113F"/>
    <w:rsid w:val="001444DE"/>
    <w:rsid w:val="00152DED"/>
    <w:rsid w:val="00162E0C"/>
    <w:rsid w:val="00163E7D"/>
    <w:rsid w:val="00182D56"/>
    <w:rsid w:val="00184041"/>
    <w:rsid w:val="0019147E"/>
    <w:rsid w:val="00192BCA"/>
    <w:rsid w:val="00195264"/>
    <w:rsid w:val="00197596"/>
    <w:rsid w:val="001C139D"/>
    <w:rsid w:val="001C702F"/>
    <w:rsid w:val="001D226E"/>
    <w:rsid w:val="001D6D1C"/>
    <w:rsid w:val="00210A81"/>
    <w:rsid w:val="0021270E"/>
    <w:rsid w:val="00224531"/>
    <w:rsid w:val="00252CF6"/>
    <w:rsid w:val="002626B8"/>
    <w:rsid w:val="00264F02"/>
    <w:rsid w:val="00265ED3"/>
    <w:rsid w:val="00272BB4"/>
    <w:rsid w:val="00291F1D"/>
    <w:rsid w:val="00293810"/>
    <w:rsid w:val="002B281D"/>
    <w:rsid w:val="002C0633"/>
    <w:rsid w:val="002C12F1"/>
    <w:rsid w:val="002D2138"/>
    <w:rsid w:val="002D60D5"/>
    <w:rsid w:val="002E2F9A"/>
    <w:rsid w:val="00303F1D"/>
    <w:rsid w:val="0030602F"/>
    <w:rsid w:val="0031197E"/>
    <w:rsid w:val="00316FCB"/>
    <w:rsid w:val="0033095B"/>
    <w:rsid w:val="00340AE6"/>
    <w:rsid w:val="0034254F"/>
    <w:rsid w:val="00362ACD"/>
    <w:rsid w:val="003873F7"/>
    <w:rsid w:val="003974D6"/>
    <w:rsid w:val="00397894"/>
    <w:rsid w:val="003B0C42"/>
    <w:rsid w:val="003C6050"/>
    <w:rsid w:val="003D3883"/>
    <w:rsid w:val="003D6640"/>
    <w:rsid w:val="003F46B2"/>
    <w:rsid w:val="00427DA4"/>
    <w:rsid w:val="0043557A"/>
    <w:rsid w:val="00437D62"/>
    <w:rsid w:val="00445AE0"/>
    <w:rsid w:val="00461878"/>
    <w:rsid w:val="004675FB"/>
    <w:rsid w:val="004720CC"/>
    <w:rsid w:val="00493AB4"/>
    <w:rsid w:val="004B3484"/>
    <w:rsid w:val="004D711C"/>
    <w:rsid w:val="004E2609"/>
    <w:rsid w:val="004E5401"/>
    <w:rsid w:val="004F4123"/>
    <w:rsid w:val="0050346C"/>
    <w:rsid w:val="0051544F"/>
    <w:rsid w:val="00516FDC"/>
    <w:rsid w:val="00517745"/>
    <w:rsid w:val="00517749"/>
    <w:rsid w:val="00523033"/>
    <w:rsid w:val="005305A4"/>
    <w:rsid w:val="0054265E"/>
    <w:rsid w:val="00546B03"/>
    <w:rsid w:val="0055132F"/>
    <w:rsid w:val="005529BE"/>
    <w:rsid w:val="00573C2F"/>
    <w:rsid w:val="005748FB"/>
    <w:rsid w:val="0057642B"/>
    <w:rsid w:val="005768E6"/>
    <w:rsid w:val="00577082"/>
    <w:rsid w:val="005A03DC"/>
    <w:rsid w:val="005A1735"/>
    <w:rsid w:val="005A4BBC"/>
    <w:rsid w:val="005C2C79"/>
    <w:rsid w:val="005C4D17"/>
    <w:rsid w:val="005D397C"/>
    <w:rsid w:val="005E2915"/>
    <w:rsid w:val="005E446C"/>
    <w:rsid w:val="005E617A"/>
    <w:rsid w:val="005F29A5"/>
    <w:rsid w:val="005F300D"/>
    <w:rsid w:val="005F37BF"/>
    <w:rsid w:val="00616E41"/>
    <w:rsid w:val="00617DAD"/>
    <w:rsid w:val="00636588"/>
    <w:rsid w:val="0066588F"/>
    <w:rsid w:val="006804D4"/>
    <w:rsid w:val="00690273"/>
    <w:rsid w:val="00692E35"/>
    <w:rsid w:val="006A24B4"/>
    <w:rsid w:val="006A32D1"/>
    <w:rsid w:val="006A6850"/>
    <w:rsid w:val="006D2E29"/>
    <w:rsid w:val="006E15FA"/>
    <w:rsid w:val="006E3953"/>
    <w:rsid w:val="00700EA0"/>
    <w:rsid w:val="00704E02"/>
    <w:rsid w:val="00707075"/>
    <w:rsid w:val="007353BF"/>
    <w:rsid w:val="007361C2"/>
    <w:rsid w:val="00765A55"/>
    <w:rsid w:val="00767939"/>
    <w:rsid w:val="00773955"/>
    <w:rsid w:val="007763E3"/>
    <w:rsid w:val="00776BD4"/>
    <w:rsid w:val="00780EB7"/>
    <w:rsid w:val="007854EA"/>
    <w:rsid w:val="00792099"/>
    <w:rsid w:val="007922A2"/>
    <w:rsid w:val="007C4027"/>
    <w:rsid w:val="007D7CCE"/>
    <w:rsid w:val="007E1400"/>
    <w:rsid w:val="007E7DBF"/>
    <w:rsid w:val="007F03B1"/>
    <w:rsid w:val="007F35A1"/>
    <w:rsid w:val="00800B90"/>
    <w:rsid w:val="008011E5"/>
    <w:rsid w:val="00810C8D"/>
    <w:rsid w:val="00822FD8"/>
    <w:rsid w:val="008365BD"/>
    <w:rsid w:val="008438AA"/>
    <w:rsid w:val="00844113"/>
    <w:rsid w:val="00844CF9"/>
    <w:rsid w:val="008645BA"/>
    <w:rsid w:val="00881F43"/>
    <w:rsid w:val="00886D62"/>
    <w:rsid w:val="008925DB"/>
    <w:rsid w:val="008A6219"/>
    <w:rsid w:val="008B077D"/>
    <w:rsid w:val="008B5085"/>
    <w:rsid w:val="008D18DF"/>
    <w:rsid w:val="008D7E6E"/>
    <w:rsid w:val="008E4987"/>
    <w:rsid w:val="008F19F2"/>
    <w:rsid w:val="009004CE"/>
    <w:rsid w:val="00901E0C"/>
    <w:rsid w:val="009066E6"/>
    <w:rsid w:val="00916785"/>
    <w:rsid w:val="00922D8F"/>
    <w:rsid w:val="00930163"/>
    <w:rsid w:val="00935719"/>
    <w:rsid w:val="0093657A"/>
    <w:rsid w:val="00943734"/>
    <w:rsid w:val="009475C4"/>
    <w:rsid w:val="00952BF6"/>
    <w:rsid w:val="009547F2"/>
    <w:rsid w:val="0096131E"/>
    <w:rsid w:val="00977030"/>
    <w:rsid w:val="0097799F"/>
    <w:rsid w:val="009A62FE"/>
    <w:rsid w:val="009A7201"/>
    <w:rsid w:val="009B661A"/>
    <w:rsid w:val="009C5418"/>
    <w:rsid w:val="009D68CD"/>
    <w:rsid w:val="009E2FA1"/>
    <w:rsid w:val="009E5CA2"/>
    <w:rsid w:val="009E79EB"/>
    <w:rsid w:val="009F3CA4"/>
    <w:rsid w:val="00A06DCC"/>
    <w:rsid w:val="00A078CE"/>
    <w:rsid w:val="00A20E5E"/>
    <w:rsid w:val="00A230CF"/>
    <w:rsid w:val="00A41BBF"/>
    <w:rsid w:val="00A42268"/>
    <w:rsid w:val="00A50517"/>
    <w:rsid w:val="00A610F8"/>
    <w:rsid w:val="00A857EF"/>
    <w:rsid w:val="00AA101C"/>
    <w:rsid w:val="00AB4BA5"/>
    <w:rsid w:val="00AC3D84"/>
    <w:rsid w:val="00AC5439"/>
    <w:rsid w:val="00AD0B6E"/>
    <w:rsid w:val="00AD19F2"/>
    <w:rsid w:val="00AD4A24"/>
    <w:rsid w:val="00AE06E7"/>
    <w:rsid w:val="00AF6490"/>
    <w:rsid w:val="00B00AFE"/>
    <w:rsid w:val="00B03399"/>
    <w:rsid w:val="00B147BA"/>
    <w:rsid w:val="00B239A3"/>
    <w:rsid w:val="00B32405"/>
    <w:rsid w:val="00B336ED"/>
    <w:rsid w:val="00B36C51"/>
    <w:rsid w:val="00B612B1"/>
    <w:rsid w:val="00B90DD8"/>
    <w:rsid w:val="00B957C1"/>
    <w:rsid w:val="00BA20DC"/>
    <w:rsid w:val="00BA4B68"/>
    <w:rsid w:val="00BC18EB"/>
    <w:rsid w:val="00BE3251"/>
    <w:rsid w:val="00BF3754"/>
    <w:rsid w:val="00BF4EA7"/>
    <w:rsid w:val="00C17261"/>
    <w:rsid w:val="00C21F99"/>
    <w:rsid w:val="00C24357"/>
    <w:rsid w:val="00C31DDB"/>
    <w:rsid w:val="00C52EF1"/>
    <w:rsid w:val="00C57681"/>
    <w:rsid w:val="00C64941"/>
    <w:rsid w:val="00C65A9E"/>
    <w:rsid w:val="00C741E2"/>
    <w:rsid w:val="00C74AF8"/>
    <w:rsid w:val="00C7582D"/>
    <w:rsid w:val="00C81425"/>
    <w:rsid w:val="00CA420B"/>
    <w:rsid w:val="00CB33A5"/>
    <w:rsid w:val="00CB4BEB"/>
    <w:rsid w:val="00CB4E1A"/>
    <w:rsid w:val="00CC24ED"/>
    <w:rsid w:val="00CE68CE"/>
    <w:rsid w:val="00CE7B77"/>
    <w:rsid w:val="00CF129C"/>
    <w:rsid w:val="00CF4F32"/>
    <w:rsid w:val="00CF5D43"/>
    <w:rsid w:val="00D047EF"/>
    <w:rsid w:val="00D13C16"/>
    <w:rsid w:val="00D278A1"/>
    <w:rsid w:val="00D616A1"/>
    <w:rsid w:val="00D62F77"/>
    <w:rsid w:val="00D74C8A"/>
    <w:rsid w:val="00D91DB4"/>
    <w:rsid w:val="00DA2665"/>
    <w:rsid w:val="00DA5B65"/>
    <w:rsid w:val="00DD4695"/>
    <w:rsid w:val="00DE1E33"/>
    <w:rsid w:val="00DE4829"/>
    <w:rsid w:val="00DF0449"/>
    <w:rsid w:val="00DF4F7F"/>
    <w:rsid w:val="00DF5B55"/>
    <w:rsid w:val="00DF784D"/>
    <w:rsid w:val="00E10566"/>
    <w:rsid w:val="00E10EC8"/>
    <w:rsid w:val="00E15A12"/>
    <w:rsid w:val="00E24F4D"/>
    <w:rsid w:val="00E31A93"/>
    <w:rsid w:val="00E426B5"/>
    <w:rsid w:val="00E46AA1"/>
    <w:rsid w:val="00E50CE3"/>
    <w:rsid w:val="00E66092"/>
    <w:rsid w:val="00E746EC"/>
    <w:rsid w:val="00E875DD"/>
    <w:rsid w:val="00E93B1F"/>
    <w:rsid w:val="00E949F7"/>
    <w:rsid w:val="00EA1510"/>
    <w:rsid w:val="00EB1701"/>
    <w:rsid w:val="00EB6E2A"/>
    <w:rsid w:val="00EB70B6"/>
    <w:rsid w:val="00EC0A89"/>
    <w:rsid w:val="00EC2F99"/>
    <w:rsid w:val="00EC6AE7"/>
    <w:rsid w:val="00F41EB4"/>
    <w:rsid w:val="00F44E96"/>
    <w:rsid w:val="00F53B53"/>
    <w:rsid w:val="00F546C2"/>
    <w:rsid w:val="00F62F46"/>
    <w:rsid w:val="00F75CD5"/>
    <w:rsid w:val="00F77499"/>
    <w:rsid w:val="00F8406D"/>
    <w:rsid w:val="00F865CD"/>
    <w:rsid w:val="00FA40DF"/>
    <w:rsid w:val="00FB3844"/>
    <w:rsid w:val="00FB6BE3"/>
    <w:rsid w:val="00FC2296"/>
    <w:rsid w:val="00FE1737"/>
    <w:rsid w:val="00FE4953"/>
    <w:rsid w:val="00FF3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DA2F9"/>
  <w15:chartTrackingRefBased/>
  <w15:docId w15:val="{E93547DF-3DDD-4302-B495-BF735DEF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2C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2C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A4BB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EC0A8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B661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2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2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F9A"/>
    <w:rPr>
      <w:rFonts w:ascii="Segoe UI" w:hAnsi="Segoe UI" w:cs="Segoe UI"/>
      <w:sz w:val="18"/>
      <w:szCs w:val="18"/>
    </w:rPr>
  </w:style>
  <w:style w:type="character" w:styleId="Hyperlink">
    <w:name w:val="Hyperlink"/>
    <w:basedOn w:val="DefaultParagraphFont"/>
    <w:uiPriority w:val="99"/>
    <w:unhideWhenUsed/>
    <w:rsid w:val="00935719"/>
    <w:rPr>
      <w:color w:val="0563C1" w:themeColor="hyperlink"/>
      <w:u w:val="single"/>
    </w:rPr>
  </w:style>
  <w:style w:type="character" w:customStyle="1" w:styleId="UnresolvedMention1">
    <w:name w:val="Unresolved Mention1"/>
    <w:basedOn w:val="DefaultParagraphFont"/>
    <w:uiPriority w:val="99"/>
    <w:semiHidden/>
    <w:unhideWhenUsed/>
    <w:rsid w:val="00935719"/>
    <w:rPr>
      <w:color w:val="605E5C"/>
      <w:shd w:val="clear" w:color="auto" w:fill="E1DFDD"/>
    </w:rPr>
  </w:style>
  <w:style w:type="character" w:styleId="CommentReference">
    <w:name w:val="annotation reference"/>
    <w:basedOn w:val="DefaultParagraphFont"/>
    <w:uiPriority w:val="99"/>
    <w:semiHidden/>
    <w:unhideWhenUsed/>
    <w:rsid w:val="00935719"/>
    <w:rPr>
      <w:sz w:val="16"/>
      <w:szCs w:val="16"/>
    </w:rPr>
  </w:style>
  <w:style w:type="paragraph" w:styleId="CommentText">
    <w:name w:val="annotation text"/>
    <w:basedOn w:val="Normal"/>
    <w:link w:val="CommentTextChar"/>
    <w:uiPriority w:val="99"/>
    <w:unhideWhenUsed/>
    <w:rsid w:val="00935719"/>
    <w:pPr>
      <w:spacing w:line="240" w:lineRule="auto"/>
    </w:pPr>
    <w:rPr>
      <w:sz w:val="20"/>
      <w:szCs w:val="20"/>
    </w:rPr>
  </w:style>
  <w:style w:type="character" w:customStyle="1" w:styleId="CommentTextChar">
    <w:name w:val="Comment Text Char"/>
    <w:basedOn w:val="DefaultParagraphFont"/>
    <w:link w:val="CommentText"/>
    <w:uiPriority w:val="99"/>
    <w:rsid w:val="00935719"/>
    <w:rPr>
      <w:sz w:val="20"/>
      <w:szCs w:val="20"/>
    </w:rPr>
  </w:style>
  <w:style w:type="paragraph" w:styleId="CommentSubject">
    <w:name w:val="annotation subject"/>
    <w:basedOn w:val="CommentText"/>
    <w:next w:val="CommentText"/>
    <w:link w:val="CommentSubjectChar"/>
    <w:uiPriority w:val="99"/>
    <w:semiHidden/>
    <w:unhideWhenUsed/>
    <w:rsid w:val="00935719"/>
    <w:rPr>
      <w:b/>
      <w:bCs/>
    </w:rPr>
  </w:style>
  <w:style w:type="character" w:customStyle="1" w:styleId="CommentSubjectChar">
    <w:name w:val="Comment Subject Char"/>
    <w:basedOn w:val="CommentTextChar"/>
    <w:link w:val="CommentSubject"/>
    <w:uiPriority w:val="99"/>
    <w:semiHidden/>
    <w:rsid w:val="00935719"/>
    <w:rPr>
      <w:b/>
      <w:bCs/>
      <w:sz w:val="20"/>
      <w:szCs w:val="20"/>
    </w:rPr>
  </w:style>
  <w:style w:type="paragraph" w:styleId="ListParagraph">
    <w:name w:val="List Paragraph"/>
    <w:basedOn w:val="Normal"/>
    <w:uiPriority w:val="34"/>
    <w:qFormat/>
    <w:rsid w:val="00780EB7"/>
    <w:pPr>
      <w:ind w:left="720"/>
      <w:contextualSpacing/>
    </w:pPr>
  </w:style>
  <w:style w:type="character" w:customStyle="1" w:styleId="change">
    <w:name w:val="change"/>
    <w:basedOn w:val="DefaultParagraphFont"/>
    <w:rsid w:val="00EB6E2A"/>
  </w:style>
  <w:style w:type="paragraph" w:styleId="NormalWeb">
    <w:name w:val="Normal (Web)"/>
    <w:basedOn w:val="Normal"/>
    <w:uiPriority w:val="99"/>
    <w:semiHidden/>
    <w:unhideWhenUsed/>
    <w:rsid w:val="00EB6E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B6E2A"/>
    <w:rPr>
      <w:b/>
      <w:bCs/>
    </w:rPr>
  </w:style>
  <w:style w:type="character" w:customStyle="1" w:styleId="Heading3Char">
    <w:name w:val="Heading 3 Char"/>
    <w:basedOn w:val="DefaultParagraphFont"/>
    <w:link w:val="Heading3"/>
    <w:uiPriority w:val="9"/>
    <w:rsid w:val="005A4BBC"/>
    <w:rPr>
      <w:rFonts w:ascii="Times New Roman" w:eastAsia="Times New Roman" w:hAnsi="Times New Roman" w:cs="Times New Roman"/>
      <w:b/>
      <w:bCs/>
      <w:sz w:val="27"/>
      <w:szCs w:val="27"/>
      <w:lang w:eastAsia="en-GB"/>
    </w:rPr>
  </w:style>
  <w:style w:type="character" w:customStyle="1" w:styleId="Heading1Char">
    <w:name w:val="Heading 1 Char"/>
    <w:basedOn w:val="DefaultParagraphFont"/>
    <w:link w:val="Heading1"/>
    <w:uiPriority w:val="9"/>
    <w:rsid w:val="005C2C7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C2C7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EC0A89"/>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F77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499"/>
  </w:style>
  <w:style w:type="paragraph" w:styleId="Footer">
    <w:name w:val="footer"/>
    <w:basedOn w:val="Normal"/>
    <w:link w:val="FooterChar"/>
    <w:uiPriority w:val="99"/>
    <w:unhideWhenUsed/>
    <w:rsid w:val="00F77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499"/>
  </w:style>
  <w:style w:type="character" w:customStyle="1" w:styleId="Heading5Char">
    <w:name w:val="Heading 5 Char"/>
    <w:basedOn w:val="DefaultParagraphFont"/>
    <w:link w:val="Heading5"/>
    <w:uiPriority w:val="9"/>
    <w:rsid w:val="009B661A"/>
    <w:rPr>
      <w:rFonts w:asciiTheme="majorHAnsi" w:eastAsiaTheme="majorEastAsia" w:hAnsiTheme="majorHAnsi" w:cstheme="majorBidi"/>
      <w:color w:val="2F5496" w:themeColor="accent1" w:themeShade="BF"/>
    </w:rPr>
  </w:style>
  <w:style w:type="character" w:customStyle="1" w:styleId="UnresolvedMention">
    <w:name w:val="Unresolved Mention"/>
    <w:basedOn w:val="DefaultParagraphFont"/>
    <w:uiPriority w:val="99"/>
    <w:semiHidden/>
    <w:unhideWhenUsed/>
    <w:rsid w:val="00E42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0999">
      <w:bodyDiv w:val="1"/>
      <w:marLeft w:val="0"/>
      <w:marRight w:val="0"/>
      <w:marTop w:val="0"/>
      <w:marBottom w:val="0"/>
      <w:divBdr>
        <w:top w:val="none" w:sz="0" w:space="0" w:color="auto"/>
        <w:left w:val="none" w:sz="0" w:space="0" w:color="auto"/>
        <w:bottom w:val="none" w:sz="0" w:space="0" w:color="auto"/>
        <w:right w:val="none" w:sz="0" w:space="0" w:color="auto"/>
      </w:divBdr>
    </w:div>
    <w:div w:id="131487196">
      <w:bodyDiv w:val="1"/>
      <w:marLeft w:val="0"/>
      <w:marRight w:val="0"/>
      <w:marTop w:val="0"/>
      <w:marBottom w:val="0"/>
      <w:divBdr>
        <w:top w:val="none" w:sz="0" w:space="0" w:color="auto"/>
        <w:left w:val="none" w:sz="0" w:space="0" w:color="auto"/>
        <w:bottom w:val="none" w:sz="0" w:space="0" w:color="auto"/>
        <w:right w:val="none" w:sz="0" w:space="0" w:color="auto"/>
      </w:divBdr>
    </w:div>
    <w:div w:id="177894197">
      <w:bodyDiv w:val="1"/>
      <w:marLeft w:val="0"/>
      <w:marRight w:val="0"/>
      <w:marTop w:val="0"/>
      <w:marBottom w:val="0"/>
      <w:divBdr>
        <w:top w:val="none" w:sz="0" w:space="0" w:color="auto"/>
        <w:left w:val="none" w:sz="0" w:space="0" w:color="auto"/>
        <w:bottom w:val="none" w:sz="0" w:space="0" w:color="auto"/>
        <w:right w:val="none" w:sz="0" w:space="0" w:color="auto"/>
      </w:divBdr>
    </w:div>
    <w:div w:id="542522621">
      <w:bodyDiv w:val="1"/>
      <w:marLeft w:val="0"/>
      <w:marRight w:val="0"/>
      <w:marTop w:val="0"/>
      <w:marBottom w:val="0"/>
      <w:divBdr>
        <w:top w:val="none" w:sz="0" w:space="0" w:color="auto"/>
        <w:left w:val="none" w:sz="0" w:space="0" w:color="auto"/>
        <w:bottom w:val="none" w:sz="0" w:space="0" w:color="auto"/>
        <w:right w:val="none" w:sz="0" w:space="0" w:color="auto"/>
      </w:divBdr>
      <w:divsChild>
        <w:div w:id="1770344674">
          <w:marLeft w:val="0"/>
          <w:marRight w:val="0"/>
          <w:marTop w:val="0"/>
          <w:marBottom w:val="0"/>
          <w:divBdr>
            <w:top w:val="none" w:sz="0" w:space="0" w:color="auto"/>
            <w:left w:val="none" w:sz="0" w:space="0" w:color="auto"/>
            <w:bottom w:val="none" w:sz="0" w:space="0" w:color="auto"/>
            <w:right w:val="none" w:sz="0" w:space="0" w:color="auto"/>
          </w:divBdr>
          <w:divsChild>
            <w:div w:id="2142453317">
              <w:marLeft w:val="0"/>
              <w:marRight w:val="0"/>
              <w:marTop w:val="0"/>
              <w:marBottom w:val="0"/>
              <w:divBdr>
                <w:top w:val="none" w:sz="0" w:space="0" w:color="auto"/>
                <w:left w:val="none" w:sz="0" w:space="0" w:color="auto"/>
                <w:bottom w:val="none" w:sz="0" w:space="0" w:color="auto"/>
                <w:right w:val="none" w:sz="0" w:space="0" w:color="auto"/>
              </w:divBdr>
              <w:divsChild>
                <w:div w:id="1318650173">
                  <w:marLeft w:val="0"/>
                  <w:marRight w:val="0"/>
                  <w:marTop w:val="0"/>
                  <w:marBottom w:val="0"/>
                  <w:divBdr>
                    <w:top w:val="none" w:sz="0" w:space="0" w:color="auto"/>
                    <w:left w:val="none" w:sz="0" w:space="0" w:color="auto"/>
                    <w:bottom w:val="none" w:sz="0" w:space="0" w:color="auto"/>
                    <w:right w:val="none" w:sz="0" w:space="0" w:color="auto"/>
                  </w:divBdr>
                  <w:divsChild>
                    <w:div w:id="767509611">
                      <w:marLeft w:val="-300"/>
                      <w:marRight w:val="-300"/>
                      <w:marTop w:val="0"/>
                      <w:marBottom w:val="0"/>
                      <w:divBdr>
                        <w:top w:val="none" w:sz="0" w:space="0" w:color="auto"/>
                        <w:left w:val="none" w:sz="0" w:space="0" w:color="auto"/>
                        <w:bottom w:val="none" w:sz="0" w:space="0" w:color="auto"/>
                        <w:right w:val="none" w:sz="0" w:space="0" w:color="auto"/>
                      </w:divBdr>
                      <w:divsChild>
                        <w:div w:id="21090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565824">
      <w:bodyDiv w:val="1"/>
      <w:marLeft w:val="0"/>
      <w:marRight w:val="0"/>
      <w:marTop w:val="0"/>
      <w:marBottom w:val="0"/>
      <w:divBdr>
        <w:top w:val="none" w:sz="0" w:space="0" w:color="auto"/>
        <w:left w:val="none" w:sz="0" w:space="0" w:color="auto"/>
        <w:bottom w:val="none" w:sz="0" w:space="0" w:color="auto"/>
        <w:right w:val="none" w:sz="0" w:space="0" w:color="auto"/>
      </w:divBdr>
    </w:div>
    <w:div w:id="752238569">
      <w:bodyDiv w:val="1"/>
      <w:marLeft w:val="0"/>
      <w:marRight w:val="0"/>
      <w:marTop w:val="0"/>
      <w:marBottom w:val="0"/>
      <w:divBdr>
        <w:top w:val="none" w:sz="0" w:space="0" w:color="auto"/>
        <w:left w:val="none" w:sz="0" w:space="0" w:color="auto"/>
        <w:bottom w:val="none" w:sz="0" w:space="0" w:color="auto"/>
        <w:right w:val="none" w:sz="0" w:space="0" w:color="auto"/>
      </w:divBdr>
    </w:div>
    <w:div w:id="1011488528">
      <w:bodyDiv w:val="1"/>
      <w:marLeft w:val="0"/>
      <w:marRight w:val="0"/>
      <w:marTop w:val="0"/>
      <w:marBottom w:val="0"/>
      <w:divBdr>
        <w:top w:val="none" w:sz="0" w:space="0" w:color="auto"/>
        <w:left w:val="none" w:sz="0" w:space="0" w:color="auto"/>
        <w:bottom w:val="none" w:sz="0" w:space="0" w:color="auto"/>
        <w:right w:val="none" w:sz="0" w:space="0" w:color="auto"/>
      </w:divBdr>
    </w:div>
    <w:div w:id="1065567613">
      <w:bodyDiv w:val="1"/>
      <w:marLeft w:val="0"/>
      <w:marRight w:val="0"/>
      <w:marTop w:val="0"/>
      <w:marBottom w:val="0"/>
      <w:divBdr>
        <w:top w:val="none" w:sz="0" w:space="0" w:color="auto"/>
        <w:left w:val="none" w:sz="0" w:space="0" w:color="auto"/>
        <w:bottom w:val="none" w:sz="0" w:space="0" w:color="auto"/>
        <w:right w:val="none" w:sz="0" w:space="0" w:color="auto"/>
      </w:divBdr>
    </w:div>
    <w:div w:id="1163661334">
      <w:bodyDiv w:val="1"/>
      <w:marLeft w:val="0"/>
      <w:marRight w:val="0"/>
      <w:marTop w:val="0"/>
      <w:marBottom w:val="0"/>
      <w:divBdr>
        <w:top w:val="none" w:sz="0" w:space="0" w:color="auto"/>
        <w:left w:val="none" w:sz="0" w:space="0" w:color="auto"/>
        <w:bottom w:val="none" w:sz="0" w:space="0" w:color="auto"/>
        <w:right w:val="none" w:sz="0" w:space="0" w:color="auto"/>
      </w:divBdr>
    </w:div>
    <w:div w:id="1175994624">
      <w:bodyDiv w:val="1"/>
      <w:marLeft w:val="0"/>
      <w:marRight w:val="0"/>
      <w:marTop w:val="0"/>
      <w:marBottom w:val="0"/>
      <w:divBdr>
        <w:top w:val="none" w:sz="0" w:space="0" w:color="auto"/>
        <w:left w:val="none" w:sz="0" w:space="0" w:color="auto"/>
        <w:bottom w:val="none" w:sz="0" w:space="0" w:color="auto"/>
        <w:right w:val="none" w:sz="0" w:space="0" w:color="auto"/>
      </w:divBdr>
    </w:div>
    <w:div w:id="1298948796">
      <w:bodyDiv w:val="1"/>
      <w:marLeft w:val="0"/>
      <w:marRight w:val="0"/>
      <w:marTop w:val="0"/>
      <w:marBottom w:val="0"/>
      <w:divBdr>
        <w:top w:val="none" w:sz="0" w:space="0" w:color="auto"/>
        <w:left w:val="none" w:sz="0" w:space="0" w:color="auto"/>
        <w:bottom w:val="none" w:sz="0" w:space="0" w:color="auto"/>
        <w:right w:val="none" w:sz="0" w:space="0" w:color="auto"/>
      </w:divBdr>
    </w:div>
    <w:div w:id="1367214661">
      <w:bodyDiv w:val="1"/>
      <w:marLeft w:val="0"/>
      <w:marRight w:val="0"/>
      <w:marTop w:val="0"/>
      <w:marBottom w:val="0"/>
      <w:divBdr>
        <w:top w:val="none" w:sz="0" w:space="0" w:color="auto"/>
        <w:left w:val="none" w:sz="0" w:space="0" w:color="auto"/>
        <w:bottom w:val="none" w:sz="0" w:space="0" w:color="auto"/>
        <w:right w:val="none" w:sz="0" w:space="0" w:color="auto"/>
      </w:divBdr>
    </w:div>
    <w:div w:id="1463842190">
      <w:bodyDiv w:val="1"/>
      <w:marLeft w:val="0"/>
      <w:marRight w:val="0"/>
      <w:marTop w:val="0"/>
      <w:marBottom w:val="0"/>
      <w:divBdr>
        <w:top w:val="none" w:sz="0" w:space="0" w:color="auto"/>
        <w:left w:val="none" w:sz="0" w:space="0" w:color="auto"/>
        <w:bottom w:val="none" w:sz="0" w:space="0" w:color="auto"/>
        <w:right w:val="none" w:sz="0" w:space="0" w:color="auto"/>
      </w:divBdr>
    </w:div>
    <w:div w:id="1497765722">
      <w:bodyDiv w:val="1"/>
      <w:marLeft w:val="0"/>
      <w:marRight w:val="0"/>
      <w:marTop w:val="0"/>
      <w:marBottom w:val="0"/>
      <w:divBdr>
        <w:top w:val="none" w:sz="0" w:space="0" w:color="auto"/>
        <w:left w:val="none" w:sz="0" w:space="0" w:color="auto"/>
        <w:bottom w:val="none" w:sz="0" w:space="0" w:color="auto"/>
        <w:right w:val="none" w:sz="0" w:space="0" w:color="auto"/>
      </w:divBdr>
    </w:div>
    <w:div w:id="1761830817">
      <w:bodyDiv w:val="1"/>
      <w:marLeft w:val="0"/>
      <w:marRight w:val="0"/>
      <w:marTop w:val="0"/>
      <w:marBottom w:val="0"/>
      <w:divBdr>
        <w:top w:val="none" w:sz="0" w:space="0" w:color="auto"/>
        <w:left w:val="none" w:sz="0" w:space="0" w:color="auto"/>
        <w:bottom w:val="none" w:sz="0" w:space="0" w:color="auto"/>
        <w:right w:val="none" w:sz="0" w:space="0" w:color="auto"/>
      </w:divBdr>
    </w:div>
    <w:div w:id="1928420540">
      <w:bodyDiv w:val="1"/>
      <w:marLeft w:val="0"/>
      <w:marRight w:val="0"/>
      <w:marTop w:val="0"/>
      <w:marBottom w:val="0"/>
      <w:divBdr>
        <w:top w:val="none" w:sz="0" w:space="0" w:color="auto"/>
        <w:left w:val="none" w:sz="0" w:space="0" w:color="auto"/>
        <w:bottom w:val="none" w:sz="0" w:space="0" w:color="auto"/>
        <w:right w:val="none" w:sz="0" w:space="0" w:color="auto"/>
      </w:divBdr>
    </w:div>
    <w:div w:id="1960062439">
      <w:bodyDiv w:val="1"/>
      <w:marLeft w:val="0"/>
      <w:marRight w:val="0"/>
      <w:marTop w:val="0"/>
      <w:marBottom w:val="0"/>
      <w:divBdr>
        <w:top w:val="none" w:sz="0" w:space="0" w:color="auto"/>
        <w:left w:val="none" w:sz="0" w:space="0" w:color="auto"/>
        <w:bottom w:val="none" w:sz="0" w:space="0" w:color="auto"/>
        <w:right w:val="none" w:sz="0" w:space="0" w:color="auto"/>
      </w:divBdr>
    </w:div>
    <w:div w:id="2052221228">
      <w:bodyDiv w:val="1"/>
      <w:marLeft w:val="0"/>
      <w:marRight w:val="0"/>
      <w:marTop w:val="0"/>
      <w:marBottom w:val="0"/>
      <w:divBdr>
        <w:top w:val="none" w:sz="0" w:space="0" w:color="auto"/>
        <w:left w:val="none" w:sz="0" w:space="0" w:color="auto"/>
        <w:bottom w:val="none" w:sz="0" w:space="0" w:color="auto"/>
        <w:right w:val="none" w:sz="0" w:space="0" w:color="auto"/>
      </w:divBdr>
    </w:div>
    <w:div w:id="208348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reform.ie"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nestopshop.rtb.ie/calculator/rpz" TargetMode="External"/><Relationship Id="rId4" Type="http://schemas.openxmlformats.org/officeDocument/2006/relationships/settings" Target="settings.xml"/><Relationship Id="rId9" Type="http://schemas.openxmlformats.org/officeDocument/2006/relationships/hyperlink" Target="https://onestopshop.rtb.ie/new-changes-to-rental-legislation/new-rent-pressure-zone-crit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53702-72B3-4785-8340-6C73AED1D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4637</Words>
  <Characters>26433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Scanlon</dc:creator>
  <cp:keywords/>
  <dc:description/>
  <cp:lastModifiedBy>Moira Fraser</cp:lastModifiedBy>
  <cp:revision>4</cp:revision>
  <cp:lastPrinted>2019-08-02T14:41:00Z</cp:lastPrinted>
  <dcterms:created xsi:type="dcterms:W3CDTF">2019-08-15T15:49:00Z</dcterms:created>
  <dcterms:modified xsi:type="dcterms:W3CDTF">2019-08-22T10:31:00Z</dcterms:modified>
</cp:coreProperties>
</file>