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57A4BB59"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DC6077">
        <w:rPr>
          <w:b/>
          <w:sz w:val="24"/>
          <w:szCs w:val="24"/>
        </w:rPr>
        <w:t>2</w:t>
      </w:r>
      <w:r w:rsidR="00126037">
        <w:rPr>
          <w:b/>
          <w:sz w:val="24"/>
          <w:szCs w:val="24"/>
        </w:rPr>
        <w:t>2 July</w:t>
      </w:r>
      <w:r w:rsidR="004B4306">
        <w:rPr>
          <w:b/>
          <w:sz w:val="24"/>
          <w:szCs w:val="24"/>
        </w:rPr>
        <w:t xml:space="preserve"> 2020</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727EA699"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bookmarkStart w:id="0" w:name="_GoBack"/>
      <w:bookmarkEnd w:id="0"/>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w:t>
      </w:r>
      <w:r w:rsidR="0094683A">
        <w:rPr>
          <w:sz w:val="24"/>
          <w:szCs w:val="24"/>
        </w:rPr>
        <w:t xml:space="preserve">, </w:t>
      </w:r>
      <w:r w:rsidR="00D6788E">
        <w:rPr>
          <w:sz w:val="24"/>
          <w:szCs w:val="24"/>
        </w:rPr>
        <w:t xml:space="preserve">Ian Power, </w:t>
      </w:r>
      <w:r w:rsidR="004B4306">
        <w:rPr>
          <w:sz w:val="24"/>
          <w:szCs w:val="24"/>
        </w:rPr>
        <w:t>Nicola Walshe, Tina Leonard</w:t>
      </w:r>
      <w:r w:rsidR="00556626">
        <w:rPr>
          <w:sz w:val="24"/>
          <w:szCs w:val="24"/>
        </w:rPr>
        <w:t xml:space="preserve">, </w:t>
      </w:r>
      <w:proofErr w:type="spellStart"/>
      <w:r w:rsidR="00556626">
        <w:rPr>
          <w:sz w:val="24"/>
          <w:szCs w:val="24"/>
        </w:rPr>
        <w:t>Cearbhall</w:t>
      </w:r>
      <w:proofErr w:type="spellEnd"/>
      <w:r w:rsidR="00556626">
        <w:rPr>
          <w:sz w:val="24"/>
          <w:szCs w:val="24"/>
        </w:rPr>
        <w:t xml:space="preserve"> O </w:t>
      </w:r>
      <w:proofErr w:type="spellStart"/>
      <w:r w:rsidR="00556626">
        <w:rPr>
          <w:sz w:val="24"/>
          <w:szCs w:val="24"/>
        </w:rPr>
        <w:t>Meadhra</w:t>
      </w:r>
      <w:proofErr w:type="spellEnd"/>
      <w:r w:rsidR="00556626">
        <w:rPr>
          <w:sz w:val="24"/>
          <w:szCs w:val="24"/>
        </w:rPr>
        <w:t>, John Saunders</w:t>
      </w:r>
      <w:r w:rsidR="00DC6077">
        <w:rPr>
          <w:sz w:val="24"/>
          <w:szCs w:val="24"/>
        </w:rPr>
        <w:t>, Tim Duggan</w:t>
      </w:r>
    </w:p>
    <w:p w14:paraId="447D4E12" w14:textId="77777777" w:rsidR="004C5F09" w:rsidRDefault="004C5F09" w:rsidP="006B42A1">
      <w:pPr>
        <w:rPr>
          <w:sz w:val="24"/>
          <w:szCs w:val="24"/>
        </w:rPr>
      </w:pPr>
    </w:p>
    <w:p w14:paraId="38855F08" w14:textId="39224653"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126037">
        <w:rPr>
          <w:sz w:val="24"/>
          <w:szCs w:val="24"/>
        </w:rPr>
        <w:t>, Niall Mulligan, Mary Higgins</w:t>
      </w:r>
    </w:p>
    <w:p w14:paraId="6F9B8F85" w14:textId="77777777" w:rsidR="00BC5F58" w:rsidRDefault="00BC5F58">
      <w:pPr>
        <w:rPr>
          <w:sz w:val="24"/>
          <w:szCs w:val="24"/>
        </w:rPr>
      </w:pPr>
    </w:p>
    <w:p w14:paraId="3DDDC472" w14:textId="1E55AFCB"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r w:rsidR="00DC6077">
        <w:rPr>
          <w:sz w:val="24"/>
          <w:szCs w:val="24"/>
        </w:rPr>
        <w:t>Susan Shanahan</w:t>
      </w:r>
      <w:r w:rsidR="0094683A">
        <w:rPr>
          <w:sz w:val="24"/>
          <w:szCs w:val="24"/>
        </w:rPr>
        <w:t xml:space="preserve">,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(item</w:t>
      </w:r>
      <w:r w:rsidR="00C0404C">
        <w:rPr>
          <w:sz w:val="24"/>
          <w:szCs w:val="24"/>
        </w:rPr>
        <w:t>s</w:t>
      </w:r>
      <w:r w:rsidR="00A22D5D">
        <w:rPr>
          <w:sz w:val="24"/>
          <w:szCs w:val="24"/>
        </w:rPr>
        <w:t xml:space="preserve"> </w:t>
      </w:r>
      <w:r w:rsidR="00F40379">
        <w:rPr>
          <w:sz w:val="24"/>
          <w:szCs w:val="24"/>
        </w:rPr>
        <w:t>4</w:t>
      </w:r>
      <w:r w:rsidR="00C0404C">
        <w:rPr>
          <w:sz w:val="24"/>
          <w:szCs w:val="24"/>
        </w:rPr>
        <w:t xml:space="preserve"> and 5</w:t>
      </w:r>
      <w:r w:rsidR="00A22D5D">
        <w:rPr>
          <w:sz w:val="24"/>
          <w:szCs w:val="24"/>
        </w:rPr>
        <w:t>)</w:t>
      </w:r>
      <w:r w:rsidR="004B4306">
        <w:rPr>
          <w:sz w:val="24"/>
          <w:szCs w:val="24"/>
        </w:rPr>
        <w:t xml:space="preserve">; </w:t>
      </w:r>
      <w:r w:rsidR="00126037">
        <w:rPr>
          <w:sz w:val="24"/>
          <w:szCs w:val="24"/>
        </w:rPr>
        <w:t>Bridget Casey, Nancy Power, Michelle Kearns</w:t>
      </w:r>
      <w:r w:rsidR="00DC6077">
        <w:rPr>
          <w:sz w:val="24"/>
          <w:szCs w:val="24"/>
        </w:rPr>
        <w:t xml:space="preserve">, </w:t>
      </w:r>
      <w:r w:rsidR="00126037">
        <w:rPr>
          <w:sz w:val="24"/>
          <w:szCs w:val="24"/>
        </w:rPr>
        <w:t>National Traveller</w:t>
      </w:r>
      <w:r w:rsidR="00DC6077">
        <w:rPr>
          <w:sz w:val="24"/>
          <w:szCs w:val="24"/>
        </w:rPr>
        <w:t xml:space="preserve"> MABS</w:t>
      </w:r>
      <w:r w:rsidR="00F40379">
        <w:rPr>
          <w:sz w:val="24"/>
          <w:szCs w:val="24"/>
        </w:rPr>
        <w:t xml:space="preserve"> (item 3</w:t>
      </w:r>
      <w:r w:rsidR="00556626">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4B5B9F65" w:rsidR="0037191C" w:rsidRPr="00F27F25" w:rsidRDefault="004B4306"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194C441D" w:rsidR="00A25066" w:rsidRPr="00F27F25" w:rsidRDefault="004B4306" w:rsidP="00A25066">
            <w:pPr>
              <w:rPr>
                <w:sz w:val="24"/>
                <w:szCs w:val="24"/>
              </w:rPr>
            </w:pPr>
            <w:r>
              <w:rPr>
                <w:sz w:val="24"/>
                <w:szCs w:val="24"/>
              </w:rPr>
              <w:t>1.1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79707C6F" w:rsidR="00081E82" w:rsidRDefault="00081E82" w:rsidP="00126037">
            <w:pPr>
              <w:jc w:val="both"/>
              <w:rPr>
                <w:sz w:val="24"/>
                <w:szCs w:val="24"/>
              </w:rPr>
            </w:pPr>
            <w:r w:rsidRPr="00F27F25">
              <w:rPr>
                <w:i/>
                <w:sz w:val="24"/>
                <w:szCs w:val="24"/>
              </w:rPr>
              <w:t xml:space="preserve">(The minutes of the Board meeting held on </w:t>
            </w:r>
            <w:r>
              <w:rPr>
                <w:i/>
                <w:sz w:val="24"/>
                <w:szCs w:val="24"/>
              </w:rPr>
              <w:t xml:space="preserve">Wednesday, </w:t>
            </w:r>
            <w:r w:rsidR="00F40379">
              <w:rPr>
                <w:i/>
                <w:sz w:val="24"/>
                <w:szCs w:val="24"/>
              </w:rPr>
              <w:t>2</w:t>
            </w:r>
            <w:r w:rsidR="00126037">
              <w:rPr>
                <w:i/>
                <w:sz w:val="24"/>
                <w:szCs w:val="24"/>
              </w:rPr>
              <w:t>4 June</w:t>
            </w:r>
            <w:r w:rsidR="00280F5C">
              <w:rPr>
                <w:i/>
                <w:sz w:val="24"/>
                <w:szCs w:val="24"/>
              </w:rPr>
              <w:t xml:space="preserve"> 2020</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5251917D" w:rsidR="00081E82" w:rsidRDefault="00081E82" w:rsidP="00126037">
            <w:pPr>
              <w:jc w:val="both"/>
              <w:rPr>
                <w:sz w:val="24"/>
                <w:szCs w:val="24"/>
              </w:rPr>
            </w:pPr>
            <w:r>
              <w:rPr>
                <w:sz w:val="24"/>
                <w:szCs w:val="24"/>
              </w:rPr>
              <w:t xml:space="preserve">The minutes were </w:t>
            </w:r>
            <w:r w:rsidR="0094683A">
              <w:rPr>
                <w:sz w:val="24"/>
                <w:szCs w:val="24"/>
              </w:rPr>
              <w:t xml:space="preserve">proposed by </w:t>
            </w:r>
            <w:r w:rsidR="00126037">
              <w:rPr>
                <w:sz w:val="24"/>
                <w:szCs w:val="24"/>
              </w:rPr>
              <w:t>Ian Power</w:t>
            </w:r>
            <w:r w:rsidR="0094683A">
              <w:rPr>
                <w:sz w:val="24"/>
                <w:szCs w:val="24"/>
              </w:rPr>
              <w:t xml:space="preserve"> and seconded by </w:t>
            </w:r>
            <w:r w:rsidR="00126037">
              <w:rPr>
                <w:sz w:val="24"/>
                <w:szCs w:val="24"/>
              </w:rPr>
              <w:t>Nicola Walshe</w:t>
            </w:r>
            <w:r w:rsidR="0094683A">
              <w:rPr>
                <w:sz w:val="24"/>
                <w:szCs w:val="24"/>
              </w:rPr>
              <w:t>.</w:t>
            </w:r>
          </w:p>
        </w:tc>
      </w:tr>
      <w:tr w:rsidR="004B4306" w:rsidRPr="00DD39EE" w14:paraId="5531E4F1" w14:textId="77777777" w:rsidTr="00D85236">
        <w:tc>
          <w:tcPr>
            <w:tcW w:w="824" w:type="dxa"/>
            <w:tcBorders>
              <w:top w:val="dotted" w:sz="4" w:space="0" w:color="auto"/>
              <w:bottom w:val="dotted" w:sz="4" w:space="0" w:color="auto"/>
            </w:tcBorders>
          </w:tcPr>
          <w:p w14:paraId="644CCD46" w14:textId="655AC406" w:rsidR="004B4306" w:rsidRPr="00321C9F" w:rsidRDefault="00F40379" w:rsidP="00081E82">
            <w:pPr>
              <w:rPr>
                <w:b/>
                <w:sz w:val="24"/>
                <w:szCs w:val="24"/>
              </w:rPr>
            </w:pPr>
            <w:r>
              <w:rPr>
                <w:b/>
                <w:sz w:val="24"/>
                <w:szCs w:val="24"/>
              </w:rPr>
              <w:t>3</w:t>
            </w:r>
          </w:p>
        </w:tc>
        <w:tc>
          <w:tcPr>
            <w:tcW w:w="8192" w:type="dxa"/>
            <w:tcBorders>
              <w:top w:val="dotted" w:sz="4" w:space="0" w:color="auto"/>
              <w:bottom w:val="dotted" w:sz="4" w:space="0" w:color="auto"/>
            </w:tcBorders>
          </w:tcPr>
          <w:p w14:paraId="716BF20E" w14:textId="5A5723DA" w:rsidR="004B4306" w:rsidRPr="00321C9F" w:rsidRDefault="00FB10CA" w:rsidP="00F84A15">
            <w:pPr>
              <w:jc w:val="both"/>
              <w:rPr>
                <w:b/>
                <w:sz w:val="24"/>
                <w:szCs w:val="24"/>
              </w:rPr>
            </w:pPr>
            <w:r>
              <w:rPr>
                <w:b/>
                <w:sz w:val="24"/>
                <w:szCs w:val="24"/>
              </w:rPr>
              <w:t xml:space="preserve">Presentation from </w:t>
            </w:r>
            <w:r w:rsidR="00F84A15">
              <w:rPr>
                <w:b/>
                <w:sz w:val="24"/>
                <w:szCs w:val="24"/>
              </w:rPr>
              <w:t>National Traveller MABS</w:t>
            </w:r>
            <w:r w:rsidR="00476B5D">
              <w:rPr>
                <w:b/>
                <w:sz w:val="24"/>
                <w:szCs w:val="24"/>
              </w:rPr>
              <w:t xml:space="preserve"> </w:t>
            </w:r>
          </w:p>
        </w:tc>
      </w:tr>
      <w:tr w:rsidR="00321C9F" w:rsidRPr="00DD39EE" w14:paraId="21EADF05" w14:textId="77777777" w:rsidTr="00D85236">
        <w:tc>
          <w:tcPr>
            <w:tcW w:w="824" w:type="dxa"/>
            <w:tcBorders>
              <w:top w:val="dotted" w:sz="4" w:space="0" w:color="auto"/>
              <w:bottom w:val="dotted" w:sz="4" w:space="0" w:color="auto"/>
            </w:tcBorders>
          </w:tcPr>
          <w:p w14:paraId="30FACE2C" w14:textId="0DD6146E" w:rsidR="00321C9F" w:rsidRDefault="00F40379" w:rsidP="00081E82">
            <w:pPr>
              <w:rPr>
                <w:sz w:val="24"/>
                <w:szCs w:val="24"/>
              </w:rPr>
            </w:pPr>
            <w:r>
              <w:rPr>
                <w:sz w:val="24"/>
                <w:szCs w:val="24"/>
              </w:rPr>
              <w:t>3.1</w:t>
            </w:r>
          </w:p>
        </w:tc>
        <w:tc>
          <w:tcPr>
            <w:tcW w:w="8192" w:type="dxa"/>
            <w:tcBorders>
              <w:top w:val="dotted" w:sz="4" w:space="0" w:color="auto"/>
              <w:bottom w:val="dotted" w:sz="4" w:space="0" w:color="auto"/>
            </w:tcBorders>
          </w:tcPr>
          <w:p w14:paraId="20C43325" w14:textId="2DB1B05B" w:rsidR="00321C9F" w:rsidRDefault="00F84A15" w:rsidP="00C620BF">
            <w:pPr>
              <w:jc w:val="both"/>
              <w:rPr>
                <w:sz w:val="24"/>
                <w:szCs w:val="24"/>
              </w:rPr>
            </w:pPr>
            <w:r>
              <w:rPr>
                <w:sz w:val="24"/>
                <w:szCs w:val="24"/>
              </w:rPr>
              <w:t>Bridget Casey, Nancy Power and Michelle Kearns</w:t>
            </w:r>
            <w:r w:rsidR="00F40379">
              <w:rPr>
                <w:sz w:val="24"/>
                <w:szCs w:val="24"/>
              </w:rPr>
              <w:t xml:space="preserve"> presented on the work of </w:t>
            </w:r>
            <w:r>
              <w:rPr>
                <w:sz w:val="24"/>
                <w:szCs w:val="24"/>
              </w:rPr>
              <w:t>National Traveller</w:t>
            </w:r>
            <w:r w:rsidR="00C620BF">
              <w:rPr>
                <w:sz w:val="24"/>
                <w:szCs w:val="24"/>
              </w:rPr>
              <w:t xml:space="preserve"> MABS. The three presenters covered a range of topics, including the organisation’s research and activities in relation to affordable accommodation, energy poverty, access to credit and financial inclusion.</w:t>
            </w:r>
          </w:p>
        </w:tc>
      </w:tr>
      <w:tr w:rsidR="003052B2" w:rsidRPr="00DD39EE" w14:paraId="0DEBBA5D" w14:textId="77777777" w:rsidTr="00D85236">
        <w:tc>
          <w:tcPr>
            <w:tcW w:w="824" w:type="dxa"/>
            <w:tcBorders>
              <w:top w:val="dotted" w:sz="4" w:space="0" w:color="auto"/>
              <w:bottom w:val="dotted" w:sz="4" w:space="0" w:color="auto"/>
            </w:tcBorders>
          </w:tcPr>
          <w:p w14:paraId="33B354E1" w14:textId="38791933" w:rsidR="003052B2" w:rsidRPr="003052B2" w:rsidRDefault="00F40379" w:rsidP="00081E82">
            <w:pPr>
              <w:rPr>
                <w:b/>
                <w:sz w:val="24"/>
                <w:szCs w:val="24"/>
              </w:rPr>
            </w:pPr>
            <w:r>
              <w:rPr>
                <w:b/>
                <w:sz w:val="24"/>
                <w:szCs w:val="24"/>
              </w:rPr>
              <w:t>4</w:t>
            </w:r>
          </w:p>
        </w:tc>
        <w:tc>
          <w:tcPr>
            <w:tcW w:w="8192" w:type="dxa"/>
            <w:tcBorders>
              <w:top w:val="dotted" w:sz="4" w:space="0" w:color="auto"/>
              <w:bottom w:val="dotted" w:sz="4" w:space="0" w:color="auto"/>
            </w:tcBorders>
          </w:tcPr>
          <w:p w14:paraId="01CC191A" w14:textId="604DF054" w:rsidR="003052B2" w:rsidRPr="003052B2" w:rsidRDefault="003052B2" w:rsidP="004B4306">
            <w:pPr>
              <w:jc w:val="both"/>
              <w:rPr>
                <w:b/>
                <w:sz w:val="24"/>
                <w:szCs w:val="24"/>
              </w:rPr>
            </w:pPr>
            <w:r w:rsidRPr="003052B2">
              <w:rPr>
                <w:b/>
                <w:sz w:val="24"/>
                <w:szCs w:val="24"/>
              </w:rPr>
              <w:t>Finance Matters</w:t>
            </w:r>
          </w:p>
        </w:tc>
      </w:tr>
      <w:tr w:rsidR="00DD325C" w:rsidRPr="00DD39EE" w14:paraId="2EFEBD7A" w14:textId="77777777" w:rsidTr="00D85236">
        <w:tc>
          <w:tcPr>
            <w:tcW w:w="824" w:type="dxa"/>
            <w:tcBorders>
              <w:top w:val="dotted" w:sz="4" w:space="0" w:color="auto"/>
              <w:bottom w:val="dotted" w:sz="4" w:space="0" w:color="auto"/>
            </w:tcBorders>
          </w:tcPr>
          <w:p w14:paraId="150022F1" w14:textId="4752A358" w:rsidR="00DD325C" w:rsidRDefault="008C683C" w:rsidP="00081E82">
            <w:pPr>
              <w:rPr>
                <w:sz w:val="24"/>
                <w:szCs w:val="24"/>
              </w:rPr>
            </w:pPr>
            <w:r>
              <w:rPr>
                <w:sz w:val="24"/>
                <w:szCs w:val="24"/>
              </w:rPr>
              <w:t>4</w:t>
            </w:r>
            <w:r w:rsidR="003052B2">
              <w:rPr>
                <w:sz w:val="24"/>
                <w:szCs w:val="24"/>
              </w:rPr>
              <w:t>.1</w:t>
            </w:r>
          </w:p>
        </w:tc>
        <w:tc>
          <w:tcPr>
            <w:tcW w:w="8192" w:type="dxa"/>
            <w:tcBorders>
              <w:top w:val="dotted" w:sz="4" w:space="0" w:color="auto"/>
              <w:bottom w:val="dotted" w:sz="4" w:space="0" w:color="auto"/>
            </w:tcBorders>
          </w:tcPr>
          <w:p w14:paraId="41492AE0" w14:textId="31CBCF06" w:rsidR="00DD325C" w:rsidRPr="003052B2" w:rsidRDefault="003052B2" w:rsidP="00B77AA7">
            <w:pPr>
              <w:jc w:val="both"/>
              <w:rPr>
                <w:sz w:val="24"/>
                <w:szCs w:val="24"/>
                <w:u w:val="single"/>
              </w:rPr>
            </w:pPr>
            <w:r w:rsidRPr="003052B2">
              <w:rPr>
                <w:sz w:val="24"/>
                <w:szCs w:val="24"/>
                <w:u w:val="single"/>
              </w:rPr>
              <w:t>Budget Monitoring</w:t>
            </w:r>
          </w:p>
        </w:tc>
      </w:tr>
      <w:tr w:rsidR="00DD325C" w:rsidRPr="00DD39EE" w14:paraId="52E42C75" w14:textId="77777777" w:rsidTr="00D85236">
        <w:tc>
          <w:tcPr>
            <w:tcW w:w="824" w:type="dxa"/>
            <w:tcBorders>
              <w:top w:val="dotted" w:sz="4" w:space="0" w:color="auto"/>
              <w:bottom w:val="dotted" w:sz="4" w:space="0" w:color="auto"/>
            </w:tcBorders>
          </w:tcPr>
          <w:p w14:paraId="3E92BF70" w14:textId="78A18032" w:rsidR="00DD325C" w:rsidRDefault="008C683C" w:rsidP="00081E82">
            <w:pPr>
              <w:rPr>
                <w:sz w:val="24"/>
                <w:szCs w:val="24"/>
              </w:rPr>
            </w:pPr>
            <w:r>
              <w:rPr>
                <w:sz w:val="24"/>
                <w:szCs w:val="24"/>
              </w:rPr>
              <w:t>4</w:t>
            </w:r>
            <w:r w:rsidR="003052B2">
              <w:rPr>
                <w:sz w:val="24"/>
                <w:szCs w:val="24"/>
              </w:rPr>
              <w:t>.1.1</w:t>
            </w:r>
          </w:p>
        </w:tc>
        <w:tc>
          <w:tcPr>
            <w:tcW w:w="8192" w:type="dxa"/>
            <w:tcBorders>
              <w:top w:val="dotted" w:sz="4" w:space="0" w:color="auto"/>
              <w:bottom w:val="dotted" w:sz="4" w:space="0" w:color="auto"/>
            </w:tcBorders>
          </w:tcPr>
          <w:p w14:paraId="1EC6FCFD" w14:textId="2F322B1D" w:rsidR="00DD325C" w:rsidRDefault="00B77AA7" w:rsidP="00F84A15">
            <w:pPr>
              <w:jc w:val="both"/>
              <w:rPr>
                <w:sz w:val="24"/>
                <w:szCs w:val="24"/>
              </w:rPr>
            </w:pPr>
            <w:r>
              <w:rPr>
                <w:sz w:val="24"/>
                <w:szCs w:val="24"/>
              </w:rPr>
              <w:t xml:space="preserve">The Budget Monitoring Report for </w:t>
            </w:r>
            <w:r w:rsidR="00F84A15">
              <w:rPr>
                <w:sz w:val="24"/>
                <w:szCs w:val="24"/>
              </w:rPr>
              <w:t>June</w:t>
            </w:r>
            <w:r w:rsidR="003217BD">
              <w:rPr>
                <w:sz w:val="24"/>
                <w:szCs w:val="24"/>
              </w:rPr>
              <w:t xml:space="preserve"> 2020</w:t>
            </w:r>
            <w:r>
              <w:rPr>
                <w:sz w:val="24"/>
                <w:szCs w:val="24"/>
              </w:rPr>
              <w:t xml:space="preserve"> showed overall excess of</w:t>
            </w:r>
            <w:r w:rsidR="003217BD">
              <w:rPr>
                <w:sz w:val="24"/>
                <w:szCs w:val="24"/>
              </w:rPr>
              <w:t xml:space="preserve"> i</w:t>
            </w:r>
            <w:r w:rsidR="00137059">
              <w:rPr>
                <w:sz w:val="24"/>
                <w:szCs w:val="24"/>
              </w:rPr>
              <w:t xml:space="preserve">ncome </w:t>
            </w:r>
            <w:r w:rsidR="00F84A15">
              <w:rPr>
                <w:sz w:val="24"/>
                <w:szCs w:val="24"/>
              </w:rPr>
              <w:t>over expenditure of €1.589</w:t>
            </w:r>
            <w:r w:rsidR="003217BD">
              <w:rPr>
                <w:sz w:val="24"/>
                <w:szCs w:val="24"/>
              </w:rPr>
              <w:t>m</w:t>
            </w:r>
            <w:r w:rsidR="00137059">
              <w:rPr>
                <w:sz w:val="24"/>
                <w:szCs w:val="24"/>
              </w:rPr>
              <w:t xml:space="preserve"> at this point in time</w:t>
            </w:r>
            <w:r>
              <w:rPr>
                <w:sz w:val="24"/>
                <w:szCs w:val="24"/>
              </w:rPr>
              <w:t xml:space="preserve">. This surplus </w:t>
            </w:r>
            <w:r w:rsidR="003217BD">
              <w:rPr>
                <w:sz w:val="24"/>
                <w:szCs w:val="24"/>
              </w:rPr>
              <w:t xml:space="preserve">relates </w:t>
            </w:r>
            <w:r w:rsidR="00137059">
              <w:rPr>
                <w:sz w:val="24"/>
                <w:szCs w:val="24"/>
              </w:rPr>
              <w:t>to a number of different budget headings</w:t>
            </w:r>
            <w:r>
              <w:rPr>
                <w:sz w:val="24"/>
                <w:szCs w:val="24"/>
              </w:rPr>
              <w:t>.</w:t>
            </w:r>
          </w:p>
        </w:tc>
      </w:tr>
      <w:tr w:rsidR="00DD325C" w:rsidRPr="00DD39EE" w14:paraId="6303BF70" w14:textId="77777777" w:rsidTr="00D85236">
        <w:tc>
          <w:tcPr>
            <w:tcW w:w="824" w:type="dxa"/>
            <w:tcBorders>
              <w:top w:val="dotted" w:sz="4" w:space="0" w:color="auto"/>
              <w:bottom w:val="dotted" w:sz="4" w:space="0" w:color="auto"/>
            </w:tcBorders>
          </w:tcPr>
          <w:p w14:paraId="72D2969B" w14:textId="6DCA429C" w:rsidR="00DD325C" w:rsidRDefault="008C683C" w:rsidP="00081E82">
            <w:pPr>
              <w:rPr>
                <w:sz w:val="24"/>
                <w:szCs w:val="24"/>
              </w:rPr>
            </w:pPr>
            <w:r>
              <w:rPr>
                <w:sz w:val="24"/>
                <w:szCs w:val="24"/>
              </w:rPr>
              <w:t>4</w:t>
            </w:r>
            <w:r w:rsidR="00B77AA7">
              <w:rPr>
                <w:sz w:val="24"/>
                <w:szCs w:val="24"/>
              </w:rPr>
              <w:t>.2</w:t>
            </w:r>
          </w:p>
        </w:tc>
        <w:tc>
          <w:tcPr>
            <w:tcW w:w="8192" w:type="dxa"/>
            <w:tcBorders>
              <w:top w:val="dotted" w:sz="4" w:space="0" w:color="auto"/>
              <w:bottom w:val="dotted" w:sz="4" w:space="0" w:color="auto"/>
            </w:tcBorders>
          </w:tcPr>
          <w:p w14:paraId="13E8BF68" w14:textId="1589DF5E" w:rsidR="00DD325C" w:rsidRPr="00B77AA7" w:rsidRDefault="00B77AA7" w:rsidP="004B4306">
            <w:pPr>
              <w:jc w:val="both"/>
              <w:rPr>
                <w:sz w:val="24"/>
                <w:szCs w:val="24"/>
                <w:u w:val="single"/>
              </w:rPr>
            </w:pPr>
            <w:r w:rsidRPr="00B77AA7">
              <w:rPr>
                <w:sz w:val="24"/>
                <w:szCs w:val="24"/>
                <w:u w:val="single"/>
              </w:rPr>
              <w:t>Risk Management</w:t>
            </w:r>
          </w:p>
        </w:tc>
      </w:tr>
      <w:tr w:rsidR="00DD325C" w:rsidRPr="00DD39EE" w14:paraId="5CC146AD" w14:textId="77777777" w:rsidTr="00D85236">
        <w:tc>
          <w:tcPr>
            <w:tcW w:w="824" w:type="dxa"/>
            <w:tcBorders>
              <w:top w:val="dotted" w:sz="4" w:space="0" w:color="auto"/>
              <w:bottom w:val="dotted" w:sz="4" w:space="0" w:color="auto"/>
            </w:tcBorders>
          </w:tcPr>
          <w:p w14:paraId="1F0C143B" w14:textId="73C8EC50" w:rsidR="00DD325C" w:rsidRDefault="00901A9E" w:rsidP="00081E82">
            <w:pPr>
              <w:rPr>
                <w:sz w:val="24"/>
                <w:szCs w:val="24"/>
              </w:rPr>
            </w:pPr>
            <w:r>
              <w:rPr>
                <w:sz w:val="24"/>
                <w:szCs w:val="24"/>
              </w:rPr>
              <w:t>4.2.1</w:t>
            </w:r>
          </w:p>
        </w:tc>
        <w:tc>
          <w:tcPr>
            <w:tcW w:w="8192" w:type="dxa"/>
            <w:tcBorders>
              <w:top w:val="dotted" w:sz="4" w:space="0" w:color="auto"/>
              <w:bottom w:val="dotted" w:sz="4" w:space="0" w:color="auto"/>
            </w:tcBorders>
          </w:tcPr>
          <w:p w14:paraId="2D70D5A8" w14:textId="6271A550" w:rsidR="00DD325C" w:rsidRDefault="00E22F9B" w:rsidP="005225AA">
            <w:pPr>
              <w:jc w:val="both"/>
              <w:rPr>
                <w:sz w:val="24"/>
                <w:szCs w:val="24"/>
              </w:rPr>
            </w:pPr>
            <w:r>
              <w:rPr>
                <w:sz w:val="24"/>
                <w:szCs w:val="24"/>
              </w:rPr>
              <w:t>No update was required in relation to risk management.</w:t>
            </w:r>
          </w:p>
        </w:tc>
      </w:tr>
      <w:tr w:rsidR="00E22F9B" w:rsidRPr="00DD39EE" w14:paraId="3763E97F" w14:textId="77777777" w:rsidTr="00D85236">
        <w:tc>
          <w:tcPr>
            <w:tcW w:w="824" w:type="dxa"/>
            <w:tcBorders>
              <w:top w:val="dotted" w:sz="4" w:space="0" w:color="auto"/>
              <w:bottom w:val="dotted" w:sz="4" w:space="0" w:color="auto"/>
            </w:tcBorders>
          </w:tcPr>
          <w:p w14:paraId="65928A9A" w14:textId="0B8BB691" w:rsidR="00E22F9B" w:rsidRDefault="00E22F9B" w:rsidP="00081E82">
            <w:pPr>
              <w:rPr>
                <w:sz w:val="24"/>
                <w:szCs w:val="24"/>
              </w:rPr>
            </w:pPr>
            <w:r>
              <w:rPr>
                <w:sz w:val="24"/>
                <w:szCs w:val="24"/>
              </w:rPr>
              <w:t>4.3</w:t>
            </w:r>
          </w:p>
        </w:tc>
        <w:tc>
          <w:tcPr>
            <w:tcW w:w="8192" w:type="dxa"/>
            <w:tcBorders>
              <w:top w:val="dotted" w:sz="4" w:space="0" w:color="auto"/>
              <w:bottom w:val="dotted" w:sz="4" w:space="0" w:color="auto"/>
            </w:tcBorders>
          </w:tcPr>
          <w:p w14:paraId="41DC3181" w14:textId="4F72CFBF" w:rsidR="00E22F9B" w:rsidRPr="00E22F9B" w:rsidRDefault="00E22F9B" w:rsidP="005225AA">
            <w:pPr>
              <w:jc w:val="both"/>
              <w:rPr>
                <w:sz w:val="24"/>
                <w:szCs w:val="24"/>
                <w:u w:val="single"/>
              </w:rPr>
            </w:pPr>
            <w:r w:rsidRPr="00E22F9B">
              <w:rPr>
                <w:sz w:val="24"/>
                <w:szCs w:val="24"/>
                <w:u w:val="single"/>
              </w:rPr>
              <w:t>Estimates: Mid-Year Review 2020</w:t>
            </w:r>
          </w:p>
        </w:tc>
      </w:tr>
      <w:tr w:rsidR="00E22F9B" w:rsidRPr="00DD39EE" w14:paraId="1F0E4527" w14:textId="77777777" w:rsidTr="00D85236">
        <w:tc>
          <w:tcPr>
            <w:tcW w:w="824" w:type="dxa"/>
            <w:tcBorders>
              <w:top w:val="dotted" w:sz="4" w:space="0" w:color="auto"/>
              <w:bottom w:val="dotted" w:sz="4" w:space="0" w:color="auto"/>
            </w:tcBorders>
          </w:tcPr>
          <w:p w14:paraId="6D7D9EE6" w14:textId="43B57090" w:rsidR="00E22F9B" w:rsidRDefault="00E22F9B" w:rsidP="00081E82">
            <w:pPr>
              <w:rPr>
                <w:sz w:val="24"/>
                <w:szCs w:val="24"/>
              </w:rPr>
            </w:pPr>
            <w:r>
              <w:rPr>
                <w:sz w:val="24"/>
                <w:szCs w:val="24"/>
              </w:rPr>
              <w:t>4.3.1</w:t>
            </w:r>
          </w:p>
        </w:tc>
        <w:tc>
          <w:tcPr>
            <w:tcW w:w="8192" w:type="dxa"/>
            <w:tcBorders>
              <w:top w:val="dotted" w:sz="4" w:space="0" w:color="auto"/>
              <w:bottom w:val="dotted" w:sz="4" w:space="0" w:color="auto"/>
            </w:tcBorders>
          </w:tcPr>
          <w:p w14:paraId="0745E27B" w14:textId="713AA51E" w:rsidR="00E22F9B" w:rsidRDefault="00C620BF" w:rsidP="00C620BF">
            <w:pPr>
              <w:jc w:val="both"/>
              <w:rPr>
                <w:sz w:val="24"/>
                <w:szCs w:val="24"/>
              </w:rPr>
            </w:pPr>
            <w:r>
              <w:rPr>
                <w:sz w:val="24"/>
                <w:szCs w:val="24"/>
              </w:rPr>
              <w:t xml:space="preserve">Overall, total expenditure to the end of 2020 is estimated at €59.6m, some €2.45m under the </w:t>
            </w:r>
            <w:r w:rsidR="006D0B5A">
              <w:rPr>
                <w:sz w:val="24"/>
                <w:szCs w:val="24"/>
              </w:rPr>
              <w:t xml:space="preserve">original </w:t>
            </w:r>
            <w:r>
              <w:rPr>
                <w:sz w:val="24"/>
                <w:szCs w:val="24"/>
              </w:rPr>
              <w:t xml:space="preserve">budgeted figure. Areas with a projected underspend include Citizens Information, </w:t>
            </w:r>
            <w:proofErr w:type="spellStart"/>
            <w:r>
              <w:rPr>
                <w:sz w:val="24"/>
                <w:szCs w:val="24"/>
              </w:rPr>
              <w:t>Abhaile</w:t>
            </w:r>
            <w:proofErr w:type="spellEnd"/>
            <w:r>
              <w:rPr>
                <w:sz w:val="24"/>
                <w:szCs w:val="24"/>
              </w:rPr>
              <w:t xml:space="preserve"> and Advocacy. </w:t>
            </w:r>
            <w:r w:rsidR="00631951">
              <w:rPr>
                <w:sz w:val="24"/>
                <w:szCs w:val="24"/>
              </w:rPr>
              <w:t>The request</w:t>
            </w:r>
            <w:r>
              <w:rPr>
                <w:sz w:val="24"/>
                <w:szCs w:val="24"/>
              </w:rPr>
              <w:t xml:space="preserve"> to re-profile the 2020 budget based on the mid-year review and to submit the mid-year review to the Department of Employment Affairs and Social Protection (DEASP)</w:t>
            </w:r>
            <w:r w:rsidR="00631951">
              <w:rPr>
                <w:sz w:val="24"/>
                <w:szCs w:val="24"/>
              </w:rPr>
              <w:t xml:space="preserve"> was proposed by Ian Power and seconded by John Saunders</w:t>
            </w:r>
            <w:r>
              <w:rPr>
                <w:sz w:val="24"/>
                <w:szCs w:val="24"/>
              </w:rPr>
              <w:t>.</w:t>
            </w:r>
          </w:p>
        </w:tc>
      </w:tr>
      <w:tr w:rsidR="00E22F9B" w:rsidRPr="00DD39EE" w14:paraId="2F51E144" w14:textId="77777777" w:rsidTr="00D85236">
        <w:tc>
          <w:tcPr>
            <w:tcW w:w="824" w:type="dxa"/>
            <w:tcBorders>
              <w:top w:val="dotted" w:sz="4" w:space="0" w:color="auto"/>
              <w:bottom w:val="dotted" w:sz="4" w:space="0" w:color="auto"/>
            </w:tcBorders>
          </w:tcPr>
          <w:p w14:paraId="01EB630A" w14:textId="6D898AC6" w:rsidR="00E22F9B" w:rsidRDefault="00E22F9B" w:rsidP="00081E82">
            <w:pPr>
              <w:rPr>
                <w:sz w:val="24"/>
                <w:szCs w:val="24"/>
              </w:rPr>
            </w:pPr>
            <w:r>
              <w:rPr>
                <w:sz w:val="24"/>
                <w:szCs w:val="24"/>
              </w:rPr>
              <w:t>4.4</w:t>
            </w:r>
          </w:p>
        </w:tc>
        <w:tc>
          <w:tcPr>
            <w:tcW w:w="8192" w:type="dxa"/>
            <w:tcBorders>
              <w:top w:val="dotted" w:sz="4" w:space="0" w:color="auto"/>
              <w:bottom w:val="dotted" w:sz="4" w:space="0" w:color="auto"/>
            </w:tcBorders>
          </w:tcPr>
          <w:p w14:paraId="3E431A39" w14:textId="5CD6C26B" w:rsidR="00E22F9B" w:rsidRPr="00E22F9B" w:rsidRDefault="00E22F9B" w:rsidP="005225AA">
            <w:pPr>
              <w:jc w:val="both"/>
              <w:rPr>
                <w:sz w:val="24"/>
                <w:szCs w:val="24"/>
                <w:u w:val="single"/>
              </w:rPr>
            </w:pPr>
            <w:r w:rsidRPr="00E22F9B">
              <w:rPr>
                <w:sz w:val="24"/>
                <w:szCs w:val="24"/>
                <w:u w:val="single"/>
              </w:rPr>
              <w:t>Estimates: Budget 2021</w:t>
            </w:r>
          </w:p>
        </w:tc>
      </w:tr>
      <w:tr w:rsidR="00E22F9B" w:rsidRPr="00DD39EE" w14:paraId="2538ED2E" w14:textId="77777777" w:rsidTr="00D85236">
        <w:tc>
          <w:tcPr>
            <w:tcW w:w="824" w:type="dxa"/>
            <w:tcBorders>
              <w:top w:val="dotted" w:sz="4" w:space="0" w:color="auto"/>
              <w:bottom w:val="dotted" w:sz="4" w:space="0" w:color="auto"/>
            </w:tcBorders>
          </w:tcPr>
          <w:p w14:paraId="3D4178C2" w14:textId="7F3429D0" w:rsidR="00E22F9B" w:rsidRDefault="00E22F9B" w:rsidP="00081E82">
            <w:pPr>
              <w:rPr>
                <w:sz w:val="24"/>
                <w:szCs w:val="24"/>
              </w:rPr>
            </w:pPr>
            <w:r>
              <w:rPr>
                <w:sz w:val="24"/>
                <w:szCs w:val="24"/>
              </w:rPr>
              <w:lastRenderedPageBreak/>
              <w:t>4.4.1</w:t>
            </w:r>
          </w:p>
        </w:tc>
        <w:tc>
          <w:tcPr>
            <w:tcW w:w="8192" w:type="dxa"/>
            <w:tcBorders>
              <w:top w:val="dotted" w:sz="4" w:space="0" w:color="auto"/>
              <w:bottom w:val="dotted" w:sz="4" w:space="0" w:color="auto"/>
            </w:tcBorders>
          </w:tcPr>
          <w:p w14:paraId="13C26F6A" w14:textId="3D6768E0" w:rsidR="00E22F9B" w:rsidRDefault="00631951" w:rsidP="0009531E">
            <w:pPr>
              <w:jc w:val="both"/>
              <w:rPr>
                <w:sz w:val="24"/>
                <w:szCs w:val="24"/>
              </w:rPr>
            </w:pPr>
            <w:r>
              <w:rPr>
                <w:sz w:val="24"/>
                <w:szCs w:val="24"/>
              </w:rPr>
              <w:t>For 2021,</w:t>
            </w:r>
            <w:r w:rsidR="0009531E">
              <w:rPr>
                <w:sz w:val="24"/>
                <w:szCs w:val="24"/>
              </w:rPr>
              <w:t xml:space="preserve"> expenditure is estimated at €62.63</w:t>
            </w:r>
            <w:r>
              <w:rPr>
                <w:sz w:val="24"/>
                <w:szCs w:val="24"/>
              </w:rPr>
              <w:t>m</w:t>
            </w:r>
            <w:r w:rsidR="0009531E">
              <w:rPr>
                <w:sz w:val="24"/>
                <w:szCs w:val="24"/>
              </w:rPr>
              <w:t>. No service development budget is being proposed for 2021. The request to submit the estimates to DEASP was proposed by Mary Doyle and seconded by Tina Leonard.</w:t>
            </w:r>
          </w:p>
        </w:tc>
      </w:tr>
      <w:tr w:rsidR="004A5FE3" w:rsidRPr="00DD39EE" w14:paraId="70ADEFA5" w14:textId="77777777" w:rsidTr="00D85236">
        <w:tc>
          <w:tcPr>
            <w:tcW w:w="824" w:type="dxa"/>
            <w:tcBorders>
              <w:top w:val="dotted" w:sz="4" w:space="0" w:color="auto"/>
              <w:bottom w:val="dotted" w:sz="4" w:space="0" w:color="auto"/>
            </w:tcBorders>
          </w:tcPr>
          <w:p w14:paraId="79417270" w14:textId="69EF2379" w:rsidR="004A5FE3" w:rsidRPr="00681A4F" w:rsidRDefault="00901A9E" w:rsidP="00081E82">
            <w:pPr>
              <w:rPr>
                <w:b/>
                <w:sz w:val="24"/>
                <w:szCs w:val="24"/>
              </w:rPr>
            </w:pPr>
            <w:r>
              <w:rPr>
                <w:b/>
                <w:sz w:val="24"/>
                <w:szCs w:val="24"/>
              </w:rPr>
              <w:t>5</w:t>
            </w:r>
          </w:p>
        </w:tc>
        <w:tc>
          <w:tcPr>
            <w:tcW w:w="8192" w:type="dxa"/>
            <w:tcBorders>
              <w:top w:val="dotted" w:sz="4" w:space="0" w:color="auto"/>
              <w:bottom w:val="dotted" w:sz="4" w:space="0" w:color="auto"/>
            </w:tcBorders>
          </w:tcPr>
          <w:p w14:paraId="5ED01B23" w14:textId="4BEB549B" w:rsidR="004A5FE3" w:rsidRPr="00923A7B" w:rsidRDefault="004A5FE3" w:rsidP="004C437A">
            <w:pPr>
              <w:jc w:val="both"/>
              <w:rPr>
                <w:b/>
                <w:sz w:val="24"/>
                <w:szCs w:val="24"/>
              </w:rPr>
            </w:pPr>
            <w:r w:rsidRPr="00923A7B">
              <w:rPr>
                <w:b/>
                <w:sz w:val="24"/>
                <w:szCs w:val="24"/>
              </w:rPr>
              <w:t>Committee Reports</w:t>
            </w:r>
          </w:p>
        </w:tc>
      </w:tr>
      <w:tr w:rsidR="004A5FE3" w:rsidRPr="00DD39EE" w14:paraId="38B13F22" w14:textId="77777777" w:rsidTr="00D85236">
        <w:tc>
          <w:tcPr>
            <w:tcW w:w="824" w:type="dxa"/>
            <w:tcBorders>
              <w:top w:val="dotted" w:sz="4" w:space="0" w:color="auto"/>
              <w:bottom w:val="dotted" w:sz="4" w:space="0" w:color="auto"/>
            </w:tcBorders>
          </w:tcPr>
          <w:p w14:paraId="062E0352" w14:textId="7C3EF4CC" w:rsidR="004A5FE3" w:rsidRDefault="00901A9E" w:rsidP="00081E82">
            <w:pPr>
              <w:rPr>
                <w:sz w:val="24"/>
                <w:szCs w:val="24"/>
              </w:rPr>
            </w:pPr>
            <w:r>
              <w:rPr>
                <w:sz w:val="24"/>
                <w:szCs w:val="24"/>
              </w:rPr>
              <w:t>5</w:t>
            </w:r>
            <w:r w:rsidR="00923A7B">
              <w:rPr>
                <w:sz w:val="24"/>
                <w:szCs w:val="24"/>
              </w:rPr>
              <w:t>.1</w:t>
            </w:r>
          </w:p>
        </w:tc>
        <w:tc>
          <w:tcPr>
            <w:tcW w:w="8192" w:type="dxa"/>
            <w:tcBorders>
              <w:top w:val="dotted" w:sz="4" w:space="0" w:color="auto"/>
              <w:bottom w:val="dotted" w:sz="4" w:space="0" w:color="auto"/>
            </w:tcBorders>
          </w:tcPr>
          <w:p w14:paraId="2E421876" w14:textId="21C00807" w:rsidR="004A5FE3" w:rsidRPr="00923A7B" w:rsidRDefault="00B574CB" w:rsidP="004C437A">
            <w:pPr>
              <w:jc w:val="both"/>
              <w:rPr>
                <w:sz w:val="24"/>
                <w:szCs w:val="24"/>
                <w:u w:val="single"/>
              </w:rPr>
            </w:pPr>
            <w:r>
              <w:rPr>
                <w:sz w:val="24"/>
                <w:szCs w:val="24"/>
                <w:u w:val="single"/>
              </w:rPr>
              <w:t>Finance</w:t>
            </w:r>
            <w:r w:rsidR="004A5FE3" w:rsidRPr="00923A7B">
              <w:rPr>
                <w:sz w:val="24"/>
                <w:szCs w:val="24"/>
                <w:u w:val="single"/>
              </w:rPr>
              <w:t xml:space="preserve"> Committee</w:t>
            </w:r>
          </w:p>
        </w:tc>
      </w:tr>
      <w:tr w:rsidR="004A5FE3" w:rsidRPr="00DD39EE" w14:paraId="73450C96" w14:textId="77777777" w:rsidTr="00D85236">
        <w:tc>
          <w:tcPr>
            <w:tcW w:w="824" w:type="dxa"/>
            <w:tcBorders>
              <w:top w:val="dotted" w:sz="4" w:space="0" w:color="auto"/>
              <w:bottom w:val="dotted" w:sz="4" w:space="0" w:color="auto"/>
            </w:tcBorders>
          </w:tcPr>
          <w:p w14:paraId="5370D4CE" w14:textId="2B26E348" w:rsidR="004A5FE3" w:rsidRDefault="00901A9E" w:rsidP="00081E82">
            <w:pPr>
              <w:rPr>
                <w:sz w:val="24"/>
                <w:szCs w:val="24"/>
              </w:rPr>
            </w:pPr>
            <w:r>
              <w:rPr>
                <w:sz w:val="24"/>
                <w:szCs w:val="24"/>
              </w:rPr>
              <w:t>5</w:t>
            </w:r>
            <w:r w:rsidR="00923A7B">
              <w:rPr>
                <w:sz w:val="24"/>
                <w:szCs w:val="24"/>
              </w:rPr>
              <w:t>.1.1</w:t>
            </w:r>
          </w:p>
        </w:tc>
        <w:tc>
          <w:tcPr>
            <w:tcW w:w="8192" w:type="dxa"/>
            <w:tcBorders>
              <w:top w:val="dotted" w:sz="4" w:space="0" w:color="auto"/>
              <w:bottom w:val="dotted" w:sz="4" w:space="0" w:color="auto"/>
            </w:tcBorders>
          </w:tcPr>
          <w:p w14:paraId="66A3DC68" w14:textId="77777777" w:rsidR="006D0B5A" w:rsidRDefault="004A5FE3" w:rsidP="006F49AF">
            <w:pPr>
              <w:jc w:val="both"/>
              <w:rPr>
                <w:sz w:val="24"/>
                <w:szCs w:val="24"/>
              </w:rPr>
            </w:pPr>
            <w:r>
              <w:rPr>
                <w:sz w:val="24"/>
                <w:szCs w:val="24"/>
              </w:rPr>
              <w:t>T</w:t>
            </w:r>
            <w:r w:rsidR="00F23CE3">
              <w:rPr>
                <w:sz w:val="24"/>
                <w:szCs w:val="24"/>
              </w:rPr>
              <w:t>he C</w:t>
            </w:r>
            <w:r w:rsidR="00432D37">
              <w:rPr>
                <w:sz w:val="24"/>
                <w:szCs w:val="24"/>
              </w:rPr>
              <w:t xml:space="preserve">ommittee met on </w:t>
            </w:r>
            <w:r w:rsidR="00B574CB" w:rsidRPr="00F23CE3">
              <w:rPr>
                <w:sz w:val="24"/>
                <w:szCs w:val="24"/>
              </w:rPr>
              <w:t>8 July</w:t>
            </w:r>
            <w:r w:rsidR="00432D37" w:rsidRPr="00F23CE3">
              <w:rPr>
                <w:sz w:val="24"/>
                <w:szCs w:val="24"/>
              </w:rPr>
              <w:t xml:space="preserve"> 2020. It</w:t>
            </w:r>
            <w:r w:rsidR="00432D37">
              <w:rPr>
                <w:sz w:val="24"/>
                <w:szCs w:val="24"/>
              </w:rPr>
              <w:t xml:space="preserve"> </w:t>
            </w:r>
            <w:r w:rsidR="00F23CE3">
              <w:rPr>
                <w:sz w:val="24"/>
                <w:szCs w:val="24"/>
              </w:rPr>
              <w:t>discussed the Budget Monitoring Report, along with the mid-year review and the estimates for 2021</w:t>
            </w:r>
            <w:r w:rsidR="0021185A">
              <w:rPr>
                <w:sz w:val="24"/>
                <w:szCs w:val="24"/>
              </w:rPr>
              <w:t>.</w:t>
            </w:r>
            <w:r w:rsidR="00F23CE3">
              <w:rPr>
                <w:sz w:val="24"/>
                <w:szCs w:val="24"/>
              </w:rPr>
              <w:t xml:space="preserve"> The Committee requested that the Executive assess the impact of Covid-19 developments on the 2020 budget. The Executive was also requested to highlight budget lines in future reports which are dependent on external authorisation, and to put in place scenario planning for 2021. </w:t>
            </w:r>
          </w:p>
          <w:p w14:paraId="09FC9D1F" w14:textId="77777777" w:rsidR="006D0B5A" w:rsidRDefault="006D0B5A" w:rsidP="006F49AF">
            <w:pPr>
              <w:jc w:val="both"/>
              <w:rPr>
                <w:sz w:val="24"/>
                <w:szCs w:val="24"/>
              </w:rPr>
            </w:pPr>
          </w:p>
          <w:p w14:paraId="2AA0BB7A" w14:textId="52B4905C" w:rsidR="004A5FE3" w:rsidRDefault="00F23CE3" w:rsidP="001D12C7">
            <w:pPr>
              <w:jc w:val="both"/>
              <w:rPr>
                <w:sz w:val="24"/>
                <w:szCs w:val="24"/>
              </w:rPr>
            </w:pPr>
            <w:r>
              <w:rPr>
                <w:sz w:val="24"/>
                <w:szCs w:val="24"/>
              </w:rPr>
              <w:t xml:space="preserve">Terms of reference for a new Finance and Audit and Risk (FAR) Committee were discussed at the Committee and agreed for </w:t>
            </w:r>
            <w:r w:rsidR="001D12C7">
              <w:rPr>
                <w:sz w:val="24"/>
                <w:szCs w:val="24"/>
              </w:rPr>
              <w:t>presentation</w:t>
            </w:r>
            <w:r>
              <w:rPr>
                <w:sz w:val="24"/>
                <w:szCs w:val="24"/>
              </w:rPr>
              <w:t xml:space="preserve"> to the Board. With minor amendments, the terms of reference were proposed by </w:t>
            </w:r>
            <w:proofErr w:type="spellStart"/>
            <w:r>
              <w:rPr>
                <w:sz w:val="24"/>
                <w:szCs w:val="24"/>
              </w:rPr>
              <w:t>Cearbhall</w:t>
            </w:r>
            <w:proofErr w:type="spellEnd"/>
            <w:r>
              <w:rPr>
                <w:sz w:val="24"/>
                <w:szCs w:val="24"/>
              </w:rPr>
              <w:t xml:space="preserve"> O </w:t>
            </w:r>
            <w:proofErr w:type="spellStart"/>
            <w:r>
              <w:rPr>
                <w:sz w:val="24"/>
                <w:szCs w:val="24"/>
              </w:rPr>
              <w:t>Meadhra</w:t>
            </w:r>
            <w:proofErr w:type="spellEnd"/>
            <w:r>
              <w:rPr>
                <w:sz w:val="24"/>
                <w:szCs w:val="24"/>
              </w:rPr>
              <w:t xml:space="preserve"> and seconded by John Saunders.</w:t>
            </w:r>
            <w:r w:rsidR="006F49AF">
              <w:rPr>
                <w:sz w:val="24"/>
                <w:szCs w:val="24"/>
              </w:rPr>
              <w:t xml:space="preserve"> The Board also agreed that the existing members of the Finance Committee and the Audit and Risk Committee would be appointed to the FAR Committee.</w:t>
            </w:r>
          </w:p>
        </w:tc>
      </w:tr>
      <w:tr w:rsidR="00873958" w:rsidRPr="00DD39EE" w14:paraId="669A1685" w14:textId="77777777" w:rsidTr="00D85236">
        <w:tc>
          <w:tcPr>
            <w:tcW w:w="824" w:type="dxa"/>
            <w:tcBorders>
              <w:top w:val="dotted" w:sz="4" w:space="0" w:color="auto"/>
              <w:bottom w:val="dotted" w:sz="4" w:space="0" w:color="auto"/>
            </w:tcBorders>
          </w:tcPr>
          <w:p w14:paraId="5C57FC89" w14:textId="1ED0067F" w:rsidR="00873958" w:rsidRPr="000D016D" w:rsidRDefault="00873958" w:rsidP="00081E82">
            <w:pPr>
              <w:rPr>
                <w:b/>
                <w:sz w:val="24"/>
                <w:szCs w:val="24"/>
              </w:rPr>
            </w:pPr>
            <w:r w:rsidRPr="000D016D">
              <w:rPr>
                <w:b/>
                <w:sz w:val="24"/>
                <w:szCs w:val="24"/>
              </w:rPr>
              <w:t>6</w:t>
            </w:r>
          </w:p>
        </w:tc>
        <w:tc>
          <w:tcPr>
            <w:tcW w:w="8192" w:type="dxa"/>
            <w:tcBorders>
              <w:top w:val="dotted" w:sz="4" w:space="0" w:color="auto"/>
              <w:bottom w:val="dotted" w:sz="4" w:space="0" w:color="auto"/>
            </w:tcBorders>
          </w:tcPr>
          <w:p w14:paraId="367FF9AC" w14:textId="66E83DC5" w:rsidR="00873958" w:rsidRPr="000D016D" w:rsidRDefault="00873958" w:rsidP="00432D37">
            <w:pPr>
              <w:jc w:val="both"/>
              <w:rPr>
                <w:b/>
                <w:sz w:val="24"/>
                <w:szCs w:val="24"/>
              </w:rPr>
            </w:pPr>
            <w:r w:rsidRPr="000D016D">
              <w:rPr>
                <w:b/>
                <w:sz w:val="24"/>
                <w:szCs w:val="24"/>
              </w:rPr>
              <w:t>Report of the Chief Executive</w:t>
            </w:r>
          </w:p>
        </w:tc>
      </w:tr>
      <w:tr w:rsidR="00873958" w:rsidRPr="00DD39EE" w14:paraId="0FD82F9E" w14:textId="77777777" w:rsidTr="00D85236">
        <w:tc>
          <w:tcPr>
            <w:tcW w:w="824" w:type="dxa"/>
            <w:tcBorders>
              <w:top w:val="dotted" w:sz="4" w:space="0" w:color="auto"/>
              <w:bottom w:val="dotted" w:sz="4" w:space="0" w:color="auto"/>
            </w:tcBorders>
          </w:tcPr>
          <w:p w14:paraId="4A7012CD" w14:textId="39E8E130" w:rsidR="00873958" w:rsidRDefault="00873958" w:rsidP="00081E82">
            <w:pPr>
              <w:rPr>
                <w:sz w:val="24"/>
                <w:szCs w:val="24"/>
              </w:rPr>
            </w:pPr>
            <w:r>
              <w:rPr>
                <w:sz w:val="24"/>
                <w:szCs w:val="24"/>
              </w:rPr>
              <w:t>6.1</w:t>
            </w:r>
          </w:p>
        </w:tc>
        <w:tc>
          <w:tcPr>
            <w:tcW w:w="8192" w:type="dxa"/>
            <w:tcBorders>
              <w:top w:val="dotted" w:sz="4" w:space="0" w:color="auto"/>
              <w:bottom w:val="dotted" w:sz="4" w:space="0" w:color="auto"/>
            </w:tcBorders>
          </w:tcPr>
          <w:p w14:paraId="488E22C1" w14:textId="06BAC9FE" w:rsidR="00873958" w:rsidRDefault="000D016D" w:rsidP="003243F1">
            <w:pPr>
              <w:jc w:val="both"/>
              <w:rPr>
                <w:sz w:val="24"/>
                <w:szCs w:val="24"/>
              </w:rPr>
            </w:pPr>
            <w:r>
              <w:rPr>
                <w:sz w:val="24"/>
                <w:szCs w:val="24"/>
              </w:rPr>
              <w:t xml:space="preserve">The Report of the Chief Executive was circulated in advance of the meeting. It was noted that CIB </w:t>
            </w:r>
            <w:r w:rsidR="00F14AE3">
              <w:rPr>
                <w:sz w:val="24"/>
                <w:szCs w:val="24"/>
              </w:rPr>
              <w:t xml:space="preserve">is </w:t>
            </w:r>
            <w:r w:rsidR="003243F1">
              <w:rPr>
                <w:sz w:val="24"/>
                <w:szCs w:val="24"/>
              </w:rPr>
              <w:t xml:space="preserve">now </w:t>
            </w:r>
            <w:r w:rsidR="00F14AE3">
              <w:rPr>
                <w:sz w:val="24"/>
                <w:szCs w:val="24"/>
              </w:rPr>
              <w:t>working to mid-</w:t>
            </w:r>
            <w:r w:rsidR="003243F1">
              <w:rPr>
                <w:sz w:val="24"/>
                <w:szCs w:val="24"/>
              </w:rPr>
              <w:t>September</w:t>
            </w:r>
            <w:r w:rsidR="0050334C">
              <w:rPr>
                <w:sz w:val="24"/>
                <w:szCs w:val="24"/>
              </w:rPr>
              <w:t xml:space="preserve"> as the earliest date on</w:t>
            </w:r>
            <w:r w:rsidR="00F14AE3">
              <w:rPr>
                <w:sz w:val="24"/>
                <w:szCs w:val="24"/>
              </w:rPr>
              <w:t xml:space="preserve"> which staff members are likely to return to offices.</w:t>
            </w:r>
          </w:p>
        </w:tc>
      </w:tr>
      <w:tr w:rsidR="00B77AA7" w:rsidRPr="00DD39EE" w14:paraId="76328993" w14:textId="77777777" w:rsidTr="00D85236">
        <w:tc>
          <w:tcPr>
            <w:tcW w:w="824" w:type="dxa"/>
            <w:tcBorders>
              <w:top w:val="dotted" w:sz="4" w:space="0" w:color="auto"/>
              <w:bottom w:val="dotted" w:sz="4" w:space="0" w:color="auto"/>
            </w:tcBorders>
          </w:tcPr>
          <w:p w14:paraId="73726FB9" w14:textId="13FDEB36" w:rsidR="00B77AA7" w:rsidRPr="004C437A" w:rsidRDefault="00901A9E" w:rsidP="00081E82">
            <w:pPr>
              <w:rPr>
                <w:b/>
                <w:sz w:val="24"/>
                <w:szCs w:val="24"/>
              </w:rPr>
            </w:pPr>
            <w:r>
              <w:rPr>
                <w:b/>
                <w:sz w:val="24"/>
                <w:szCs w:val="24"/>
              </w:rPr>
              <w:t>7</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00D85236">
        <w:tc>
          <w:tcPr>
            <w:tcW w:w="824" w:type="dxa"/>
            <w:tcBorders>
              <w:top w:val="dotted" w:sz="4" w:space="0" w:color="auto"/>
              <w:bottom w:val="dotted" w:sz="4" w:space="0" w:color="auto"/>
            </w:tcBorders>
          </w:tcPr>
          <w:p w14:paraId="46AF5377" w14:textId="748C5508" w:rsidR="00B77AA7" w:rsidRDefault="00901A9E" w:rsidP="00081E82">
            <w:pPr>
              <w:rPr>
                <w:sz w:val="24"/>
                <w:szCs w:val="24"/>
              </w:rPr>
            </w:pPr>
            <w:r>
              <w:rPr>
                <w:sz w:val="24"/>
                <w:szCs w:val="24"/>
              </w:rPr>
              <w:t>7.1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00D85236">
        <w:tc>
          <w:tcPr>
            <w:tcW w:w="824" w:type="dxa"/>
            <w:tcBorders>
              <w:top w:val="dotted" w:sz="4" w:space="0" w:color="auto"/>
              <w:bottom w:val="dotted" w:sz="4" w:space="0" w:color="auto"/>
            </w:tcBorders>
          </w:tcPr>
          <w:p w14:paraId="48571D16" w14:textId="53399A19" w:rsidR="004C437A" w:rsidRDefault="00901A9E" w:rsidP="00081E82">
            <w:pPr>
              <w:rPr>
                <w:sz w:val="24"/>
                <w:szCs w:val="24"/>
              </w:rPr>
            </w:pPr>
            <w:r>
              <w:rPr>
                <w:sz w:val="24"/>
                <w:szCs w:val="24"/>
              </w:rPr>
              <w:t>7.1</w:t>
            </w:r>
            <w:r w:rsidR="004C437A">
              <w:rPr>
                <w:sz w:val="24"/>
                <w:szCs w:val="24"/>
              </w:rPr>
              <w:t>.1</w:t>
            </w:r>
          </w:p>
        </w:tc>
        <w:tc>
          <w:tcPr>
            <w:tcW w:w="8192" w:type="dxa"/>
            <w:tcBorders>
              <w:top w:val="dotted" w:sz="4" w:space="0" w:color="auto"/>
              <w:bottom w:val="dotted" w:sz="4" w:space="0" w:color="auto"/>
            </w:tcBorders>
          </w:tcPr>
          <w:p w14:paraId="5103B340" w14:textId="5D4CCE28" w:rsidR="004C437A" w:rsidRDefault="00CD02E2" w:rsidP="003243F1">
            <w:pPr>
              <w:jc w:val="both"/>
              <w:rPr>
                <w:sz w:val="24"/>
                <w:szCs w:val="24"/>
              </w:rPr>
            </w:pPr>
            <w:r w:rsidRPr="00CD02E2">
              <w:rPr>
                <w:sz w:val="24"/>
                <w:szCs w:val="24"/>
              </w:rPr>
              <w:t xml:space="preserve">The </w:t>
            </w:r>
            <w:r w:rsidR="00C0404C">
              <w:rPr>
                <w:sz w:val="24"/>
                <w:szCs w:val="24"/>
              </w:rPr>
              <w:t>Wide Area Network (</w:t>
            </w:r>
            <w:r w:rsidRPr="00CD02E2">
              <w:rPr>
                <w:sz w:val="24"/>
                <w:szCs w:val="24"/>
              </w:rPr>
              <w:t>WAN</w:t>
            </w:r>
            <w:r w:rsidR="00C0404C">
              <w:rPr>
                <w:sz w:val="24"/>
                <w:szCs w:val="24"/>
              </w:rPr>
              <w:t>)</w:t>
            </w:r>
            <w:r w:rsidRPr="00CD02E2">
              <w:rPr>
                <w:sz w:val="24"/>
                <w:szCs w:val="24"/>
              </w:rPr>
              <w:t xml:space="preserve"> rollout is progressing, with </w:t>
            </w:r>
            <w:r w:rsidR="003243F1">
              <w:rPr>
                <w:sz w:val="24"/>
                <w:szCs w:val="24"/>
              </w:rPr>
              <w:t>80</w:t>
            </w:r>
            <w:r w:rsidRPr="00CD02E2">
              <w:rPr>
                <w:sz w:val="24"/>
                <w:szCs w:val="24"/>
              </w:rPr>
              <w:t xml:space="preserve"> of 117 NGA (Next Generation Acce</w:t>
            </w:r>
            <w:r w:rsidR="003243F1">
              <w:rPr>
                <w:sz w:val="24"/>
                <w:szCs w:val="24"/>
              </w:rPr>
              <w:t>ss) sites now live, along with 5</w:t>
            </w:r>
            <w:r w:rsidRPr="00CD02E2">
              <w:rPr>
                <w:sz w:val="24"/>
                <w:szCs w:val="24"/>
              </w:rPr>
              <w:t xml:space="preserve"> of 8 DSL (Digital Subscriber Line) sites</w:t>
            </w:r>
            <w:r w:rsidR="003243F1">
              <w:rPr>
                <w:sz w:val="24"/>
                <w:szCs w:val="24"/>
              </w:rPr>
              <w:t xml:space="preserve"> and 2 of 13 SIRO sites</w:t>
            </w:r>
            <w:r w:rsidRPr="00CD02E2">
              <w:rPr>
                <w:sz w:val="24"/>
                <w:szCs w:val="24"/>
              </w:rPr>
              <w:t>.</w:t>
            </w:r>
          </w:p>
        </w:tc>
      </w:tr>
      <w:tr w:rsidR="004C437A" w:rsidRPr="00DD39EE" w14:paraId="15687B6B" w14:textId="77777777" w:rsidTr="00D85236">
        <w:tc>
          <w:tcPr>
            <w:tcW w:w="824" w:type="dxa"/>
            <w:tcBorders>
              <w:top w:val="dotted" w:sz="4" w:space="0" w:color="auto"/>
              <w:bottom w:val="dotted" w:sz="4" w:space="0" w:color="auto"/>
            </w:tcBorders>
          </w:tcPr>
          <w:p w14:paraId="5CAB818B" w14:textId="06FE7B3A" w:rsidR="004C437A" w:rsidRDefault="00901A9E" w:rsidP="00081E82">
            <w:pPr>
              <w:rPr>
                <w:sz w:val="24"/>
                <w:szCs w:val="24"/>
              </w:rPr>
            </w:pPr>
            <w:r>
              <w:rPr>
                <w:sz w:val="24"/>
                <w:szCs w:val="24"/>
              </w:rPr>
              <w:t>7.2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00D85236">
        <w:tc>
          <w:tcPr>
            <w:tcW w:w="824" w:type="dxa"/>
            <w:tcBorders>
              <w:top w:val="dotted" w:sz="4" w:space="0" w:color="auto"/>
              <w:bottom w:val="dotted" w:sz="4" w:space="0" w:color="auto"/>
            </w:tcBorders>
          </w:tcPr>
          <w:p w14:paraId="6A58BD6B" w14:textId="5AD1832D" w:rsidR="004C437A" w:rsidRDefault="00901A9E" w:rsidP="00081E82">
            <w:pPr>
              <w:rPr>
                <w:sz w:val="24"/>
                <w:szCs w:val="24"/>
              </w:rPr>
            </w:pPr>
            <w:r>
              <w:rPr>
                <w:sz w:val="24"/>
                <w:szCs w:val="24"/>
              </w:rPr>
              <w:t>7.2</w:t>
            </w:r>
            <w:r w:rsidR="004C437A">
              <w:rPr>
                <w:sz w:val="24"/>
                <w:szCs w:val="24"/>
              </w:rPr>
              <w:t>.1</w:t>
            </w:r>
          </w:p>
        </w:tc>
        <w:tc>
          <w:tcPr>
            <w:tcW w:w="8192" w:type="dxa"/>
            <w:tcBorders>
              <w:top w:val="dotted" w:sz="4" w:space="0" w:color="auto"/>
              <w:bottom w:val="dotted" w:sz="4" w:space="0" w:color="auto"/>
            </w:tcBorders>
          </w:tcPr>
          <w:p w14:paraId="69679693" w14:textId="564D7726" w:rsidR="004C437A" w:rsidRDefault="003243F1" w:rsidP="00C7683E">
            <w:pPr>
              <w:jc w:val="both"/>
              <w:rPr>
                <w:sz w:val="24"/>
                <w:szCs w:val="24"/>
              </w:rPr>
            </w:pPr>
            <w:r>
              <w:rPr>
                <w:sz w:val="24"/>
                <w:szCs w:val="24"/>
              </w:rPr>
              <w:t>Two internal and four external recruitment competitions are now complete. Four external competitions are currently in train, with one further post due to be advertised on 23 July 2020.</w:t>
            </w:r>
            <w:r w:rsidR="00CD02E2">
              <w:rPr>
                <w:sz w:val="24"/>
                <w:szCs w:val="24"/>
              </w:rPr>
              <w:t xml:space="preserve"> </w:t>
            </w:r>
          </w:p>
        </w:tc>
      </w:tr>
      <w:tr w:rsidR="00081E82" w:rsidRPr="00FF1F00" w14:paraId="047AEDD9" w14:textId="77777777" w:rsidTr="00D85236">
        <w:tc>
          <w:tcPr>
            <w:tcW w:w="824" w:type="dxa"/>
            <w:tcBorders>
              <w:top w:val="dotted" w:sz="4" w:space="0" w:color="auto"/>
              <w:bottom w:val="dotted" w:sz="4" w:space="0" w:color="auto"/>
            </w:tcBorders>
          </w:tcPr>
          <w:p w14:paraId="64FF6715" w14:textId="2723A454" w:rsidR="00081E82" w:rsidRPr="00FF1F00" w:rsidRDefault="00901A9E" w:rsidP="00081E82">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5859C6B2" w:rsidR="00081E82" w:rsidRPr="00DD39EE" w:rsidRDefault="00901A9E" w:rsidP="00081E82">
            <w:pPr>
              <w:rPr>
                <w:sz w:val="24"/>
                <w:szCs w:val="24"/>
              </w:rPr>
            </w:pPr>
            <w:r>
              <w:rPr>
                <w:sz w:val="24"/>
                <w:szCs w:val="24"/>
              </w:rPr>
              <w:t>8</w:t>
            </w:r>
            <w:r w:rsidR="00081E82">
              <w:rPr>
                <w:sz w:val="24"/>
                <w:szCs w:val="24"/>
              </w:rPr>
              <w:t>.1</w:t>
            </w:r>
          </w:p>
        </w:tc>
        <w:tc>
          <w:tcPr>
            <w:tcW w:w="8192" w:type="dxa"/>
            <w:tcBorders>
              <w:top w:val="dotted" w:sz="4" w:space="0" w:color="auto"/>
              <w:bottom w:val="dotted" w:sz="4" w:space="0" w:color="auto"/>
            </w:tcBorders>
          </w:tcPr>
          <w:p w14:paraId="4836822D" w14:textId="5BD74908" w:rsidR="00081E82" w:rsidRPr="00AA2BF2" w:rsidRDefault="00081E82" w:rsidP="003243F1">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DA1CAE">
              <w:rPr>
                <w:sz w:val="24"/>
                <w:szCs w:val="24"/>
              </w:rPr>
              <w:t>2</w:t>
            </w:r>
            <w:r w:rsidR="003243F1">
              <w:rPr>
                <w:sz w:val="24"/>
                <w:szCs w:val="24"/>
              </w:rPr>
              <w:t>3</w:t>
            </w:r>
            <w:r w:rsidR="00DA1CAE">
              <w:rPr>
                <w:sz w:val="24"/>
                <w:szCs w:val="24"/>
              </w:rPr>
              <w:t xml:space="preserve"> </w:t>
            </w:r>
            <w:r w:rsidR="003243F1">
              <w:rPr>
                <w:sz w:val="24"/>
                <w:szCs w:val="24"/>
              </w:rPr>
              <w:t>September</w:t>
            </w:r>
            <w:r w:rsidR="00F561E2">
              <w:rPr>
                <w:sz w:val="24"/>
                <w:szCs w:val="24"/>
              </w:rPr>
              <w:t xml:space="preserve">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headerReference w:type="default" r:id="rId8"/>
      <w:footerReference w:type="default" r:id="rId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09C1CD29"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66D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66DF">
              <w:rPr>
                <w:b/>
                <w:bCs/>
                <w:noProof/>
              </w:rPr>
              <w:t>2</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D4EF" w14:textId="6D2E8213" w:rsidR="00A114E5" w:rsidRPr="009932A2" w:rsidRDefault="00A114E5" w:rsidP="009932A2">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5541"/>
    <w:rsid w:val="000B7621"/>
    <w:rsid w:val="000C121A"/>
    <w:rsid w:val="000C137C"/>
    <w:rsid w:val="000C284C"/>
    <w:rsid w:val="000D016D"/>
    <w:rsid w:val="000D1D4D"/>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037"/>
    <w:rsid w:val="00126288"/>
    <w:rsid w:val="00127E24"/>
    <w:rsid w:val="001305A9"/>
    <w:rsid w:val="00133FB8"/>
    <w:rsid w:val="00136D45"/>
    <w:rsid w:val="00137059"/>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6DF"/>
    <w:rsid w:val="001E128C"/>
    <w:rsid w:val="001E636D"/>
    <w:rsid w:val="001F1C14"/>
    <w:rsid w:val="001F2413"/>
    <w:rsid w:val="001F2DE7"/>
    <w:rsid w:val="001F586E"/>
    <w:rsid w:val="001F5A93"/>
    <w:rsid w:val="001F5D25"/>
    <w:rsid w:val="001F5D91"/>
    <w:rsid w:val="001F60E9"/>
    <w:rsid w:val="0020234C"/>
    <w:rsid w:val="002030F9"/>
    <w:rsid w:val="0020456C"/>
    <w:rsid w:val="00206A7E"/>
    <w:rsid w:val="00207853"/>
    <w:rsid w:val="00210FFB"/>
    <w:rsid w:val="002110BA"/>
    <w:rsid w:val="0021185A"/>
    <w:rsid w:val="00211A37"/>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68AB"/>
    <w:rsid w:val="00274184"/>
    <w:rsid w:val="00275F87"/>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61EB"/>
    <w:rsid w:val="00316449"/>
    <w:rsid w:val="00317429"/>
    <w:rsid w:val="00317989"/>
    <w:rsid w:val="003214E0"/>
    <w:rsid w:val="003217BD"/>
    <w:rsid w:val="00321C9F"/>
    <w:rsid w:val="003226A1"/>
    <w:rsid w:val="003243F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CAC"/>
    <w:rsid w:val="004B308E"/>
    <w:rsid w:val="004B4306"/>
    <w:rsid w:val="004B681F"/>
    <w:rsid w:val="004B7694"/>
    <w:rsid w:val="004C437A"/>
    <w:rsid w:val="004C5F09"/>
    <w:rsid w:val="004D48EE"/>
    <w:rsid w:val="004D499C"/>
    <w:rsid w:val="004D4CBB"/>
    <w:rsid w:val="004D4D17"/>
    <w:rsid w:val="004D4D2A"/>
    <w:rsid w:val="004E096B"/>
    <w:rsid w:val="004E0B2F"/>
    <w:rsid w:val="004E4844"/>
    <w:rsid w:val="004E4F2B"/>
    <w:rsid w:val="004E689D"/>
    <w:rsid w:val="004E6A28"/>
    <w:rsid w:val="004F0160"/>
    <w:rsid w:val="004F1454"/>
    <w:rsid w:val="004F1AFD"/>
    <w:rsid w:val="004F2E5A"/>
    <w:rsid w:val="004F30CD"/>
    <w:rsid w:val="004F31AF"/>
    <w:rsid w:val="004F446E"/>
    <w:rsid w:val="00502368"/>
    <w:rsid w:val="0050334C"/>
    <w:rsid w:val="00504FF1"/>
    <w:rsid w:val="00512D4A"/>
    <w:rsid w:val="00514CE1"/>
    <w:rsid w:val="00515BF7"/>
    <w:rsid w:val="00520749"/>
    <w:rsid w:val="005215DA"/>
    <w:rsid w:val="005225AA"/>
    <w:rsid w:val="005249F3"/>
    <w:rsid w:val="00531374"/>
    <w:rsid w:val="00531F77"/>
    <w:rsid w:val="00532CA7"/>
    <w:rsid w:val="00533536"/>
    <w:rsid w:val="00535086"/>
    <w:rsid w:val="00540975"/>
    <w:rsid w:val="00541834"/>
    <w:rsid w:val="0055047A"/>
    <w:rsid w:val="00556626"/>
    <w:rsid w:val="00556C50"/>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46BE"/>
    <w:rsid w:val="005A6535"/>
    <w:rsid w:val="005B23B8"/>
    <w:rsid w:val="005B381C"/>
    <w:rsid w:val="005B4E20"/>
    <w:rsid w:val="005B7ED0"/>
    <w:rsid w:val="005C486C"/>
    <w:rsid w:val="005C7ADA"/>
    <w:rsid w:val="005D063F"/>
    <w:rsid w:val="005E0F12"/>
    <w:rsid w:val="005E3E14"/>
    <w:rsid w:val="00601A0F"/>
    <w:rsid w:val="00606FBF"/>
    <w:rsid w:val="006139F4"/>
    <w:rsid w:val="00620D26"/>
    <w:rsid w:val="00624C0B"/>
    <w:rsid w:val="00624E95"/>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6DE7"/>
    <w:rsid w:val="006C19D2"/>
    <w:rsid w:val="006C316D"/>
    <w:rsid w:val="006C3A5C"/>
    <w:rsid w:val="006C62E8"/>
    <w:rsid w:val="006D0B5A"/>
    <w:rsid w:val="006D5BB3"/>
    <w:rsid w:val="006E2AD6"/>
    <w:rsid w:val="006E6347"/>
    <w:rsid w:val="006F3A83"/>
    <w:rsid w:val="006F49AF"/>
    <w:rsid w:val="00701D27"/>
    <w:rsid w:val="0070567D"/>
    <w:rsid w:val="007120EB"/>
    <w:rsid w:val="00713187"/>
    <w:rsid w:val="00715E0B"/>
    <w:rsid w:val="00724614"/>
    <w:rsid w:val="007251DB"/>
    <w:rsid w:val="00725E15"/>
    <w:rsid w:val="007340D6"/>
    <w:rsid w:val="0073549F"/>
    <w:rsid w:val="0074366F"/>
    <w:rsid w:val="00744DFB"/>
    <w:rsid w:val="007454C0"/>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77D8"/>
    <w:rsid w:val="007E2FFC"/>
    <w:rsid w:val="007E3690"/>
    <w:rsid w:val="007E6D19"/>
    <w:rsid w:val="007F1270"/>
    <w:rsid w:val="007F5362"/>
    <w:rsid w:val="00802E74"/>
    <w:rsid w:val="00815819"/>
    <w:rsid w:val="00816D65"/>
    <w:rsid w:val="008230F9"/>
    <w:rsid w:val="0082428B"/>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E0894"/>
    <w:rsid w:val="008E31D9"/>
    <w:rsid w:val="008E40E5"/>
    <w:rsid w:val="008E5962"/>
    <w:rsid w:val="008E7A98"/>
    <w:rsid w:val="008F1725"/>
    <w:rsid w:val="008F1AD3"/>
    <w:rsid w:val="008F3B26"/>
    <w:rsid w:val="008F5BA5"/>
    <w:rsid w:val="008F6963"/>
    <w:rsid w:val="00901A9E"/>
    <w:rsid w:val="009029F0"/>
    <w:rsid w:val="009061A5"/>
    <w:rsid w:val="00913CEB"/>
    <w:rsid w:val="0091532B"/>
    <w:rsid w:val="00916D8F"/>
    <w:rsid w:val="00920F0A"/>
    <w:rsid w:val="00921AF2"/>
    <w:rsid w:val="00923A7B"/>
    <w:rsid w:val="00925FA1"/>
    <w:rsid w:val="009302EA"/>
    <w:rsid w:val="0093159A"/>
    <w:rsid w:val="00940D59"/>
    <w:rsid w:val="009420BA"/>
    <w:rsid w:val="00946395"/>
    <w:rsid w:val="0094683A"/>
    <w:rsid w:val="00947D78"/>
    <w:rsid w:val="00954190"/>
    <w:rsid w:val="00961DA5"/>
    <w:rsid w:val="009662A7"/>
    <w:rsid w:val="009677CB"/>
    <w:rsid w:val="00974003"/>
    <w:rsid w:val="00974498"/>
    <w:rsid w:val="009813DA"/>
    <w:rsid w:val="0098270F"/>
    <w:rsid w:val="00990617"/>
    <w:rsid w:val="00992395"/>
    <w:rsid w:val="009932A2"/>
    <w:rsid w:val="00995FCA"/>
    <w:rsid w:val="00997CC1"/>
    <w:rsid w:val="009A249F"/>
    <w:rsid w:val="009A4876"/>
    <w:rsid w:val="009A7017"/>
    <w:rsid w:val="009B2969"/>
    <w:rsid w:val="009C0653"/>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55524"/>
    <w:rsid w:val="00C607DB"/>
    <w:rsid w:val="00C61A92"/>
    <w:rsid w:val="00C620BF"/>
    <w:rsid w:val="00C63798"/>
    <w:rsid w:val="00C63A9E"/>
    <w:rsid w:val="00C660E4"/>
    <w:rsid w:val="00C6794C"/>
    <w:rsid w:val="00C70D47"/>
    <w:rsid w:val="00C75A9F"/>
    <w:rsid w:val="00C7683E"/>
    <w:rsid w:val="00C86D14"/>
    <w:rsid w:val="00C920FC"/>
    <w:rsid w:val="00C92972"/>
    <w:rsid w:val="00C96A47"/>
    <w:rsid w:val="00C973B4"/>
    <w:rsid w:val="00C97740"/>
    <w:rsid w:val="00C97817"/>
    <w:rsid w:val="00CA2AE1"/>
    <w:rsid w:val="00CA30FB"/>
    <w:rsid w:val="00CB6561"/>
    <w:rsid w:val="00CB66D0"/>
    <w:rsid w:val="00CC0A04"/>
    <w:rsid w:val="00CC0E8F"/>
    <w:rsid w:val="00CC26B3"/>
    <w:rsid w:val="00CC2F5B"/>
    <w:rsid w:val="00CC74D0"/>
    <w:rsid w:val="00CD02E2"/>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294F"/>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1CAE"/>
    <w:rsid w:val="00DA5A4C"/>
    <w:rsid w:val="00DA5C89"/>
    <w:rsid w:val="00DA5D19"/>
    <w:rsid w:val="00DB0923"/>
    <w:rsid w:val="00DB18B6"/>
    <w:rsid w:val="00DC3368"/>
    <w:rsid w:val="00DC6077"/>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5D4E"/>
    <w:rsid w:val="00E166CC"/>
    <w:rsid w:val="00E17B43"/>
    <w:rsid w:val="00E22F81"/>
    <w:rsid w:val="00E22F9B"/>
    <w:rsid w:val="00E23641"/>
    <w:rsid w:val="00E23707"/>
    <w:rsid w:val="00E24AC2"/>
    <w:rsid w:val="00E2753F"/>
    <w:rsid w:val="00E32D1B"/>
    <w:rsid w:val="00E32EB3"/>
    <w:rsid w:val="00E37170"/>
    <w:rsid w:val="00E43BE3"/>
    <w:rsid w:val="00E4437D"/>
    <w:rsid w:val="00E45C55"/>
    <w:rsid w:val="00E467CD"/>
    <w:rsid w:val="00E52C75"/>
    <w:rsid w:val="00E57453"/>
    <w:rsid w:val="00E63F28"/>
    <w:rsid w:val="00E66B5F"/>
    <w:rsid w:val="00E673EC"/>
    <w:rsid w:val="00E71364"/>
    <w:rsid w:val="00E72666"/>
    <w:rsid w:val="00E739D8"/>
    <w:rsid w:val="00E7402B"/>
    <w:rsid w:val="00E767AF"/>
    <w:rsid w:val="00E8035E"/>
    <w:rsid w:val="00E82214"/>
    <w:rsid w:val="00E86F61"/>
    <w:rsid w:val="00E90E0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CAD"/>
    <w:rsid w:val="00F23CE3"/>
    <w:rsid w:val="00F24226"/>
    <w:rsid w:val="00F25245"/>
    <w:rsid w:val="00F27F25"/>
    <w:rsid w:val="00F30AD5"/>
    <w:rsid w:val="00F40379"/>
    <w:rsid w:val="00F42206"/>
    <w:rsid w:val="00F4601A"/>
    <w:rsid w:val="00F460F9"/>
    <w:rsid w:val="00F46DFB"/>
    <w:rsid w:val="00F5163D"/>
    <w:rsid w:val="00F53AB9"/>
    <w:rsid w:val="00F55892"/>
    <w:rsid w:val="00F561E2"/>
    <w:rsid w:val="00F607F4"/>
    <w:rsid w:val="00F63524"/>
    <w:rsid w:val="00F635B4"/>
    <w:rsid w:val="00F63917"/>
    <w:rsid w:val="00F67FA5"/>
    <w:rsid w:val="00F75EAE"/>
    <w:rsid w:val="00F77FC5"/>
    <w:rsid w:val="00F808C6"/>
    <w:rsid w:val="00F814AA"/>
    <w:rsid w:val="00F816DE"/>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5459-EB37-4232-88B9-378B5386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2019-08-20T16:10:00Z</dcterms:created>
  <dcterms:modified xsi:type="dcterms:W3CDTF">2020-09-29T08:01:00Z</dcterms:modified>
</cp:coreProperties>
</file>