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531F8601"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94683A">
        <w:rPr>
          <w:b/>
          <w:sz w:val="24"/>
          <w:szCs w:val="24"/>
        </w:rPr>
        <w:t>11 December</w:t>
      </w:r>
      <w:r w:rsidR="00520749">
        <w:rPr>
          <w:b/>
          <w:sz w:val="24"/>
          <w:szCs w:val="24"/>
        </w:rPr>
        <w:t xml:space="preserve"> 2019</w:t>
      </w:r>
      <w:bookmarkStart w:id="0" w:name="_GoBack"/>
      <w:bookmarkEnd w:id="0"/>
    </w:p>
    <w:p w14:paraId="13843BF0" w14:textId="59DAD7A0" w:rsidR="00167268" w:rsidRPr="00BC5F58" w:rsidRDefault="006B316D" w:rsidP="00167268">
      <w:pPr>
        <w:jc w:val="center"/>
        <w:rPr>
          <w:sz w:val="24"/>
          <w:szCs w:val="24"/>
        </w:rPr>
      </w:pPr>
      <w:r>
        <w:rPr>
          <w:sz w:val="24"/>
          <w:szCs w:val="24"/>
        </w:rPr>
        <w:t>George’s Quay House, 43 Townsend St.,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03B8C4E3" w:rsidR="00D6788E" w:rsidRDefault="00167268" w:rsidP="006B42A1">
      <w:pPr>
        <w:rPr>
          <w:sz w:val="24"/>
          <w:szCs w:val="24"/>
        </w:rPr>
      </w:pPr>
      <w:r w:rsidRPr="00DD39EE">
        <w:rPr>
          <w:b/>
          <w:sz w:val="24"/>
          <w:szCs w:val="24"/>
        </w:rPr>
        <w:t>Present:</w:t>
      </w:r>
      <w:r w:rsidR="006E6347">
        <w:rPr>
          <w:b/>
          <w:sz w:val="24"/>
          <w:szCs w:val="24"/>
        </w:rPr>
        <w:t xml:space="preserve"> </w:t>
      </w:r>
      <w:proofErr w:type="spellStart"/>
      <w:r w:rsidR="00F46DFB" w:rsidRPr="00DD39EE">
        <w:rPr>
          <w:sz w:val="24"/>
          <w:szCs w:val="24"/>
        </w:rPr>
        <w:t>Ita</w:t>
      </w:r>
      <w:proofErr w:type="spellEnd"/>
      <w:r w:rsidR="00F46DFB" w:rsidRPr="00DD39EE">
        <w:rPr>
          <w:sz w:val="24"/>
          <w:szCs w:val="24"/>
        </w:rPr>
        <w:t xml:space="preserve"> </w:t>
      </w:r>
      <w:proofErr w:type="spellStart"/>
      <w:r w:rsidR="00F46DFB" w:rsidRPr="00DD39EE">
        <w:rPr>
          <w:sz w:val="24"/>
          <w:szCs w:val="24"/>
        </w:rPr>
        <w:t>Mangan</w:t>
      </w:r>
      <w:proofErr w:type="spellEnd"/>
      <w:r w:rsidR="00F46DFB" w:rsidRPr="00DD39EE">
        <w:rPr>
          <w:sz w:val="24"/>
          <w:szCs w:val="24"/>
        </w:rPr>
        <w:t xml:space="preserve"> </w:t>
      </w:r>
      <w:r w:rsidR="00F46DFB">
        <w:rPr>
          <w:sz w:val="24"/>
          <w:szCs w:val="24"/>
        </w:rPr>
        <w:t xml:space="preserve">(Chairperson), </w:t>
      </w:r>
      <w:proofErr w:type="spellStart"/>
      <w:r w:rsidR="00D6788E">
        <w:rPr>
          <w:sz w:val="24"/>
          <w:szCs w:val="24"/>
        </w:rPr>
        <w:t>Seán</w:t>
      </w:r>
      <w:proofErr w:type="spellEnd"/>
      <w:r w:rsidR="00D6788E">
        <w:rPr>
          <w:sz w:val="24"/>
          <w:szCs w:val="24"/>
        </w:rPr>
        <w:t xml:space="preserve"> Sheridan, Mary Doyle, Joanne McCarthy</w:t>
      </w:r>
      <w:r w:rsidR="0094683A">
        <w:rPr>
          <w:sz w:val="24"/>
          <w:szCs w:val="24"/>
        </w:rPr>
        <w:t xml:space="preserve">, John Saunders, </w:t>
      </w:r>
      <w:r w:rsidR="00D6788E">
        <w:rPr>
          <w:sz w:val="24"/>
          <w:szCs w:val="24"/>
        </w:rPr>
        <w:t>Ian Power, Mary Higgins</w:t>
      </w:r>
      <w:r w:rsidR="0094683A">
        <w:rPr>
          <w:sz w:val="24"/>
          <w:szCs w:val="24"/>
        </w:rPr>
        <w:t xml:space="preserve">, </w:t>
      </w:r>
      <w:r w:rsidR="00A22D5D">
        <w:rPr>
          <w:sz w:val="24"/>
          <w:szCs w:val="24"/>
        </w:rPr>
        <w:t>Niall M</w:t>
      </w:r>
      <w:r w:rsidR="00BE63F9">
        <w:rPr>
          <w:sz w:val="24"/>
          <w:szCs w:val="24"/>
        </w:rPr>
        <w:t>ulligan</w:t>
      </w:r>
      <w:r w:rsidR="0094683A">
        <w:rPr>
          <w:sz w:val="24"/>
          <w:szCs w:val="24"/>
        </w:rPr>
        <w:t>, Tim Duggan, Eilis Barry</w:t>
      </w:r>
    </w:p>
    <w:p w14:paraId="447D4E12" w14:textId="77777777" w:rsidR="004C5F09" w:rsidRDefault="004C5F09" w:rsidP="006B42A1">
      <w:pPr>
        <w:rPr>
          <w:sz w:val="24"/>
          <w:szCs w:val="24"/>
        </w:rPr>
      </w:pPr>
    </w:p>
    <w:p w14:paraId="38855F08" w14:textId="47E3DB1D" w:rsidR="00BC5F58" w:rsidRPr="006B42A1" w:rsidRDefault="00BC5F58" w:rsidP="009C0653">
      <w:pPr>
        <w:rPr>
          <w:sz w:val="24"/>
          <w:szCs w:val="24"/>
        </w:rPr>
      </w:pPr>
      <w:r w:rsidRPr="00BC5F58">
        <w:rPr>
          <w:b/>
          <w:sz w:val="24"/>
          <w:szCs w:val="24"/>
        </w:rPr>
        <w:t>Apologies:</w:t>
      </w:r>
      <w:r w:rsidR="00D6788E">
        <w:rPr>
          <w:sz w:val="24"/>
          <w:szCs w:val="24"/>
        </w:rPr>
        <w:t xml:space="preserve"> </w:t>
      </w:r>
      <w:r w:rsidR="00520749">
        <w:rPr>
          <w:sz w:val="24"/>
          <w:szCs w:val="24"/>
        </w:rPr>
        <w:t xml:space="preserve">James Clarke, </w:t>
      </w:r>
      <w:r w:rsidR="007A5EFE">
        <w:rPr>
          <w:sz w:val="24"/>
          <w:szCs w:val="24"/>
        </w:rPr>
        <w:t>Josephine Henry</w:t>
      </w:r>
      <w:r w:rsidR="0094683A">
        <w:rPr>
          <w:sz w:val="24"/>
          <w:szCs w:val="24"/>
        </w:rPr>
        <w:t xml:space="preserve">, Nicola Walshe, Tina Leonard, Cearbhall O </w:t>
      </w:r>
      <w:proofErr w:type="spellStart"/>
      <w:r w:rsidR="0094683A">
        <w:rPr>
          <w:sz w:val="24"/>
          <w:szCs w:val="24"/>
        </w:rPr>
        <w:t>Meadhra</w:t>
      </w:r>
      <w:proofErr w:type="spellEnd"/>
    </w:p>
    <w:p w14:paraId="6F9B8F85" w14:textId="77777777" w:rsidR="00BC5F58" w:rsidRDefault="00BC5F58">
      <w:pPr>
        <w:rPr>
          <w:sz w:val="24"/>
          <w:szCs w:val="24"/>
        </w:rPr>
      </w:pPr>
    </w:p>
    <w:p w14:paraId="3DDDC472" w14:textId="1A050567"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w:t>
      </w:r>
      <w:proofErr w:type="spellStart"/>
      <w:r w:rsidR="0094683A">
        <w:rPr>
          <w:sz w:val="24"/>
          <w:szCs w:val="24"/>
        </w:rPr>
        <w:t>Gráinne</w:t>
      </w:r>
      <w:proofErr w:type="spellEnd"/>
      <w:r w:rsidR="0094683A">
        <w:rPr>
          <w:sz w:val="24"/>
          <w:szCs w:val="24"/>
        </w:rPr>
        <w:t xml:space="preserve"> Griffin, </w:t>
      </w:r>
      <w:r w:rsidRPr="00DD39EE">
        <w:rPr>
          <w:sz w:val="24"/>
          <w:szCs w:val="24"/>
        </w:rPr>
        <w:t>Graham Long</w:t>
      </w:r>
      <w:r w:rsidR="003A1B08">
        <w:rPr>
          <w:sz w:val="24"/>
          <w:szCs w:val="24"/>
        </w:rPr>
        <w:t xml:space="preserve"> (also taking minutes)</w:t>
      </w:r>
      <w:r w:rsidR="00D6788E">
        <w:rPr>
          <w:sz w:val="24"/>
          <w:szCs w:val="24"/>
        </w:rPr>
        <w:t>, Gary Watters</w:t>
      </w:r>
      <w:r w:rsidR="00AD766C">
        <w:rPr>
          <w:sz w:val="24"/>
          <w:szCs w:val="24"/>
        </w:rPr>
        <w:t xml:space="preserve"> </w:t>
      </w:r>
      <w:r w:rsidR="00A22D5D">
        <w:rPr>
          <w:sz w:val="24"/>
          <w:szCs w:val="24"/>
        </w:rPr>
        <w:t xml:space="preserve">(item </w:t>
      </w:r>
      <w:r w:rsidR="0016672D">
        <w:rPr>
          <w:sz w:val="24"/>
          <w:szCs w:val="24"/>
        </w:rPr>
        <w:t>4</w:t>
      </w:r>
      <w:r w:rsidR="00A22D5D">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00D85236">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00D85236">
        <w:tc>
          <w:tcPr>
            <w:tcW w:w="824" w:type="dxa"/>
            <w:tcBorders>
              <w:top w:val="dotted" w:sz="4" w:space="0" w:color="auto"/>
              <w:bottom w:val="dotted" w:sz="4" w:space="0" w:color="auto"/>
            </w:tcBorders>
          </w:tcPr>
          <w:p w14:paraId="45F6D640" w14:textId="0DBF93DD" w:rsidR="0037191C" w:rsidRPr="00F27F25" w:rsidRDefault="006E6347" w:rsidP="00770B98">
            <w:pPr>
              <w:rPr>
                <w:b/>
                <w:sz w:val="24"/>
                <w:szCs w:val="24"/>
              </w:rPr>
            </w:pPr>
            <w:r w:rsidRPr="00F27F25">
              <w:rPr>
                <w:b/>
                <w:sz w:val="24"/>
                <w:szCs w:val="24"/>
              </w:rPr>
              <w:t>0</w:t>
            </w:r>
          </w:p>
        </w:tc>
        <w:tc>
          <w:tcPr>
            <w:tcW w:w="8192" w:type="dxa"/>
            <w:tcBorders>
              <w:top w:val="dotted" w:sz="4" w:space="0" w:color="auto"/>
              <w:bottom w:val="dotted" w:sz="4" w:space="0" w:color="auto"/>
            </w:tcBorders>
          </w:tcPr>
          <w:p w14:paraId="19CC8DEC" w14:textId="6FBBD18D" w:rsidR="006E6347" w:rsidRPr="00F27F25" w:rsidRDefault="000F3B00" w:rsidP="00A25066">
            <w:pPr>
              <w:rPr>
                <w:b/>
                <w:sz w:val="24"/>
                <w:szCs w:val="24"/>
              </w:rPr>
            </w:pPr>
            <w:r>
              <w:rPr>
                <w:b/>
                <w:sz w:val="24"/>
                <w:szCs w:val="24"/>
              </w:rPr>
              <w:t>Various M</w:t>
            </w:r>
            <w:r w:rsidR="00A25066" w:rsidRPr="00F27F25">
              <w:rPr>
                <w:b/>
                <w:sz w:val="24"/>
                <w:szCs w:val="24"/>
              </w:rPr>
              <w:t>atters</w:t>
            </w:r>
          </w:p>
        </w:tc>
      </w:tr>
      <w:tr w:rsidR="008B03A4" w:rsidRPr="00DD39EE" w14:paraId="2A37C8AB" w14:textId="77777777" w:rsidTr="00D85236">
        <w:tc>
          <w:tcPr>
            <w:tcW w:w="824" w:type="dxa"/>
            <w:tcBorders>
              <w:top w:val="dotted" w:sz="4" w:space="0" w:color="auto"/>
              <w:bottom w:val="dotted" w:sz="4" w:space="0" w:color="auto"/>
            </w:tcBorders>
          </w:tcPr>
          <w:p w14:paraId="56DCF9E8" w14:textId="41013F99" w:rsidR="008B03A4" w:rsidRPr="00F27F25" w:rsidRDefault="0015545C" w:rsidP="00A25066">
            <w:pPr>
              <w:rPr>
                <w:sz w:val="24"/>
                <w:szCs w:val="24"/>
              </w:rPr>
            </w:pPr>
            <w:r>
              <w:rPr>
                <w:sz w:val="24"/>
                <w:szCs w:val="24"/>
              </w:rPr>
              <w:t>0.</w:t>
            </w:r>
            <w:r w:rsidR="00242323">
              <w:rPr>
                <w:sz w:val="24"/>
                <w:szCs w:val="24"/>
              </w:rPr>
              <w:t>1</w:t>
            </w:r>
          </w:p>
        </w:tc>
        <w:tc>
          <w:tcPr>
            <w:tcW w:w="8192" w:type="dxa"/>
            <w:tcBorders>
              <w:top w:val="dotted" w:sz="4" w:space="0" w:color="auto"/>
              <w:bottom w:val="dotted" w:sz="4" w:space="0" w:color="auto"/>
            </w:tcBorders>
          </w:tcPr>
          <w:p w14:paraId="766C0CE6" w14:textId="310D037A" w:rsidR="008B03A4" w:rsidRPr="00F27F25" w:rsidRDefault="008B03A4" w:rsidP="00A25066">
            <w:pPr>
              <w:rPr>
                <w:sz w:val="24"/>
                <w:szCs w:val="24"/>
                <w:u w:val="single"/>
              </w:rPr>
            </w:pPr>
            <w:r w:rsidRPr="00F27F25">
              <w:rPr>
                <w:sz w:val="24"/>
                <w:szCs w:val="24"/>
                <w:u w:val="single"/>
              </w:rPr>
              <w:t xml:space="preserve">Declaration of </w:t>
            </w:r>
            <w:r w:rsidR="00FC6842">
              <w:rPr>
                <w:sz w:val="24"/>
                <w:szCs w:val="24"/>
                <w:u w:val="single"/>
              </w:rPr>
              <w:t>I</w:t>
            </w:r>
            <w:r w:rsidRPr="00F27F25">
              <w:rPr>
                <w:sz w:val="24"/>
                <w:szCs w:val="24"/>
                <w:u w:val="single"/>
              </w:rPr>
              <w:t>nterests</w:t>
            </w:r>
          </w:p>
        </w:tc>
      </w:tr>
      <w:tr w:rsidR="00A25066" w:rsidRPr="00DD39EE" w14:paraId="3CC3AD30" w14:textId="77777777" w:rsidTr="00D85236">
        <w:tc>
          <w:tcPr>
            <w:tcW w:w="824" w:type="dxa"/>
            <w:tcBorders>
              <w:top w:val="dotted" w:sz="4" w:space="0" w:color="auto"/>
              <w:bottom w:val="dotted" w:sz="4" w:space="0" w:color="auto"/>
            </w:tcBorders>
          </w:tcPr>
          <w:p w14:paraId="3D52EF09" w14:textId="3A4C83A0" w:rsidR="00A25066" w:rsidRPr="00F27F25" w:rsidRDefault="00235143" w:rsidP="00A25066">
            <w:pPr>
              <w:rPr>
                <w:sz w:val="24"/>
                <w:szCs w:val="24"/>
              </w:rPr>
            </w:pPr>
            <w:r>
              <w:rPr>
                <w:sz w:val="24"/>
                <w:szCs w:val="24"/>
              </w:rPr>
              <w:t>0.</w:t>
            </w:r>
            <w:r w:rsidR="00242323">
              <w:rPr>
                <w:sz w:val="24"/>
                <w:szCs w:val="24"/>
              </w:rPr>
              <w:t>1</w:t>
            </w:r>
            <w:r w:rsidR="008B03A4" w:rsidRPr="00F27F25">
              <w:rPr>
                <w:sz w:val="24"/>
                <w:szCs w:val="24"/>
              </w:rPr>
              <w:t>.1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16672D" w:rsidRPr="00DD39EE" w14:paraId="7F1DBB00" w14:textId="77777777" w:rsidTr="00D85236">
        <w:tc>
          <w:tcPr>
            <w:tcW w:w="824" w:type="dxa"/>
            <w:tcBorders>
              <w:top w:val="dotted" w:sz="4" w:space="0" w:color="auto"/>
              <w:bottom w:val="dotted" w:sz="4" w:space="0" w:color="auto"/>
            </w:tcBorders>
          </w:tcPr>
          <w:p w14:paraId="2E76433E" w14:textId="0DFE77BE" w:rsidR="0016672D" w:rsidRDefault="0016672D" w:rsidP="00A25066">
            <w:pPr>
              <w:rPr>
                <w:sz w:val="24"/>
                <w:szCs w:val="24"/>
              </w:rPr>
            </w:pPr>
            <w:r>
              <w:rPr>
                <w:sz w:val="24"/>
                <w:szCs w:val="24"/>
              </w:rPr>
              <w:t>1</w:t>
            </w:r>
          </w:p>
        </w:tc>
        <w:tc>
          <w:tcPr>
            <w:tcW w:w="8192" w:type="dxa"/>
            <w:tcBorders>
              <w:top w:val="dotted" w:sz="4" w:space="0" w:color="auto"/>
              <w:bottom w:val="dotted" w:sz="4" w:space="0" w:color="auto"/>
            </w:tcBorders>
          </w:tcPr>
          <w:p w14:paraId="09FE62B7" w14:textId="673B601C" w:rsidR="0016672D" w:rsidRPr="0016672D" w:rsidRDefault="0016672D" w:rsidP="007915D4">
            <w:pPr>
              <w:jc w:val="both"/>
              <w:rPr>
                <w:b/>
                <w:sz w:val="24"/>
                <w:szCs w:val="24"/>
              </w:rPr>
            </w:pPr>
            <w:r w:rsidRPr="0016672D">
              <w:rPr>
                <w:b/>
                <w:sz w:val="24"/>
                <w:szCs w:val="24"/>
              </w:rPr>
              <w:t>Review of MABS National Development (MABS ND) – Update</w:t>
            </w:r>
          </w:p>
        </w:tc>
      </w:tr>
      <w:tr w:rsidR="0016672D" w:rsidRPr="00DD39EE" w14:paraId="741DF488" w14:textId="77777777" w:rsidTr="00D85236">
        <w:tc>
          <w:tcPr>
            <w:tcW w:w="824" w:type="dxa"/>
            <w:tcBorders>
              <w:top w:val="dotted" w:sz="4" w:space="0" w:color="auto"/>
              <w:bottom w:val="dotted" w:sz="4" w:space="0" w:color="auto"/>
            </w:tcBorders>
          </w:tcPr>
          <w:p w14:paraId="00885FA3" w14:textId="4B89D065" w:rsidR="0016672D" w:rsidRDefault="0016672D" w:rsidP="00A25066">
            <w:pPr>
              <w:rPr>
                <w:sz w:val="24"/>
                <w:szCs w:val="24"/>
              </w:rPr>
            </w:pPr>
            <w:r>
              <w:rPr>
                <w:sz w:val="24"/>
                <w:szCs w:val="24"/>
              </w:rPr>
              <w:t>1.1</w:t>
            </w:r>
          </w:p>
        </w:tc>
        <w:tc>
          <w:tcPr>
            <w:tcW w:w="8192" w:type="dxa"/>
            <w:tcBorders>
              <w:top w:val="dotted" w:sz="4" w:space="0" w:color="auto"/>
              <w:bottom w:val="dotted" w:sz="4" w:space="0" w:color="auto"/>
            </w:tcBorders>
          </w:tcPr>
          <w:p w14:paraId="0AC9A079" w14:textId="27DD5BE6" w:rsidR="0016672D" w:rsidRDefault="00F814AA" w:rsidP="007915D4">
            <w:pPr>
              <w:jc w:val="both"/>
              <w:rPr>
                <w:sz w:val="24"/>
                <w:szCs w:val="24"/>
              </w:rPr>
            </w:pPr>
            <w:r>
              <w:rPr>
                <w:sz w:val="24"/>
                <w:szCs w:val="24"/>
              </w:rPr>
              <w:t>An update was provided on the process to transfer the functions of MABS ND. It was noted that a new company, MABS Support CLG, has been incorporated. A Risk Management Implementation Plan has been provided to MABS ND</w:t>
            </w:r>
            <w:r w:rsidR="00FB4ED6">
              <w:rPr>
                <w:sz w:val="24"/>
                <w:szCs w:val="24"/>
              </w:rPr>
              <w:t xml:space="preserve"> with details of the transfer process</w:t>
            </w:r>
            <w:r>
              <w:rPr>
                <w:sz w:val="24"/>
                <w:szCs w:val="24"/>
              </w:rPr>
              <w:t>. The transfer of the Helpline to North Dublin MABS and the transfer of the other functions of MABS ND to MABS Support are scheduled for 3 February 2020.</w:t>
            </w:r>
          </w:p>
        </w:tc>
      </w:tr>
      <w:tr w:rsidR="00081E82" w:rsidRPr="00DD39EE" w14:paraId="788BCF24" w14:textId="77777777" w:rsidTr="00D85236">
        <w:tc>
          <w:tcPr>
            <w:tcW w:w="824" w:type="dxa"/>
            <w:tcBorders>
              <w:top w:val="dotted" w:sz="4" w:space="0" w:color="auto"/>
              <w:bottom w:val="dotted" w:sz="4" w:space="0" w:color="auto"/>
            </w:tcBorders>
          </w:tcPr>
          <w:p w14:paraId="2DC55052" w14:textId="2FE6F6B8" w:rsidR="00081E82" w:rsidRPr="00837B44" w:rsidRDefault="0016672D" w:rsidP="00081E82">
            <w:pPr>
              <w:rPr>
                <w:b/>
                <w:sz w:val="24"/>
                <w:szCs w:val="24"/>
              </w:rPr>
            </w:pPr>
            <w:r>
              <w:rPr>
                <w:b/>
                <w:sz w:val="24"/>
                <w:szCs w:val="24"/>
              </w:rPr>
              <w:t>2</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4308ADDB" w:rsidR="00081E82" w:rsidRDefault="00081E82" w:rsidP="0094683A">
            <w:pPr>
              <w:jc w:val="both"/>
              <w:rPr>
                <w:sz w:val="24"/>
                <w:szCs w:val="24"/>
              </w:rPr>
            </w:pPr>
            <w:r w:rsidRPr="00F27F25">
              <w:rPr>
                <w:i/>
                <w:sz w:val="24"/>
                <w:szCs w:val="24"/>
              </w:rPr>
              <w:t xml:space="preserve">(The minutes of the Board meeting held on </w:t>
            </w:r>
            <w:r>
              <w:rPr>
                <w:i/>
                <w:sz w:val="24"/>
                <w:szCs w:val="24"/>
              </w:rPr>
              <w:t xml:space="preserve">Wednesday, </w:t>
            </w:r>
            <w:r w:rsidR="0094683A">
              <w:rPr>
                <w:i/>
                <w:sz w:val="24"/>
                <w:szCs w:val="24"/>
              </w:rPr>
              <w:t>13 November</w:t>
            </w:r>
            <w:r>
              <w:rPr>
                <w:i/>
                <w:sz w:val="24"/>
                <w:szCs w:val="24"/>
              </w:rPr>
              <w:t xml:space="preserve"> 2019</w:t>
            </w:r>
            <w:r w:rsidRPr="00F27F25">
              <w:rPr>
                <w:i/>
                <w:sz w:val="24"/>
                <w:szCs w:val="24"/>
              </w:rPr>
              <w:t xml:space="preserve"> were circulated in advance of the meeting.)</w:t>
            </w:r>
          </w:p>
        </w:tc>
      </w:tr>
      <w:tr w:rsidR="00081E82" w:rsidRPr="00DD39EE" w14:paraId="794958BA" w14:textId="77777777" w:rsidTr="00D85236">
        <w:tc>
          <w:tcPr>
            <w:tcW w:w="824" w:type="dxa"/>
            <w:tcBorders>
              <w:top w:val="dotted" w:sz="4" w:space="0" w:color="auto"/>
              <w:bottom w:val="dotted" w:sz="4" w:space="0" w:color="auto"/>
            </w:tcBorders>
          </w:tcPr>
          <w:p w14:paraId="796F1747" w14:textId="6F43D28B" w:rsidR="00081E82" w:rsidRDefault="0016672D"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35DCF901" w14:textId="324A8336" w:rsidR="00081E82" w:rsidRDefault="00081E82" w:rsidP="0094683A">
            <w:pPr>
              <w:jc w:val="both"/>
              <w:rPr>
                <w:sz w:val="24"/>
                <w:szCs w:val="24"/>
              </w:rPr>
            </w:pPr>
            <w:r>
              <w:rPr>
                <w:sz w:val="24"/>
                <w:szCs w:val="24"/>
              </w:rPr>
              <w:t xml:space="preserve">The minutes were </w:t>
            </w:r>
            <w:r w:rsidR="0094683A">
              <w:rPr>
                <w:sz w:val="24"/>
                <w:szCs w:val="24"/>
              </w:rPr>
              <w:t>proposed by Joanne McCarthy and seconded by John Saunders.</w:t>
            </w:r>
          </w:p>
        </w:tc>
      </w:tr>
      <w:tr w:rsidR="00081E82" w:rsidRPr="00DD39EE" w14:paraId="157F73FD" w14:textId="77777777" w:rsidTr="00D85236">
        <w:tc>
          <w:tcPr>
            <w:tcW w:w="824" w:type="dxa"/>
            <w:tcBorders>
              <w:top w:val="dotted" w:sz="4" w:space="0" w:color="auto"/>
              <w:bottom w:val="dotted" w:sz="4" w:space="0" w:color="auto"/>
            </w:tcBorders>
          </w:tcPr>
          <w:p w14:paraId="7D10BA98" w14:textId="6026AFFF" w:rsidR="00081E82" w:rsidRPr="00F808C6" w:rsidRDefault="00F814AA" w:rsidP="00081E82">
            <w:pPr>
              <w:rPr>
                <w:b/>
                <w:sz w:val="24"/>
                <w:szCs w:val="24"/>
              </w:rPr>
            </w:pPr>
            <w:r>
              <w:rPr>
                <w:b/>
                <w:sz w:val="24"/>
                <w:szCs w:val="24"/>
              </w:rPr>
              <w:t>3</w:t>
            </w:r>
          </w:p>
        </w:tc>
        <w:tc>
          <w:tcPr>
            <w:tcW w:w="8192" w:type="dxa"/>
            <w:tcBorders>
              <w:top w:val="dotted" w:sz="4" w:space="0" w:color="auto"/>
              <w:bottom w:val="dotted" w:sz="4" w:space="0" w:color="auto"/>
            </w:tcBorders>
          </w:tcPr>
          <w:p w14:paraId="05D3480B" w14:textId="618D6391" w:rsidR="00081E82" w:rsidRDefault="00F814AA" w:rsidP="00081E82">
            <w:pPr>
              <w:jc w:val="both"/>
              <w:rPr>
                <w:sz w:val="24"/>
                <w:szCs w:val="24"/>
              </w:rPr>
            </w:pPr>
            <w:r>
              <w:rPr>
                <w:b/>
                <w:sz w:val="24"/>
                <w:szCs w:val="24"/>
              </w:rPr>
              <w:t xml:space="preserve">CIB </w:t>
            </w:r>
            <w:r w:rsidR="00081E82">
              <w:rPr>
                <w:b/>
                <w:sz w:val="24"/>
                <w:szCs w:val="24"/>
              </w:rPr>
              <w:t>Strategy</w:t>
            </w:r>
            <w:r>
              <w:rPr>
                <w:b/>
                <w:sz w:val="24"/>
                <w:szCs w:val="24"/>
              </w:rPr>
              <w:t xml:space="preserve"> Development</w:t>
            </w:r>
          </w:p>
        </w:tc>
      </w:tr>
      <w:tr w:rsidR="00081E82" w:rsidRPr="00DD39EE" w14:paraId="3896BC84" w14:textId="77777777" w:rsidTr="00D85236">
        <w:tc>
          <w:tcPr>
            <w:tcW w:w="824" w:type="dxa"/>
            <w:tcBorders>
              <w:top w:val="dotted" w:sz="4" w:space="0" w:color="auto"/>
              <w:bottom w:val="dotted" w:sz="4" w:space="0" w:color="auto"/>
            </w:tcBorders>
          </w:tcPr>
          <w:p w14:paraId="1B950716" w14:textId="6AA2E4F3" w:rsidR="00081E82" w:rsidRPr="00F808C6" w:rsidRDefault="00081E82" w:rsidP="00081E82">
            <w:pPr>
              <w:rPr>
                <w:sz w:val="24"/>
                <w:szCs w:val="24"/>
              </w:rPr>
            </w:pPr>
            <w:r w:rsidRPr="00F808C6">
              <w:rPr>
                <w:sz w:val="24"/>
                <w:szCs w:val="24"/>
              </w:rPr>
              <w:t>2</w:t>
            </w:r>
            <w:r>
              <w:rPr>
                <w:sz w:val="24"/>
                <w:szCs w:val="24"/>
              </w:rPr>
              <w:t>.1</w:t>
            </w:r>
          </w:p>
        </w:tc>
        <w:tc>
          <w:tcPr>
            <w:tcW w:w="8192" w:type="dxa"/>
            <w:tcBorders>
              <w:top w:val="dotted" w:sz="4" w:space="0" w:color="auto"/>
              <w:bottom w:val="dotted" w:sz="4" w:space="0" w:color="auto"/>
            </w:tcBorders>
          </w:tcPr>
          <w:p w14:paraId="3F3D9555" w14:textId="4EF578AD" w:rsidR="00081E82" w:rsidRPr="00F814AA" w:rsidRDefault="00F814AA" w:rsidP="005A46BE">
            <w:pPr>
              <w:jc w:val="both"/>
              <w:rPr>
                <w:sz w:val="24"/>
                <w:szCs w:val="24"/>
              </w:rPr>
            </w:pPr>
            <w:r>
              <w:rPr>
                <w:sz w:val="24"/>
                <w:szCs w:val="24"/>
              </w:rPr>
              <w:t xml:space="preserve">The Business Plan for 2020 will be presented at the Board meeting in February 2020. This plan will have a focus on the public sector </w:t>
            </w:r>
            <w:r w:rsidR="005A46BE">
              <w:rPr>
                <w:sz w:val="24"/>
                <w:szCs w:val="24"/>
              </w:rPr>
              <w:t xml:space="preserve">equality and human rights duty, and will be integrated with the organisation’s risks and budgets. Baselines for </w:t>
            </w:r>
            <w:r w:rsidR="00F06D49">
              <w:rPr>
                <w:sz w:val="24"/>
                <w:szCs w:val="24"/>
              </w:rPr>
              <w:t>Key Performance Indicators (</w:t>
            </w:r>
            <w:r w:rsidR="005A46BE">
              <w:rPr>
                <w:sz w:val="24"/>
                <w:szCs w:val="24"/>
              </w:rPr>
              <w:t>KPIs</w:t>
            </w:r>
            <w:r w:rsidR="00F06D49">
              <w:rPr>
                <w:sz w:val="24"/>
                <w:szCs w:val="24"/>
              </w:rPr>
              <w:t>)</w:t>
            </w:r>
            <w:r w:rsidR="005A46BE">
              <w:rPr>
                <w:sz w:val="24"/>
                <w:szCs w:val="24"/>
              </w:rPr>
              <w:t xml:space="preserve"> will be established in the course of 2020.</w:t>
            </w:r>
          </w:p>
        </w:tc>
      </w:tr>
      <w:tr w:rsidR="00081E82" w:rsidRPr="00DD39EE" w14:paraId="17B07974" w14:textId="77777777" w:rsidTr="00D85236">
        <w:tc>
          <w:tcPr>
            <w:tcW w:w="824" w:type="dxa"/>
            <w:tcBorders>
              <w:top w:val="dotted" w:sz="4" w:space="0" w:color="auto"/>
              <w:bottom w:val="dotted" w:sz="4" w:space="0" w:color="auto"/>
            </w:tcBorders>
          </w:tcPr>
          <w:p w14:paraId="1BCC7FFE" w14:textId="61D1C2CA" w:rsidR="00081E82" w:rsidRPr="00D97609" w:rsidRDefault="00F06D49" w:rsidP="00081E82">
            <w:pPr>
              <w:rPr>
                <w:b/>
                <w:sz w:val="24"/>
                <w:szCs w:val="24"/>
              </w:rPr>
            </w:pPr>
            <w:r>
              <w:rPr>
                <w:b/>
                <w:sz w:val="24"/>
                <w:szCs w:val="24"/>
              </w:rPr>
              <w:t>4</w:t>
            </w:r>
          </w:p>
        </w:tc>
        <w:tc>
          <w:tcPr>
            <w:tcW w:w="8192" w:type="dxa"/>
            <w:tcBorders>
              <w:top w:val="dotted" w:sz="4" w:space="0" w:color="auto"/>
              <w:bottom w:val="dotted" w:sz="4" w:space="0" w:color="auto"/>
            </w:tcBorders>
          </w:tcPr>
          <w:p w14:paraId="0F57003A" w14:textId="45AC10BA" w:rsidR="00081E82" w:rsidRPr="00D97609" w:rsidRDefault="00081E82" w:rsidP="00081E82">
            <w:pPr>
              <w:rPr>
                <w:b/>
                <w:sz w:val="24"/>
                <w:szCs w:val="24"/>
              </w:rPr>
            </w:pPr>
            <w:r>
              <w:rPr>
                <w:b/>
                <w:sz w:val="24"/>
                <w:szCs w:val="24"/>
              </w:rPr>
              <w:t>Finance M</w:t>
            </w:r>
            <w:r w:rsidRPr="00D97609">
              <w:rPr>
                <w:b/>
                <w:sz w:val="24"/>
                <w:szCs w:val="24"/>
              </w:rPr>
              <w:t>atters</w:t>
            </w:r>
          </w:p>
        </w:tc>
      </w:tr>
      <w:tr w:rsidR="00081E82" w:rsidRPr="00DD39EE" w14:paraId="0C1AAE28" w14:textId="77777777" w:rsidTr="00D85236">
        <w:tc>
          <w:tcPr>
            <w:tcW w:w="824" w:type="dxa"/>
            <w:tcBorders>
              <w:top w:val="dotted" w:sz="4" w:space="0" w:color="auto"/>
              <w:bottom w:val="dotted" w:sz="4" w:space="0" w:color="auto"/>
            </w:tcBorders>
          </w:tcPr>
          <w:p w14:paraId="66EC70BE" w14:textId="39E02E66" w:rsidR="00081E82" w:rsidRDefault="00F06D49" w:rsidP="00081E82">
            <w:pPr>
              <w:rPr>
                <w:sz w:val="24"/>
                <w:szCs w:val="24"/>
              </w:rPr>
            </w:pPr>
            <w:r>
              <w:rPr>
                <w:sz w:val="24"/>
                <w:szCs w:val="24"/>
              </w:rPr>
              <w:t>4</w:t>
            </w:r>
            <w:r w:rsidR="00081E82">
              <w:rPr>
                <w:sz w:val="24"/>
                <w:szCs w:val="24"/>
              </w:rPr>
              <w:t>.1</w:t>
            </w:r>
          </w:p>
        </w:tc>
        <w:tc>
          <w:tcPr>
            <w:tcW w:w="8192" w:type="dxa"/>
            <w:tcBorders>
              <w:top w:val="dotted" w:sz="4" w:space="0" w:color="auto"/>
              <w:bottom w:val="dotted" w:sz="4" w:space="0" w:color="auto"/>
            </w:tcBorders>
          </w:tcPr>
          <w:p w14:paraId="17AE12FA" w14:textId="7F050E1C" w:rsidR="00081E82" w:rsidRPr="000F4B96" w:rsidRDefault="00081E82" w:rsidP="00081E82">
            <w:pPr>
              <w:rPr>
                <w:sz w:val="24"/>
                <w:szCs w:val="24"/>
                <w:u w:val="single"/>
              </w:rPr>
            </w:pPr>
            <w:r w:rsidRPr="000F4B96">
              <w:rPr>
                <w:sz w:val="24"/>
                <w:szCs w:val="24"/>
                <w:u w:val="single"/>
              </w:rPr>
              <w:t>Budget Monitoring</w:t>
            </w:r>
          </w:p>
        </w:tc>
      </w:tr>
      <w:tr w:rsidR="00081E82" w:rsidRPr="00DD39EE" w14:paraId="4839A560" w14:textId="77777777" w:rsidTr="00D85236">
        <w:tc>
          <w:tcPr>
            <w:tcW w:w="824" w:type="dxa"/>
            <w:tcBorders>
              <w:top w:val="dotted" w:sz="4" w:space="0" w:color="auto"/>
              <w:bottom w:val="dotted" w:sz="4" w:space="0" w:color="auto"/>
            </w:tcBorders>
          </w:tcPr>
          <w:p w14:paraId="4DD04347" w14:textId="6FBBB28F" w:rsidR="00081E82" w:rsidRDefault="00F06D49" w:rsidP="00081E82">
            <w:pPr>
              <w:rPr>
                <w:sz w:val="24"/>
                <w:szCs w:val="24"/>
              </w:rPr>
            </w:pPr>
            <w:r>
              <w:rPr>
                <w:sz w:val="24"/>
                <w:szCs w:val="24"/>
              </w:rPr>
              <w:t>4</w:t>
            </w:r>
            <w:r w:rsidR="00081E82">
              <w:rPr>
                <w:sz w:val="24"/>
                <w:szCs w:val="24"/>
              </w:rPr>
              <w:t>.1.1</w:t>
            </w:r>
          </w:p>
        </w:tc>
        <w:tc>
          <w:tcPr>
            <w:tcW w:w="8192" w:type="dxa"/>
            <w:tcBorders>
              <w:top w:val="dotted" w:sz="4" w:space="0" w:color="auto"/>
              <w:bottom w:val="dotted" w:sz="4" w:space="0" w:color="auto"/>
            </w:tcBorders>
          </w:tcPr>
          <w:p w14:paraId="49B1E20B" w14:textId="0C6E7122" w:rsidR="00081E82" w:rsidRDefault="00081E82" w:rsidP="00F06D49">
            <w:pPr>
              <w:jc w:val="both"/>
              <w:rPr>
                <w:sz w:val="24"/>
                <w:szCs w:val="24"/>
              </w:rPr>
            </w:pPr>
            <w:r>
              <w:rPr>
                <w:sz w:val="24"/>
                <w:szCs w:val="24"/>
              </w:rPr>
              <w:t xml:space="preserve">The </w:t>
            </w:r>
            <w:r w:rsidRPr="000A6C42">
              <w:rPr>
                <w:sz w:val="24"/>
                <w:szCs w:val="24"/>
              </w:rPr>
              <w:t xml:space="preserve">Budget Monitoring Report </w:t>
            </w:r>
            <w:r>
              <w:rPr>
                <w:sz w:val="24"/>
                <w:szCs w:val="24"/>
              </w:rPr>
              <w:t xml:space="preserve">for </w:t>
            </w:r>
            <w:r w:rsidR="00F06D49">
              <w:rPr>
                <w:sz w:val="24"/>
                <w:szCs w:val="24"/>
              </w:rPr>
              <w:t>November</w:t>
            </w:r>
            <w:r>
              <w:rPr>
                <w:sz w:val="24"/>
                <w:szCs w:val="24"/>
              </w:rPr>
              <w:t xml:space="preserve"> 2019 showed </w:t>
            </w:r>
            <w:r w:rsidRPr="00D233F9">
              <w:rPr>
                <w:sz w:val="24"/>
                <w:szCs w:val="24"/>
              </w:rPr>
              <w:t>overall excess</w:t>
            </w:r>
            <w:r>
              <w:rPr>
                <w:sz w:val="24"/>
                <w:szCs w:val="24"/>
              </w:rPr>
              <w:t xml:space="preserve"> of income over expenditure o</w:t>
            </w:r>
            <w:r w:rsidRPr="001A35A3">
              <w:rPr>
                <w:sz w:val="24"/>
                <w:szCs w:val="24"/>
              </w:rPr>
              <w:t>f €</w:t>
            </w:r>
            <w:r w:rsidR="00F06D49">
              <w:rPr>
                <w:sz w:val="24"/>
                <w:szCs w:val="24"/>
              </w:rPr>
              <w:t>2.9</w:t>
            </w:r>
            <w:r w:rsidR="007A338B">
              <w:rPr>
                <w:sz w:val="24"/>
                <w:szCs w:val="24"/>
              </w:rPr>
              <w:t>m</w:t>
            </w:r>
            <w:r w:rsidR="00B37D4F">
              <w:rPr>
                <w:sz w:val="24"/>
                <w:szCs w:val="24"/>
              </w:rPr>
              <w:t xml:space="preserve"> at this point in time</w:t>
            </w:r>
            <w:r>
              <w:rPr>
                <w:sz w:val="24"/>
                <w:szCs w:val="24"/>
              </w:rPr>
              <w:t xml:space="preserve">. </w:t>
            </w:r>
          </w:p>
        </w:tc>
      </w:tr>
      <w:tr w:rsidR="00F20047" w:rsidRPr="00DD39EE" w14:paraId="70109A17" w14:textId="77777777" w:rsidTr="00D85236">
        <w:tc>
          <w:tcPr>
            <w:tcW w:w="824" w:type="dxa"/>
            <w:tcBorders>
              <w:top w:val="dotted" w:sz="4" w:space="0" w:color="auto"/>
              <w:bottom w:val="dotted" w:sz="4" w:space="0" w:color="auto"/>
            </w:tcBorders>
          </w:tcPr>
          <w:p w14:paraId="5308FA64" w14:textId="3048E113" w:rsidR="00F20047" w:rsidRDefault="00F06D49" w:rsidP="00081E82">
            <w:pPr>
              <w:rPr>
                <w:sz w:val="24"/>
                <w:szCs w:val="24"/>
              </w:rPr>
            </w:pPr>
            <w:r>
              <w:rPr>
                <w:sz w:val="24"/>
                <w:szCs w:val="24"/>
              </w:rPr>
              <w:t>4</w:t>
            </w:r>
            <w:r w:rsidR="00F20047">
              <w:rPr>
                <w:sz w:val="24"/>
                <w:szCs w:val="24"/>
              </w:rPr>
              <w:t>.2</w:t>
            </w:r>
          </w:p>
        </w:tc>
        <w:tc>
          <w:tcPr>
            <w:tcW w:w="8192" w:type="dxa"/>
            <w:tcBorders>
              <w:top w:val="dotted" w:sz="4" w:space="0" w:color="auto"/>
              <w:bottom w:val="dotted" w:sz="4" w:space="0" w:color="auto"/>
            </w:tcBorders>
          </w:tcPr>
          <w:p w14:paraId="1A7AB223" w14:textId="34BA2888" w:rsidR="00F20047" w:rsidRPr="00F20047" w:rsidRDefault="00F06D49" w:rsidP="00DF39D5">
            <w:pPr>
              <w:jc w:val="both"/>
              <w:rPr>
                <w:sz w:val="24"/>
                <w:szCs w:val="24"/>
                <w:u w:val="single"/>
              </w:rPr>
            </w:pPr>
            <w:r>
              <w:rPr>
                <w:sz w:val="24"/>
                <w:szCs w:val="24"/>
                <w:u w:val="single"/>
              </w:rPr>
              <w:t>Annual Financial Statements 2018</w:t>
            </w:r>
          </w:p>
        </w:tc>
      </w:tr>
      <w:tr w:rsidR="00F20047" w:rsidRPr="00DD39EE" w14:paraId="6F063BAA" w14:textId="77777777" w:rsidTr="00D85236">
        <w:tc>
          <w:tcPr>
            <w:tcW w:w="824" w:type="dxa"/>
            <w:tcBorders>
              <w:top w:val="dotted" w:sz="4" w:space="0" w:color="auto"/>
              <w:bottom w:val="dotted" w:sz="4" w:space="0" w:color="auto"/>
            </w:tcBorders>
          </w:tcPr>
          <w:p w14:paraId="2B590496" w14:textId="1BB3028B" w:rsidR="00F20047" w:rsidRDefault="00F06D49" w:rsidP="00081E82">
            <w:pPr>
              <w:rPr>
                <w:sz w:val="24"/>
                <w:szCs w:val="24"/>
              </w:rPr>
            </w:pPr>
            <w:r>
              <w:rPr>
                <w:sz w:val="24"/>
                <w:szCs w:val="24"/>
              </w:rPr>
              <w:t>4</w:t>
            </w:r>
            <w:r w:rsidR="00F20047">
              <w:rPr>
                <w:sz w:val="24"/>
                <w:szCs w:val="24"/>
              </w:rPr>
              <w:t>.2.1</w:t>
            </w:r>
          </w:p>
        </w:tc>
        <w:tc>
          <w:tcPr>
            <w:tcW w:w="8192" w:type="dxa"/>
            <w:tcBorders>
              <w:top w:val="dotted" w:sz="4" w:space="0" w:color="auto"/>
              <w:bottom w:val="dotted" w:sz="4" w:space="0" w:color="auto"/>
            </w:tcBorders>
          </w:tcPr>
          <w:p w14:paraId="1111B2D4" w14:textId="6896C453" w:rsidR="00F20047" w:rsidRDefault="00EE20C3" w:rsidP="00FB4ED6">
            <w:pPr>
              <w:jc w:val="both"/>
              <w:rPr>
                <w:sz w:val="24"/>
                <w:szCs w:val="24"/>
              </w:rPr>
            </w:pPr>
            <w:r>
              <w:rPr>
                <w:sz w:val="24"/>
                <w:szCs w:val="24"/>
              </w:rPr>
              <w:t xml:space="preserve">It is </w:t>
            </w:r>
            <w:r w:rsidR="00FB4ED6">
              <w:rPr>
                <w:sz w:val="24"/>
                <w:szCs w:val="24"/>
              </w:rPr>
              <w:t>expected</w:t>
            </w:r>
            <w:r>
              <w:rPr>
                <w:sz w:val="24"/>
                <w:szCs w:val="24"/>
              </w:rPr>
              <w:t xml:space="preserve"> that the audit process for the 2018 annual financial statements will be complete by the end of the year. The Comptroller and Auditor General (C&amp;AG) has requested that some points in the statements, which were approved by the </w:t>
            </w:r>
            <w:r>
              <w:rPr>
                <w:sz w:val="24"/>
                <w:szCs w:val="24"/>
              </w:rPr>
              <w:lastRenderedPageBreak/>
              <w:t>Board in March, be updated to reflect developments since th</w:t>
            </w:r>
            <w:r w:rsidR="007E2FFC">
              <w:rPr>
                <w:sz w:val="24"/>
                <w:szCs w:val="24"/>
              </w:rPr>
              <w:t xml:space="preserve">at time. It was agreed that </w:t>
            </w:r>
            <w:proofErr w:type="spellStart"/>
            <w:r>
              <w:rPr>
                <w:sz w:val="24"/>
                <w:szCs w:val="24"/>
              </w:rPr>
              <w:t>Ita</w:t>
            </w:r>
            <w:proofErr w:type="spellEnd"/>
            <w:r>
              <w:rPr>
                <w:sz w:val="24"/>
                <w:szCs w:val="24"/>
              </w:rPr>
              <w:t xml:space="preserve"> </w:t>
            </w:r>
            <w:proofErr w:type="spellStart"/>
            <w:r>
              <w:rPr>
                <w:sz w:val="24"/>
                <w:szCs w:val="24"/>
              </w:rPr>
              <w:t>Mangan</w:t>
            </w:r>
            <w:proofErr w:type="spellEnd"/>
            <w:r>
              <w:rPr>
                <w:sz w:val="24"/>
                <w:szCs w:val="24"/>
              </w:rPr>
              <w:t xml:space="preserve"> and John Saunders would sign the updated accounts and that a letter would be sent to the C&amp;AG noting the late completion of the 2018 audit process. </w:t>
            </w:r>
          </w:p>
        </w:tc>
      </w:tr>
      <w:tr w:rsidR="00EE20C3" w:rsidRPr="00DD39EE" w14:paraId="284C5D19" w14:textId="77777777" w:rsidTr="00D85236">
        <w:tc>
          <w:tcPr>
            <w:tcW w:w="824" w:type="dxa"/>
            <w:tcBorders>
              <w:top w:val="dotted" w:sz="4" w:space="0" w:color="auto"/>
              <w:bottom w:val="dotted" w:sz="4" w:space="0" w:color="auto"/>
            </w:tcBorders>
          </w:tcPr>
          <w:p w14:paraId="3F35257F" w14:textId="72513205" w:rsidR="00EE20C3" w:rsidRDefault="00EE20C3" w:rsidP="00081E82">
            <w:pPr>
              <w:rPr>
                <w:sz w:val="24"/>
                <w:szCs w:val="24"/>
              </w:rPr>
            </w:pPr>
            <w:r>
              <w:rPr>
                <w:sz w:val="24"/>
                <w:szCs w:val="24"/>
              </w:rPr>
              <w:lastRenderedPageBreak/>
              <w:t>4.3</w:t>
            </w:r>
          </w:p>
        </w:tc>
        <w:tc>
          <w:tcPr>
            <w:tcW w:w="8192" w:type="dxa"/>
            <w:tcBorders>
              <w:top w:val="dotted" w:sz="4" w:space="0" w:color="auto"/>
              <w:bottom w:val="dotted" w:sz="4" w:space="0" w:color="auto"/>
            </w:tcBorders>
          </w:tcPr>
          <w:p w14:paraId="74EC4CD4" w14:textId="4D3EC1D7" w:rsidR="00EE20C3" w:rsidRPr="00EE20C3" w:rsidRDefault="00EE20C3" w:rsidP="00EE20C3">
            <w:pPr>
              <w:jc w:val="both"/>
              <w:rPr>
                <w:sz w:val="24"/>
                <w:szCs w:val="24"/>
                <w:u w:val="single"/>
              </w:rPr>
            </w:pPr>
            <w:r w:rsidRPr="00EE20C3">
              <w:rPr>
                <w:sz w:val="24"/>
                <w:szCs w:val="24"/>
                <w:u w:val="single"/>
              </w:rPr>
              <w:t>Budget 2020</w:t>
            </w:r>
          </w:p>
        </w:tc>
      </w:tr>
      <w:tr w:rsidR="00EE20C3" w:rsidRPr="00DD39EE" w14:paraId="15669EC4" w14:textId="77777777" w:rsidTr="00D85236">
        <w:tc>
          <w:tcPr>
            <w:tcW w:w="824" w:type="dxa"/>
            <w:tcBorders>
              <w:top w:val="dotted" w:sz="4" w:space="0" w:color="auto"/>
              <w:bottom w:val="dotted" w:sz="4" w:space="0" w:color="auto"/>
            </w:tcBorders>
          </w:tcPr>
          <w:p w14:paraId="0422A5AB" w14:textId="3982C88B" w:rsidR="00EE20C3" w:rsidRDefault="00EE20C3" w:rsidP="00081E82">
            <w:pPr>
              <w:rPr>
                <w:sz w:val="24"/>
                <w:szCs w:val="24"/>
              </w:rPr>
            </w:pPr>
            <w:r>
              <w:rPr>
                <w:sz w:val="24"/>
                <w:szCs w:val="24"/>
              </w:rPr>
              <w:t>4.3.1</w:t>
            </w:r>
          </w:p>
        </w:tc>
        <w:tc>
          <w:tcPr>
            <w:tcW w:w="8192" w:type="dxa"/>
            <w:tcBorders>
              <w:top w:val="dotted" w:sz="4" w:space="0" w:color="auto"/>
              <w:bottom w:val="dotted" w:sz="4" w:space="0" w:color="auto"/>
            </w:tcBorders>
          </w:tcPr>
          <w:p w14:paraId="403A3DEE" w14:textId="3D8C627B" w:rsidR="00EE20C3" w:rsidRDefault="00EE20C3" w:rsidP="00EE20C3">
            <w:pPr>
              <w:jc w:val="both"/>
              <w:rPr>
                <w:sz w:val="24"/>
                <w:szCs w:val="24"/>
              </w:rPr>
            </w:pPr>
            <w:r>
              <w:rPr>
                <w:sz w:val="24"/>
                <w:szCs w:val="24"/>
              </w:rPr>
              <w:t>The Department of Employment Affairs and Social Protection (DEASP) has confirmed the budget estimates for 2020. Income from the DEASP in 2020 is expected to be €62.064m.</w:t>
            </w:r>
          </w:p>
        </w:tc>
      </w:tr>
      <w:tr w:rsidR="001E636D" w:rsidRPr="00DD39EE" w14:paraId="3F4C880A" w14:textId="77777777" w:rsidTr="00D85236">
        <w:tc>
          <w:tcPr>
            <w:tcW w:w="824" w:type="dxa"/>
            <w:tcBorders>
              <w:top w:val="dotted" w:sz="4" w:space="0" w:color="auto"/>
              <w:bottom w:val="dotted" w:sz="4" w:space="0" w:color="auto"/>
            </w:tcBorders>
          </w:tcPr>
          <w:p w14:paraId="34BDC16C" w14:textId="3E3D5760" w:rsidR="001E636D" w:rsidRDefault="001E636D" w:rsidP="00081E82">
            <w:pPr>
              <w:rPr>
                <w:sz w:val="24"/>
                <w:szCs w:val="24"/>
              </w:rPr>
            </w:pPr>
            <w:r>
              <w:rPr>
                <w:sz w:val="24"/>
                <w:szCs w:val="24"/>
              </w:rPr>
              <w:t>4.4</w:t>
            </w:r>
          </w:p>
        </w:tc>
        <w:tc>
          <w:tcPr>
            <w:tcW w:w="8192" w:type="dxa"/>
            <w:tcBorders>
              <w:top w:val="dotted" w:sz="4" w:space="0" w:color="auto"/>
              <w:bottom w:val="dotted" w:sz="4" w:space="0" w:color="auto"/>
            </w:tcBorders>
          </w:tcPr>
          <w:p w14:paraId="6EB20A92" w14:textId="694B3980" w:rsidR="001E636D" w:rsidRPr="001E636D" w:rsidRDefault="001E636D" w:rsidP="00EE20C3">
            <w:pPr>
              <w:jc w:val="both"/>
              <w:rPr>
                <w:sz w:val="24"/>
                <w:szCs w:val="24"/>
                <w:u w:val="single"/>
              </w:rPr>
            </w:pPr>
            <w:r w:rsidRPr="001E636D">
              <w:rPr>
                <w:sz w:val="24"/>
                <w:szCs w:val="24"/>
                <w:u w:val="single"/>
              </w:rPr>
              <w:t>Review of the Risk Register</w:t>
            </w:r>
          </w:p>
        </w:tc>
      </w:tr>
      <w:tr w:rsidR="001E636D" w:rsidRPr="00DD39EE" w14:paraId="5186744E" w14:textId="77777777" w:rsidTr="00D85236">
        <w:tc>
          <w:tcPr>
            <w:tcW w:w="824" w:type="dxa"/>
            <w:tcBorders>
              <w:top w:val="dotted" w:sz="4" w:space="0" w:color="auto"/>
              <w:bottom w:val="dotted" w:sz="4" w:space="0" w:color="auto"/>
            </w:tcBorders>
          </w:tcPr>
          <w:p w14:paraId="3B53A52E" w14:textId="1A51A495" w:rsidR="001E636D" w:rsidRDefault="001E636D" w:rsidP="00081E82">
            <w:pPr>
              <w:rPr>
                <w:sz w:val="24"/>
                <w:szCs w:val="24"/>
              </w:rPr>
            </w:pPr>
            <w:r>
              <w:rPr>
                <w:sz w:val="24"/>
                <w:szCs w:val="24"/>
              </w:rPr>
              <w:t>4.4.1</w:t>
            </w:r>
          </w:p>
        </w:tc>
        <w:tc>
          <w:tcPr>
            <w:tcW w:w="8192" w:type="dxa"/>
            <w:tcBorders>
              <w:top w:val="dotted" w:sz="4" w:space="0" w:color="auto"/>
              <w:bottom w:val="dotted" w:sz="4" w:space="0" w:color="auto"/>
            </w:tcBorders>
          </w:tcPr>
          <w:p w14:paraId="12F4B9BE" w14:textId="57023963" w:rsidR="001E636D" w:rsidRDefault="001E636D" w:rsidP="001E636D">
            <w:pPr>
              <w:jc w:val="both"/>
              <w:rPr>
                <w:sz w:val="24"/>
                <w:szCs w:val="24"/>
              </w:rPr>
            </w:pPr>
            <w:r>
              <w:rPr>
                <w:sz w:val="24"/>
                <w:szCs w:val="24"/>
              </w:rPr>
              <w:t>Following review at the Audit and Risk Committee, the revised Risk Register was presented to the Board for comment. It was agreed that ‘green’ risks would be removed from the Risk Register circulated to the Board at future meetings, but that these risks would continue to be reviewed by the Audit and Risk Committee.</w:t>
            </w:r>
          </w:p>
        </w:tc>
      </w:tr>
      <w:tr w:rsidR="00081E82" w:rsidRPr="00E767AF" w14:paraId="6FF90365" w14:textId="77777777" w:rsidTr="00D85236">
        <w:tc>
          <w:tcPr>
            <w:tcW w:w="824" w:type="dxa"/>
            <w:tcBorders>
              <w:top w:val="dotted" w:sz="4" w:space="0" w:color="auto"/>
              <w:bottom w:val="dotted" w:sz="4" w:space="0" w:color="auto"/>
            </w:tcBorders>
          </w:tcPr>
          <w:p w14:paraId="32FECF86" w14:textId="54E9C4C3" w:rsidR="00081E82" w:rsidRPr="00E767AF" w:rsidRDefault="004850A2" w:rsidP="00081E82">
            <w:pPr>
              <w:rPr>
                <w:b/>
                <w:sz w:val="24"/>
                <w:szCs w:val="24"/>
              </w:rPr>
            </w:pPr>
            <w:r>
              <w:rPr>
                <w:b/>
                <w:sz w:val="24"/>
                <w:szCs w:val="24"/>
              </w:rPr>
              <w:t>5</w:t>
            </w:r>
          </w:p>
        </w:tc>
        <w:tc>
          <w:tcPr>
            <w:tcW w:w="8192" w:type="dxa"/>
            <w:tcBorders>
              <w:top w:val="dotted" w:sz="4" w:space="0" w:color="auto"/>
              <w:bottom w:val="dotted" w:sz="4" w:space="0" w:color="auto"/>
            </w:tcBorders>
          </w:tcPr>
          <w:p w14:paraId="746C0B43" w14:textId="6C21A031" w:rsidR="00081E82" w:rsidRPr="00AA2BF2" w:rsidRDefault="004850A2" w:rsidP="00081E82">
            <w:pPr>
              <w:tabs>
                <w:tab w:val="left" w:pos="2822"/>
              </w:tabs>
              <w:jc w:val="both"/>
              <w:rPr>
                <w:b/>
                <w:sz w:val="24"/>
                <w:szCs w:val="24"/>
              </w:rPr>
            </w:pPr>
            <w:r>
              <w:rPr>
                <w:b/>
                <w:sz w:val="24"/>
                <w:szCs w:val="24"/>
              </w:rPr>
              <w:t>Report of the Chief Executive</w:t>
            </w:r>
          </w:p>
        </w:tc>
      </w:tr>
      <w:tr w:rsidR="00081E82" w:rsidRPr="00DD39EE" w14:paraId="19805E68" w14:textId="77777777" w:rsidTr="00D85236">
        <w:tc>
          <w:tcPr>
            <w:tcW w:w="824" w:type="dxa"/>
            <w:tcBorders>
              <w:top w:val="dotted" w:sz="4" w:space="0" w:color="auto"/>
              <w:bottom w:val="dotted" w:sz="4" w:space="0" w:color="auto"/>
            </w:tcBorders>
          </w:tcPr>
          <w:p w14:paraId="3BAFC23E" w14:textId="254422E9" w:rsidR="00081E82" w:rsidRDefault="004850A2" w:rsidP="00081E82">
            <w:pPr>
              <w:rPr>
                <w:sz w:val="24"/>
                <w:szCs w:val="24"/>
              </w:rPr>
            </w:pPr>
            <w:r>
              <w:rPr>
                <w:sz w:val="24"/>
                <w:szCs w:val="24"/>
              </w:rPr>
              <w:t>5</w:t>
            </w:r>
            <w:r w:rsidR="00081E82">
              <w:rPr>
                <w:sz w:val="24"/>
                <w:szCs w:val="24"/>
              </w:rPr>
              <w:t>.1</w:t>
            </w:r>
          </w:p>
        </w:tc>
        <w:tc>
          <w:tcPr>
            <w:tcW w:w="8192" w:type="dxa"/>
            <w:tcBorders>
              <w:top w:val="dotted" w:sz="4" w:space="0" w:color="auto"/>
              <w:bottom w:val="dotted" w:sz="4" w:space="0" w:color="auto"/>
            </w:tcBorders>
          </w:tcPr>
          <w:p w14:paraId="60BBA39B" w14:textId="6CB43C95" w:rsidR="00081E82" w:rsidRPr="004850A2" w:rsidRDefault="004850A2" w:rsidP="00FB4ED6">
            <w:pPr>
              <w:tabs>
                <w:tab w:val="left" w:pos="2822"/>
              </w:tabs>
              <w:jc w:val="both"/>
              <w:rPr>
                <w:sz w:val="24"/>
                <w:szCs w:val="24"/>
              </w:rPr>
            </w:pPr>
            <w:r>
              <w:rPr>
                <w:sz w:val="24"/>
                <w:szCs w:val="24"/>
              </w:rPr>
              <w:t>The Chief Executive has been attending events at the regional companies and expects to have visited each company by Spring 2020. It was noted that a number of initiatives have been completed recently, including a staffing strategy for the Citizens Information Services (CIS) and the introduction of Long Service Increments</w:t>
            </w:r>
            <w:r w:rsidR="00FB4ED6">
              <w:rPr>
                <w:sz w:val="24"/>
                <w:szCs w:val="24"/>
              </w:rPr>
              <w:t xml:space="preserve"> for CIS staff members</w:t>
            </w:r>
            <w:r>
              <w:rPr>
                <w:sz w:val="24"/>
                <w:szCs w:val="24"/>
              </w:rPr>
              <w:t>. A</w:t>
            </w:r>
            <w:r w:rsidR="00FB4ED6">
              <w:rPr>
                <w:sz w:val="24"/>
                <w:szCs w:val="24"/>
              </w:rPr>
              <w:t>n</w:t>
            </w:r>
            <w:r>
              <w:rPr>
                <w:sz w:val="24"/>
                <w:szCs w:val="24"/>
              </w:rPr>
              <w:t xml:space="preserve"> </w:t>
            </w:r>
            <w:r w:rsidR="00FB4ED6">
              <w:rPr>
                <w:sz w:val="24"/>
                <w:szCs w:val="24"/>
              </w:rPr>
              <w:t>event celebrating volunteers was</w:t>
            </w:r>
            <w:r>
              <w:rPr>
                <w:sz w:val="24"/>
                <w:szCs w:val="24"/>
              </w:rPr>
              <w:t xml:space="preserve"> held in</w:t>
            </w:r>
            <w:r w:rsidR="00FB4ED6">
              <w:rPr>
                <w:sz w:val="24"/>
                <w:szCs w:val="24"/>
              </w:rPr>
              <w:t xml:space="preserve"> </w:t>
            </w:r>
            <w:proofErr w:type="spellStart"/>
            <w:r w:rsidR="00FB4ED6">
              <w:rPr>
                <w:sz w:val="24"/>
                <w:szCs w:val="24"/>
              </w:rPr>
              <w:t>Páirc</w:t>
            </w:r>
            <w:proofErr w:type="spellEnd"/>
            <w:r w:rsidR="00FB4ED6">
              <w:rPr>
                <w:sz w:val="24"/>
                <w:szCs w:val="24"/>
              </w:rPr>
              <w:t xml:space="preserve"> </w:t>
            </w:r>
            <w:proofErr w:type="spellStart"/>
            <w:r w:rsidR="00FB4ED6">
              <w:rPr>
                <w:sz w:val="24"/>
                <w:szCs w:val="24"/>
              </w:rPr>
              <w:t>Uí</w:t>
            </w:r>
            <w:proofErr w:type="spellEnd"/>
            <w:r w:rsidR="00FB4ED6">
              <w:rPr>
                <w:sz w:val="24"/>
                <w:szCs w:val="24"/>
              </w:rPr>
              <w:t xml:space="preserve"> </w:t>
            </w:r>
            <w:proofErr w:type="spellStart"/>
            <w:r w:rsidR="00FB4ED6">
              <w:rPr>
                <w:sz w:val="24"/>
                <w:szCs w:val="24"/>
              </w:rPr>
              <w:t>Chaoimh</w:t>
            </w:r>
            <w:proofErr w:type="spellEnd"/>
            <w:r w:rsidR="00FB4ED6">
              <w:rPr>
                <w:sz w:val="24"/>
                <w:szCs w:val="24"/>
              </w:rPr>
              <w:t xml:space="preserve"> in</w:t>
            </w:r>
            <w:r>
              <w:rPr>
                <w:sz w:val="24"/>
                <w:szCs w:val="24"/>
              </w:rPr>
              <w:t xml:space="preserve"> November and highlighted the work of volunteers in the CIS network.</w:t>
            </w:r>
          </w:p>
        </w:tc>
      </w:tr>
      <w:tr w:rsidR="00081E82" w:rsidRPr="00DC7CF8" w14:paraId="35D83FA6" w14:textId="77777777" w:rsidTr="00D85236">
        <w:tc>
          <w:tcPr>
            <w:tcW w:w="824" w:type="dxa"/>
            <w:tcBorders>
              <w:top w:val="dotted" w:sz="4" w:space="0" w:color="auto"/>
              <w:bottom w:val="dotted" w:sz="4" w:space="0" w:color="auto"/>
            </w:tcBorders>
          </w:tcPr>
          <w:p w14:paraId="0BC71786" w14:textId="53400C17" w:rsidR="00081E82" w:rsidRPr="00DC7CF8" w:rsidRDefault="00F561E2" w:rsidP="00081E82">
            <w:pPr>
              <w:rPr>
                <w:b/>
                <w:sz w:val="24"/>
                <w:szCs w:val="24"/>
              </w:rPr>
            </w:pPr>
            <w:r>
              <w:rPr>
                <w:b/>
                <w:sz w:val="24"/>
                <w:szCs w:val="24"/>
              </w:rPr>
              <w:t>6</w:t>
            </w:r>
          </w:p>
        </w:tc>
        <w:tc>
          <w:tcPr>
            <w:tcW w:w="8192" w:type="dxa"/>
            <w:tcBorders>
              <w:top w:val="dotted" w:sz="4" w:space="0" w:color="auto"/>
              <w:bottom w:val="dotted" w:sz="4" w:space="0" w:color="auto"/>
            </w:tcBorders>
          </w:tcPr>
          <w:p w14:paraId="6FDE14FE" w14:textId="66D355F2" w:rsidR="00081E82" w:rsidRPr="00DC7CF8" w:rsidRDefault="00995FCA" w:rsidP="00081E82">
            <w:pPr>
              <w:jc w:val="both"/>
              <w:rPr>
                <w:b/>
                <w:sz w:val="24"/>
                <w:szCs w:val="24"/>
              </w:rPr>
            </w:pPr>
            <w:r>
              <w:rPr>
                <w:b/>
                <w:sz w:val="24"/>
                <w:szCs w:val="24"/>
              </w:rPr>
              <w:t xml:space="preserve">Corporate Services, </w:t>
            </w:r>
            <w:r w:rsidR="00081E82">
              <w:rPr>
                <w:b/>
                <w:sz w:val="24"/>
                <w:szCs w:val="24"/>
              </w:rPr>
              <w:t>HR and Governance M</w:t>
            </w:r>
            <w:r w:rsidR="00081E82" w:rsidRPr="00DC7CF8">
              <w:rPr>
                <w:b/>
                <w:sz w:val="24"/>
                <w:szCs w:val="24"/>
              </w:rPr>
              <w:t>atters</w:t>
            </w:r>
          </w:p>
        </w:tc>
      </w:tr>
      <w:tr w:rsidR="00081E82" w:rsidRPr="00DD39EE" w14:paraId="0D49D3FC" w14:textId="77777777" w:rsidTr="00D85236">
        <w:tc>
          <w:tcPr>
            <w:tcW w:w="824" w:type="dxa"/>
            <w:tcBorders>
              <w:top w:val="dotted" w:sz="4" w:space="0" w:color="auto"/>
              <w:bottom w:val="dotted" w:sz="4" w:space="0" w:color="auto"/>
            </w:tcBorders>
          </w:tcPr>
          <w:p w14:paraId="5ED606D4" w14:textId="7B6E3D1E" w:rsidR="00081E82" w:rsidRDefault="00F561E2" w:rsidP="00081E82">
            <w:pPr>
              <w:rPr>
                <w:sz w:val="24"/>
                <w:szCs w:val="24"/>
              </w:rPr>
            </w:pPr>
            <w:r>
              <w:rPr>
                <w:sz w:val="24"/>
                <w:szCs w:val="24"/>
              </w:rPr>
              <w:t>6</w:t>
            </w:r>
            <w:r w:rsidR="00081E82">
              <w:rPr>
                <w:sz w:val="24"/>
                <w:szCs w:val="24"/>
              </w:rPr>
              <w:t>.1</w:t>
            </w:r>
          </w:p>
        </w:tc>
        <w:tc>
          <w:tcPr>
            <w:tcW w:w="8192" w:type="dxa"/>
            <w:tcBorders>
              <w:top w:val="dotted" w:sz="4" w:space="0" w:color="auto"/>
              <w:bottom w:val="dotted" w:sz="4" w:space="0" w:color="auto"/>
            </w:tcBorders>
          </w:tcPr>
          <w:p w14:paraId="53D0D35F" w14:textId="2DBFD37A" w:rsidR="00081E82" w:rsidRPr="008336F4" w:rsidRDefault="00FF0D1A" w:rsidP="00081E82">
            <w:pPr>
              <w:jc w:val="both"/>
              <w:rPr>
                <w:sz w:val="24"/>
                <w:szCs w:val="24"/>
                <w:u w:val="single"/>
              </w:rPr>
            </w:pPr>
            <w:r>
              <w:rPr>
                <w:sz w:val="24"/>
                <w:szCs w:val="24"/>
                <w:u w:val="single"/>
              </w:rPr>
              <w:t>ICT Update</w:t>
            </w:r>
          </w:p>
        </w:tc>
      </w:tr>
      <w:tr w:rsidR="00081E82" w:rsidRPr="00DD39EE" w14:paraId="534FA49E" w14:textId="77777777" w:rsidTr="00D85236">
        <w:tc>
          <w:tcPr>
            <w:tcW w:w="824" w:type="dxa"/>
            <w:tcBorders>
              <w:top w:val="dotted" w:sz="4" w:space="0" w:color="auto"/>
              <w:bottom w:val="dotted" w:sz="4" w:space="0" w:color="auto"/>
            </w:tcBorders>
          </w:tcPr>
          <w:p w14:paraId="01FA2577" w14:textId="655935B1" w:rsidR="00081E82" w:rsidRDefault="00F561E2" w:rsidP="00081E82">
            <w:pPr>
              <w:rPr>
                <w:sz w:val="24"/>
                <w:szCs w:val="24"/>
              </w:rPr>
            </w:pPr>
            <w:r>
              <w:rPr>
                <w:sz w:val="24"/>
                <w:szCs w:val="24"/>
              </w:rPr>
              <w:t>6</w:t>
            </w:r>
            <w:r w:rsidR="00081E82">
              <w:rPr>
                <w:sz w:val="24"/>
                <w:szCs w:val="24"/>
              </w:rPr>
              <w:t>.1.1</w:t>
            </w:r>
          </w:p>
        </w:tc>
        <w:tc>
          <w:tcPr>
            <w:tcW w:w="8192" w:type="dxa"/>
            <w:tcBorders>
              <w:top w:val="dotted" w:sz="4" w:space="0" w:color="auto"/>
              <w:bottom w:val="dotted" w:sz="4" w:space="0" w:color="auto"/>
            </w:tcBorders>
          </w:tcPr>
          <w:p w14:paraId="747BFAC1" w14:textId="08C631D0" w:rsidR="00081E82" w:rsidRDefault="00F561E2" w:rsidP="00F561E2">
            <w:pPr>
              <w:jc w:val="both"/>
              <w:rPr>
                <w:sz w:val="24"/>
                <w:szCs w:val="24"/>
              </w:rPr>
            </w:pPr>
            <w:r>
              <w:rPr>
                <w:sz w:val="24"/>
                <w:szCs w:val="24"/>
              </w:rPr>
              <w:t>An update on the Wide Area Network (WAN) and Telephony project was provided. Three of the seven pilot sites for the WAN are now complete and have seen a significant increase in bandwidth. There have been delays at the other four pilot sites – learning from the pilot phase will need to be factored into the rollout of the WAN project in January 2020. Vodafone implement a ‘network freeze’ in December and early January, which provides an opportunity to integrate the WAN and telephony project plans.</w:t>
            </w:r>
          </w:p>
        </w:tc>
      </w:tr>
      <w:tr w:rsidR="009E0E21" w:rsidRPr="00DD39EE" w14:paraId="56298B01" w14:textId="77777777" w:rsidTr="00D85236">
        <w:tc>
          <w:tcPr>
            <w:tcW w:w="824" w:type="dxa"/>
            <w:tcBorders>
              <w:top w:val="dotted" w:sz="4" w:space="0" w:color="auto"/>
              <w:bottom w:val="dotted" w:sz="4" w:space="0" w:color="auto"/>
            </w:tcBorders>
          </w:tcPr>
          <w:p w14:paraId="37D9F8FE" w14:textId="2D2266FD" w:rsidR="009E0E21" w:rsidRDefault="00F561E2" w:rsidP="00081E82">
            <w:pPr>
              <w:rPr>
                <w:sz w:val="24"/>
                <w:szCs w:val="24"/>
              </w:rPr>
            </w:pPr>
            <w:r>
              <w:rPr>
                <w:sz w:val="24"/>
                <w:szCs w:val="24"/>
              </w:rPr>
              <w:t>6</w:t>
            </w:r>
            <w:r w:rsidR="00995FCA">
              <w:rPr>
                <w:sz w:val="24"/>
                <w:szCs w:val="24"/>
              </w:rPr>
              <w:t>.2</w:t>
            </w:r>
          </w:p>
        </w:tc>
        <w:tc>
          <w:tcPr>
            <w:tcW w:w="8192" w:type="dxa"/>
            <w:tcBorders>
              <w:top w:val="dotted" w:sz="4" w:space="0" w:color="auto"/>
              <w:bottom w:val="dotted" w:sz="4" w:space="0" w:color="auto"/>
            </w:tcBorders>
          </w:tcPr>
          <w:p w14:paraId="4031EBA2" w14:textId="7A346CC6" w:rsidR="009E0E21" w:rsidRPr="009E0E21" w:rsidRDefault="00995FCA" w:rsidP="003942E0">
            <w:pPr>
              <w:jc w:val="both"/>
              <w:rPr>
                <w:sz w:val="24"/>
                <w:szCs w:val="24"/>
                <w:u w:val="single"/>
              </w:rPr>
            </w:pPr>
            <w:r>
              <w:rPr>
                <w:sz w:val="24"/>
                <w:szCs w:val="24"/>
                <w:u w:val="single"/>
              </w:rPr>
              <w:t>Governance Update</w:t>
            </w:r>
          </w:p>
        </w:tc>
      </w:tr>
      <w:tr w:rsidR="009E0E21" w:rsidRPr="00DD39EE" w14:paraId="462DDAAD" w14:textId="77777777" w:rsidTr="00D85236">
        <w:tc>
          <w:tcPr>
            <w:tcW w:w="824" w:type="dxa"/>
            <w:tcBorders>
              <w:top w:val="dotted" w:sz="4" w:space="0" w:color="auto"/>
              <w:bottom w:val="dotted" w:sz="4" w:space="0" w:color="auto"/>
            </w:tcBorders>
          </w:tcPr>
          <w:p w14:paraId="436AE842" w14:textId="4ABAD639" w:rsidR="009E0E21" w:rsidRDefault="00F561E2" w:rsidP="00081E82">
            <w:pPr>
              <w:rPr>
                <w:sz w:val="24"/>
                <w:szCs w:val="24"/>
              </w:rPr>
            </w:pPr>
            <w:r>
              <w:rPr>
                <w:sz w:val="24"/>
                <w:szCs w:val="24"/>
              </w:rPr>
              <w:t>6</w:t>
            </w:r>
            <w:r w:rsidR="00995FCA">
              <w:rPr>
                <w:sz w:val="24"/>
                <w:szCs w:val="24"/>
              </w:rPr>
              <w:t>.2</w:t>
            </w:r>
            <w:r w:rsidR="009E0E21">
              <w:rPr>
                <w:sz w:val="24"/>
                <w:szCs w:val="24"/>
              </w:rPr>
              <w:t>.1</w:t>
            </w:r>
          </w:p>
        </w:tc>
        <w:tc>
          <w:tcPr>
            <w:tcW w:w="8192" w:type="dxa"/>
            <w:tcBorders>
              <w:top w:val="dotted" w:sz="4" w:space="0" w:color="auto"/>
              <w:bottom w:val="dotted" w:sz="4" w:space="0" w:color="auto"/>
            </w:tcBorders>
          </w:tcPr>
          <w:p w14:paraId="775D024A" w14:textId="502593B9" w:rsidR="009E0E21" w:rsidRDefault="00F561E2" w:rsidP="00F95832">
            <w:pPr>
              <w:jc w:val="both"/>
              <w:rPr>
                <w:sz w:val="24"/>
                <w:szCs w:val="24"/>
              </w:rPr>
            </w:pPr>
            <w:r>
              <w:rPr>
                <w:sz w:val="24"/>
                <w:szCs w:val="24"/>
              </w:rPr>
              <w:t>CIB’s annual return to the Charities Regulatory Authority is complete. Declaration forms for the Standards in Public Office Commission (SIPO) will be circulated to Board members in early January. An update from the external evaluation of the Board will be provided at the Board meeting in February.</w:t>
            </w:r>
          </w:p>
        </w:tc>
      </w:tr>
      <w:tr w:rsidR="00081E82" w:rsidRPr="00FF1F00" w14:paraId="047AEDD9" w14:textId="77777777" w:rsidTr="00D85236">
        <w:tc>
          <w:tcPr>
            <w:tcW w:w="824" w:type="dxa"/>
            <w:tcBorders>
              <w:top w:val="dotted" w:sz="4" w:space="0" w:color="auto"/>
              <w:bottom w:val="dotted" w:sz="4" w:space="0" w:color="auto"/>
            </w:tcBorders>
          </w:tcPr>
          <w:p w14:paraId="64FF6715" w14:textId="6369FA4E" w:rsidR="00081E82" w:rsidRPr="00FF1F00" w:rsidRDefault="00F561E2" w:rsidP="00081E82">
            <w:pPr>
              <w:rPr>
                <w:b/>
                <w:sz w:val="24"/>
                <w:szCs w:val="24"/>
              </w:rPr>
            </w:pPr>
            <w:r>
              <w:rPr>
                <w:b/>
                <w:sz w:val="24"/>
                <w:szCs w:val="24"/>
              </w:rPr>
              <w:t>7</w:t>
            </w:r>
          </w:p>
        </w:tc>
        <w:tc>
          <w:tcPr>
            <w:tcW w:w="8192" w:type="dxa"/>
            <w:tcBorders>
              <w:top w:val="dotted" w:sz="4" w:space="0" w:color="auto"/>
              <w:bottom w:val="dotted" w:sz="4" w:space="0" w:color="auto"/>
            </w:tcBorders>
          </w:tcPr>
          <w:p w14:paraId="35226B4B" w14:textId="7E133F56" w:rsidR="00081E82" w:rsidRPr="00AA2BF2" w:rsidRDefault="00081E82" w:rsidP="00081E82">
            <w:pPr>
              <w:rPr>
                <w:b/>
                <w:sz w:val="24"/>
                <w:szCs w:val="24"/>
              </w:rPr>
            </w:pPr>
            <w:r>
              <w:rPr>
                <w:b/>
                <w:sz w:val="24"/>
                <w:szCs w:val="24"/>
              </w:rPr>
              <w:t>Date of the Next M</w:t>
            </w:r>
            <w:r w:rsidRPr="00AA2BF2">
              <w:rPr>
                <w:b/>
                <w:sz w:val="24"/>
                <w:szCs w:val="24"/>
              </w:rPr>
              <w:t xml:space="preserve">eeting </w:t>
            </w:r>
          </w:p>
        </w:tc>
      </w:tr>
      <w:tr w:rsidR="00081E82" w:rsidRPr="00DD39EE" w14:paraId="6E2CC3CC" w14:textId="77777777" w:rsidTr="00D85236">
        <w:tc>
          <w:tcPr>
            <w:tcW w:w="824" w:type="dxa"/>
            <w:tcBorders>
              <w:top w:val="dotted" w:sz="4" w:space="0" w:color="auto"/>
              <w:bottom w:val="dotted" w:sz="4" w:space="0" w:color="auto"/>
            </w:tcBorders>
          </w:tcPr>
          <w:p w14:paraId="7B0349E3" w14:textId="60C8207A" w:rsidR="00081E82" w:rsidRPr="00DD39EE" w:rsidRDefault="00F561E2" w:rsidP="00081E82">
            <w:pPr>
              <w:rPr>
                <w:sz w:val="24"/>
                <w:szCs w:val="24"/>
              </w:rPr>
            </w:pPr>
            <w:r>
              <w:rPr>
                <w:sz w:val="24"/>
                <w:szCs w:val="24"/>
              </w:rPr>
              <w:t>7</w:t>
            </w:r>
            <w:r w:rsidR="00081E82">
              <w:rPr>
                <w:sz w:val="24"/>
                <w:szCs w:val="24"/>
              </w:rPr>
              <w:t>.1</w:t>
            </w:r>
          </w:p>
        </w:tc>
        <w:tc>
          <w:tcPr>
            <w:tcW w:w="8192" w:type="dxa"/>
            <w:tcBorders>
              <w:top w:val="dotted" w:sz="4" w:space="0" w:color="auto"/>
              <w:bottom w:val="dotted" w:sz="4" w:space="0" w:color="auto"/>
            </w:tcBorders>
          </w:tcPr>
          <w:p w14:paraId="4836822D" w14:textId="07131D5D" w:rsidR="00081E82" w:rsidRPr="00AA2BF2" w:rsidRDefault="00081E82" w:rsidP="00F561E2">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995FCA">
              <w:rPr>
                <w:sz w:val="24"/>
                <w:szCs w:val="24"/>
              </w:rPr>
              <w:t>1</w:t>
            </w:r>
            <w:r w:rsidR="00F561E2">
              <w:rPr>
                <w:sz w:val="24"/>
                <w:szCs w:val="24"/>
              </w:rPr>
              <w:t>2</w:t>
            </w:r>
            <w:r w:rsidR="00995FCA">
              <w:rPr>
                <w:sz w:val="24"/>
                <w:szCs w:val="24"/>
              </w:rPr>
              <w:t xml:space="preserve"> </w:t>
            </w:r>
            <w:r w:rsidR="00F561E2">
              <w:rPr>
                <w:sz w:val="24"/>
                <w:szCs w:val="24"/>
              </w:rPr>
              <w:t>February 2020</w:t>
            </w:r>
            <w:r w:rsidRPr="00AA2BF2">
              <w:rPr>
                <w:sz w:val="24"/>
                <w:szCs w:val="24"/>
              </w:rPr>
              <w:t xml:space="preserve">.  </w:t>
            </w:r>
          </w:p>
        </w:tc>
      </w:tr>
    </w:tbl>
    <w:p w14:paraId="600E4029" w14:textId="1DC04062" w:rsidR="00CE2F79" w:rsidRDefault="00CE2F79" w:rsidP="00770B98">
      <w:pPr>
        <w:rPr>
          <w:sz w:val="24"/>
          <w:szCs w:val="24"/>
        </w:rPr>
      </w:pPr>
    </w:p>
    <w:p w14:paraId="236162DC" w14:textId="77777777" w:rsidR="00B3485B" w:rsidRDefault="00B3485B" w:rsidP="00770B98">
      <w:pPr>
        <w:rPr>
          <w:sz w:val="24"/>
          <w:szCs w:val="24"/>
        </w:rPr>
      </w:pPr>
    </w:p>
    <w:p w14:paraId="4043F872" w14:textId="0918E312" w:rsidR="00B3485B" w:rsidRDefault="00B3485B" w:rsidP="00770B98">
      <w:pPr>
        <w:rPr>
          <w:sz w:val="24"/>
          <w:szCs w:val="24"/>
        </w:rPr>
      </w:pPr>
    </w:p>
    <w:sectPr w:rsidR="00B3485B" w:rsidSect="000F19E9">
      <w:footerReference w:type="default" r:id="rId8"/>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10D67468"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47DA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7DA4">
              <w:rPr>
                <w:b/>
                <w:bCs/>
                <w:noProof/>
              </w:rPr>
              <w:t>2</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C12"/>
    <w:rsid w:val="00031A49"/>
    <w:rsid w:val="00033AB1"/>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1E82"/>
    <w:rsid w:val="00082ED4"/>
    <w:rsid w:val="00083132"/>
    <w:rsid w:val="00083F66"/>
    <w:rsid w:val="00086D0C"/>
    <w:rsid w:val="0008789A"/>
    <w:rsid w:val="000908D9"/>
    <w:rsid w:val="00091009"/>
    <w:rsid w:val="0009151B"/>
    <w:rsid w:val="00092007"/>
    <w:rsid w:val="0009318E"/>
    <w:rsid w:val="000A0772"/>
    <w:rsid w:val="000A32F5"/>
    <w:rsid w:val="000A5DF5"/>
    <w:rsid w:val="000A6C42"/>
    <w:rsid w:val="000B26A0"/>
    <w:rsid w:val="000B5541"/>
    <w:rsid w:val="000B7621"/>
    <w:rsid w:val="000C137C"/>
    <w:rsid w:val="000C284C"/>
    <w:rsid w:val="000D1D4D"/>
    <w:rsid w:val="000D276D"/>
    <w:rsid w:val="000D35CE"/>
    <w:rsid w:val="000D3D84"/>
    <w:rsid w:val="000D4F5F"/>
    <w:rsid w:val="000D6A6C"/>
    <w:rsid w:val="000D6E84"/>
    <w:rsid w:val="000E1FD9"/>
    <w:rsid w:val="000E2DA3"/>
    <w:rsid w:val="000E71A5"/>
    <w:rsid w:val="000E7D48"/>
    <w:rsid w:val="000F19E9"/>
    <w:rsid w:val="000F3431"/>
    <w:rsid w:val="000F3AF9"/>
    <w:rsid w:val="000F3B00"/>
    <w:rsid w:val="000F44CC"/>
    <w:rsid w:val="000F4961"/>
    <w:rsid w:val="000F4B96"/>
    <w:rsid w:val="000F626B"/>
    <w:rsid w:val="00101E8E"/>
    <w:rsid w:val="00110523"/>
    <w:rsid w:val="00116CA1"/>
    <w:rsid w:val="00117242"/>
    <w:rsid w:val="00120677"/>
    <w:rsid w:val="001211AD"/>
    <w:rsid w:val="001247D8"/>
    <w:rsid w:val="00126288"/>
    <w:rsid w:val="00127E24"/>
    <w:rsid w:val="001305A9"/>
    <w:rsid w:val="00133FB8"/>
    <w:rsid w:val="00136D45"/>
    <w:rsid w:val="00147DA4"/>
    <w:rsid w:val="0015545C"/>
    <w:rsid w:val="00163EB6"/>
    <w:rsid w:val="0016672D"/>
    <w:rsid w:val="00167268"/>
    <w:rsid w:val="00172B72"/>
    <w:rsid w:val="001734D5"/>
    <w:rsid w:val="0017698A"/>
    <w:rsid w:val="00177D62"/>
    <w:rsid w:val="001819A4"/>
    <w:rsid w:val="001836E2"/>
    <w:rsid w:val="00184481"/>
    <w:rsid w:val="0018555D"/>
    <w:rsid w:val="001972B7"/>
    <w:rsid w:val="001A072F"/>
    <w:rsid w:val="001A2E70"/>
    <w:rsid w:val="001A35A3"/>
    <w:rsid w:val="001A4D7F"/>
    <w:rsid w:val="001A5D74"/>
    <w:rsid w:val="001A7E90"/>
    <w:rsid w:val="001B5436"/>
    <w:rsid w:val="001B55E4"/>
    <w:rsid w:val="001C212A"/>
    <w:rsid w:val="001C25EE"/>
    <w:rsid w:val="001C33B2"/>
    <w:rsid w:val="001C4B65"/>
    <w:rsid w:val="001C4D9E"/>
    <w:rsid w:val="001D1A84"/>
    <w:rsid w:val="001D1F98"/>
    <w:rsid w:val="001D2915"/>
    <w:rsid w:val="001D5752"/>
    <w:rsid w:val="001E128C"/>
    <w:rsid w:val="001E636D"/>
    <w:rsid w:val="001F1C14"/>
    <w:rsid w:val="001F2413"/>
    <w:rsid w:val="001F2DE7"/>
    <w:rsid w:val="001F586E"/>
    <w:rsid w:val="001F5D25"/>
    <w:rsid w:val="001F5D91"/>
    <w:rsid w:val="001F60E9"/>
    <w:rsid w:val="0020234C"/>
    <w:rsid w:val="002030F9"/>
    <w:rsid w:val="0020456C"/>
    <w:rsid w:val="00206A7E"/>
    <w:rsid w:val="00207853"/>
    <w:rsid w:val="00210FFB"/>
    <w:rsid w:val="002110BA"/>
    <w:rsid w:val="00211A37"/>
    <w:rsid w:val="00222EA3"/>
    <w:rsid w:val="00223310"/>
    <w:rsid w:val="0023121B"/>
    <w:rsid w:val="00235143"/>
    <w:rsid w:val="00240014"/>
    <w:rsid w:val="00242323"/>
    <w:rsid w:val="0024260C"/>
    <w:rsid w:val="002437A6"/>
    <w:rsid w:val="002452FE"/>
    <w:rsid w:val="00253C88"/>
    <w:rsid w:val="00253E0A"/>
    <w:rsid w:val="00256381"/>
    <w:rsid w:val="00262852"/>
    <w:rsid w:val="002668AB"/>
    <w:rsid w:val="00274184"/>
    <w:rsid w:val="00275F87"/>
    <w:rsid w:val="00280B69"/>
    <w:rsid w:val="002867AF"/>
    <w:rsid w:val="0028711A"/>
    <w:rsid w:val="00293825"/>
    <w:rsid w:val="002A5282"/>
    <w:rsid w:val="002B0016"/>
    <w:rsid w:val="002B470B"/>
    <w:rsid w:val="002B5CDC"/>
    <w:rsid w:val="002B6F1A"/>
    <w:rsid w:val="002C3FF5"/>
    <w:rsid w:val="002C440A"/>
    <w:rsid w:val="002D2D5E"/>
    <w:rsid w:val="002D2F5B"/>
    <w:rsid w:val="002E2EC7"/>
    <w:rsid w:val="002E2F27"/>
    <w:rsid w:val="002E4A8E"/>
    <w:rsid w:val="002F1665"/>
    <w:rsid w:val="002F1763"/>
    <w:rsid w:val="002F304C"/>
    <w:rsid w:val="002F3BBF"/>
    <w:rsid w:val="002F3E91"/>
    <w:rsid w:val="002F4AFA"/>
    <w:rsid w:val="002F5210"/>
    <w:rsid w:val="002F7526"/>
    <w:rsid w:val="002F7F48"/>
    <w:rsid w:val="00300AFA"/>
    <w:rsid w:val="003024AF"/>
    <w:rsid w:val="003025C7"/>
    <w:rsid w:val="00305E2A"/>
    <w:rsid w:val="00311C62"/>
    <w:rsid w:val="003161EB"/>
    <w:rsid w:val="00316449"/>
    <w:rsid w:val="00317429"/>
    <w:rsid w:val="00317989"/>
    <w:rsid w:val="003214E0"/>
    <w:rsid w:val="003226A1"/>
    <w:rsid w:val="00331B39"/>
    <w:rsid w:val="00340314"/>
    <w:rsid w:val="00344369"/>
    <w:rsid w:val="003560D3"/>
    <w:rsid w:val="003567FB"/>
    <w:rsid w:val="00360A04"/>
    <w:rsid w:val="00362740"/>
    <w:rsid w:val="0036347F"/>
    <w:rsid w:val="00365070"/>
    <w:rsid w:val="003717AE"/>
    <w:rsid w:val="0037191C"/>
    <w:rsid w:val="003747AD"/>
    <w:rsid w:val="003809E1"/>
    <w:rsid w:val="00380F83"/>
    <w:rsid w:val="00380FB1"/>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D1EEA"/>
    <w:rsid w:val="003D3BA3"/>
    <w:rsid w:val="003D73E1"/>
    <w:rsid w:val="003E0975"/>
    <w:rsid w:val="003E1B20"/>
    <w:rsid w:val="003E2EFA"/>
    <w:rsid w:val="003E52F7"/>
    <w:rsid w:val="003E541D"/>
    <w:rsid w:val="003E683A"/>
    <w:rsid w:val="003E7002"/>
    <w:rsid w:val="003F2FCC"/>
    <w:rsid w:val="003F6140"/>
    <w:rsid w:val="004016DD"/>
    <w:rsid w:val="0040392A"/>
    <w:rsid w:val="00413A19"/>
    <w:rsid w:val="0041495A"/>
    <w:rsid w:val="004169B0"/>
    <w:rsid w:val="00427354"/>
    <w:rsid w:val="00434A64"/>
    <w:rsid w:val="00436F67"/>
    <w:rsid w:val="00437116"/>
    <w:rsid w:val="00441F46"/>
    <w:rsid w:val="0044287F"/>
    <w:rsid w:val="00446426"/>
    <w:rsid w:val="00453032"/>
    <w:rsid w:val="0045363A"/>
    <w:rsid w:val="00456740"/>
    <w:rsid w:val="0046025E"/>
    <w:rsid w:val="00465639"/>
    <w:rsid w:val="004661A9"/>
    <w:rsid w:val="00471261"/>
    <w:rsid w:val="0047238E"/>
    <w:rsid w:val="00473D3A"/>
    <w:rsid w:val="00474D7F"/>
    <w:rsid w:val="0047699A"/>
    <w:rsid w:val="00480048"/>
    <w:rsid w:val="00481E1A"/>
    <w:rsid w:val="004842DA"/>
    <w:rsid w:val="004850A2"/>
    <w:rsid w:val="00491B95"/>
    <w:rsid w:val="004A3335"/>
    <w:rsid w:val="004A3489"/>
    <w:rsid w:val="004A3C55"/>
    <w:rsid w:val="004A6C7E"/>
    <w:rsid w:val="004B0CBA"/>
    <w:rsid w:val="004B2CAC"/>
    <w:rsid w:val="004B308E"/>
    <w:rsid w:val="004B681F"/>
    <w:rsid w:val="004B7694"/>
    <w:rsid w:val="004C5F09"/>
    <w:rsid w:val="004D48EE"/>
    <w:rsid w:val="004D499C"/>
    <w:rsid w:val="004D4CBB"/>
    <w:rsid w:val="004D4D17"/>
    <w:rsid w:val="004D4D2A"/>
    <w:rsid w:val="004E096B"/>
    <w:rsid w:val="004E0B2F"/>
    <w:rsid w:val="004E4844"/>
    <w:rsid w:val="004E4F2B"/>
    <w:rsid w:val="004E689D"/>
    <w:rsid w:val="004E6A28"/>
    <w:rsid w:val="004F1454"/>
    <w:rsid w:val="004F1AFD"/>
    <w:rsid w:val="004F2E5A"/>
    <w:rsid w:val="004F30CD"/>
    <w:rsid w:val="004F31AF"/>
    <w:rsid w:val="004F446E"/>
    <w:rsid w:val="00502368"/>
    <w:rsid w:val="00504FF1"/>
    <w:rsid w:val="00512D4A"/>
    <w:rsid w:val="00514CE1"/>
    <w:rsid w:val="00515BF7"/>
    <w:rsid w:val="00520749"/>
    <w:rsid w:val="005215DA"/>
    <w:rsid w:val="005249F3"/>
    <w:rsid w:val="00531374"/>
    <w:rsid w:val="00531F77"/>
    <w:rsid w:val="00533536"/>
    <w:rsid w:val="00535086"/>
    <w:rsid w:val="00540975"/>
    <w:rsid w:val="00541834"/>
    <w:rsid w:val="0055047A"/>
    <w:rsid w:val="00557A94"/>
    <w:rsid w:val="00560DCE"/>
    <w:rsid w:val="00561652"/>
    <w:rsid w:val="00561F9F"/>
    <w:rsid w:val="00570FD6"/>
    <w:rsid w:val="00573B66"/>
    <w:rsid w:val="00573E9A"/>
    <w:rsid w:val="005841C0"/>
    <w:rsid w:val="00591FB3"/>
    <w:rsid w:val="00592D01"/>
    <w:rsid w:val="00593953"/>
    <w:rsid w:val="00595AE5"/>
    <w:rsid w:val="00596012"/>
    <w:rsid w:val="0059619A"/>
    <w:rsid w:val="005A081A"/>
    <w:rsid w:val="005A3F47"/>
    <w:rsid w:val="005A46BE"/>
    <w:rsid w:val="005A6535"/>
    <w:rsid w:val="005B23B8"/>
    <w:rsid w:val="005B381C"/>
    <w:rsid w:val="005B4E20"/>
    <w:rsid w:val="005B7ED0"/>
    <w:rsid w:val="005C486C"/>
    <w:rsid w:val="005C7ADA"/>
    <w:rsid w:val="005D063F"/>
    <w:rsid w:val="005E0F12"/>
    <w:rsid w:val="00601A0F"/>
    <w:rsid w:val="00606FBF"/>
    <w:rsid w:val="006139F4"/>
    <w:rsid w:val="00620D26"/>
    <w:rsid w:val="00624C0B"/>
    <w:rsid w:val="00624E95"/>
    <w:rsid w:val="006263C8"/>
    <w:rsid w:val="00631438"/>
    <w:rsid w:val="006347F0"/>
    <w:rsid w:val="006359E9"/>
    <w:rsid w:val="0063668D"/>
    <w:rsid w:val="00637C43"/>
    <w:rsid w:val="0064020E"/>
    <w:rsid w:val="006435F8"/>
    <w:rsid w:val="00645BBC"/>
    <w:rsid w:val="00651FC3"/>
    <w:rsid w:val="0065415B"/>
    <w:rsid w:val="006544F1"/>
    <w:rsid w:val="0065511E"/>
    <w:rsid w:val="0065575E"/>
    <w:rsid w:val="0065628B"/>
    <w:rsid w:val="00657990"/>
    <w:rsid w:val="00662D47"/>
    <w:rsid w:val="006712AB"/>
    <w:rsid w:val="0067216A"/>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316D"/>
    <w:rsid w:val="006B42A1"/>
    <w:rsid w:val="006B4DD5"/>
    <w:rsid w:val="006B6DE7"/>
    <w:rsid w:val="006C19D2"/>
    <w:rsid w:val="006C316D"/>
    <w:rsid w:val="006C62E8"/>
    <w:rsid w:val="006D5BB3"/>
    <w:rsid w:val="006E2AD6"/>
    <w:rsid w:val="006E6347"/>
    <w:rsid w:val="006F3A83"/>
    <w:rsid w:val="00701D27"/>
    <w:rsid w:val="0070567D"/>
    <w:rsid w:val="00713187"/>
    <w:rsid w:val="00715E0B"/>
    <w:rsid w:val="00724614"/>
    <w:rsid w:val="007251DB"/>
    <w:rsid w:val="007340D6"/>
    <w:rsid w:val="0073549F"/>
    <w:rsid w:val="0074366F"/>
    <w:rsid w:val="00744DFB"/>
    <w:rsid w:val="007479CD"/>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2077"/>
    <w:rsid w:val="007827CF"/>
    <w:rsid w:val="00784D82"/>
    <w:rsid w:val="0078789A"/>
    <w:rsid w:val="0079096B"/>
    <w:rsid w:val="0079099F"/>
    <w:rsid w:val="007915D4"/>
    <w:rsid w:val="0079346D"/>
    <w:rsid w:val="007956A0"/>
    <w:rsid w:val="007A11CF"/>
    <w:rsid w:val="007A164E"/>
    <w:rsid w:val="007A2E63"/>
    <w:rsid w:val="007A338B"/>
    <w:rsid w:val="007A5EFE"/>
    <w:rsid w:val="007A6D4E"/>
    <w:rsid w:val="007B028B"/>
    <w:rsid w:val="007B18E8"/>
    <w:rsid w:val="007B6178"/>
    <w:rsid w:val="007C1EDF"/>
    <w:rsid w:val="007D1611"/>
    <w:rsid w:val="007D29BC"/>
    <w:rsid w:val="007D5333"/>
    <w:rsid w:val="007D77D8"/>
    <w:rsid w:val="007E2FFC"/>
    <w:rsid w:val="007E6D19"/>
    <w:rsid w:val="007F1270"/>
    <w:rsid w:val="007F5362"/>
    <w:rsid w:val="00802E74"/>
    <w:rsid w:val="00815819"/>
    <w:rsid w:val="00816D65"/>
    <w:rsid w:val="008230F9"/>
    <w:rsid w:val="00826B01"/>
    <w:rsid w:val="008310C6"/>
    <w:rsid w:val="008336F4"/>
    <w:rsid w:val="00833D2A"/>
    <w:rsid w:val="0083570C"/>
    <w:rsid w:val="00835872"/>
    <w:rsid w:val="00835FC7"/>
    <w:rsid w:val="00837B44"/>
    <w:rsid w:val="008413BF"/>
    <w:rsid w:val="008421E1"/>
    <w:rsid w:val="00843506"/>
    <w:rsid w:val="008451A6"/>
    <w:rsid w:val="0084699B"/>
    <w:rsid w:val="00851FEA"/>
    <w:rsid w:val="00853A67"/>
    <w:rsid w:val="00861B83"/>
    <w:rsid w:val="00862DF3"/>
    <w:rsid w:val="00867189"/>
    <w:rsid w:val="00870A6E"/>
    <w:rsid w:val="008711C9"/>
    <w:rsid w:val="00874C19"/>
    <w:rsid w:val="00874F41"/>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D2D13"/>
    <w:rsid w:val="008D2F90"/>
    <w:rsid w:val="008E0894"/>
    <w:rsid w:val="008E31D9"/>
    <w:rsid w:val="008E40E5"/>
    <w:rsid w:val="008E5962"/>
    <w:rsid w:val="008E7A98"/>
    <w:rsid w:val="008F1725"/>
    <w:rsid w:val="008F1AD3"/>
    <w:rsid w:val="008F3B26"/>
    <w:rsid w:val="008F5BA5"/>
    <w:rsid w:val="008F6963"/>
    <w:rsid w:val="009061A5"/>
    <w:rsid w:val="00913CEB"/>
    <w:rsid w:val="0091532B"/>
    <w:rsid w:val="00916D8F"/>
    <w:rsid w:val="00920F0A"/>
    <w:rsid w:val="00921AF2"/>
    <w:rsid w:val="00925FA1"/>
    <w:rsid w:val="009302EA"/>
    <w:rsid w:val="0093159A"/>
    <w:rsid w:val="00940D59"/>
    <w:rsid w:val="009420BA"/>
    <w:rsid w:val="00946395"/>
    <w:rsid w:val="0094683A"/>
    <w:rsid w:val="00947D78"/>
    <w:rsid w:val="00954190"/>
    <w:rsid w:val="00961DA5"/>
    <w:rsid w:val="009662A7"/>
    <w:rsid w:val="009677CB"/>
    <w:rsid w:val="00974003"/>
    <w:rsid w:val="00974498"/>
    <w:rsid w:val="009813DA"/>
    <w:rsid w:val="0098270F"/>
    <w:rsid w:val="00990617"/>
    <w:rsid w:val="00992395"/>
    <w:rsid w:val="00995FCA"/>
    <w:rsid w:val="00997CC1"/>
    <w:rsid w:val="009A249F"/>
    <w:rsid w:val="009A4876"/>
    <w:rsid w:val="009A7017"/>
    <w:rsid w:val="009B2969"/>
    <w:rsid w:val="009C0653"/>
    <w:rsid w:val="009C3476"/>
    <w:rsid w:val="009C4133"/>
    <w:rsid w:val="009C5BA0"/>
    <w:rsid w:val="009C6F6C"/>
    <w:rsid w:val="009D2811"/>
    <w:rsid w:val="009E0E21"/>
    <w:rsid w:val="009E113F"/>
    <w:rsid w:val="009E157F"/>
    <w:rsid w:val="009F03FF"/>
    <w:rsid w:val="009F4A56"/>
    <w:rsid w:val="00A10617"/>
    <w:rsid w:val="00A1187B"/>
    <w:rsid w:val="00A12967"/>
    <w:rsid w:val="00A13C6C"/>
    <w:rsid w:val="00A221E1"/>
    <w:rsid w:val="00A22D5D"/>
    <w:rsid w:val="00A22F07"/>
    <w:rsid w:val="00A25066"/>
    <w:rsid w:val="00A308EB"/>
    <w:rsid w:val="00A31715"/>
    <w:rsid w:val="00A328CD"/>
    <w:rsid w:val="00A36414"/>
    <w:rsid w:val="00A37231"/>
    <w:rsid w:val="00A37706"/>
    <w:rsid w:val="00A4417C"/>
    <w:rsid w:val="00A45BBC"/>
    <w:rsid w:val="00A50008"/>
    <w:rsid w:val="00A530A4"/>
    <w:rsid w:val="00A53270"/>
    <w:rsid w:val="00A5676E"/>
    <w:rsid w:val="00A64D6C"/>
    <w:rsid w:val="00A7376F"/>
    <w:rsid w:val="00A74161"/>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D0CB4"/>
    <w:rsid w:val="00AD12AE"/>
    <w:rsid w:val="00AD3400"/>
    <w:rsid w:val="00AD4160"/>
    <w:rsid w:val="00AD57EE"/>
    <w:rsid w:val="00AD766C"/>
    <w:rsid w:val="00AE7F4B"/>
    <w:rsid w:val="00AF07E6"/>
    <w:rsid w:val="00AF7512"/>
    <w:rsid w:val="00AF7967"/>
    <w:rsid w:val="00B0025C"/>
    <w:rsid w:val="00B0206D"/>
    <w:rsid w:val="00B03FF2"/>
    <w:rsid w:val="00B044BC"/>
    <w:rsid w:val="00B1069F"/>
    <w:rsid w:val="00B17842"/>
    <w:rsid w:val="00B207FB"/>
    <w:rsid w:val="00B23108"/>
    <w:rsid w:val="00B265FF"/>
    <w:rsid w:val="00B27790"/>
    <w:rsid w:val="00B3485B"/>
    <w:rsid w:val="00B3586D"/>
    <w:rsid w:val="00B363F0"/>
    <w:rsid w:val="00B37D4F"/>
    <w:rsid w:val="00B40EEA"/>
    <w:rsid w:val="00B4216E"/>
    <w:rsid w:val="00B45A0A"/>
    <w:rsid w:val="00B4626F"/>
    <w:rsid w:val="00B4728E"/>
    <w:rsid w:val="00B50532"/>
    <w:rsid w:val="00B51AD9"/>
    <w:rsid w:val="00B52129"/>
    <w:rsid w:val="00B553D4"/>
    <w:rsid w:val="00B55550"/>
    <w:rsid w:val="00B6244D"/>
    <w:rsid w:val="00B624BE"/>
    <w:rsid w:val="00B628B5"/>
    <w:rsid w:val="00B62BED"/>
    <w:rsid w:val="00B63D7E"/>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7BC6"/>
    <w:rsid w:val="00BC5F58"/>
    <w:rsid w:val="00BD03F5"/>
    <w:rsid w:val="00BD18A1"/>
    <w:rsid w:val="00BD614A"/>
    <w:rsid w:val="00BE1868"/>
    <w:rsid w:val="00BE28D3"/>
    <w:rsid w:val="00BE35D5"/>
    <w:rsid w:val="00BE3907"/>
    <w:rsid w:val="00BE5E31"/>
    <w:rsid w:val="00BE63F9"/>
    <w:rsid w:val="00BE6DEA"/>
    <w:rsid w:val="00BE7799"/>
    <w:rsid w:val="00BF363A"/>
    <w:rsid w:val="00BF4AD1"/>
    <w:rsid w:val="00BF6C39"/>
    <w:rsid w:val="00C02A1B"/>
    <w:rsid w:val="00C06DBF"/>
    <w:rsid w:val="00C1136E"/>
    <w:rsid w:val="00C12ABB"/>
    <w:rsid w:val="00C13C15"/>
    <w:rsid w:val="00C1535D"/>
    <w:rsid w:val="00C22C53"/>
    <w:rsid w:val="00C24E1B"/>
    <w:rsid w:val="00C33BC5"/>
    <w:rsid w:val="00C345FD"/>
    <w:rsid w:val="00C36283"/>
    <w:rsid w:val="00C3747C"/>
    <w:rsid w:val="00C46512"/>
    <w:rsid w:val="00C50EA4"/>
    <w:rsid w:val="00C54139"/>
    <w:rsid w:val="00C54CB5"/>
    <w:rsid w:val="00C55524"/>
    <w:rsid w:val="00C607DB"/>
    <w:rsid w:val="00C61A92"/>
    <w:rsid w:val="00C63798"/>
    <w:rsid w:val="00C63A9E"/>
    <w:rsid w:val="00C6794C"/>
    <w:rsid w:val="00C70D47"/>
    <w:rsid w:val="00C75A9F"/>
    <w:rsid w:val="00C86D14"/>
    <w:rsid w:val="00C920FC"/>
    <w:rsid w:val="00C92972"/>
    <w:rsid w:val="00C96A47"/>
    <w:rsid w:val="00CA2AE1"/>
    <w:rsid w:val="00CA30FB"/>
    <w:rsid w:val="00CB6561"/>
    <w:rsid w:val="00CB66D0"/>
    <w:rsid w:val="00CC0A04"/>
    <w:rsid w:val="00CC0E8F"/>
    <w:rsid w:val="00CC26B3"/>
    <w:rsid w:val="00CC2F5B"/>
    <w:rsid w:val="00CC74D0"/>
    <w:rsid w:val="00CD3134"/>
    <w:rsid w:val="00CD5BAC"/>
    <w:rsid w:val="00CD7BF8"/>
    <w:rsid w:val="00CE0887"/>
    <w:rsid w:val="00CE2F79"/>
    <w:rsid w:val="00CE4AEE"/>
    <w:rsid w:val="00CE6DD5"/>
    <w:rsid w:val="00CE7060"/>
    <w:rsid w:val="00CF5C95"/>
    <w:rsid w:val="00D00BC8"/>
    <w:rsid w:val="00D02670"/>
    <w:rsid w:val="00D06B3D"/>
    <w:rsid w:val="00D06BC6"/>
    <w:rsid w:val="00D14786"/>
    <w:rsid w:val="00D16749"/>
    <w:rsid w:val="00D1740C"/>
    <w:rsid w:val="00D21DFF"/>
    <w:rsid w:val="00D222B9"/>
    <w:rsid w:val="00D233F9"/>
    <w:rsid w:val="00D30862"/>
    <w:rsid w:val="00D30A26"/>
    <w:rsid w:val="00D36185"/>
    <w:rsid w:val="00D36A83"/>
    <w:rsid w:val="00D375F0"/>
    <w:rsid w:val="00D400AB"/>
    <w:rsid w:val="00D41DA2"/>
    <w:rsid w:val="00D428F1"/>
    <w:rsid w:val="00D4578C"/>
    <w:rsid w:val="00D4638F"/>
    <w:rsid w:val="00D47BFC"/>
    <w:rsid w:val="00D52809"/>
    <w:rsid w:val="00D53E6C"/>
    <w:rsid w:val="00D5440E"/>
    <w:rsid w:val="00D565B8"/>
    <w:rsid w:val="00D5755E"/>
    <w:rsid w:val="00D57C0F"/>
    <w:rsid w:val="00D614E8"/>
    <w:rsid w:val="00D63FDA"/>
    <w:rsid w:val="00D6788E"/>
    <w:rsid w:val="00D742CA"/>
    <w:rsid w:val="00D80BE0"/>
    <w:rsid w:val="00D84D1D"/>
    <w:rsid w:val="00D85236"/>
    <w:rsid w:val="00D92AC3"/>
    <w:rsid w:val="00D97609"/>
    <w:rsid w:val="00DA0CEE"/>
    <w:rsid w:val="00DA5A4C"/>
    <w:rsid w:val="00DA5C89"/>
    <w:rsid w:val="00DA5D19"/>
    <w:rsid w:val="00DB0923"/>
    <w:rsid w:val="00DB18B6"/>
    <w:rsid w:val="00DC3368"/>
    <w:rsid w:val="00DC6ECD"/>
    <w:rsid w:val="00DC7CF8"/>
    <w:rsid w:val="00DD0A21"/>
    <w:rsid w:val="00DD39EE"/>
    <w:rsid w:val="00DD3EA3"/>
    <w:rsid w:val="00DD708B"/>
    <w:rsid w:val="00DE2F25"/>
    <w:rsid w:val="00DE5DA5"/>
    <w:rsid w:val="00DE7CFC"/>
    <w:rsid w:val="00DF0D58"/>
    <w:rsid w:val="00DF14AD"/>
    <w:rsid w:val="00DF2C74"/>
    <w:rsid w:val="00DF39D5"/>
    <w:rsid w:val="00DF7C2A"/>
    <w:rsid w:val="00E01B64"/>
    <w:rsid w:val="00E02E01"/>
    <w:rsid w:val="00E12010"/>
    <w:rsid w:val="00E120B6"/>
    <w:rsid w:val="00E15D4E"/>
    <w:rsid w:val="00E17B43"/>
    <w:rsid w:val="00E22F81"/>
    <w:rsid w:val="00E23641"/>
    <w:rsid w:val="00E23707"/>
    <w:rsid w:val="00E24AC2"/>
    <w:rsid w:val="00E2753F"/>
    <w:rsid w:val="00E32D1B"/>
    <w:rsid w:val="00E32EB3"/>
    <w:rsid w:val="00E37170"/>
    <w:rsid w:val="00E43BE3"/>
    <w:rsid w:val="00E4437D"/>
    <w:rsid w:val="00E45C55"/>
    <w:rsid w:val="00E467CD"/>
    <w:rsid w:val="00E57453"/>
    <w:rsid w:val="00E63F28"/>
    <w:rsid w:val="00E66B5F"/>
    <w:rsid w:val="00E673EC"/>
    <w:rsid w:val="00E71364"/>
    <w:rsid w:val="00E72666"/>
    <w:rsid w:val="00E739D8"/>
    <w:rsid w:val="00E7402B"/>
    <w:rsid w:val="00E767AF"/>
    <w:rsid w:val="00E8035E"/>
    <w:rsid w:val="00E82214"/>
    <w:rsid w:val="00E86F61"/>
    <w:rsid w:val="00E93AD7"/>
    <w:rsid w:val="00E96423"/>
    <w:rsid w:val="00EA2E08"/>
    <w:rsid w:val="00EA37DF"/>
    <w:rsid w:val="00EA3C20"/>
    <w:rsid w:val="00EA400B"/>
    <w:rsid w:val="00EA4EAD"/>
    <w:rsid w:val="00EA53ED"/>
    <w:rsid w:val="00EB22D9"/>
    <w:rsid w:val="00EB3CAC"/>
    <w:rsid w:val="00EB42BE"/>
    <w:rsid w:val="00EC2393"/>
    <w:rsid w:val="00EC492F"/>
    <w:rsid w:val="00ED5CD0"/>
    <w:rsid w:val="00ED6FEA"/>
    <w:rsid w:val="00EE040A"/>
    <w:rsid w:val="00EE20C3"/>
    <w:rsid w:val="00EE33CF"/>
    <w:rsid w:val="00EE50FC"/>
    <w:rsid w:val="00EE7720"/>
    <w:rsid w:val="00EF181E"/>
    <w:rsid w:val="00EF19B4"/>
    <w:rsid w:val="00EF2DE2"/>
    <w:rsid w:val="00EF699E"/>
    <w:rsid w:val="00EF6D39"/>
    <w:rsid w:val="00F011F4"/>
    <w:rsid w:val="00F02FA8"/>
    <w:rsid w:val="00F04750"/>
    <w:rsid w:val="00F06D49"/>
    <w:rsid w:val="00F1029B"/>
    <w:rsid w:val="00F11C92"/>
    <w:rsid w:val="00F11EE0"/>
    <w:rsid w:val="00F134A5"/>
    <w:rsid w:val="00F14482"/>
    <w:rsid w:val="00F1679A"/>
    <w:rsid w:val="00F20047"/>
    <w:rsid w:val="00F21BD9"/>
    <w:rsid w:val="00F23CAD"/>
    <w:rsid w:val="00F24226"/>
    <w:rsid w:val="00F25245"/>
    <w:rsid w:val="00F27F25"/>
    <w:rsid w:val="00F42206"/>
    <w:rsid w:val="00F4601A"/>
    <w:rsid w:val="00F460F9"/>
    <w:rsid w:val="00F46DFB"/>
    <w:rsid w:val="00F5163D"/>
    <w:rsid w:val="00F53AB9"/>
    <w:rsid w:val="00F55892"/>
    <w:rsid w:val="00F561E2"/>
    <w:rsid w:val="00F63524"/>
    <w:rsid w:val="00F635B4"/>
    <w:rsid w:val="00F63917"/>
    <w:rsid w:val="00F67FA5"/>
    <w:rsid w:val="00F75EAE"/>
    <w:rsid w:val="00F77FC5"/>
    <w:rsid w:val="00F808C6"/>
    <w:rsid w:val="00F814AA"/>
    <w:rsid w:val="00F816DE"/>
    <w:rsid w:val="00F82FE3"/>
    <w:rsid w:val="00F842B5"/>
    <w:rsid w:val="00F85824"/>
    <w:rsid w:val="00F8585A"/>
    <w:rsid w:val="00F90E45"/>
    <w:rsid w:val="00F9146D"/>
    <w:rsid w:val="00F92579"/>
    <w:rsid w:val="00F93099"/>
    <w:rsid w:val="00F95832"/>
    <w:rsid w:val="00FA68FF"/>
    <w:rsid w:val="00FA773C"/>
    <w:rsid w:val="00FA7C79"/>
    <w:rsid w:val="00FA7CE3"/>
    <w:rsid w:val="00FB33DF"/>
    <w:rsid w:val="00FB4ED6"/>
    <w:rsid w:val="00FC0444"/>
    <w:rsid w:val="00FC0A37"/>
    <w:rsid w:val="00FC0BCF"/>
    <w:rsid w:val="00FC46CA"/>
    <w:rsid w:val="00FC6842"/>
    <w:rsid w:val="00FD1245"/>
    <w:rsid w:val="00FD1596"/>
    <w:rsid w:val="00FD34AA"/>
    <w:rsid w:val="00FD440A"/>
    <w:rsid w:val="00FD5ACB"/>
    <w:rsid w:val="00FD6117"/>
    <w:rsid w:val="00FE00ED"/>
    <w:rsid w:val="00FE1830"/>
    <w:rsid w:val="00FE338C"/>
    <w:rsid w:val="00FE34C8"/>
    <w:rsid w:val="00FE7E87"/>
    <w:rsid w:val="00FE7FE5"/>
    <w:rsid w:val="00FF0D1A"/>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166C3-9F14-4F9B-B71C-2ADD32FB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2019-08-20T16:10:00Z</dcterms:created>
  <dcterms:modified xsi:type="dcterms:W3CDTF">2020-02-24T22:08:00Z</dcterms:modified>
</cp:coreProperties>
</file>