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C6C7" w14:textId="77777777" w:rsidR="000D6A6C" w:rsidRPr="00BC5F58" w:rsidRDefault="00167268" w:rsidP="00167268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BC5F58">
        <w:rPr>
          <w:b/>
          <w:sz w:val="32"/>
          <w:szCs w:val="24"/>
        </w:rPr>
        <w:t>Citizens Information Board</w:t>
      </w:r>
    </w:p>
    <w:p w14:paraId="63B883F4" w14:textId="77777777" w:rsidR="00167268" w:rsidRDefault="00167268" w:rsidP="00167268">
      <w:pPr>
        <w:jc w:val="center"/>
      </w:pPr>
    </w:p>
    <w:p w14:paraId="38AB024E" w14:textId="4C35424A"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  <w:r w:rsidR="0065415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5415B">
        <w:rPr>
          <w:b/>
          <w:sz w:val="24"/>
          <w:szCs w:val="24"/>
        </w:rPr>
        <w:t xml:space="preserve">Wednesday, </w:t>
      </w:r>
      <w:r w:rsidR="00340EB5">
        <w:rPr>
          <w:b/>
          <w:sz w:val="24"/>
          <w:szCs w:val="24"/>
        </w:rPr>
        <w:t>13 Nov</w:t>
      </w:r>
      <w:r w:rsidR="00BE63F9">
        <w:rPr>
          <w:b/>
          <w:sz w:val="24"/>
          <w:szCs w:val="24"/>
        </w:rPr>
        <w:t>ember</w:t>
      </w:r>
      <w:r w:rsidR="00520749">
        <w:rPr>
          <w:b/>
          <w:sz w:val="24"/>
          <w:szCs w:val="24"/>
        </w:rPr>
        <w:t xml:space="preserve"> 2019</w:t>
      </w:r>
    </w:p>
    <w:p w14:paraId="13843BF0" w14:textId="59DAD7A0" w:rsidR="00167268" w:rsidRPr="00BC5F58" w:rsidRDefault="006B316D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>George’s Quay House, 43 Townsend St., Dublin 2</w:t>
      </w:r>
    </w:p>
    <w:p w14:paraId="52FC123F" w14:textId="77777777" w:rsidR="00167268" w:rsidRPr="00BC5F58" w:rsidRDefault="00167268">
      <w:pPr>
        <w:rPr>
          <w:sz w:val="24"/>
          <w:szCs w:val="24"/>
        </w:rPr>
      </w:pPr>
    </w:p>
    <w:p w14:paraId="2B54CD3C" w14:textId="77777777" w:rsidR="00167268" w:rsidRPr="00DD39EE" w:rsidRDefault="00167268">
      <w:pPr>
        <w:rPr>
          <w:sz w:val="24"/>
          <w:szCs w:val="24"/>
        </w:rPr>
      </w:pPr>
    </w:p>
    <w:p w14:paraId="1C00A3CB" w14:textId="0960FC32" w:rsidR="00D6788E" w:rsidRDefault="00167268" w:rsidP="006B42A1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="006E6347">
        <w:rPr>
          <w:b/>
          <w:sz w:val="24"/>
          <w:szCs w:val="24"/>
        </w:rPr>
        <w:t xml:space="preserve"> </w:t>
      </w:r>
      <w:proofErr w:type="spellStart"/>
      <w:proofErr w:type="gramStart"/>
      <w:r w:rsidR="00F46DFB" w:rsidRPr="00DD39EE">
        <w:rPr>
          <w:sz w:val="24"/>
          <w:szCs w:val="24"/>
        </w:rPr>
        <w:t>Ita</w:t>
      </w:r>
      <w:proofErr w:type="spellEnd"/>
      <w:proofErr w:type="gramEnd"/>
      <w:r w:rsidR="00F46DFB" w:rsidRPr="00DD39EE">
        <w:rPr>
          <w:sz w:val="24"/>
          <w:szCs w:val="24"/>
        </w:rPr>
        <w:t xml:space="preserve"> </w:t>
      </w:r>
      <w:proofErr w:type="spellStart"/>
      <w:r w:rsidR="00F46DFB" w:rsidRPr="00DD39EE">
        <w:rPr>
          <w:sz w:val="24"/>
          <w:szCs w:val="24"/>
        </w:rPr>
        <w:t>Mangan</w:t>
      </w:r>
      <w:proofErr w:type="spellEnd"/>
      <w:r w:rsidR="00F46DFB" w:rsidRPr="00DD39EE">
        <w:rPr>
          <w:sz w:val="24"/>
          <w:szCs w:val="24"/>
        </w:rPr>
        <w:t xml:space="preserve"> </w:t>
      </w:r>
      <w:r w:rsidR="00F46DFB">
        <w:rPr>
          <w:sz w:val="24"/>
          <w:szCs w:val="24"/>
        </w:rPr>
        <w:t xml:space="preserve">(Chairperson), </w:t>
      </w:r>
      <w:proofErr w:type="spellStart"/>
      <w:r w:rsidR="00D6788E">
        <w:rPr>
          <w:sz w:val="24"/>
          <w:szCs w:val="24"/>
        </w:rPr>
        <w:t>Seán</w:t>
      </w:r>
      <w:proofErr w:type="spellEnd"/>
      <w:r w:rsidR="00D6788E">
        <w:rPr>
          <w:sz w:val="24"/>
          <w:szCs w:val="24"/>
        </w:rPr>
        <w:t xml:space="preserve"> Sheridan, Mary Doyle, Joanne McCarthy, John Saunders, Nicola Walshe, Mary Higgins</w:t>
      </w:r>
      <w:r w:rsidR="00340EB5">
        <w:rPr>
          <w:sz w:val="24"/>
          <w:szCs w:val="24"/>
        </w:rPr>
        <w:t>, Tina Leonard, Eilis Barry, Tim Duggan</w:t>
      </w:r>
    </w:p>
    <w:p w14:paraId="447D4E12" w14:textId="77777777" w:rsidR="004C5F09" w:rsidRDefault="004C5F09" w:rsidP="006B42A1">
      <w:pPr>
        <w:rPr>
          <w:sz w:val="24"/>
          <w:szCs w:val="24"/>
        </w:rPr>
      </w:pPr>
    </w:p>
    <w:p w14:paraId="38855F08" w14:textId="4BDA5E6C" w:rsidR="00BC5F58" w:rsidRPr="006B42A1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 w:rsidR="00D6788E">
        <w:rPr>
          <w:sz w:val="24"/>
          <w:szCs w:val="24"/>
        </w:rPr>
        <w:t xml:space="preserve"> </w:t>
      </w:r>
      <w:r w:rsidR="00340EB5">
        <w:rPr>
          <w:sz w:val="24"/>
          <w:szCs w:val="24"/>
        </w:rPr>
        <w:t xml:space="preserve">Cearbhall O </w:t>
      </w:r>
      <w:proofErr w:type="spellStart"/>
      <w:r w:rsidR="00340EB5">
        <w:rPr>
          <w:sz w:val="24"/>
          <w:szCs w:val="24"/>
        </w:rPr>
        <w:t>Meadhra</w:t>
      </w:r>
      <w:proofErr w:type="spellEnd"/>
      <w:r w:rsidR="00340EB5">
        <w:rPr>
          <w:sz w:val="24"/>
          <w:szCs w:val="24"/>
        </w:rPr>
        <w:t xml:space="preserve">, </w:t>
      </w:r>
      <w:r w:rsidR="00520749">
        <w:rPr>
          <w:sz w:val="24"/>
          <w:szCs w:val="24"/>
        </w:rPr>
        <w:t xml:space="preserve">James Clarke, </w:t>
      </w:r>
      <w:r w:rsidR="007A5EFE">
        <w:rPr>
          <w:sz w:val="24"/>
          <w:szCs w:val="24"/>
        </w:rPr>
        <w:t>Josephine Henry</w:t>
      </w:r>
      <w:r w:rsidR="00BE63F9">
        <w:rPr>
          <w:sz w:val="24"/>
          <w:szCs w:val="24"/>
        </w:rPr>
        <w:t xml:space="preserve">, </w:t>
      </w:r>
      <w:r w:rsidR="00340EB5">
        <w:rPr>
          <w:sz w:val="24"/>
          <w:szCs w:val="24"/>
        </w:rPr>
        <w:t>Niall Mulligan, Ian Power</w:t>
      </w:r>
    </w:p>
    <w:p w14:paraId="6F9B8F85" w14:textId="77777777" w:rsidR="00BC5F58" w:rsidRDefault="00BC5F58">
      <w:pPr>
        <w:rPr>
          <w:sz w:val="24"/>
          <w:szCs w:val="24"/>
        </w:rPr>
      </w:pPr>
    </w:p>
    <w:p w14:paraId="3DDDC472" w14:textId="74B1A245" w:rsidR="00167268" w:rsidRPr="008421E1" w:rsidRDefault="00167268" w:rsidP="00D14786">
      <w:pPr>
        <w:spacing w:after="360"/>
        <w:rPr>
          <w:i/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6E6347">
        <w:rPr>
          <w:sz w:val="24"/>
          <w:szCs w:val="24"/>
        </w:rPr>
        <w:t xml:space="preserve"> </w:t>
      </w:r>
      <w:r w:rsidR="004C5F09">
        <w:rPr>
          <w:sz w:val="24"/>
          <w:szCs w:val="24"/>
        </w:rPr>
        <w:t xml:space="preserve">Angela Black, Chief Executive; Fiona Coyne, </w:t>
      </w:r>
      <w:r w:rsidR="00C12ABB">
        <w:rPr>
          <w:sz w:val="24"/>
          <w:szCs w:val="24"/>
        </w:rPr>
        <w:t xml:space="preserve">Adrian O’Connor, </w:t>
      </w:r>
      <w:r w:rsidRPr="00DD39EE">
        <w:rPr>
          <w:sz w:val="24"/>
          <w:szCs w:val="24"/>
        </w:rPr>
        <w:t>Graham Long</w:t>
      </w:r>
      <w:r w:rsidR="003A1B08">
        <w:rPr>
          <w:sz w:val="24"/>
          <w:szCs w:val="24"/>
        </w:rPr>
        <w:t xml:space="preserve"> (also taking minutes)</w:t>
      </w:r>
      <w:r w:rsidR="00D6788E">
        <w:rPr>
          <w:sz w:val="24"/>
          <w:szCs w:val="24"/>
        </w:rPr>
        <w:t xml:space="preserve">, </w:t>
      </w:r>
      <w:proofErr w:type="spellStart"/>
      <w:r w:rsidR="00340EB5">
        <w:rPr>
          <w:sz w:val="24"/>
          <w:szCs w:val="24"/>
        </w:rPr>
        <w:t>Gráinne</w:t>
      </w:r>
      <w:proofErr w:type="spellEnd"/>
      <w:r w:rsidR="00821B77">
        <w:rPr>
          <w:sz w:val="24"/>
          <w:szCs w:val="24"/>
        </w:rPr>
        <w:t xml:space="preserve"> Griffin, Claudia </w:t>
      </w:r>
      <w:proofErr w:type="spellStart"/>
      <w:r w:rsidR="00821B77">
        <w:rPr>
          <w:sz w:val="24"/>
          <w:szCs w:val="24"/>
        </w:rPr>
        <w:t>Carr</w:t>
      </w:r>
      <w:proofErr w:type="spellEnd"/>
      <w:r w:rsidR="00821B77">
        <w:rPr>
          <w:sz w:val="24"/>
          <w:szCs w:val="24"/>
        </w:rPr>
        <w:t>, BearingP</w:t>
      </w:r>
      <w:r w:rsidR="00340EB5">
        <w:rPr>
          <w:sz w:val="24"/>
          <w:szCs w:val="24"/>
        </w:rPr>
        <w:t xml:space="preserve">oint (item </w:t>
      </w:r>
      <w:r w:rsidR="00821B77">
        <w:rPr>
          <w:sz w:val="24"/>
          <w:szCs w:val="24"/>
        </w:rPr>
        <w:t>1), Nicolas Marcoux, IPA (item 3</w:t>
      </w:r>
      <w:r w:rsidR="00340EB5">
        <w:rPr>
          <w:sz w:val="24"/>
          <w:szCs w:val="24"/>
        </w:rPr>
        <w:t xml:space="preserve">), </w:t>
      </w:r>
      <w:r w:rsidR="00D6788E">
        <w:rPr>
          <w:sz w:val="24"/>
          <w:szCs w:val="24"/>
        </w:rPr>
        <w:t>Gary Watters</w:t>
      </w:r>
      <w:r w:rsidR="00AD766C">
        <w:rPr>
          <w:sz w:val="24"/>
          <w:szCs w:val="24"/>
        </w:rPr>
        <w:t xml:space="preserve"> </w:t>
      </w:r>
      <w:r w:rsidR="00821B77">
        <w:rPr>
          <w:sz w:val="24"/>
          <w:szCs w:val="24"/>
        </w:rPr>
        <w:t>(item 5</w:t>
      </w:r>
      <w:r w:rsidR="00A22D5D">
        <w:rPr>
          <w:sz w:val="24"/>
          <w:szCs w:val="24"/>
        </w:rPr>
        <w:t>)</w:t>
      </w:r>
    </w:p>
    <w:p w14:paraId="7FC62F3D" w14:textId="77777777"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14:paraId="710F3197" w14:textId="77777777"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885"/>
        <w:gridCol w:w="8131"/>
      </w:tblGrid>
      <w:tr w:rsidR="00AB3160" w:rsidRPr="00BA3BCF" w14:paraId="2B62CB24" w14:textId="77777777" w:rsidTr="00C724AF">
        <w:tc>
          <w:tcPr>
            <w:tcW w:w="885" w:type="dxa"/>
            <w:tcBorders>
              <w:bottom w:val="dotted" w:sz="4" w:space="0" w:color="auto"/>
            </w:tcBorders>
          </w:tcPr>
          <w:p w14:paraId="4AFC8C88" w14:textId="77777777" w:rsidR="00AB3160" w:rsidRPr="00F27F25" w:rsidRDefault="00AB3160" w:rsidP="00F02FA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31" w:type="dxa"/>
            <w:tcBorders>
              <w:bottom w:val="dotted" w:sz="4" w:space="0" w:color="auto"/>
            </w:tcBorders>
          </w:tcPr>
          <w:p w14:paraId="55A80F60" w14:textId="59EF7679" w:rsidR="00AB3160" w:rsidRPr="00F27F25" w:rsidRDefault="000F3B00" w:rsidP="00F0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D</w:t>
            </w:r>
            <w:r w:rsidR="00AB3160" w:rsidRPr="00F27F25">
              <w:rPr>
                <w:b/>
                <w:sz w:val="24"/>
                <w:szCs w:val="24"/>
              </w:rPr>
              <w:t>escription</w:t>
            </w:r>
          </w:p>
        </w:tc>
      </w:tr>
      <w:tr w:rsidR="00821B77" w:rsidRPr="00BA3BCF" w14:paraId="688125A7" w14:textId="77777777" w:rsidTr="00C724AF">
        <w:tc>
          <w:tcPr>
            <w:tcW w:w="885" w:type="dxa"/>
            <w:tcBorders>
              <w:bottom w:val="dotted" w:sz="4" w:space="0" w:color="auto"/>
            </w:tcBorders>
          </w:tcPr>
          <w:p w14:paraId="77843A51" w14:textId="3C08E38E" w:rsidR="00821B77" w:rsidRPr="00821B77" w:rsidRDefault="00821B77" w:rsidP="00F02FA8">
            <w:pPr>
              <w:rPr>
                <w:b/>
                <w:sz w:val="24"/>
                <w:szCs w:val="24"/>
              </w:rPr>
            </w:pPr>
            <w:r w:rsidRPr="00821B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bottom w:val="dotted" w:sz="4" w:space="0" w:color="auto"/>
            </w:tcBorders>
          </w:tcPr>
          <w:p w14:paraId="26BE2AEA" w14:textId="21333C17" w:rsidR="00821B77" w:rsidRPr="00821B77" w:rsidRDefault="00821B77" w:rsidP="00F02FA8">
            <w:pPr>
              <w:rPr>
                <w:b/>
                <w:sz w:val="24"/>
                <w:szCs w:val="24"/>
              </w:rPr>
            </w:pPr>
            <w:r w:rsidRPr="00821B77">
              <w:rPr>
                <w:rFonts w:eastAsia="Calibri" w:cs="Arial"/>
                <w:b/>
              </w:rPr>
              <w:t>CIB Strategy Development: Key Performance Indicators</w:t>
            </w:r>
            <w:r w:rsidR="00C724AF">
              <w:rPr>
                <w:rFonts w:eastAsia="Calibri" w:cs="Arial"/>
                <w:b/>
              </w:rPr>
              <w:t xml:space="preserve"> (KPIs)</w:t>
            </w:r>
            <w:r w:rsidRPr="00821B77">
              <w:rPr>
                <w:rFonts w:eastAsia="Calibri" w:cs="Arial"/>
                <w:b/>
              </w:rPr>
              <w:t xml:space="preserve"> and Key Result Indicators</w:t>
            </w:r>
            <w:r w:rsidR="00C724AF">
              <w:rPr>
                <w:rFonts w:eastAsia="Calibri" w:cs="Arial"/>
                <w:b/>
              </w:rPr>
              <w:t xml:space="preserve"> (KRIs)</w:t>
            </w:r>
          </w:p>
        </w:tc>
      </w:tr>
      <w:tr w:rsidR="00821B77" w:rsidRPr="00BA3BCF" w14:paraId="5DEA53B4" w14:textId="77777777" w:rsidTr="00C724AF">
        <w:tc>
          <w:tcPr>
            <w:tcW w:w="885" w:type="dxa"/>
            <w:tcBorders>
              <w:bottom w:val="dotted" w:sz="4" w:space="0" w:color="auto"/>
            </w:tcBorders>
          </w:tcPr>
          <w:p w14:paraId="79F34C2A" w14:textId="4C115580" w:rsidR="00821B77" w:rsidRPr="00821B77" w:rsidRDefault="00821B77" w:rsidP="00F02FA8">
            <w:pPr>
              <w:rPr>
                <w:sz w:val="24"/>
                <w:szCs w:val="24"/>
              </w:rPr>
            </w:pPr>
            <w:r w:rsidRPr="00821B77">
              <w:rPr>
                <w:sz w:val="24"/>
                <w:szCs w:val="24"/>
              </w:rPr>
              <w:t>1.1</w:t>
            </w:r>
          </w:p>
        </w:tc>
        <w:tc>
          <w:tcPr>
            <w:tcW w:w="8131" w:type="dxa"/>
            <w:tcBorders>
              <w:bottom w:val="dotted" w:sz="4" w:space="0" w:color="auto"/>
            </w:tcBorders>
          </w:tcPr>
          <w:p w14:paraId="05BDD03C" w14:textId="07CA640F" w:rsidR="00821B77" w:rsidRPr="00821B77" w:rsidRDefault="00821B77" w:rsidP="00C724AF">
            <w:pPr>
              <w:rPr>
                <w:sz w:val="24"/>
                <w:szCs w:val="24"/>
              </w:rPr>
            </w:pPr>
            <w:r w:rsidRPr="00821B77">
              <w:rPr>
                <w:sz w:val="24"/>
                <w:szCs w:val="24"/>
              </w:rPr>
              <w:t xml:space="preserve">BearingPoint facilitated a discussion </w:t>
            </w:r>
            <w:r w:rsidR="00C724AF">
              <w:rPr>
                <w:sz w:val="24"/>
                <w:szCs w:val="24"/>
              </w:rPr>
              <w:t>on</w:t>
            </w:r>
            <w:r w:rsidRPr="00821B77">
              <w:rPr>
                <w:sz w:val="24"/>
                <w:szCs w:val="24"/>
              </w:rPr>
              <w:t xml:space="preserve"> the selection of KPIs and KRIs to measure progress against the CIB Strategic Plan 2019 – 2021.</w:t>
            </w:r>
          </w:p>
        </w:tc>
      </w:tr>
      <w:tr w:rsidR="008B03A4" w:rsidRPr="00DD39EE" w14:paraId="2A37C8AB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56DCF9E8" w14:textId="753A6811" w:rsidR="008B03A4" w:rsidRPr="00F27F25" w:rsidRDefault="00C724AF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66C0CE6" w14:textId="310D037A" w:rsidR="008B03A4" w:rsidRPr="00F27F25" w:rsidRDefault="008B03A4" w:rsidP="00A25066">
            <w:pPr>
              <w:rPr>
                <w:sz w:val="24"/>
                <w:szCs w:val="24"/>
                <w:u w:val="single"/>
              </w:rPr>
            </w:pPr>
            <w:r w:rsidRPr="00F27F25">
              <w:rPr>
                <w:sz w:val="24"/>
                <w:szCs w:val="24"/>
                <w:u w:val="single"/>
              </w:rPr>
              <w:t xml:space="preserve">Declaration of </w:t>
            </w:r>
            <w:r w:rsidR="00FC6842">
              <w:rPr>
                <w:sz w:val="24"/>
                <w:szCs w:val="24"/>
                <w:u w:val="single"/>
              </w:rPr>
              <w:t>I</w:t>
            </w:r>
            <w:r w:rsidRPr="00F27F25">
              <w:rPr>
                <w:sz w:val="24"/>
                <w:szCs w:val="24"/>
                <w:u w:val="single"/>
              </w:rPr>
              <w:t>nterests</w:t>
            </w:r>
          </w:p>
        </w:tc>
      </w:tr>
      <w:tr w:rsidR="00A25066" w:rsidRPr="00DD39EE" w14:paraId="3CC3AD30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D52EF09" w14:textId="1DF409D6" w:rsidR="00A25066" w:rsidRPr="00F27F25" w:rsidRDefault="00C724AF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1A908CF" w14:textId="2E4ECB39" w:rsidR="00A25066" w:rsidRPr="00F27F25" w:rsidRDefault="0023514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</w:t>
            </w:r>
            <w:r w:rsidR="00A25066" w:rsidRPr="00F27F25">
              <w:rPr>
                <w:sz w:val="24"/>
                <w:szCs w:val="24"/>
              </w:rPr>
              <w:t xml:space="preserve"> invited Board members to</w:t>
            </w:r>
            <w:r w:rsidR="007F5362">
              <w:rPr>
                <w:sz w:val="24"/>
                <w:szCs w:val="24"/>
              </w:rPr>
              <w:t xml:space="preserve"> declare any relevant interests. </w:t>
            </w:r>
            <w:r w:rsidR="00DA5C89">
              <w:rPr>
                <w:sz w:val="24"/>
                <w:szCs w:val="24"/>
              </w:rPr>
              <w:t>No relevant interests were declared</w:t>
            </w:r>
            <w:r w:rsidR="00480048">
              <w:rPr>
                <w:sz w:val="24"/>
                <w:szCs w:val="24"/>
              </w:rPr>
              <w:t>.</w:t>
            </w:r>
          </w:p>
        </w:tc>
      </w:tr>
      <w:tr w:rsidR="00081E82" w:rsidRPr="00DD39EE" w14:paraId="788BCF24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DC55052" w14:textId="1142CD4E" w:rsidR="00081E82" w:rsidRPr="00837B44" w:rsidRDefault="00821B77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0D1F15B8" w14:textId="77777777" w:rsidR="00081E82" w:rsidRPr="00F27F25" w:rsidRDefault="00081E82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of Previous M</w:t>
            </w:r>
            <w:r w:rsidRPr="00F27F25">
              <w:rPr>
                <w:b/>
                <w:sz w:val="24"/>
                <w:szCs w:val="24"/>
              </w:rPr>
              <w:t xml:space="preserve">eeting </w:t>
            </w:r>
          </w:p>
          <w:p w14:paraId="05A726E5" w14:textId="3A4654F8" w:rsidR="00081E82" w:rsidRDefault="00081E82" w:rsidP="00821B77">
            <w:pPr>
              <w:jc w:val="both"/>
              <w:rPr>
                <w:sz w:val="24"/>
                <w:szCs w:val="24"/>
              </w:rPr>
            </w:pPr>
            <w:r w:rsidRPr="00F27F25">
              <w:rPr>
                <w:i/>
                <w:sz w:val="24"/>
                <w:szCs w:val="24"/>
              </w:rPr>
              <w:t xml:space="preserve">(The minutes of the Board meeting held on </w:t>
            </w:r>
            <w:r>
              <w:rPr>
                <w:i/>
                <w:sz w:val="24"/>
                <w:szCs w:val="24"/>
              </w:rPr>
              <w:t xml:space="preserve">Wednesday, </w:t>
            </w:r>
            <w:r w:rsidR="00821B77">
              <w:rPr>
                <w:i/>
                <w:sz w:val="24"/>
                <w:szCs w:val="24"/>
              </w:rPr>
              <w:t>25 September</w:t>
            </w:r>
            <w:r>
              <w:rPr>
                <w:i/>
                <w:sz w:val="24"/>
                <w:szCs w:val="24"/>
              </w:rPr>
              <w:t xml:space="preserve"> 2019</w:t>
            </w:r>
            <w:r w:rsidRPr="00F27F2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27F25">
              <w:rPr>
                <w:i/>
                <w:sz w:val="24"/>
                <w:szCs w:val="24"/>
              </w:rPr>
              <w:t>were circulated</w:t>
            </w:r>
            <w:proofErr w:type="gramEnd"/>
            <w:r w:rsidRPr="00F27F25">
              <w:rPr>
                <w:i/>
                <w:sz w:val="24"/>
                <w:szCs w:val="24"/>
              </w:rPr>
              <w:t xml:space="preserve"> in advance of the meeting.)</w:t>
            </w:r>
          </w:p>
        </w:tc>
      </w:tr>
      <w:tr w:rsidR="00081E82" w:rsidRPr="00DD39EE" w14:paraId="794958BA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96F1747" w14:textId="085AC98E" w:rsidR="00081E82" w:rsidRDefault="00821B7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E82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5DCF901" w14:textId="6AE527F1" w:rsidR="00081E82" w:rsidRDefault="00081E82" w:rsidP="00821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</w:t>
            </w:r>
            <w:proofErr w:type="gramStart"/>
            <w:r>
              <w:rPr>
                <w:sz w:val="24"/>
                <w:szCs w:val="24"/>
              </w:rPr>
              <w:t xml:space="preserve">were </w:t>
            </w:r>
            <w:r w:rsidR="00821B77">
              <w:rPr>
                <w:sz w:val="24"/>
                <w:szCs w:val="24"/>
              </w:rPr>
              <w:t xml:space="preserve">proposed by </w:t>
            </w:r>
            <w:proofErr w:type="spellStart"/>
            <w:r w:rsidR="00821B77">
              <w:rPr>
                <w:sz w:val="24"/>
                <w:szCs w:val="24"/>
              </w:rPr>
              <w:t>Seán</w:t>
            </w:r>
            <w:proofErr w:type="spellEnd"/>
            <w:r w:rsidR="00821B77">
              <w:rPr>
                <w:sz w:val="24"/>
                <w:szCs w:val="24"/>
              </w:rPr>
              <w:t xml:space="preserve"> Sheridan and seconded by Tina Leonard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21B77" w:rsidRPr="00DD39EE" w14:paraId="5F916489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553AC485" w14:textId="0B17F6AD" w:rsidR="00821B77" w:rsidRPr="00821B77" w:rsidRDefault="00821B77" w:rsidP="00081E82">
            <w:pPr>
              <w:rPr>
                <w:b/>
                <w:sz w:val="24"/>
                <w:szCs w:val="24"/>
              </w:rPr>
            </w:pPr>
            <w:r w:rsidRPr="00821B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A9209DE" w14:textId="6F3CC9B2" w:rsidR="00821B77" w:rsidRPr="00821B77" w:rsidRDefault="00821B77" w:rsidP="00821B77">
            <w:pPr>
              <w:jc w:val="both"/>
              <w:rPr>
                <w:b/>
                <w:sz w:val="24"/>
                <w:szCs w:val="24"/>
              </w:rPr>
            </w:pPr>
            <w:r w:rsidRPr="00821B77">
              <w:rPr>
                <w:b/>
                <w:sz w:val="24"/>
                <w:szCs w:val="24"/>
              </w:rPr>
              <w:t>External Evaluation of the Board – Presentation by the IPA</w:t>
            </w:r>
          </w:p>
        </w:tc>
      </w:tr>
      <w:tr w:rsidR="00821B77" w:rsidRPr="00DD39EE" w14:paraId="4898B968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CEC5EA8" w14:textId="3699DF77" w:rsidR="00821B77" w:rsidRDefault="00821B7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2F83F14" w14:textId="5BA429E2" w:rsidR="00821B77" w:rsidRDefault="00821B77" w:rsidP="00821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Institute of Public Administration (IPA) presented on the process for their external evaluation of the Board. The evaluation </w:t>
            </w:r>
            <w:r w:rsidR="00C724AF">
              <w:rPr>
                <w:sz w:val="24"/>
                <w:szCs w:val="24"/>
              </w:rPr>
              <w:t xml:space="preserve">process </w:t>
            </w:r>
            <w:r>
              <w:rPr>
                <w:sz w:val="24"/>
                <w:szCs w:val="24"/>
              </w:rPr>
              <w:t>will include a survey, interviews with Board members and a review of governance material.</w:t>
            </w:r>
          </w:p>
        </w:tc>
      </w:tr>
      <w:tr w:rsidR="00821B77" w:rsidRPr="00821B77" w14:paraId="614F573B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48BF197" w14:textId="43BBD435" w:rsidR="00821B77" w:rsidRPr="00821B77" w:rsidRDefault="00821B77" w:rsidP="00081E82">
            <w:pPr>
              <w:rPr>
                <w:b/>
                <w:sz w:val="24"/>
                <w:szCs w:val="24"/>
              </w:rPr>
            </w:pPr>
            <w:r w:rsidRPr="00821B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7C024C4" w14:textId="0966A027" w:rsidR="00821B77" w:rsidRPr="00821B77" w:rsidRDefault="00821B77" w:rsidP="00821B77">
            <w:pPr>
              <w:jc w:val="both"/>
              <w:rPr>
                <w:b/>
                <w:sz w:val="24"/>
                <w:szCs w:val="24"/>
              </w:rPr>
            </w:pPr>
            <w:r w:rsidRPr="00821B77">
              <w:rPr>
                <w:b/>
                <w:sz w:val="24"/>
                <w:szCs w:val="24"/>
              </w:rPr>
              <w:t xml:space="preserve">Review of MABS National Development </w:t>
            </w:r>
            <w:r w:rsidR="009F71CC">
              <w:rPr>
                <w:b/>
                <w:sz w:val="24"/>
                <w:szCs w:val="24"/>
              </w:rPr>
              <w:t xml:space="preserve">(MABS ND) </w:t>
            </w:r>
            <w:r w:rsidRPr="00821B77">
              <w:rPr>
                <w:b/>
                <w:sz w:val="24"/>
                <w:szCs w:val="24"/>
              </w:rPr>
              <w:t>- Update</w:t>
            </w:r>
          </w:p>
        </w:tc>
      </w:tr>
      <w:tr w:rsidR="00821B77" w:rsidRPr="00DD39EE" w14:paraId="3C2F8B2D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E50E239" w14:textId="77777777" w:rsidR="00821B77" w:rsidRDefault="00821B77" w:rsidP="00081E82">
            <w:pPr>
              <w:rPr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20035DBB" w14:textId="27805B0A" w:rsidR="009F71CC" w:rsidRDefault="009F71CC" w:rsidP="004E0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update </w:t>
            </w:r>
            <w:proofErr w:type="gramStart"/>
            <w:r>
              <w:rPr>
                <w:sz w:val="24"/>
                <w:szCs w:val="24"/>
              </w:rPr>
              <w:t>was provided</w:t>
            </w:r>
            <w:proofErr w:type="gramEnd"/>
            <w:r>
              <w:rPr>
                <w:sz w:val="24"/>
                <w:szCs w:val="24"/>
              </w:rPr>
              <w:t xml:space="preserve"> on the process to transfer the functions of MABS ND. </w:t>
            </w:r>
            <w:r w:rsidR="004E065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letter </w:t>
            </w:r>
            <w:proofErr w:type="gramStart"/>
            <w:r>
              <w:rPr>
                <w:sz w:val="24"/>
                <w:szCs w:val="24"/>
              </w:rPr>
              <w:t>was issued</w:t>
            </w:r>
            <w:proofErr w:type="gramEnd"/>
            <w:r>
              <w:rPr>
                <w:sz w:val="24"/>
                <w:szCs w:val="24"/>
              </w:rPr>
              <w:t xml:space="preserve"> to MABS ND stating that CIB was prepared to withdraw the report </w:t>
            </w:r>
            <w:r w:rsidR="00B8584A">
              <w:rPr>
                <w:sz w:val="24"/>
                <w:szCs w:val="24"/>
              </w:rPr>
              <w:t xml:space="preserve">by Persuasion Limited </w:t>
            </w:r>
            <w:r>
              <w:rPr>
                <w:sz w:val="24"/>
                <w:szCs w:val="24"/>
              </w:rPr>
              <w:t>and to dispose of copies of the report.</w:t>
            </w:r>
            <w:r w:rsidR="00B8584A">
              <w:rPr>
                <w:sz w:val="24"/>
                <w:szCs w:val="24"/>
              </w:rPr>
              <w:t xml:space="preserve"> The letter noted that this step </w:t>
            </w:r>
            <w:proofErr w:type="gramStart"/>
            <w:r w:rsidR="00B8584A">
              <w:rPr>
                <w:sz w:val="24"/>
                <w:szCs w:val="24"/>
              </w:rPr>
              <w:t>would be taken</w:t>
            </w:r>
            <w:proofErr w:type="gramEnd"/>
            <w:r w:rsidR="00B8584A">
              <w:rPr>
                <w:sz w:val="24"/>
                <w:szCs w:val="24"/>
              </w:rPr>
              <w:t xml:space="preserve"> in the interests of ensuring an amicable outcome and avoiding unnecessary legal costs.</w:t>
            </w:r>
            <w:r>
              <w:rPr>
                <w:sz w:val="24"/>
                <w:szCs w:val="24"/>
              </w:rPr>
              <w:t xml:space="preserve"> Further correspondence </w:t>
            </w:r>
            <w:proofErr w:type="gramStart"/>
            <w:r>
              <w:rPr>
                <w:sz w:val="24"/>
                <w:szCs w:val="24"/>
              </w:rPr>
              <w:t>was subsequently received</w:t>
            </w:r>
            <w:proofErr w:type="gramEnd"/>
            <w:r>
              <w:rPr>
                <w:sz w:val="24"/>
                <w:szCs w:val="24"/>
              </w:rPr>
              <w:t xml:space="preserve"> from MABS ND’s solicitors. </w:t>
            </w:r>
            <w:r w:rsidR="00B8584A">
              <w:rPr>
                <w:sz w:val="24"/>
                <w:szCs w:val="24"/>
              </w:rPr>
              <w:t xml:space="preserve">The Board </w:t>
            </w:r>
            <w:r w:rsidR="006C30EB">
              <w:rPr>
                <w:sz w:val="24"/>
                <w:szCs w:val="24"/>
              </w:rPr>
              <w:t>acknowledged the withdrawal of the report and noted that</w:t>
            </w:r>
            <w:r w:rsidR="00B8584A">
              <w:rPr>
                <w:sz w:val="24"/>
                <w:szCs w:val="24"/>
              </w:rPr>
              <w:t xml:space="preserve"> copies held by CIB </w:t>
            </w:r>
            <w:proofErr w:type="gramStart"/>
            <w:r w:rsidR="00B8584A">
              <w:rPr>
                <w:sz w:val="24"/>
                <w:szCs w:val="24"/>
              </w:rPr>
              <w:t>would be destroyed</w:t>
            </w:r>
            <w:proofErr w:type="gramEnd"/>
            <w:r w:rsidR="00B8584A">
              <w:rPr>
                <w:sz w:val="24"/>
                <w:szCs w:val="24"/>
              </w:rPr>
              <w:t xml:space="preserve">. </w:t>
            </w:r>
            <w:r w:rsidR="00514669">
              <w:rPr>
                <w:sz w:val="24"/>
                <w:szCs w:val="24"/>
              </w:rPr>
              <w:t xml:space="preserve">It </w:t>
            </w:r>
            <w:proofErr w:type="gramStart"/>
            <w:r w:rsidR="00514669">
              <w:rPr>
                <w:sz w:val="24"/>
                <w:szCs w:val="24"/>
              </w:rPr>
              <w:t>is now planned</w:t>
            </w:r>
            <w:proofErr w:type="gramEnd"/>
            <w:r w:rsidR="00514669">
              <w:rPr>
                <w:sz w:val="24"/>
                <w:szCs w:val="24"/>
              </w:rPr>
              <w:t xml:space="preserve"> to transfer the helpline functions of MABS ND to North Dublin MABS CLG</w:t>
            </w:r>
            <w:r w:rsidR="004E0653">
              <w:rPr>
                <w:sz w:val="24"/>
                <w:szCs w:val="24"/>
              </w:rPr>
              <w:t>, in line with MABS ND’s preference</w:t>
            </w:r>
            <w:r w:rsidR="00514669">
              <w:rPr>
                <w:sz w:val="24"/>
                <w:szCs w:val="24"/>
              </w:rPr>
              <w:t>. The proposed transfer date for all functions of MABS ND is Monday, 3 February 2020.</w:t>
            </w:r>
          </w:p>
        </w:tc>
      </w:tr>
      <w:tr w:rsidR="00081E82" w:rsidRPr="00DD39EE" w14:paraId="17B07974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BCC7FFE" w14:textId="405418FF" w:rsidR="00081E82" w:rsidRPr="00D97609" w:rsidRDefault="007F38C1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0F57003A" w14:textId="45AC10BA" w:rsidR="00081E82" w:rsidRPr="00D97609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M</w:t>
            </w:r>
            <w:r w:rsidRPr="00D97609">
              <w:rPr>
                <w:b/>
                <w:sz w:val="24"/>
                <w:szCs w:val="24"/>
              </w:rPr>
              <w:t>atters</w:t>
            </w:r>
          </w:p>
        </w:tc>
      </w:tr>
      <w:tr w:rsidR="00081E82" w:rsidRPr="00DD39EE" w14:paraId="0C1AAE28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6EC70BE" w14:textId="1BCA505F" w:rsidR="00081E82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17AE12FA" w14:textId="78F22FE8" w:rsidR="00081E82" w:rsidRPr="000F4B96" w:rsidRDefault="00081E82" w:rsidP="00081E82">
            <w:pPr>
              <w:rPr>
                <w:sz w:val="24"/>
                <w:szCs w:val="24"/>
                <w:u w:val="single"/>
              </w:rPr>
            </w:pPr>
            <w:r w:rsidRPr="000F4B96">
              <w:rPr>
                <w:sz w:val="24"/>
                <w:szCs w:val="24"/>
                <w:u w:val="single"/>
              </w:rPr>
              <w:t>Budget Monitoring</w:t>
            </w:r>
            <w:r w:rsidR="007F38C1">
              <w:rPr>
                <w:sz w:val="24"/>
                <w:szCs w:val="24"/>
                <w:u w:val="single"/>
              </w:rPr>
              <w:t xml:space="preserve"> Report</w:t>
            </w:r>
            <w:r w:rsidR="006F0915">
              <w:rPr>
                <w:sz w:val="24"/>
                <w:szCs w:val="24"/>
                <w:u w:val="single"/>
              </w:rPr>
              <w:t>,</w:t>
            </w:r>
            <w:r w:rsidR="007F38C1">
              <w:rPr>
                <w:sz w:val="24"/>
                <w:szCs w:val="24"/>
                <w:u w:val="single"/>
              </w:rPr>
              <w:t xml:space="preserve"> October 2019</w:t>
            </w:r>
          </w:p>
        </w:tc>
      </w:tr>
      <w:tr w:rsidR="00081E82" w:rsidRPr="00DD39EE" w14:paraId="4839A560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4DD04347" w14:textId="28509D5F" w:rsidR="00081E82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9B1E20B" w14:textId="6D4B1B68" w:rsidR="00081E82" w:rsidRDefault="00081E82" w:rsidP="00C20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0A6C42">
              <w:rPr>
                <w:sz w:val="24"/>
                <w:szCs w:val="24"/>
              </w:rPr>
              <w:t xml:space="preserve">Budget Monitoring Report </w:t>
            </w:r>
            <w:r>
              <w:rPr>
                <w:sz w:val="24"/>
                <w:szCs w:val="24"/>
              </w:rPr>
              <w:t xml:space="preserve">for </w:t>
            </w:r>
            <w:r w:rsidR="007F38C1">
              <w:rPr>
                <w:sz w:val="24"/>
                <w:szCs w:val="24"/>
              </w:rPr>
              <w:t>October</w:t>
            </w:r>
            <w:r>
              <w:rPr>
                <w:sz w:val="24"/>
                <w:szCs w:val="24"/>
              </w:rPr>
              <w:t xml:space="preserve"> 2019 showed </w:t>
            </w:r>
            <w:r w:rsidRPr="00D233F9">
              <w:rPr>
                <w:sz w:val="24"/>
                <w:szCs w:val="24"/>
              </w:rPr>
              <w:t>overall excess</w:t>
            </w:r>
            <w:r>
              <w:rPr>
                <w:sz w:val="24"/>
                <w:szCs w:val="24"/>
              </w:rPr>
              <w:t xml:space="preserve"> of income over expenditure o</w:t>
            </w:r>
            <w:r w:rsidRPr="001A35A3">
              <w:rPr>
                <w:sz w:val="24"/>
                <w:szCs w:val="24"/>
              </w:rPr>
              <w:t>f €</w:t>
            </w:r>
            <w:r w:rsidR="00C2099C">
              <w:rPr>
                <w:sz w:val="24"/>
                <w:szCs w:val="24"/>
              </w:rPr>
              <w:t>3</w:t>
            </w:r>
            <w:r w:rsidR="00DF39D5">
              <w:rPr>
                <w:sz w:val="24"/>
                <w:szCs w:val="24"/>
              </w:rPr>
              <w:t>.</w:t>
            </w:r>
            <w:r w:rsidR="00C2099C">
              <w:rPr>
                <w:sz w:val="24"/>
                <w:szCs w:val="24"/>
              </w:rPr>
              <w:t>689</w:t>
            </w:r>
            <w:r w:rsidR="007A338B">
              <w:rPr>
                <w:sz w:val="24"/>
                <w:szCs w:val="24"/>
              </w:rPr>
              <w:t>m</w:t>
            </w:r>
            <w:r w:rsidR="00B37D4F">
              <w:rPr>
                <w:sz w:val="24"/>
                <w:szCs w:val="24"/>
              </w:rPr>
              <w:t xml:space="preserve"> </w:t>
            </w:r>
            <w:proofErr w:type="gramStart"/>
            <w:r w:rsidR="00B37D4F">
              <w:rPr>
                <w:sz w:val="24"/>
                <w:szCs w:val="24"/>
              </w:rPr>
              <w:t>at this point in time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3C694E" w:rsidRPr="00DD39EE" w14:paraId="5DB5A755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A9B6AA4" w14:textId="07E9BD29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756F303" w14:textId="76252364" w:rsidR="003C694E" w:rsidRPr="003C694E" w:rsidRDefault="003C694E" w:rsidP="00C2099C">
            <w:pPr>
              <w:jc w:val="both"/>
              <w:rPr>
                <w:sz w:val="24"/>
                <w:szCs w:val="24"/>
                <w:u w:val="single"/>
              </w:rPr>
            </w:pPr>
            <w:r w:rsidRPr="003C694E">
              <w:rPr>
                <w:sz w:val="24"/>
                <w:szCs w:val="24"/>
                <w:u w:val="single"/>
              </w:rPr>
              <w:t>Annual Financial Statements 2018</w:t>
            </w:r>
          </w:p>
        </w:tc>
      </w:tr>
      <w:tr w:rsidR="003C694E" w:rsidRPr="00DD39EE" w14:paraId="3161E07A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3103676" w14:textId="2A1062D2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.2.1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0060104" w14:textId="1D652E63" w:rsidR="003C694E" w:rsidRDefault="00407DE9" w:rsidP="0040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</w:t>
            </w:r>
            <w:r w:rsidR="003C694E">
              <w:rPr>
                <w:sz w:val="24"/>
                <w:szCs w:val="24"/>
              </w:rPr>
              <w:t xml:space="preserve"> timeline in place yet for the </w:t>
            </w:r>
            <w:r>
              <w:rPr>
                <w:sz w:val="24"/>
                <w:szCs w:val="24"/>
              </w:rPr>
              <w:t>completion</w:t>
            </w:r>
            <w:r w:rsidR="003C694E">
              <w:rPr>
                <w:sz w:val="24"/>
                <w:szCs w:val="24"/>
              </w:rPr>
              <w:t xml:space="preserve"> of the Comptroller and Auditor General’s audit of the annual financial statements</w:t>
            </w:r>
            <w:r w:rsidR="00B12369">
              <w:rPr>
                <w:sz w:val="24"/>
                <w:szCs w:val="24"/>
              </w:rPr>
              <w:t xml:space="preserve"> for 2018</w:t>
            </w:r>
            <w:r w:rsidR="003C694E">
              <w:rPr>
                <w:sz w:val="24"/>
                <w:szCs w:val="24"/>
              </w:rPr>
              <w:t>.</w:t>
            </w:r>
          </w:p>
        </w:tc>
      </w:tr>
      <w:tr w:rsidR="003C694E" w:rsidRPr="00DD39EE" w14:paraId="11A5AFCF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41A9953A" w14:textId="05C7F85C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.3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21CEB295" w14:textId="43A64B62" w:rsidR="003C694E" w:rsidRPr="003C694E" w:rsidRDefault="003C694E" w:rsidP="00C2099C">
            <w:pPr>
              <w:jc w:val="both"/>
              <w:rPr>
                <w:sz w:val="24"/>
                <w:szCs w:val="24"/>
                <w:u w:val="single"/>
              </w:rPr>
            </w:pPr>
            <w:r w:rsidRPr="003C694E">
              <w:rPr>
                <w:sz w:val="24"/>
                <w:szCs w:val="24"/>
                <w:u w:val="single"/>
              </w:rPr>
              <w:t>Budget 2020</w:t>
            </w:r>
          </w:p>
        </w:tc>
      </w:tr>
      <w:tr w:rsidR="003C694E" w:rsidRPr="00DD39EE" w14:paraId="7CA6D817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4B3B8B0" w14:textId="6979A6DE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.3.1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DC0E891" w14:textId="194FCF49" w:rsidR="003C694E" w:rsidRDefault="003C694E" w:rsidP="0040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CIB’s budget allocation for 2020 </w:t>
            </w:r>
            <w:r w:rsidR="00B12369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€61.67m. A full breakdown of the budget allocation </w:t>
            </w:r>
            <w:proofErr w:type="gramStart"/>
            <w:r>
              <w:rPr>
                <w:sz w:val="24"/>
                <w:szCs w:val="24"/>
              </w:rPr>
              <w:t xml:space="preserve">has not </w:t>
            </w:r>
            <w:r w:rsidR="00407DE9">
              <w:rPr>
                <w:sz w:val="24"/>
                <w:szCs w:val="24"/>
              </w:rPr>
              <w:t xml:space="preserve">yet </w:t>
            </w:r>
            <w:r>
              <w:rPr>
                <w:sz w:val="24"/>
                <w:szCs w:val="24"/>
              </w:rPr>
              <w:t>been received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C694E" w:rsidRPr="00DD39EE" w14:paraId="24030D76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140B5F0" w14:textId="3E74635A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.4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A907C72" w14:textId="26702484" w:rsidR="003C694E" w:rsidRPr="003C694E" w:rsidRDefault="003C694E" w:rsidP="00C2099C">
            <w:pPr>
              <w:jc w:val="both"/>
              <w:rPr>
                <w:sz w:val="24"/>
                <w:szCs w:val="24"/>
                <w:u w:val="single"/>
              </w:rPr>
            </w:pPr>
            <w:r w:rsidRPr="003C694E">
              <w:rPr>
                <w:sz w:val="24"/>
                <w:szCs w:val="24"/>
                <w:u w:val="single"/>
              </w:rPr>
              <w:t>Procurement</w:t>
            </w:r>
          </w:p>
        </w:tc>
      </w:tr>
      <w:tr w:rsidR="003C694E" w:rsidRPr="00DD39EE" w14:paraId="390EA27F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76CA4E3" w14:textId="55C5D35F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94E">
              <w:rPr>
                <w:sz w:val="24"/>
                <w:szCs w:val="24"/>
              </w:rPr>
              <w:t>.4.1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DFE8A5B" w14:textId="42FC0F0D" w:rsidR="003C694E" w:rsidRDefault="00B6236E" w:rsidP="00C20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>was given</w:t>
            </w:r>
            <w:proofErr w:type="gramEnd"/>
            <w:r>
              <w:rPr>
                <w:sz w:val="24"/>
                <w:szCs w:val="24"/>
              </w:rPr>
              <w:t xml:space="preserve"> to award a contract for telephony services and Local Area Network (LAN) switches to Vodafone Ireland.</w:t>
            </w:r>
          </w:p>
        </w:tc>
      </w:tr>
      <w:tr w:rsidR="003C694E" w:rsidRPr="00DD39EE" w14:paraId="7629622F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A5E1E79" w14:textId="1D6E0463" w:rsidR="003C694E" w:rsidRDefault="0009060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236E">
              <w:rPr>
                <w:sz w:val="24"/>
                <w:szCs w:val="24"/>
              </w:rPr>
              <w:t>.4.2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7C40610" w14:textId="6A0619C1" w:rsidR="003C694E" w:rsidRDefault="00B6236E" w:rsidP="00C20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>was given</w:t>
            </w:r>
            <w:proofErr w:type="gramEnd"/>
            <w:r>
              <w:rPr>
                <w:sz w:val="24"/>
                <w:szCs w:val="24"/>
              </w:rPr>
              <w:t xml:space="preserve"> to commence a procurement process at OJEU level for managed ICT infrastructure.</w:t>
            </w:r>
          </w:p>
        </w:tc>
      </w:tr>
      <w:tr w:rsidR="00081E82" w:rsidRPr="00E767AF" w14:paraId="6FF90365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2FECF86" w14:textId="45A5465A" w:rsidR="00081E82" w:rsidRPr="00E767AF" w:rsidRDefault="00090607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46C0B43" w14:textId="5CC78350" w:rsidR="00081E82" w:rsidRPr="00AA2BF2" w:rsidRDefault="00081E82" w:rsidP="00081E82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Meetings – Update</w:t>
            </w:r>
          </w:p>
        </w:tc>
      </w:tr>
      <w:tr w:rsidR="00081E82" w:rsidRPr="00DD39EE" w14:paraId="19805E68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BAFC23E" w14:textId="79EB3F92" w:rsidR="00081E82" w:rsidRDefault="00C653D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60BBA39B" w14:textId="22352032" w:rsidR="00081E82" w:rsidRDefault="00081E82" w:rsidP="00081E82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 and Risk Committee</w:t>
            </w:r>
          </w:p>
        </w:tc>
      </w:tr>
      <w:tr w:rsidR="00081E82" w:rsidRPr="00DD39EE" w14:paraId="2BEAD727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838EF5C" w14:textId="3D0E227A" w:rsidR="00081E82" w:rsidRDefault="00C653D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B439D00" w14:textId="35026900" w:rsidR="00081E82" w:rsidRPr="00CE4AEE" w:rsidRDefault="00081E82" w:rsidP="00B12369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met on </w:t>
            </w:r>
            <w:r w:rsidR="003024AF">
              <w:rPr>
                <w:sz w:val="24"/>
                <w:szCs w:val="24"/>
              </w:rPr>
              <w:t xml:space="preserve">Wednesday, </w:t>
            </w:r>
            <w:r w:rsidR="00C653D7">
              <w:rPr>
                <w:sz w:val="24"/>
                <w:szCs w:val="24"/>
              </w:rPr>
              <w:t>6 November</w:t>
            </w:r>
            <w:r w:rsidR="003024AF">
              <w:rPr>
                <w:sz w:val="24"/>
                <w:szCs w:val="24"/>
              </w:rPr>
              <w:t xml:space="preserve"> 2019</w:t>
            </w:r>
            <w:r w:rsidR="00A74161">
              <w:rPr>
                <w:sz w:val="24"/>
                <w:szCs w:val="24"/>
              </w:rPr>
              <w:t>.</w:t>
            </w:r>
            <w:r w:rsidR="00974003">
              <w:rPr>
                <w:sz w:val="24"/>
                <w:szCs w:val="24"/>
              </w:rPr>
              <w:t xml:space="preserve"> </w:t>
            </w:r>
            <w:r w:rsidR="00C653D7">
              <w:rPr>
                <w:sz w:val="24"/>
                <w:szCs w:val="24"/>
              </w:rPr>
              <w:t xml:space="preserve">Two draft audit reports </w:t>
            </w:r>
            <w:proofErr w:type="gramStart"/>
            <w:r w:rsidR="00C653D7">
              <w:rPr>
                <w:sz w:val="24"/>
                <w:szCs w:val="24"/>
              </w:rPr>
              <w:t>were discussed</w:t>
            </w:r>
            <w:proofErr w:type="gramEnd"/>
            <w:r w:rsidR="00C653D7">
              <w:rPr>
                <w:sz w:val="24"/>
                <w:szCs w:val="24"/>
              </w:rPr>
              <w:t xml:space="preserve"> at the meeting. The risk register </w:t>
            </w:r>
            <w:proofErr w:type="gramStart"/>
            <w:r w:rsidR="00C653D7">
              <w:rPr>
                <w:sz w:val="24"/>
                <w:szCs w:val="24"/>
              </w:rPr>
              <w:t>was reviewed</w:t>
            </w:r>
            <w:proofErr w:type="gramEnd"/>
            <w:r w:rsidR="00C653D7">
              <w:rPr>
                <w:sz w:val="24"/>
                <w:szCs w:val="24"/>
              </w:rPr>
              <w:t xml:space="preserve">, as was CIB’s risk appetite statement. It </w:t>
            </w:r>
            <w:proofErr w:type="gramStart"/>
            <w:r w:rsidR="00C653D7">
              <w:rPr>
                <w:sz w:val="24"/>
                <w:szCs w:val="24"/>
              </w:rPr>
              <w:t>was noted</w:t>
            </w:r>
            <w:proofErr w:type="gramEnd"/>
            <w:r w:rsidR="00C653D7">
              <w:rPr>
                <w:sz w:val="24"/>
                <w:szCs w:val="24"/>
              </w:rPr>
              <w:t xml:space="preserve"> that the procurement process for audit s</w:t>
            </w:r>
            <w:r w:rsidR="00B12369">
              <w:rPr>
                <w:sz w:val="24"/>
                <w:szCs w:val="24"/>
              </w:rPr>
              <w:t>ervices i</w:t>
            </w:r>
            <w:r w:rsidR="00C653D7">
              <w:rPr>
                <w:sz w:val="24"/>
                <w:szCs w:val="24"/>
              </w:rPr>
              <w:t xml:space="preserve">s underway. The </w:t>
            </w:r>
            <w:r w:rsidR="00B12369">
              <w:rPr>
                <w:sz w:val="24"/>
                <w:szCs w:val="24"/>
              </w:rPr>
              <w:t>committee has completed the checklist</w:t>
            </w:r>
            <w:r w:rsidR="00C653D7">
              <w:rPr>
                <w:sz w:val="24"/>
                <w:szCs w:val="24"/>
              </w:rPr>
              <w:t xml:space="preserve"> for Audit and Risk Committees contained in the </w:t>
            </w:r>
            <w:r w:rsidR="00C653D7" w:rsidRPr="00C653D7">
              <w:rPr>
                <w:i/>
                <w:sz w:val="24"/>
                <w:szCs w:val="24"/>
              </w:rPr>
              <w:t>Code of Practice for the Governance of State Bodies</w:t>
            </w:r>
            <w:r w:rsidR="00C653D7">
              <w:rPr>
                <w:sz w:val="24"/>
                <w:szCs w:val="24"/>
              </w:rPr>
              <w:t>.</w:t>
            </w:r>
          </w:p>
        </w:tc>
      </w:tr>
      <w:tr w:rsidR="00081E82" w:rsidRPr="00DD39EE" w14:paraId="3605368E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B534F06" w14:textId="2A7D89A3" w:rsidR="00081E82" w:rsidRPr="00A74161" w:rsidRDefault="00C653D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4161" w:rsidRPr="00A74161">
              <w:rPr>
                <w:sz w:val="24"/>
                <w:szCs w:val="24"/>
              </w:rPr>
              <w:t>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60B994E" w14:textId="10833D76" w:rsidR="00081E82" w:rsidRPr="00A74161" w:rsidRDefault="00090607" w:rsidP="00FC0A37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Finance Committee</w:t>
            </w:r>
          </w:p>
        </w:tc>
      </w:tr>
      <w:tr w:rsidR="00081E82" w:rsidRPr="00DD39EE" w14:paraId="05907BFF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60128A3" w14:textId="74C6E91A" w:rsidR="00081E82" w:rsidRDefault="00C653D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4161">
              <w:rPr>
                <w:sz w:val="24"/>
                <w:szCs w:val="24"/>
              </w:rPr>
              <w:t>.2.1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1580B445" w14:textId="45C544BE" w:rsidR="00081E82" w:rsidRDefault="00081E82" w:rsidP="00C653D7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FF0D1A">
              <w:rPr>
                <w:sz w:val="24"/>
                <w:szCs w:val="24"/>
              </w:rPr>
              <w:t xml:space="preserve">committee </w:t>
            </w:r>
            <w:r w:rsidR="00B50532">
              <w:rPr>
                <w:sz w:val="24"/>
                <w:szCs w:val="24"/>
              </w:rPr>
              <w:t xml:space="preserve">met on </w:t>
            </w:r>
            <w:r w:rsidR="00C653D7">
              <w:rPr>
                <w:sz w:val="24"/>
                <w:szCs w:val="24"/>
              </w:rPr>
              <w:t>Wednesday</w:t>
            </w:r>
            <w:r w:rsidR="00B50532">
              <w:rPr>
                <w:sz w:val="24"/>
                <w:szCs w:val="24"/>
              </w:rPr>
              <w:t xml:space="preserve">, </w:t>
            </w:r>
            <w:r w:rsidR="00C653D7">
              <w:rPr>
                <w:sz w:val="24"/>
                <w:szCs w:val="24"/>
              </w:rPr>
              <w:t>6 Nov</w:t>
            </w:r>
            <w:r w:rsidR="00B50532">
              <w:rPr>
                <w:sz w:val="24"/>
                <w:szCs w:val="24"/>
              </w:rPr>
              <w:t>ember</w:t>
            </w:r>
            <w:r w:rsidR="00293825">
              <w:rPr>
                <w:sz w:val="24"/>
                <w:szCs w:val="24"/>
              </w:rPr>
              <w:t xml:space="preserve"> 2019</w:t>
            </w:r>
            <w:r w:rsidR="00A74161">
              <w:rPr>
                <w:sz w:val="24"/>
                <w:szCs w:val="24"/>
              </w:rPr>
              <w:t xml:space="preserve">. </w:t>
            </w:r>
            <w:r w:rsidR="00C653D7">
              <w:rPr>
                <w:sz w:val="24"/>
                <w:szCs w:val="24"/>
              </w:rPr>
              <w:t xml:space="preserve">CIB’s financial policies and procedures </w:t>
            </w:r>
            <w:proofErr w:type="gramStart"/>
            <w:r w:rsidR="00C653D7">
              <w:rPr>
                <w:sz w:val="24"/>
                <w:szCs w:val="24"/>
              </w:rPr>
              <w:t>were reviewed</w:t>
            </w:r>
            <w:proofErr w:type="gramEnd"/>
            <w:r w:rsidR="00C653D7">
              <w:rPr>
                <w:sz w:val="24"/>
                <w:szCs w:val="24"/>
              </w:rPr>
              <w:t xml:space="preserve"> at the meeting. Surpluses in the companies funded by CIB </w:t>
            </w:r>
            <w:proofErr w:type="gramStart"/>
            <w:r w:rsidR="00C653D7">
              <w:rPr>
                <w:sz w:val="24"/>
                <w:szCs w:val="24"/>
              </w:rPr>
              <w:t>were discussed</w:t>
            </w:r>
            <w:proofErr w:type="gramEnd"/>
            <w:r w:rsidR="00C653D7">
              <w:rPr>
                <w:sz w:val="24"/>
                <w:szCs w:val="24"/>
              </w:rPr>
              <w:t xml:space="preserve"> and it was agreed that CIB should develop a multi-annual business case for </w:t>
            </w:r>
            <w:r w:rsidR="00B12369">
              <w:rPr>
                <w:sz w:val="24"/>
                <w:szCs w:val="24"/>
              </w:rPr>
              <w:t xml:space="preserve">the </w:t>
            </w:r>
            <w:r w:rsidR="00C653D7">
              <w:rPr>
                <w:sz w:val="24"/>
                <w:szCs w:val="24"/>
              </w:rPr>
              <w:t>investment of these funds in capital projects.</w:t>
            </w:r>
          </w:p>
        </w:tc>
      </w:tr>
      <w:tr w:rsidR="00081E82" w:rsidRPr="00DD39EE" w14:paraId="2D93AAC0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E675E09" w14:textId="1F675DD5" w:rsidR="00081E82" w:rsidRPr="003809E1" w:rsidRDefault="00C653D7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0E8F6147" w14:textId="75CCDA3D" w:rsidR="00081E82" w:rsidRPr="00AA2BF2" w:rsidRDefault="00081E82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081E82" w:rsidRPr="004D4CBB" w14:paraId="2AA286D0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35DD062" w14:textId="6ABFE447" w:rsidR="00081E82" w:rsidRPr="004D4CBB" w:rsidRDefault="00C653D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1E82" w:rsidRPr="004D4CBB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110FEA77" w14:textId="16533868" w:rsidR="00081E82" w:rsidRPr="004D4CBB" w:rsidRDefault="00081E82" w:rsidP="00407DE9">
            <w:pPr>
              <w:jc w:val="both"/>
              <w:rPr>
                <w:sz w:val="24"/>
                <w:szCs w:val="24"/>
              </w:rPr>
            </w:pPr>
            <w:r w:rsidRPr="004D4CBB">
              <w:rPr>
                <w:sz w:val="24"/>
                <w:szCs w:val="24"/>
              </w:rPr>
              <w:t xml:space="preserve">The Report of the Chief Executive </w:t>
            </w:r>
            <w:proofErr w:type="gramStart"/>
            <w:r w:rsidRPr="004D4CBB">
              <w:rPr>
                <w:sz w:val="24"/>
                <w:szCs w:val="24"/>
              </w:rPr>
              <w:t>was iss</w:t>
            </w:r>
            <w:r w:rsidR="00FD1245">
              <w:rPr>
                <w:sz w:val="24"/>
                <w:szCs w:val="24"/>
              </w:rPr>
              <w:t>ued</w:t>
            </w:r>
            <w:proofErr w:type="gramEnd"/>
            <w:r w:rsidR="00FD1245">
              <w:rPr>
                <w:sz w:val="24"/>
                <w:szCs w:val="24"/>
              </w:rPr>
              <w:t xml:space="preserve"> in advance of the meeting</w:t>
            </w:r>
            <w:r w:rsidR="00407DE9">
              <w:rPr>
                <w:sz w:val="24"/>
                <w:szCs w:val="24"/>
              </w:rPr>
              <w:t xml:space="preserve">. It </w:t>
            </w:r>
            <w:proofErr w:type="gramStart"/>
            <w:r w:rsidR="00407DE9">
              <w:rPr>
                <w:sz w:val="24"/>
                <w:szCs w:val="24"/>
              </w:rPr>
              <w:t>was noted</w:t>
            </w:r>
            <w:proofErr w:type="gramEnd"/>
            <w:r w:rsidR="00407DE9">
              <w:rPr>
                <w:sz w:val="24"/>
                <w:szCs w:val="24"/>
              </w:rPr>
              <w:t xml:space="preserve"> that t</w:t>
            </w:r>
            <w:r w:rsidR="00C653D7">
              <w:rPr>
                <w:sz w:val="24"/>
                <w:szCs w:val="24"/>
              </w:rPr>
              <w:t>he MABS conference had taken place on Tuesday, 5 November</w:t>
            </w:r>
            <w:r w:rsidR="00B12369">
              <w:rPr>
                <w:sz w:val="24"/>
                <w:szCs w:val="24"/>
              </w:rPr>
              <w:t xml:space="preserve"> 2019</w:t>
            </w:r>
            <w:r w:rsidR="00C653D7">
              <w:rPr>
                <w:sz w:val="24"/>
                <w:szCs w:val="24"/>
              </w:rPr>
              <w:t xml:space="preserve"> and had been very successful, with high-profile speakers from the Banking and Payments Federation of Ireland</w:t>
            </w:r>
            <w:r w:rsidR="00B12369">
              <w:rPr>
                <w:sz w:val="24"/>
                <w:szCs w:val="24"/>
              </w:rPr>
              <w:t xml:space="preserve"> (BPFI)</w:t>
            </w:r>
            <w:r w:rsidR="00C653D7">
              <w:rPr>
                <w:sz w:val="24"/>
                <w:szCs w:val="24"/>
              </w:rPr>
              <w:t>, the Insolvency Service of Ireland</w:t>
            </w:r>
            <w:r w:rsidR="00B12369">
              <w:rPr>
                <w:sz w:val="24"/>
                <w:szCs w:val="24"/>
              </w:rPr>
              <w:t xml:space="preserve"> (ISI)</w:t>
            </w:r>
            <w:r w:rsidR="00C653D7">
              <w:rPr>
                <w:sz w:val="24"/>
                <w:szCs w:val="24"/>
              </w:rPr>
              <w:t xml:space="preserve"> and the Central Bank.</w:t>
            </w:r>
          </w:p>
        </w:tc>
      </w:tr>
      <w:tr w:rsidR="00081E82" w:rsidRPr="00DC7CF8" w14:paraId="35D83FA6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BC71786" w14:textId="6EABC435" w:rsidR="00081E82" w:rsidRPr="00DC7CF8" w:rsidRDefault="00C653D7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6FDE14FE" w14:textId="66D355F2" w:rsidR="00081E82" w:rsidRPr="00DC7CF8" w:rsidRDefault="00995FCA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Corporate Services, </w:t>
            </w:r>
            <w:r w:rsidR="00081E82">
              <w:rPr>
                <w:b/>
                <w:sz w:val="24"/>
                <w:szCs w:val="24"/>
              </w:rPr>
              <w:t>HR and Governance M</w:t>
            </w:r>
            <w:r w:rsidR="00081E82" w:rsidRPr="00DC7CF8">
              <w:rPr>
                <w:b/>
                <w:sz w:val="24"/>
                <w:szCs w:val="24"/>
              </w:rPr>
              <w:t>atters</w:t>
            </w:r>
          </w:p>
        </w:tc>
      </w:tr>
      <w:tr w:rsidR="00081E82" w:rsidRPr="00DD39EE" w14:paraId="0D49D3FC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5ED606D4" w14:textId="42E88C77" w:rsidR="00081E82" w:rsidRDefault="00D03BAD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53D0D35F" w14:textId="2DBFD37A" w:rsidR="00081E82" w:rsidRPr="008336F4" w:rsidRDefault="00FF0D1A" w:rsidP="00081E8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ICT Update</w:t>
            </w:r>
          </w:p>
        </w:tc>
      </w:tr>
      <w:tr w:rsidR="00081E82" w:rsidRPr="00DD39EE" w14:paraId="534FA49E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1FA2577" w14:textId="514CC96B" w:rsidR="00081E82" w:rsidRDefault="00D03BAD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47BFAC1" w14:textId="394D1181" w:rsidR="00081E82" w:rsidRDefault="00FF0D1A" w:rsidP="00F9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 on cyber secu</w:t>
            </w:r>
            <w:r w:rsidR="00995FCA">
              <w:rPr>
                <w:sz w:val="24"/>
                <w:szCs w:val="24"/>
              </w:rPr>
              <w:t xml:space="preserve">rity </w:t>
            </w:r>
            <w:proofErr w:type="gramStart"/>
            <w:r w:rsidR="00995FCA">
              <w:rPr>
                <w:sz w:val="24"/>
                <w:szCs w:val="24"/>
              </w:rPr>
              <w:t>was provided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81E82" w:rsidRPr="00DD39EE" w14:paraId="674A5984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40C269D8" w14:textId="26599B04" w:rsidR="00081E82" w:rsidRDefault="00D03BAD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0D1A">
              <w:rPr>
                <w:sz w:val="24"/>
                <w:szCs w:val="24"/>
              </w:rPr>
              <w:t>.</w:t>
            </w:r>
            <w:r w:rsidR="00081E82">
              <w:rPr>
                <w:sz w:val="24"/>
                <w:szCs w:val="24"/>
              </w:rPr>
              <w:t>1</w:t>
            </w:r>
            <w:r w:rsidR="00FF0D1A">
              <w:rPr>
                <w:sz w:val="24"/>
                <w:szCs w:val="24"/>
              </w:rPr>
              <w:t>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7D635895" w14:textId="6D3FFA3C" w:rsidR="00081E82" w:rsidRDefault="00FF0D1A" w:rsidP="00C65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update on the Wide Area Network (WAN) and </w:t>
            </w:r>
            <w:r w:rsidR="00995FCA">
              <w:rPr>
                <w:sz w:val="24"/>
                <w:szCs w:val="24"/>
              </w:rPr>
              <w:t xml:space="preserve">Telephony project </w:t>
            </w:r>
            <w:proofErr w:type="gramStart"/>
            <w:r w:rsidR="00995FCA">
              <w:rPr>
                <w:sz w:val="24"/>
                <w:szCs w:val="24"/>
              </w:rPr>
              <w:t>was provided</w:t>
            </w:r>
            <w:proofErr w:type="gramEnd"/>
            <w:r w:rsidR="00995FCA">
              <w:rPr>
                <w:sz w:val="24"/>
                <w:szCs w:val="24"/>
              </w:rPr>
              <w:t xml:space="preserve">. </w:t>
            </w:r>
            <w:r w:rsidR="00C653D7">
              <w:rPr>
                <w:sz w:val="24"/>
                <w:szCs w:val="24"/>
              </w:rPr>
              <w:t xml:space="preserve">Standstill letters </w:t>
            </w:r>
            <w:proofErr w:type="gramStart"/>
            <w:r w:rsidR="00C653D7">
              <w:rPr>
                <w:sz w:val="24"/>
                <w:szCs w:val="24"/>
              </w:rPr>
              <w:t>have been issued</w:t>
            </w:r>
            <w:proofErr w:type="gramEnd"/>
            <w:r w:rsidR="00C653D7">
              <w:rPr>
                <w:sz w:val="24"/>
                <w:szCs w:val="24"/>
              </w:rPr>
              <w:t xml:space="preserve"> to tenderers for the telephony contract, while </w:t>
            </w:r>
            <w:r w:rsidR="00895C2E">
              <w:rPr>
                <w:sz w:val="24"/>
                <w:szCs w:val="24"/>
              </w:rPr>
              <w:t xml:space="preserve">seven </w:t>
            </w:r>
            <w:r w:rsidR="00C653D7">
              <w:rPr>
                <w:sz w:val="24"/>
                <w:szCs w:val="24"/>
              </w:rPr>
              <w:t>pilot sites have been selected to receive new broadband connections as part of the WAN project.</w:t>
            </w:r>
          </w:p>
        </w:tc>
      </w:tr>
      <w:tr w:rsidR="00D03BAD" w:rsidRPr="00DD39EE" w14:paraId="3DC075B8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26D8C8E" w14:textId="07015CC3" w:rsidR="00D03BAD" w:rsidRDefault="00D03BAD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FB5D530" w14:textId="05E40529" w:rsidR="00D03BAD" w:rsidRPr="00895C2E" w:rsidRDefault="00D03BAD" w:rsidP="00C653D7">
            <w:pPr>
              <w:jc w:val="both"/>
              <w:rPr>
                <w:sz w:val="24"/>
                <w:szCs w:val="24"/>
                <w:u w:val="single"/>
              </w:rPr>
            </w:pPr>
            <w:r w:rsidRPr="00895C2E">
              <w:rPr>
                <w:sz w:val="24"/>
                <w:szCs w:val="24"/>
                <w:u w:val="single"/>
              </w:rPr>
              <w:t>Update on Staffing</w:t>
            </w:r>
          </w:p>
        </w:tc>
      </w:tr>
      <w:tr w:rsidR="00D03BAD" w:rsidRPr="00DD39EE" w14:paraId="48942705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06BE9CE" w14:textId="3677C0EF" w:rsidR="00D03BAD" w:rsidRDefault="00895C2E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6F538E3" w14:textId="3C81A8C5" w:rsidR="00D03BAD" w:rsidRDefault="00895C2E" w:rsidP="00C65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Sanction for five additional Executive Officers (EOs) </w:t>
            </w:r>
            <w:r w:rsidR="004E0653">
              <w:rPr>
                <w:sz w:val="24"/>
                <w:szCs w:val="24"/>
              </w:rPr>
              <w:t xml:space="preserve">(in three specific teams) </w:t>
            </w:r>
            <w:proofErr w:type="gramStart"/>
            <w:r>
              <w:rPr>
                <w:sz w:val="24"/>
                <w:szCs w:val="24"/>
              </w:rPr>
              <w:t>has been received</w:t>
            </w:r>
            <w:proofErr w:type="gramEnd"/>
            <w:r>
              <w:rPr>
                <w:sz w:val="24"/>
                <w:szCs w:val="24"/>
              </w:rPr>
              <w:t xml:space="preserve"> from the Department of Employment Affairs and Social Protection. This brings CIB’s Employment Control Framework (ECF) limit to 79 whole time equivalent staff.</w:t>
            </w:r>
          </w:p>
        </w:tc>
      </w:tr>
      <w:tr w:rsidR="00895C2E" w:rsidRPr="00DD39EE" w14:paraId="0EF692A6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B76776F" w14:textId="63C2E388" w:rsidR="00895C2E" w:rsidRDefault="00895C2E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5AD09525" w14:textId="4CD9920C" w:rsidR="00895C2E" w:rsidRPr="00895C2E" w:rsidRDefault="00895C2E" w:rsidP="00C653D7">
            <w:pPr>
              <w:jc w:val="both"/>
              <w:rPr>
                <w:sz w:val="24"/>
                <w:szCs w:val="24"/>
                <w:u w:val="single"/>
              </w:rPr>
            </w:pPr>
            <w:r w:rsidRPr="00895C2E">
              <w:rPr>
                <w:sz w:val="24"/>
                <w:szCs w:val="24"/>
                <w:u w:val="single"/>
              </w:rPr>
              <w:t>Diversity and Inclusion</w:t>
            </w:r>
          </w:p>
        </w:tc>
      </w:tr>
      <w:tr w:rsidR="00895C2E" w:rsidRPr="00DD39EE" w14:paraId="5A8B2A8F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57F39E20" w14:textId="1A0A6579" w:rsidR="00895C2E" w:rsidRDefault="00895C2E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80608C4" w14:textId="46815289" w:rsidR="00895C2E" w:rsidRDefault="00895C2E" w:rsidP="00895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draft Diversity and Inclusion Policy and a draft Diversity and Inclusion Statement </w:t>
            </w:r>
            <w:proofErr w:type="gramStart"/>
            <w:r>
              <w:rPr>
                <w:sz w:val="24"/>
                <w:szCs w:val="24"/>
              </w:rPr>
              <w:t>were circulated</w:t>
            </w:r>
            <w:proofErr w:type="gramEnd"/>
            <w:r>
              <w:rPr>
                <w:sz w:val="24"/>
                <w:szCs w:val="24"/>
              </w:rPr>
              <w:t xml:space="preserve"> in advance of the meeting. It </w:t>
            </w:r>
            <w:proofErr w:type="gramStart"/>
            <w:r>
              <w:rPr>
                <w:sz w:val="24"/>
                <w:szCs w:val="24"/>
              </w:rPr>
              <w:t>was noted</w:t>
            </w:r>
            <w:proofErr w:type="gramEnd"/>
            <w:r>
              <w:rPr>
                <w:sz w:val="24"/>
                <w:szCs w:val="24"/>
              </w:rPr>
              <w:t xml:space="preserve"> that the policy was limited </w:t>
            </w:r>
            <w:r>
              <w:rPr>
                <w:sz w:val="24"/>
                <w:szCs w:val="24"/>
              </w:rPr>
              <w:lastRenderedPageBreak/>
              <w:t xml:space="preserve">to CIB staff and should be contextualised within CIB’s Public Sector Duty. Revised drafts </w:t>
            </w:r>
            <w:proofErr w:type="gramStart"/>
            <w:r>
              <w:rPr>
                <w:sz w:val="24"/>
                <w:szCs w:val="24"/>
              </w:rPr>
              <w:t>will be provided</w:t>
            </w:r>
            <w:proofErr w:type="gramEnd"/>
            <w:r>
              <w:rPr>
                <w:sz w:val="24"/>
                <w:szCs w:val="24"/>
              </w:rPr>
              <w:t xml:space="preserve"> to the Board once complete.</w:t>
            </w:r>
          </w:p>
        </w:tc>
      </w:tr>
      <w:tr w:rsidR="00D03BAD" w:rsidRPr="00DD39EE" w14:paraId="72CA6DE5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535F539" w14:textId="71D607B7" w:rsidR="00D03BAD" w:rsidRDefault="00895C2E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220D4986" w14:textId="0FDB09B6" w:rsidR="00D03BAD" w:rsidRPr="00895C2E" w:rsidRDefault="00895C2E" w:rsidP="00C653D7">
            <w:pPr>
              <w:jc w:val="both"/>
              <w:rPr>
                <w:sz w:val="24"/>
                <w:szCs w:val="24"/>
                <w:u w:val="single"/>
              </w:rPr>
            </w:pPr>
            <w:r w:rsidRPr="00895C2E">
              <w:rPr>
                <w:sz w:val="24"/>
                <w:szCs w:val="24"/>
                <w:u w:val="single"/>
              </w:rPr>
              <w:t>Governance Update</w:t>
            </w:r>
            <w:r w:rsidR="00A76B65">
              <w:rPr>
                <w:sz w:val="24"/>
                <w:szCs w:val="24"/>
                <w:u w:val="single"/>
              </w:rPr>
              <w:t xml:space="preserve"> (Disposal of Premises)</w:t>
            </w:r>
          </w:p>
        </w:tc>
      </w:tr>
      <w:tr w:rsidR="00D03BAD" w:rsidRPr="00DD39EE" w14:paraId="5A2333ED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61B03E1" w14:textId="77777777" w:rsidR="00D03BAD" w:rsidRDefault="00D03BAD" w:rsidP="00081E82">
            <w:pPr>
              <w:rPr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55708ECD" w14:textId="4A19CE29" w:rsidR="00D03BAD" w:rsidRDefault="00895C2E" w:rsidP="0040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 xml:space="preserve">was </w:t>
            </w:r>
            <w:r w:rsidR="00407DE9">
              <w:rPr>
                <w:sz w:val="24"/>
                <w:szCs w:val="24"/>
              </w:rPr>
              <w:t>given</w:t>
            </w:r>
            <w:proofErr w:type="gramEnd"/>
            <w:r>
              <w:rPr>
                <w:sz w:val="24"/>
                <w:szCs w:val="24"/>
              </w:rPr>
              <w:t xml:space="preserve"> to dispose of a CIB premises at 44 North Great George’s Street</w:t>
            </w:r>
            <w:r w:rsidR="00A76B65">
              <w:rPr>
                <w:sz w:val="24"/>
                <w:szCs w:val="24"/>
              </w:rPr>
              <w:t>, Dublin 1</w:t>
            </w:r>
            <w:r>
              <w:rPr>
                <w:sz w:val="24"/>
                <w:szCs w:val="24"/>
              </w:rPr>
              <w:t xml:space="preserve">, subject to formal agreement by the Department of Employment Affairs and Social Protection. </w:t>
            </w:r>
          </w:p>
        </w:tc>
      </w:tr>
      <w:tr w:rsidR="00081E82" w:rsidRPr="00FF1F00" w14:paraId="047AEDD9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4FF6715" w14:textId="61ECF945" w:rsidR="00081E82" w:rsidRPr="00FF1F00" w:rsidRDefault="00A76B65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35226B4B" w14:textId="7E133F56" w:rsidR="00081E82" w:rsidRPr="00AA2BF2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the Next M</w:t>
            </w:r>
            <w:r w:rsidRPr="00AA2BF2">
              <w:rPr>
                <w:b/>
                <w:sz w:val="24"/>
                <w:szCs w:val="24"/>
              </w:rPr>
              <w:t xml:space="preserve">eeting </w:t>
            </w:r>
          </w:p>
        </w:tc>
      </w:tr>
      <w:tr w:rsidR="00081E82" w:rsidRPr="00DD39EE" w14:paraId="6E2CC3CC" w14:textId="77777777" w:rsidTr="00C724AF"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B0349E3" w14:textId="68A40614" w:rsidR="00081E82" w:rsidRPr="00DD39EE" w:rsidRDefault="00A76B65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31" w:type="dxa"/>
            <w:tcBorders>
              <w:top w:val="dotted" w:sz="4" w:space="0" w:color="auto"/>
              <w:bottom w:val="dotted" w:sz="4" w:space="0" w:color="auto"/>
            </w:tcBorders>
          </w:tcPr>
          <w:p w14:paraId="4836822D" w14:textId="4C88616F" w:rsidR="00081E82" w:rsidRPr="00AA2BF2" w:rsidRDefault="00081E82" w:rsidP="00A76B65">
            <w:pPr>
              <w:jc w:val="both"/>
              <w:rPr>
                <w:sz w:val="24"/>
                <w:szCs w:val="24"/>
              </w:rPr>
            </w:pPr>
            <w:r w:rsidRPr="00AA2BF2">
              <w:rPr>
                <w:sz w:val="24"/>
                <w:szCs w:val="24"/>
              </w:rPr>
              <w:t>The next meeting of the Board will take place on Wednesday</w:t>
            </w:r>
            <w:r>
              <w:rPr>
                <w:sz w:val="24"/>
                <w:szCs w:val="24"/>
              </w:rPr>
              <w:t>,</w:t>
            </w:r>
            <w:r w:rsidRPr="00AA2BF2">
              <w:rPr>
                <w:sz w:val="24"/>
                <w:szCs w:val="24"/>
              </w:rPr>
              <w:t xml:space="preserve"> </w:t>
            </w:r>
            <w:r w:rsidR="00A76B65">
              <w:rPr>
                <w:sz w:val="24"/>
                <w:szCs w:val="24"/>
              </w:rPr>
              <w:t>11 December</w:t>
            </w:r>
            <w:r>
              <w:rPr>
                <w:sz w:val="24"/>
                <w:szCs w:val="24"/>
              </w:rPr>
              <w:t xml:space="preserve"> 2019</w:t>
            </w:r>
            <w:r w:rsidRPr="00AA2BF2">
              <w:rPr>
                <w:sz w:val="24"/>
                <w:szCs w:val="24"/>
              </w:rPr>
              <w:t xml:space="preserve">.  </w:t>
            </w:r>
          </w:p>
        </w:tc>
      </w:tr>
    </w:tbl>
    <w:p w14:paraId="600E4029" w14:textId="1DC04062" w:rsidR="00CE2F79" w:rsidRDefault="00CE2F79" w:rsidP="00770B98">
      <w:pPr>
        <w:rPr>
          <w:sz w:val="24"/>
          <w:szCs w:val="24"/>
        </w:rPr>
      </w:pPr>
    </w:p>
    <w:p w14:paraId="236162DC" w14:textId="77777777" w:rsidR="00B3485B" w:rsidRDefault="00B3485B" w:rsidP="00770B98">
      <w:pPr>
        <w:rPr>
          <w:sz w:val="24"/>
          <w:szCs w:val="24"/>
        </w:rPr>
      </w:pPr>
    </w:p>
    <w:p w14:paraId="4043F872" w14:textId="0918E312" w:rsidR="00B3485B" w:rsidRDefault="00B3485B" w:rsidP="00770B98">
      <w:pPr>
        <w:rPr>
          <w:sz w:val="24"/>
          <w:szCs w:val="24"/>
        </w:rPr>
      </w:pPr>
    </w:p>
    <w:sectPr w:rsidR="00B3485B" w:rsidSect="000F1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9616" w14:textId="77777777" w:rsidR="003D73E1" w:rsidRDefault="003D73E1" w:rsidP="00253E0A">
      <w:r>
        <w:separator/>
      </w:r>
    </w:p>
  </w:endnote>
  <w:endnote w:type="continuationSeparator" w:id="0">
    <w:p w14:paraId="54C0FB4B" w14:textId="77777777" w:rsidR="003D73E1" w:rsidRDefault="003D73E1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D24F" w14:textId="77777777" w:rsidR="006C30EB" w:rsidRDefault="006C3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8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83DC7" w14:textId="3B4D3497" w:rsidR="007915D4" w:rsidRDefault="00791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7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7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4F98" w14:textId="77777777" w:rsidR="00F25245" w:rsidRDefault="00F25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3AC4" w14:textId="77777777" w:rsidR="006C30EB" w:rsidRDefault="006C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1475" w14:textId="77777777" w:rsidR="003D73E1" w:rsidRDefault="003D73E1" w:rsidP="00253E0A">
      <w:r>
        <w:separator/>
      </w:r>
    </w:p>
  </w:footnote>
  <w:footnote w:type="continuationSeparator" w:id="0">
    <w:p w14:paraId="0065BE93" w14:textId="77777777" w:rsidR="003D73E1" w:rsidRDefault="003D73E1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89D4" w14:textId="77777777" w:rsidR="006C30EB" w:rsidRDefault="006C3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EA20" w14:textId="5DAF2178" w:rsidR="006C30EB" w:rsidRDefault="006C3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73F2" w14:textId="77777777" w:rsidR="006C30EB" w:rsidRDefault="006C3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020"/>
    <w:multiLevelType w:val="hybridMultilevel"/>
    <w:tmpl w:val="F6301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BB9"/>
    <w:multiLevelType w:val="multilevel"/>
    <w:tmpl w:val="701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316B5"/>
    <w:multiLevelType w:val="hybridMultilevel"/>
    <w:tmpl w:val="BB4CE4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9F3"/>
    <w:multiLevelType w:val="hybridMultilevel"/>
    <w:tmpl w:val="F2E4C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9A1"/>
    <w:multiLevelType w:val="hybridMultilevel"/>
    <w:tmpl w:val="24A07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7E4"/>
    <w:multiLevelType w:val="hybridMultilevel"/>
    <w:tmpl w:val="C8642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0169B"/>
    <w:rsid w:val="000021C2"/>
    <w:rsid w:val="0000433C"/>
    <w:rsid w:val="00005547"/>
    <w:rsid w:val="000110C7"/>
    <w:rsid w:val="0001388E"/>
    <w:rsid w:val="00013AE9"/>
    <w:rsid w:val="00016236"/>
    <w:rsid w:val="00021266"/>
    <w:rsid w:val="000214EF"/>
    <w:rsid w:val="000269CA"/>
    <w:rsid w:val="00027C12"/>
    <w:rsid w:val="00031A49"/>
    <w:rsid w:val="00033AB1"/>
    <w:rsid w:val="0003557A"/>
    <w:rsid w:val="0003580A"/>
    <w:rsid w:val="00036DE3"/>
    <w:rsid w:val="00043916"/>
    <w:rsid w:val="00051F67"/>
    <w:rsid w:val="00054924"/>
    <w:rsid w:val="000550DD"/>
    <w:rsid w:val="000553A0"/>
    <w:rsid w:val="00056150"/>
    <w:rsid w:val="00060D52"/>
    <w:rsid w:val="000646B0"/>
    <w:rsid w:val="00065D25"/>
    <w:rsid w:val="000677D2"/>
    <w:rsid w:val="00072473"/>
    <w:rsid w:val="00072AB6"/>
    <w:rsid w:val="00073232"/>
    <w:rsid w:val="000738BC"/>
    <w:rsid w:val="0007405C"/>
    <w:rsid w:val="00081E82"/>
    <w:rsid w:val="00082ED4"/>
    <w:rsid w:val="00083132"/>
    <w:rsid w:val="00083F66"/>
    <w:rsid w:val="00086D0C"/>
    <w:rsid w:val="0008789A"/>
    <w:rsid w:val="00090607"/>
    <w:rsid w:val="000908D9"/>
    <w:rsid w:val="00091009"/>
    <w:rsid w:val="0009151B"/>
    <w:rsid w:val="00092007"/>
    <w:rsid w:val="0009318E"/>
    <w:rsid w:val="000A0772"/>
    <w:rsid w:val="000A32F5"/>
    <w:rsid w:val="000A5DF5"/>
    <w:rsid w:val="000A6C42"/>
    <w:rsid w:val="000B26A0"/>
    <w:rsid w:val="000B5541"/>
    <w:rsid w:val="000B7621"/>
    <w:rsid w:val="000C137C"/>
    <w:rsid w:val="000C284C"/>
    <w:rsid w:val="000D1D4D"/>
    <w:rsid w:val="000D276D"/>
    <w:rsid w:val="000D35CE"/>
    <w:rsid w:val="000D3D84"/>
    <w:rsid w:val="000D4F5F"/>
    <w:rsid w:val="000D6A6C"/>
    <w:rsid w:val="000D6E84"/>
    <w:rsid w:val="000E1FD9"/>
    <w:rsid w:val="000E2DA3"/>
    <w:rsid w:val="000E71A5"/>
    <w:rsid w:val="000E7D48"/>
    <w:rsid w:val="000F19E9"/>
    <w:rsid w:val="000F3431"/>
    <w:rsid w:val="000F3AF9"/>
    <w:rsid w:val="000F3B00"/>
    <w:rsid w:val="000F44CC"/>
    <w:rsid w:val="000F4961"/>
    <w:rsid w:val="000F4B96"/>
    <w:rsid w:val="000F626B"/>
    <w:rsid w:val="00101E8E"/>
    <w:rsid w:val="00110523"/>
    <w:rsid w:val="00116CA1"/>
    <w:rsid w:val="00117242"/>
    <w:rsid w:val="00120677"/>
    <w:rsid w:val="001211AD"/>
    <w:rsid w:val="001247D8"/>
    <w:rsid w:val="00126288"/>
    <w:rsid w:val="00127E24"/>
    <w:rsid w:val="001305A9"/>
    <w:rsid w:val="00133FB8"/>
    <w:rsid w:val="00136D45"/>
    <w:rsid w:val="0015545C"/>
    <w:rsid w:val="00163EB6"/>
    <w:rsid w:val="00167268"/>
    <w:rsid w:val="00172B72"/>
    <w:rsid w:val="001734D5"/>
    <w:rsid w:val="0017698A"/>
    <w:rsid w:val="001779F0"/>
    <w:rsid w:val="00177D62"/>
    <w:rsid w:val="001819A4"/>
    <w:rsid w:val="001836E2"/>
    <w:rsid w:val="00184481"/>
    <w:rsid w:val="0018555D"/>
    <w:rsid w:val="001972B7"/>
    <w:rsid w:val="001A072F"/>
    <w:rsid w:val="001A129C"/>
    <w:rsid w:val="001A2E70"/>
    <w:rsid w:val="001A35A3"/>
    <w:rsid w:val="001A4D7F"/>
    <w:rsid w:val="001A5D74"/>
    <w:rsid w:val="001A7E90"/>
    <w:rsid w:val="001B5436"/>
    <w:rsid w:val="001B55E4"/>
    <w:rsid w:val="001C212A"/>
    <w:rsid w:val="001C25EE"/>
    <w:rsid w:val="001C33B2"/>
    <w:rsid w:val="001C4B65"/>
    <w:rsid w:val="001C4D9E"/>
    <w:rsid w:val="001D1A84"/>
    <w:rsid w:val="001D1F98"/>
    <w:rsid w:val="001D2915"/>
    <w:rsid w:val="001D5752"/>
    <w:rsid w:val="001E128C"/>
    <w:rsid w:val="001F1C14"/>
    <w:rsid w:val="001F2413"/>
    <w:rsid w:val="001F2DE7"/>
    <w:rsid w:val="001F586E"/>
    <w:rsid w:val="001F5D25"/>
    <w:rsid w:val="001F5D91"/>
    <w:rsid w:val="001F60E9"/>
    <w:rsid w:val="0020234C"/>
    <w:rsid w:val="002030F9"/>
    <w:rsid w:val="0020456C"/>
    <w:rsid w:val="00206A7E"/>
    <w:rsid w:val="00207853"/>
    <w:rsid w:val="00210FFB"/>
    <w:rsid w:val="002110BA"/>
    <w:rsid w:val="00211A37"/>
    <w:rsid w:val="00222EA3"/>
    <w:rsid w:val="00223310"/>
    <w:rsid w:val="0023121B"/>
    <w:rsid w:val="00235143"/>
    <w:rsid w:val="00240014"/>
    <w:rsid w:val="00242323"/>
    <w:rsid w:val="0024260C"/>
    <w:rsid w:val="002437A6"/>
    <w:rsid w:val="00243E43"/>
    <w:rsid w:val="002452FE"/>
    <w:rsid w:val="00253C88"/>
    <w:rsid w:val="00253E0A"/>
    <w:rsid w:val="00256381"/>
    <w:rsid w:val="00262852"/>
    <w:rsid w:val="002668AB"/>
    <w:rsid w:val="00274184"/>
    <w:rsid w:val="00275F87"/>
    <w:rsid w:val="00280B69"/>
    <w:rsid w:val="002867AF"/>
    <w:rsid w:val="0028711A"/>
    <w:rsid w:val="00293825"/>
    <w:rsid w:val="002A5282"/>
    <w:rsid w:val="002B0016"/>
    <w:rsid w:val="002B470B"/>
    <w:rsid w:val="002B5CDC"/>
    <w:rsid w:val="002B6F1A"/>
    <w:rsid w:val="002C3FF5"/>
    <w:rsid w:val="002C440A"/>
    <w:rsid w:val="002D2D5E"/>
    <w:rsid w:val="002D2F5B"/>
    <w:rsid w:val="002E2EC7"/>
    <w:rsid w:val="002E2F27"/>
    <w:rsid w:val="002E4A8E"/>
    <w:rsid w:val="002F1665"/>
    <w:rsid w:val="002F1763"/>
    <w:rsid w:val="002F304C"/>
    <w:rsid w:val="002F3BBF"/>
    <w:rsid w:val="002F3E91"/>
    <w:rsid w:val="002F4AFA"/>
    <w:rsid w:val="002F5210"/>
    <w:rsid w:val="002F7526"/>
    <w:rsid w:val="002F7F48"/>
    <w:rsid w:val="00300AFA"/>
    <w:rsid w:val="003024AF"/>
    <w:rsid w:val="003025C7"/>
    <w:rsid w:val="00305E2A"/>
    <w:rsid w:val="00311C62"/>
    <w:rsid w:val="003161EB"/>
    <w:rsid w:val="00316449"/>
    <w:rsid w:val="00317429"/>
    <w:rsid w:val="00317989"/>
    <w:rsid w:val="003214E0"/>
    <w:rsid w:val="003226A1"/>
    <w:rsid w:val="00331B39"/>
    <w:rsid w:val="00340314"/>
    <w:rsid w:val="00340EB5"/>
    <w:rsid w:val="00344369"/>
    <w:rsid w:val="003560D3"/>
    <w:rsid w:val="003567FB"/>
    <w:rsid w:val="00360A04"/>
    <w:rsid w:val="00362740"/>
    <w:rsid w:val="0036347F"/>
    <w:rsid w:val="00365070"/>
    <w:rsid w:val="003717AE"/>
    <w:rsid w:val="0037191C"/>
    <w:rsid w:val="003747AD"/>
    <w:rsid w:val="003809E1"/>
    <w:rsid w:val="00380F83"/>
    <w:rsid w:val="00380FB1"/>
    <w:rsid w:val="00384525"/>
    <w:rsid w:val="0038694F"/>
    <w:rsid w:val="003919E8"/>
    <w:rsid w:val="00393B40"/>
    <w:rsid w:val="003942E0"/>
    <w:rsid w:val="003A1153"/>
    <w:rsid w:val="003A1B08"/>
    <w:rsid w:val="003A5A19"/>
    <w:rsid w:val="003A78BC"/>
    <w:rsid w:val="003A7F61"/>
    <w:rsid w:val="003B0825"/>
    <w:rsid w:val="003B3D3C"/>
    <w:rsid w:val="003B4371"/>
    <w:rsid w:val="003C0EB2"/>
    <w:rsid w:val="003C20AD"/>
    <w:rsid w:val="003C694E"/>
    <w:rsid w:val="003D1EEA"/>
    <w:rsid w:val="003D3BA3"/>
    <w:rsid w:val="003D73E1"/>
    <w:rsid w:val="003E0975"/>
    <w:rsid w:val="003E1B20"/>
    <w:rsid w:val="003E2EFA"/>
    <w:rsid w:val="003E52F7"/>
    <w:rsid w:val="003E541D"/>
    <w:rsid w:val="003E683A"/>
    <w:rsid w:val="003E7002"/>
    <w:rsid w:val="003F2FCC"/>
    <w:rsid w:val="003F6140"/>
    <w:rsid w:val="004016DD"/>
    <w:rsid w:val="0040392A"/>
    <w:rsid w:val="00407DE9"/>
    <w:rsid w:val="00413A19"/>
    <w:rsid w:val="0041495A"/>
    <w:rsid w:val="004169B0"/>
    <w:rsid w:val="00427354"/>
    <w:rsid w:val="00434A64"/>
    <w:rsid w:val="00436F67"/>
    <w:rsid w:val="00437116"/>
    <w:rsid w:val="00441F46"/>
    <w:rsid w:val="0044287F"/>
    <w:rsid w:val="00446426"/>
    <w:rsid w:val="00453032"/>
    <w:rsid w:val="0045363A"/>
    <w:rsid w:val="00456740"/>
    <w:rsid w:val="0046025E"/>
    <w:rsid w:val="00465639"/>
    <w:rsid w:val="004661A9"/>
    <w:rsid w:val="00471261"/>
    <w:rsid w:val="0047238E"/>
    <w:rsid w:val="00473D3A"/>
    <w:rsid w:val="00474D7F"/>
    <w:rsid w:val="0047699A"/>
    <w:rsid w:val="00480048"/>
    <w:rsid w:val="00481E1A"/>
    <w:rsid w:val="004842DA"/>
    <w:rsid w:val="00491B95"/>
    <w:rsid w:val="004A3335"/>
    <w:rsid w:val="004A3489"/>
    <w:rsid w:val="004A3C55"/>
    <w:rsid w:val="004A6C7E"/>
    <w:rsid w:val="004B0CBA"/>
    <w:rsid w:val="004B2CAC"/>
    <w:rsid w:val="004B308E"/>
    <w:rsid w:val="004B681F"/>
    <w:rsid w:val="004B7694"/>
    <w:rsid w:val="004C5F09"/>
    <w:rsid w:val="004D48EE"/>
    <w:rsid w:val="004D499C"/>
    <w:rsid w:val="004D4CBB"/>
    <w:rsid w:val="004D4D17"/>
    <w:rsid w:val="004D4D2A"/>
    <w:rsid w:val="004E0653"/>
    <w:rsid w:val="004E096B"/>
    <w:rsid w:val="004E0B2F"/>
    <w:rsid w:val="004E4844"/>
    <w:rsid w:val="004E4F2B"/>
    <w:rsid w:val="004E689D"/>
    <w:rsid w:val="004E6A28"/>
    <w:rsid w:val="004F1454"/>
    <w:rsid w:val="004F1AFD"/>
    <w:rsid w:val="004F2E5A"/>
    <w:rsid w:val="004F30CD"/>
    <w:rsid w:val="004F31AF"/>
    <w:rsid w:val="004F446E"/>
    <w:rsid w:val="00502368"/>
    <w:rsid w:val="00504FF1"/>
    <w:rsid w:val="00512D4A"/>
    <w:rsid w:val="00514669"/>
    <w:rsid w:val="00514CE1"/>
    <w:rsid w:val="00515BF7"/>
    <w:rsid w:val="00520749"/>
    <w:rsid w:val="005215DA"/>
    <w:rsid w:val="005249F3"/>
    <w:rsid w:val="00531374"/>
    <w:rsid w:val="00531F77"/>
    <w:rsid w:val="00533536"/>
    <w:rsid w:val="00535086"/>
    <w:rsid w:val="00540975"/>
    <w:rsid w:val="00541834"/>
    <w:rsid w:val="0055047A"/>
    <w:rsid w:val="00557A94"/>
    <w:rsid w:val="00560DCE"/>
    <w:rsid w:val="00561652"/>
    <w:rsid w:val="00561F9F"/>
    <w:rsid w:val="00570FD6"/>
    <w:rsid w:val="00573B66"/>
    <w:rsid w:val="00573E9A"/>
    <w:rsid w:val="005841C0"/>
    <w:rsid w:val="00591FB3"/>
    <w:rsid w:val="00592D01"/>
    <w:rsid w:val="00593953"/>
    <w:rsid w:val="00595AE5"/>
    <w:rsid w:val="00596012"/>
    <w:rsid w:val="0059619A"/>
    <w:rsid w:val="005A081A"/>
    <w:rsid w:val="005A3F47"/>
    <w:rsid w:val="005A6535"/>
    <w:rsid w:val="005B23B8"/>
    <w:rsid w:val="005B381C"/>
    <w:rsid w:val="005B4E20"/>
    <w:rsid w:val="005B7ED0"/>
    <w:rsid w:val="005C486C"/>
    <w:rsid w:val="005C7ADA"/>
    <w:rsid w:val="005D063F"/>
    <w:rsid w:val="005E0F12"/>
    <w:rsid w:val="00601A0F"/>
    <w:rsid w:val="00606FBF"/>
    <w:rsid w:val="006139F4"/>
    <w:rsid w:val="00620D26"/>
    <w:rsid w:val="00624C0B"/>
    <w:rsid w:val="00624E95"/>
    <w:rsid w:val="006263C8"/>
    <w:rsid w:val="00631438"/>
    <w:rsid w:val="006347F0"/>
    <w:rsid w:val="006359E9"/>
    <w:rsid w:val="0063668D"/>
    <w:rsid w:val="00637C43"/>
    <w:rsid w:val="0064020E"/>
    <w:rsid w:val="006435F8"/>
    <w:rsid w:val="00645BBC"/>
    <w:rsid w:val="00651FC3"/>
    <w:rsid w:val="0065415B"/>
    <w:rsid w:val="006544F1"/>
    <w:rsid w:val="0065511E"/>
    <w:rsid w:val="0065575E"/>
    <w:rsid w:val="0065628B"/>
    <w:rsid w:val="00657990"/>
    <w:rsid w:val="00662D47"/>
    <w:rsid w:val="006712AB"/>
    <w:rsid w:val="0067216A"/>
    <w:rsid w:val="00672840"/>
    <w:rsid w:val="0067376C"/>
    <w:rsid w:val="006777C6"/>
    <w:rsid w:val="006829E2"/>
    <w:rsid w:val="00682CD3"/>
    <w:rsid w:val="0069267E"/>
    <w:rsid w:val="00694352"/>
    <w:rsid w:val="00695583"/>
    <w:rsid w:val="006A19C7"/>
    <w:rsid w:val="006A1E9A"/>
    <w:rsid w:val="006A445C"/>
    <w:rsid w:val="006A6B88"/>
    <w:rsid w:val="006A764B"/>
    <w:rsid w:val="006B01D2"/>
    <w:rsid w:val="006B316D"/>
    <w:rsid w:val="006B42A1"/>
    <w:rsid w:val="006B4DD5"/>
    <w:rsid w:val="006B6DE7"/>
    <w:rsid w:val="006C19D2"/>
    <w:rsid w:val="006C30EB"/>
    <w:rsid w:val="006C316D"/>
    <w:rsid w:val="006C62E8"/>
    <w:rsid w:val="006D5BB3"/>
    <w:rsid w:val="006E2AD6"/>
    <w:rsid w:val="006E6347"/>
    <w:rsid w:val="006F0915"/>
    <w:rsid w:val="006F3A83"/>
    <w:rsid w:val="00701D27"/>
    <w:rsid w:val="0070567D"/>
    <w:rsid w:val="00713187"/>
    <w:rsid w:val="00715E0B"/>
    <w:rsid w:val="00724614"/>
    <w:rsid w:val="007251DB"/>
    <w:rsid w:val="007340D6"/>
    <w:rsid w:val="0073549F"/>
    <w:rsid w:val="0074366F"/>
    <w:rsid w:val="00744DFB"/>
    <w:rsid w:val="007479CD"/>
    <w:rsid w:val="007502B9"/>
    <w:rsid w:val="00750C10"/>
    <w:rsid w:val="007514EC"/>
    <w:rsid w:val="007541C7"/>
    <w:rsid w:val="00755F0E"/>
    <w:rsid w:val="007565DD"/>
    <w:rsid w:val="007640E4"/>
    <w:rsid w:val="00765B46"/>
    <w:rsid w:val="00767570"/>
    <w:rsid w:val="00770B98"/>
    <w:rsid w:val="007732B2"/>
    <w:rsid w:val="00773468"/>
    <w:rsid w:val="007735C7"/>
    <w:rsid w:val="007738DA"/>
    <w:rsid w:val="007753D5"/>
    <w:rsid w:val="00776E24"/>
    <w:rsid w:val="007807AA"/>
    <w:rsid w:val="00781496"/>
    <w:rsid w:val="00782077"/>
    <w:rsid w:val="007827CF"/>
    <w:rsid w:val="00784D82"/>
    <w:rsid w:val="0078789A"/>
    <w:rsid w:val="0079096B"/>
    <w:rsid w:val="0079099F"/>
    <w:rsid w:val="007915D4"/>
    <w:rsid w:val="0079346D"/>
    <w:rsid w:val="007956A0"/>
    <w:rsid w:val="007A11CF"/>
    <w:rsid w:val="007A164E"/>
    <w:rsid w:val="007A2E63"/>
    <w:rsid w:val="007A338B"/>
    <w:rsid w:val="007A5EFE"/>
    <w:rsid w:val="007A6D4E"/>
    <w:rsid w:val="007B028B"/>
    <w:rsid w:val="007B18E8"/>
    <w:rsid w:val="007B6178"/>
    <w:rsid w:val="007C1EDF"/>
    <w:rsid w:val="007D1611"/>
    <w:rsid w:val="007D29BC"/>
    <w:rsid w:val="007D5333"/>
    <w:rsid w:val="007D77D8"/>
    <w:rsid w:val="007E6D19"/>
    <w:rsid w:val="007F1270"/>
    <w:rsid w:val="007F38C1"/>
    <w:rsid w:val="007F5362"/>
    <w:rsid w:val="00802E74"/>
    <w:rsid w:val="00815819"/>
    <w:rsid w:val="00816D65"/>
    <w:rsid w:val="00821B77"/>
    <w:rsid w:val="008230F9"/>
    <w:rsid w:val="00826B01"/>
    <w:rsid w:val="008310C6"/>
    <w:rsid w:val="008336F4"/>
    <w:rsid w:val="00833D2A"/>
    <w:rsid w:val="0083570C"/>
    <w:rsid w:val="00835872"/>
    <w:rsid w:val="00835FC7"/>
    <w:rsid w:val="00837B44"/>
    <w:rsid w:val="008413BF"/>
    <w:rsid w:val="008421E1"/>
    <w:rsid w:val="00843506"/>
    <w:rsid w:val="008451A6"/>
    <w:rsid w:val="0084699B"/>
    <w:rsid w:val="00851FEA"/>
    <w:rsid w:val="00853A67"/>
    <w:rsid w:val="00861B83"/>
    <w:rsid w:val="00862DF3"/>
    <w:rsid w:val="00867189"/>
    <w:rsid w:val="00870A6E"/>
    <w:rsid w:val="008711C9"/>
    <w:rsid w:val="00874C19"/>
    <w:rsid w:val="00874F41"/>
    <w:rsid w:val="00882BDB"/>
    <w:rsid w:val="00882F77"/>
    <w:rsid w:val="00885958"/>
    <w:rsid w:val="00885CCE"/>
    <w:rsid w:val="0088602C"/>
    <w:rsid w:val="0089053A"/>
    <w:rsid w:val="008922C3"/>
    <w:rsid w:val="0089268B"/>
    <w:rsid w:val="00893FF9"/>
    <w:rsid w:val="00895C2E"/>
    <w:rsid w:val="00895F79"/>
    <w:rsid w:val="008960FA"/>
    <w:rsid w:val="00896D9A"/>
    <w:rsid w:val="00897AA7"/>
    <w:rsid w:val="008A03F1"/>
    <w:rsid w:val="008A26CE"/>
    <w:rsid w:val="008A3A08"/>
    <w:rsid w:val="008B03A4"/>
    <w:rsid w:val="008B03EC"/>
    <w:rsid w:val="008B0F8B"/>
    <w:rsid w:val="008B19AF"/>
    <w:rsid w:val="008C0DC0"/>
    <w:rsid w:val="008C328F"/>
    <w:rsid w:val="008C45F0"/>
    <w:rsid w:val="008C483C"/>
    <w:rsid w:val="008C66C2"/>
    <w:rsid w:val="008D2D13"/>
    <w:rsid w:val="008D2F90"/>
    <w:rsid w:val="008E0894"/>
    <w:rsid w:val="008E31D9"/>
    <w:rsid w:val="008E40E5"/>
    <w:rsid w:val="008E5962"/>
    <w:rsid w:val="008F1725"/>
    <w:rsid w:val="008F1AD3"/>
    <w:rsid w:val="008F3B26"/>
    <w:rsid w:val="008F5BA5"/>
    <w:rsid w:val="008F6963"/>
    <w:rsid w:val="009061A5"/>
    <w:rsid w:val="00913CEB"/>
    <w:rsid w:val="0091532B"/>
    <w:rsid w:val="00916D8F"/>
    <w:rsid w:val="00920F0A"/>
    <w:rsid w:val="00921AF2"/>
    <w:rsid w:val="00925FA1"/>
    <w:rsid w:val="009302EA"/>
    <w:rsid w:val="0093159A"/>
    <w:rsid w:val="00940D59"/>
    <w:rsid w:val="009420BA"/>
    <w:rsid w:val="00946395"/>
    <w:rsid w:val="00947D78"/>
    <w:rsid w:val="00954190"/>
    <w:rsid w:val="00961DA5"/>
    <w:rsid w:val="009662A7"/>
    <w:rsid w:val="009677CB"/>
    <w:rsid w:val="00974003"/>
    <w:rsid w:val="00974498"/>
    <w:rsid w:val="009813DA"/>
    <w:rsid w:val="0098270F"/>
    <w:rsid w:val="00990617"/>
    <w:rsid w:val="00992395"/>
    <w:rsid w:val="00995FCA"/>
    <w:rsid w:val="00997CC1"/>
    <w:rsid w:val="009A249F"/>
    <w:rsid w:val="009A4876"/>
    <w:rsid w:val="009A7017"/>
    <w:rsid w:val="009B2969"/>
    <w:rsid w:val="009C0653"/>
    <w:rsid w:val="009C3476"/>
    <w:rsid w:val="009C4133"/>
    <w:rsid w:val="009C5BA0"/>
    <w:rsid w:val="009C6F6C"/>
    <w:rsid w:val="009D2811"/>
    <w:rsid w:val="009E0E21"/>
    <w:rsid w:val="009E113F"/>
    <w:rsid w:val="009E157F"/>
    <w:rsid w:val="009F03FF"/>
    <w:rsid w:val="009F4A56"/>
    <w:rsid w:val="009F71CC"/>
    <w:rsid w:val="00A10617"/>
    <w:rsid w:val="00A1187B"/>
    <w:rsid w:val="00A12967"/>
    <w:rsid w:val="00A13C6C"/>
    <w:rsid w:val="00A221E1"/>
    <w:rsid w:val="00A22D5D"/>
    <w:rsid w:val="00A22F07"/>
    <w:rsid w:val="00A25066"/>
    <w:rsid w:val="00A308EB"/>
    <w:rsid w:val="00A31715"/>
    <w:rsid w:val="00A328CD"/>
    <w:rsid w:val="00A36414"/>
    <w:rsid w:val="00A37231"/>
    <w:rsid w:val="00A37706"/>
    <w:rsid w:val="00A4417C"/>
    <w:rsid w:val="00A45BBC"/>
    <w:rsid w:val="00A50008"/>
    <w:rsid w:val="00A530A4"/>
    <w:rsid w:val="00A53270"/>
    <w:rsid w:val="00A5676E"/>
    <w:rsid w:val="00A64D6C"/>
    <w:rsid w:val="00A7376F"/>
    <w:rsid w:val="00A74161"/>
    <w:rsid w:val="00A74FEC"/>
    <w:rsid w:val="00A76B65"/>
    <w:rsid w:val="00A868BA"/>
    <w:rsid w:val="00A86B7C"/>
    <w:rsid w:val="00A9519D"/>
    <w:rsid w:val="00A96269"/>
    <w:rsid w:val="00AA1A07"/>
    <w:rsid w:val="00AA2AD8"/>
    <w:rsid w:val="00AA2BF2"/>
    <w:rsid w:val="00AA2E22"/>
    <w:rsid w:val="00AA5FA5"/>
    <w:rsid w:val="00AA715B"/>
    <w:rsid w:val="00AB0C42"/>
    <w:rsid w:val="00AB3160"/>
    <w:rsid w:val="00AC2752"/>
    <w:rsid w:val="00AD0CB4"/>
    <w:rsid w:val="00AD12AE"/>
    <w:rsid w:val="00AD3400"/>
    <w:rsid w:val="00AD4160"/>
    <w:rsid w:val="00AD57EE"/>
    <w:rsid w:val="00AD766C"/>
    <w:rsid w:val="00AE7F4B"/>
    <w:rsid w:val="00AF07E6"/>
    <w:rsid w:val="00AF7512"/>
    <w:rsid w:val="00AF7967"/>
    <w:rsid w:val="00B0025C"/>
    <w:rsid w:val="00B0206D"/>
    <w:rsid w:val="00B03FF2"/>
    <w:rsid w:val="00B044BC"/>
    <w:rsid w:val="00B1069F"/>
    <w:rsid w:val="00B12369"/>
    <w:rsid w:val="00B17842"/>
    <w:rsid w:val="00B207FB"/>
    <w:rsid w:val="00B23108"/>
    <w:rsid w:val="00B265FF"/>
    <w:rsid w:val="00B27790"/>
    <w:rsid w:val="00B3485B"/>
    <w:rsid w:val="00B3586D"/>
    <w:rsid w:val="00B363F0"/>
    <w:rsid w:val="00B37D4F"/>
    <w:rsid w:val="00B40EEA"/>
    <w:rsid w:val="00B4216E"/>
    <w:rsid w:val="00B45A0A"/>
    <w:rsid w:val="00B4626F"/>
    <w:rsid w:val="00B4728E"/>
    <w:rsid w:val="00B50532"/>
    <w:rsid w:val="00B51AD9"/>
    <w:rsid w:val="00B52129"/>
    <w:rsid w:val="00B553D4"/>
    <w:rsid w:val="00B55550"/>
    <w:rsid w:val="00B6236E"/>
    <w:rsid w:val="00B6244D"/>
    <w:rsid w:val="00B624BE"/>
    <w:rsid w:val="00B628B5"/>
    <w:rsid w:val="00B62BED"/>
    <w:rsid w:val="00B63D7E"/>
    <w:rsid w:val="00B80555"/>
    <w:rsid w:val="00B82E1E"/>
    <w:rsid w:val="00B8584A"/>
    <w:rsid w:val="00B85FA4"/>
    <w:rsid w:val="00B86B36"/>
    <w:rsid w:val="00B86F8A"/>
    <w:rsid w:val="00B8735D"/>
    <w:rsid w:val="00B87489"/>
    <w:rsid w:val="00B94410"/>
    <w:rsid w:val="00BA2368"/>
    <w:rsid w:val="00BA3BCF"/>
    <w:rsid w:val="00BA4F84"/>
    <w:rsid w:val="00BA5194"/>
    <w:rsid w:val="00BA7401"/>
    <w:rsid w:val="00BB0054"/>
    <w:rsid w:val="00BB556A"/>
    <w:rsid w:val="00BB7BC6"/>
    <w:rsid w:val="00BC5F58"/>
    <w:rsid w:val="00BD03F5"/>
    <w:rsid w:val="00BD18A1"/>
    <w:rsid w:val="00BD614A"/>
    <w:rsid w:val="00BE1868"/>
    <w:rsid w:val="00BE28D3"/>
    <w:rsid w:val="00BE35D5"/>
    <w:rsid w:val="00BE3907"/>
    <w:rsid w:val="00BE5E31"/>
    <w:rsid w:val="00BE63F9"/>
    <w:rsid w:val="00BE6DEA"/>
    <w:rsid w:val="00BE7799"/>
    <w:rsid w:val="00BF363A"/>
    <w:rsid w:val="00BF4AD1"/>
    <w:rsid w:val="00BF6C39"/>
    <w:rsid w:val="00C02A1B"/>
    <w:rsid w:val="00C06DBF"/>
    <w:rsid w:val="00C1136E"/>
    <w:rsid w:val="00C12ABB"/>
    <w:rsid w:val="00C13C15"/>
    <w:rsid w:val="00C1535D"/>
    <w:rsid w:val="00C2099C"/>
    <w:rsid w:val="00C22C53"/>
    <w:rsid w:val="00C24E1B"/>
    <w:rsid w:val="00C33BC5"/>
    <w:rsid w:val="00C345FD"/>
    <w:rsid w:val="00C36283"/>
    <w:rsid w:val="00C3747C"/>
    <w:rsid w:val="00C46512"/>
    <w:rsid w:val="00C50EA4"/>
    <w:rsid w:val="00C54139"/>
    <w:rsid w:val="00C54CB5"/>
    <w:rsid w:val="00C55524"/>
    <w:rsid w:val="00C607DB"/>
    <w:rsid w:val="00C61A92"/>
    <w:rsid w:val="00C63798"/>
    <w:rsid w:val="00C63A9E"/>
    <w:rsid w:val="00C653D7"/>
    <w:rsid w:val="00C6794C"/>
    <w:rsid w:val="00C70D47"/>
    <w:rsid w:val="00C724AF"/>
    <w:rsid w:val="00C75A9F"/>
    <w:rsid w:val="00C86D14"/>
    <w:rsid w:val="00C920FC"/>
    <w:rsid w:val="00C92972"/>
    <w:rsid w:val="00C96A47"/>
    <w:rsid w:val="00CA2AE1"/>
    <w:rsid w:val="00CA30FB"/>
    <w:rsid w:val="00CB6561"/>
    <w:rsid w:val="00CB66D0"/>
    <w:rsid w:val="00CC0A04"/>
    <w:rsid w:val="00CC0E8F"/>
    <w:rsid w:val="00CC26B3"/>
    <w:rsid w:val="00CC2F5B"/>
    <w:rsid w:val="00CC74D0"/>
    <w:rsid w:val="00CD3134"/>
    <w:rsid w:val="00CD5BAC"/>
    <w:rsid w:val="00CD7BF8"/>
    <w:rsid w:val="00CE0887"/>
    <w:rsid w:val="00CE2F79"/>
    <w:rsid w:val="00CE4AEE"/>
    <w:rsid w:val="00CE6DD5"/>
    <w:rsid w:val="00CE7060"/>
    <w:rsid w:val="00CF5C95"/>
    <w:rsid w:val="00D00BC8"/>
    <w:rsid w:val="00D02670"/>
    <w:rsid w:val="00D03BAD"/>
    <w:rsid w:val="00D06B3D"/>
    <w:rsid w:val="00D06BC6"/>
    <w:rsid w:val="00D14786"/>
    <w:rsid w:val="00D16749"/>
    <w:rsid w:val="00D1740C"/>
    <w:rsid w:val="00D21DFF"/>
    <w:rsid w:val="00D222B9"/>
    <w:rsid w:val="00D233F9"/>
    <w:rsid w:val="00D30862"/>
    <w:rsid w:val="00D30A26"/>
    <w:rsid w:val="00D36185"/>
    <w:rsid w:val="00D36A83"/>
    <w:rsid w:val="00D375F0"/>
    <w:rsid w:val="00D400AB"/>
    <w:rsid w:val="00D41DA2"/>
    <w:rsid w:val="00D428F1"/>
    <w:rsid w:val="00D4578C"/>
    <w:rsid w:val="00D4638F"/>
    <w:rsid w:val="00D47BFC"/>
    <w:rsid w:val="00D52809"/>
    <w:rsid w:val="00D53E6C"/>
    <w:rsid w:val="00D5440E"/>
    <w:rsid w:val="00D565B8"/>
    <w:rsid w:val="00D5755E"/>
    <w:rsid w:val="00D57C0F"/>
    <w:rsid w:val="00D614E8"/>
    <w:rsid w:val="00D63FDA"/>
    <w:rsid w:val="00D6788E"/>
    <w:rsid w:val="00D742CA"/>
    <w:rsid w:val="00D80BE0"/>
    <w:rsid w:val="00D84D1D"/>
    <w:rsid w:val="00D85236"/>
    <w:rsid w:val="00D92AC3"/>
    <w:rsid w:val="00D97609"/>
    <w:rsid w:val="00DA0CEE"/>
    <w:rsid w:val="00DA5A4C"/>
    <w:rsid w:val="00DA5C89"/>
    <w:rsid w:val="00DA5D19"/>
    <w:rsid w:val="00DB0923"/>
    <w:rsid w:val="00DB18B6"/>
    <w:rsid w:val="00DC3368"/>
    <w:rsid w:val="00DC6ECD"/>
    <w:rsid w:val="00DC7CF8"/>
    <w:rsid w:val="00DD0A21"/>
    <w:rsid w:val="00DD39EE"/>
    <w:rsid w:val="00DD3EA3"/>
    <w:rsid w:val="00DD708B"/>
    <w:rsid w:val="00DE2F25"/>
    <w:rsid w:val="00DE5DA5"/>
    <w:rsid w:val="00DE7CFC"/>
    <w:rsid w:val="00DF0D58"/>
    <w:rsid w:val="00DF14AD"/>
    <w:rsid w:val="00DF2C74"/>
    <w:rsid w:val="00DF39D5"/>
    <w:rsid w:val="00DF7C2A"/>
    <w:rsid w:val="00E01B64"/>
    <w:rsid w:val="00E02E01"/>
    <w:rsid w:val="00E12010"/>
    <w:rsid w:val="00E120B6"/>
    <w:rsid w:val="00E15D4E"/>
    <w:rsid w:val="00E17B43"/>
    <w:rsid w:val="00E22F81"/>
    <w:rsid w:val="00E23641"/>
    <w:rsid w:val="00E23707"/>
    <w:rsid w:val="00E24AC2"/>
    <w:rsid w:val="00E2753F"/>
    <w:rsid w:val="00E32D1B"/>
    <w:rsid w:val="00E32EB3"/>
    <w:rsid w:val="00E37170"/>
    <w:rsid w:val="00E43BE3"/>
    <w:rsid w:val="00E4437D"/>
    <w:rsid w:val="00E45C55"/>
    <w:rsid w:val="00E467CD"/>
    <w:rsid w:val="00E477A6"/>
    <w:rsid w:val="00E57453"/>
    <w:rsid w:val="00E63F28"/>
    <w:rsid w:val="00E66B5F"/>
    <w:rsid w:val="00E673EC"/>
    <w:rsid w:val="00E71364"/>
    <w:rsid w:val="00E72666"/>
    <w:rsid w:val="00E739D8"/>
    <w:rsid w:val="00E7402B"/>
    <w:rsid w:val="00E767AF"/>
    <w:rsid w:val="00E8035E"/>
    <w:rsid w:val="00E82214"/>
    <w:rsid w:val="00E86F61"/>
    <w:rsid w:val="00E93AD7"/>
    <w:rsid w:val="00E96423"/>
    <w:rsid w:val="00EA2E08"/>
    <w:rsid w:val="00EA37DF"/>
    <w:rsid w:val="00EA3C20"/>
    <w:rsid w:val="00EA400B"/>
    <w:rsid w:val="00EA4EAD"/>
    <w:rsid w:val="00EA53ED"/>
    <w:rsid w:val="00EB22D9"/>
    <w:rsid w:val="00EB3CAC"/>
    <w:rsid w:val="00EB42BE"/>
    <w:rsid w:val="00EC2393"/>
    <w:rsid w:val="00EC492F"/>
    <w:rsid w:val="00ED5CD0"/>
    <w:rsid w:val="00ED6FEA"/>
    <w:rsid w:val="00EE040A"/>
    <w:rsid w:val="00EE33CF"/>
    <w:rsid w:val="00EE50FC"/>
    <w:rsid w:val="00EE7379"/>
    <w:rsid w:val="00EE7720"/>
    <w:rsid w:val="00EF181E"/>
    <w:rsid w:val="00EF19B4"/>
    <w:rsid w:val="00EF2DE2"/>
    <w:rsid w:val="00EF699E"/>
    <w:rsid w:val="00EF6D39"/>
    <w:rsid w:val="00F011F4"/>
    <w:rsid w:val="00F02FA8"/>
    <w:rsid w:val="00F04750"/>
    <w:rsid w:val="00F1029B"/>
    <w:rsid w:val="00F11C92"/>
    <w:rsid w:val="00F11EE0"/>
    <w:rsid w:val="00F134A5"/>
    <w:rsid w:val="00F14482"/>
    <w:rsid w:val="00F1679A"/>
    <w:rsid w:val="00F20047"/>
    <w:rsid w:val="00F21BD9"/>
    <w:rsid w:val="00F23CAD"/>
    <w:rsid w:val="00F24226"/>
    <w:rsid w:val="00F25245"/>
    <w:rsid w:val="00F27F25"/>
    <w:rsid w:val="00F42206"/>
    <w:rsid w:val="00F4601A"/>
    <w:rsid w:val="00F460F9"/>
    <w:rsid w:val="00F46DFB"/>
    <w:rsid w:val="00F5163D"/>
    <w:rsid w:val="00F53AB9"/>
    <w:rsid w:val="00F55892"/>
    <w:rsid w:val="00F63524"/>
    <w:rsid w:val="00F635B4"/>
    <w:rsid w:val="00F63917"/>
    <w:rsid w:val="00F67FA5"/>
    <w:rsid w:val="00F75EAE"/>
    <w:rsid w:val="00F77FC5"/>
    <w:rsid w:val="00F808C6"/>
    <w:rsid w:val="00F816DE"/>
    <w:rsid w:val="00F82FE3"/>
    <w:rsid w:val="00F842B5"/>
    <w:rsid w:val="00F85824"/>
    <w:rsid w:val="00F8585A"/>
    <w:rsid w:val="00F90E45"/>
    <w:rsid w:val="00F9146D"/>
    <w:rsid w:val="00F92579"/>
    <w:rsid w:val="00F93099"/>
    <w:rsid w:val="00F95832"/>
    <w:rsid w:val="00FA68FF"/>
    <w:rsid w:val="00FA773C"/>
    <w:rsid w:val="00FA7C79"/>
    <w:rsid w:val="00FA7CE3"/>
    <w:rsid w:val="00FB33DF"/>
    <w:rsid w:val="00FC0444"/>
    <w:rsid w:val="00FC0A37"/>
    <w:rsid w:val="00FC0BCF"/>
    <w:rsid w:val="00FC46CA"/>
    <w:rsid w:val="00FC6842"/>
    <w:rsid w:val="00FD1245"/>
    <w:rsid w:val="00FD1596"/>
    <w:rsid w:val="00FD34AA"/>
    <w:rsid w:val="00FD440A"/>
    <w:rsid w:val="00FD5ACB"/>
    <w:rsid w:val="00FD6117"/>
    <w:rsid w:val="00FE00ED"/>
    <w:rsid w:val="00FE1830"/>
    <w:rsid w:val="00FE338C"/>
    <w:rsid w:val="00FE34C8"/>
    <w:rsid w:val="00FE7E87"/>
    <w:rsid w:val="00FE7FE5"/>
    <w:rsid w:val="00FF0D1A"/>
    <w:rsid w:val="00FF1F00"/>
    <w:rsid w:val="00FF54B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51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600C-A316-4C3B-95F2-B59B277A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2019-08-20T16:10:00Z</dcterms:created>
  <dcterms:modified xsi:type="dcterms:W3CDTF">2019-12-16T15:37:00Z</dcterms:modified>
</cp:coreProperties>
</file>