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C6C7" w14:textId="77777777" w:rsidR="000D6A6C" w:rsidRPr="00BC5F58" w:rsidRDefault="00167268" w:rsidP="00167268">
      <w:pPr>
        <w:jc w:val="center"/>
        <w:rPr>
          <w:b/>
          <w:sz w:val="32"/>
          <w:szCs w:val="24"/>
        </w:rPr>
      </w:pPr>
      <w:bookmarkStart w:id="0" w:name="_GoBack"/>
      <w:bookmarkEnd w:id="0"/>
      <w:r w:rsidRPr="00BC5F58">
        <w:rPr>
          <w:b/>
          <w:sz w:val="32"/>
          <w:szCs w:val="24"/>
        </w:rPr>
        <w:t>Citizens Information Board</w:t>
      </w:r>
    </w:p>
    <w:p w14:paraId="63B883F4" w14:textId="77777777" w:rsidR="00167268" w:rsidRDefault="00167268" w:rsidP="00167268">
      <w:pPr>
        <w:jc w:val="center"/>
      </w:pPr>
    </w:p>
    <w:p w14:paraId="38AB024E" w14:textId="0E42BB6D" w:rsidR="00167268" w:rsidRPr="00BC5F58" w:rsidRDefault="00305E2A" w:rsidP="00167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  <w:r w:rsidR="0065415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65415B">
        <w:rPr>
          <w:b/>
          <w:sz w:val="24"/>
          <w:szCs w:val="24"/>
        </w:rPr>
        <w:t xml:space="preserve">Wednesday, </w:t>
      </w:r>
      <w:r w:rsidR="00BD1873">
        <w:rPr>
          <w:b/>
          <w:sz w:val="24"/>
          <w:szCs w:val="24"/>
        </w:rPr>
        <w:t>12 December 2018</w:t>
      </w:r>
    </w:p>
    <w:p w14:paraId="13843BF0" w14:textId="59DAD7A0" w:rsidR="00167268" w:rsidRPr="00BC5F58" w:rsidRDefault="006B316D" w:rsidP="00167268">
      <w:pPr>
        <w:jc w:val="center"/>
        <w:rPr>
          <w:sz w:val="24"/>
          <w:szCs w:val="24"/>
        </w:rPr>
      </w:pPr>
      <w:r>
        <w:rPr>
          <w:sz w:val="24"/>
          <w:szCs w:val="24"/>
        </w:rPr>
        <w:t>George’s Quay House, 43 Townsend St., Dublin 2</w:t>
      </w:r>
    </w:p>
    <w:p w14:paraId="52FC123F" w14:textId="77777777" w:rsidR="00167268" w:rsidRPr="00BC5F58" w:rsidRDefault="00167268">
      <w:pPr>
        <w:rPr>
          <w:sz w:val="24"/>
          <w:szCs w:val="24"/>
        </w:rPr>
      </w:pPr>
    </w:p>
    <w:p w14:paraId="2B54CD3C" w14:textId="77777777" w:rsidR="00167268" w:rsidRPr="00DD39EE" w:rsidRDefault="00167268">
      <w:pPr>
        <w:rPr>
          <w:sz w:val="24"/>
          <w:szCs w:val="24"/>
        </w:rPr>
      </w:pPr>
    </w:p>
    <w:p w14:paraId="3A7AE644" w14:textId="3FE6D8C9" w:rsidR="00E13263" w:rsidRDefault="00167268" w:rsidP="006B42A1">
      <w:pPr>
        <w:rPr>
          <w:sz w:val="24"/>
          <w:szCs w:val="24"/>
        </w:rPr>
      </w:pPr>
      <w:r w:rsidRPr="00DD39EE">
        <w:rPr>
          <w:b/>
          <w:sz w:val="24"/>
          <w:szCs w:val="24"/>
        </w:rPr>
        <w:t>Present:</w:t>
      </w:r>
      <w:r w:rsidR="006E6347">
        <w:rPr>
          <w:b/>
          <w:sz w:val="24"/>
          <w:szCs w:val="24"/>
        </w:rPr>
        <w:t xml:space="preserve"> </w:t>
      </w:r>
      <w:proofErr w:type="spellStart"/>
      <w:r w:rsidR="00F46DFB" w:rsidRPr="00DD39EE">
        <w:rPr>
          <w:sz w:val="24"/>
          <w:szCs w:val="24"/>
        </w:rPr>
        <w:t>Ita</w:t>
      </w:r>
      <w:proofErr w:type="spellEnd"/>
      <w:r w:rsidR="00F46DFB" w:rsidRPr="00DD39EE">
        <w:rPr>
          <w:sz w:val="24"/>
          <w:szCs w:val="24"/>
        </w:rPr>
        <w:t xml:space="preserve"> Mangan </w:t>
      </w:r>
      <w:r w:rsidR="00F46DFB">
        <w:rPr>
          <w:sz w:val="24"/>
          <w:szCs w:val="24"/>
        </w:rPr>
        <w:t xml:space="preserve">(Chairperson), </w:t>
      </w:r>
      <w:r w:rsidR="00E13263">
        <w:rPr>
          <w:sz w:val="24"/>
          <w:szCs w:val="24"/>
        </w:rPr>
        <w:t xml:space="preserve">John Saunders, Nicola Walshe, </w:t>
      </w:r>
      <w:proofErr w:type="spellStart"/>
      <w:r w:rsidR="00E13263">
        <w:rPr>
          <w:sz w:val="24"/>
          <w:szCs w:val="24"/>
        </w:rPr>
        <w:t>Cearbhall</w:t>
      </w:r>
      <w:proofErr w:type="spellEnd"/>
      <w:r w:rsidR="00E13263">
        <w:rPr>
          <w:sz w:val="24"/>
          <w:szCs w:val="24"/>
        </w:rPr>
        <w:t xml:space="preserve"> O </w:t>
      </w:r>
      <w:proofErr w:type="spellStart"/>
      <w:r w:rsidR="00E13263">
        <w:rPr>
          <w:sz w:val="24"/>
          <w:szCs w:val="24"/>
        </w:rPr>
        <w:t>Meadhra</w:t>
      </w:r>
      <w:proofErr w:type="spellEnd"/>
      <w:r w:rsidR="00E13263">
        <w:rPr>
          <w:sz w:val="24"/>
          <w:szCs w:val="24"/>
        </w:rPr>
        <w:t xml:space="preserve">, Mary Doyle, </w:t>
      </w:r>
      <w:proofErr w:type="spellStart"/>
      <w:r w:rsidR="00E13263">
        <w:rPr>
          <w:sz w:val="24"/>
          <w:szCs w:val="24"/>
        </w:rPr>
        <w:t>Seán</w:t>
      </w:r>
      <w:proofErr w:type="spellEnd"/>
      <w:r w:rsidR="00E13263">
        <w:rPr>
          <w:sz w:val="24"/>
          <w:szCs w:val="24"/>
        </w:rPr>
        <w:t xml:space="preserve"> Sheridan, Joanne McCarthy, Mary Higgins, Tina Leonard</w:t>
      </w:r>
    </w:p>
    <w:p w14:paraId="447D4E12" w14:textId="77777777" w:rsidR="004C5F09" w:rsidRDefault="004C5F09" w:rsidP="006B42A1">
      <w:pPr>
        <w:rPr>
          <w:sz w:val="24"/>
          <w:szCs w:val="24"/>
        </w:rPr>
      </w:pPr>
    </w:p>
    <w:p w14:paraId="38855F08" w14:textId="59AF431D" w:rsidR="00BC5F58" w:rsidRPr="006B42A1" w:rsidRDefault="00BC5F58" w:rsidP="009C0653">
      <w:pPr>
        <w:rPr>
          <w:sz w:val="24"/>
          <w:szCs w:val="24"/>
        </w:rPr>
      </w:pPr>
      <w:r w:rsidRPr="00BC5F58">
        <w:rPr>
          <w:b/>
          <w:sz w:val="24"/>
          <w:szCs w:val="24"/>
        </w:rPr>
        <w:t>Apologies:</w:t>
      </w:r>
      <w:r w:rsidR="006E6347">
        <w:rPr>
          <w:b/>
          <w:sz w:val="24"/>
          <w:szCs w:val="24"/>
        </w:rPr>
        <w:t xml:space="preserve"> </w:t>
      </w:r>
      <w:r w:rsidR="006B316D">
        <w:rPr>
          <w:sz w:val="24"/>
          <w:szCs w:val="24"/>
        </w:rPr>
        <w:t>Niall Mulligan</w:t>
      </w:r>
      <w:r w:rsidR="00E13263">
        <w:rPr>
          <w:sz w:val="24"/>
          <w:szCs w:val="24"/>
        </w:rPr>
        <w:t>, Tim Duggan, James Clarke, Eilis Barry, Ian Power, Josephine Henry</w:t>
      </w:r>
    </w:p>
    <w:p w14:paraId="6F9B8F85" w14:textId="77777777" w:rsidR="00BC5F58" w:rsidRDefault="00BC5F58">
      <w:pPr>
        <w:rPr>
          <w:sz w:val="24"/>
          <w:szCs w:val="24"/>
        </w:rPr>
      </w:pPr>
    </w:p>
    <w:p w14:paraId="3DDDC472" w14:textId="7BA5E800" w:rsidR="00167268" w:rsidRPr="008421E1" w:rsidRDefault="00167268" w:rsidP="00D14786">
      <w:pPr>
        <w:spacing w:after="360"/>
        <w:rPr>
          <w:i/>
          <w:sz w:val="24"/>
          <w:szCs w:val="24"/>
        </w:rPr>
      </w:pPr>
      <w:r w:rsidRPr="00DD39EE">
        <w:rPr>
          <w:b/>
          <w:sz w:val="24"/>
          <w:szCs w:val="24"/>
        </w:rPr>
        <w:t>In attendance:</w:t>
      </w:r>
      <w:r w:rsidR="006E6347">
        <w:rPr>
          <w:sz w:val="24"/>
          <w:szCs w:val="24"/>
        </w:rPr>
        <w:t xml:space="preserve"> </w:t>
      </w:r>
      <w:r w:rsidR="004C5F09">
        <w:rPr>
          <w:sz w:val="24"/>
          <w:szCs w:val="24"/>
        </w:rPr>
        <w:t xml:space="preserve">Angela Black, Chief Executive; Fiona Coyne, </w:t>
      </w:r>
      <w:r w:rsidR="00C12ABB">
        <w:rPr>
          <w:sz w:val="24"/>
          <w:szCs w:val="24"/>
        </w:rPr>
        <w:t xml:space="preserve">Adrian O’Connor, Gráinne Griffin, </w:t>
      </w:r>
      <w:r w:rsidRPr="00DD39EE">
        <w:rPr>
          <w:sz w:val="24"/>
          <w:szCs w:val="24"/>
        </w:rPr>
        <w:t>Graham Long</w:t>
      </w:r>
      <w:r w:rsidR="003A1B08">
        <w:rPr>
          <w:sz w:val="24"/>
          <w:szCs w:val="24"/>
        </w:rPr>
        <w:t xml:space="preserve"> (also taking minutes)</w:t>
      </w:r>
      <w:r w:rsidR="00FA7C79">
        <w:rPr>
          <w:sz w:val="24"/>
          <w:szCs w:val="24"/>
        </w:rPr>
        <w:t>;</w:t>
      </w:r>
      <w:r w:rsidRPr="00DD39EE">
        <w:rPr>
          <w:sz w:val="24"/>
          <w:szCs w:val="24"/>
        </w:rPr>
        <w:t xml:space="preserve"> </w:t>
      </w:r>
      <w:r w:rsidR="006B42A1">
        <w:rPr>
          <w:sz w:val="24"/>
          <w:szCs w:val="24"/>
        </w:rPr>
        <w:t>Gary Watters, Finance and Administration Manager</w:t>
      </w:r>
    </w:p>
    <w:p w14:paraId="7FC62F3D" w14:textId="77777777" w:rsidR="00167268" w:rsidRPr="00DD39EE" w:rsidRDefault="00167268" w:rsidP="00167268">
      <w:pPr>
        <w:jc w:val="center"/>
        <w:rPr>
          <w:b/>
          <w:sz w:val="24"/>
          <w:szCs w:val="24"/>
        </w:rPr>
      </w:pPr>
      <w:r w:rsidRPr="00DD39EE">
        <w:rPr>
          <w:b/>
          <w:sz w:val="24"/>
          <w:szCs w:val="24"/>
        </w:rPr>
        <w:t>Minutes</w:t>
      </w:r>
    </w:p>
    <w:p w14:paraId="710F3197" w14:textId="77777777" w:rsidR="00920F0A" w:rsidRDefault="00920F0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Table Heading"/>
        <w:tblDescription w:val="Table Heading for the minutes and contains item number and the agenda description for the minutes."/>
      </w:tblPr>
      <w:tblGrid>
        <w:gridCol w:w="823"/>
        <w:gridCol w:w="8193"/>
      </w:tblGrid>
      <w:tr w:rsidR="00AB3160" w:rsidRPr="00BA3BCF" w14:paraId="2B62CB24" w14:textId="77777777" w:rsidTr="00862DF3">
        <w:tc>
          <w:tcPr>
            <w:tcW w:w="823" w:type="dxa"/>
            <w:tcBorders>
              <w:bottom w:val="dotted" w:sz="4" w:space="0" w:color="auto"/>
            </w:tcBorders>
          </w:tcPr>
          <w:p w14:paraId="4AFC8C88" w14:textId="77777777" w:rsidR="00AB3160" w:rsidRPr="00F27F25" w:rsidRDefault="00AB3160" w:rsidP="00F02FA8">
            <w:pPr>
              <w:rPr>
                <w:b/>
                <w:sz w:val="24"/>
                <w:szCs w:val="24"/>
              </w:rPr>
            </w:pPr>
            <w:r w:rsidRPr="00F27F25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193" w:type="dxa"/>
            <w:tcBorders>
              <w:bottom w:val="dotted" w:sz="4" w:space="0" w:color="auto"/>
            </w:tcBorders>
          </w:tcPr>
          <w:p w14:paraId="55A80F60" w14:textId="59EF7679" w:rsidR="00AB3160" w:rsidRPr="00F27F25" w:rsidRDefault="000F3B00" w:rsidP="00F02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D</w:t>
            </w:r>
            <w:r w:rsidR="00AB3160" w:rsidRPr="00F27F25">
              <w:rPr>
                <w:b/>
                <w:sz w:val="24"/>
                <w:szCs w:val="24"/>
              </w:rPr>
              <w:t>escription</w:t>
            </w:r>
          </w:p>
        </w:tc>
      </w:tr>
      <w:tr w:rsidR="0037191C" w:rsidRPr="00DD39EE" w14:paraId="576D4A49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45F6D640" w14:textId="0DBF93DD" w:rsidR="0037191C" w:rsidRPr="00F27F25" w:rsidRDefault="006E6347" w:rsidP="00770B98">
            <w:pPr>
              <w:rPr>
                <w:b/>
                <w:sz w:val="24"/>
                <w:szCs w:val="24"/>
              </w:rPr>
            </w:pPr>
            <w:r w:rsidRPr="00F27F2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19CC8DEC" w14:textId="6FBBD18D" w:rsidR="006E6347" w:rsidRPr="00F27F25" w:rsidRDefault="000F3B00" w:rsidP="00A25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Various M</w:t>
            </w:r>
            <w:r w:rsidR="00A25066" w:rsidRPr="00F27F25">
              <w:rPr>
                <w:b/>
                <w:sz w:val="24"/>
                <w:szCs w:val="24"/>
              </w:rPr>
              <w:t>atters</w:t>
            </w:r>
          </w:p>
        </w:tc>
      </w:tr>
      <w:tr w:rsidR="008B03A4" w:rsidRPr="00DD39EE" w14:paraId="2A37C8AB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56DCF9E8" w14:textId="3B21E8B1" w:rsidR="008B03A4" w:rsidRPr="00F27F25" w:rsidRDefault="00BD1873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766C0CE6" w14:textId="310D037A" w:rsidR="008B03A4" w:rsidRPr="00F27F25" w:rsidRDefault="008B03A4" w:rsidP="00A25066">
            <w:pPr>
              <w:rPr>
                <w:sz w:val="24"/>
                <w:szCs w:val="24"/>
                <w:u w:val="single"/>
              </w:rPr>
            </w:pPr>
            <w:r w:rsidRPr="00F27F25">
              <w:rPr>
                <w:sz w:val="24"/>
                <w:szCs w:val="24"/>
                <w:u w:val="single"/>
              </w:rPr>
              <w:t xml:space="preserve">Declaration of </w:t>
            </w:r>
            <w:r w:rsidR="00FC6842">
              <w:rPr>
                <w:sz w:val="24"/>
                <w:szCs w:val="24"/>
                <w:u w:val="single"/>
              </w:rPr>
              <w:t>I</w:t>
            </w:r>
            <w:r w:rsidRPr="00F27F25">
              <w:rPr>
                <w:sz w:val="24"/>
                <w:szCs w:val="24"/>
                <w:u w:val="single"/>
              </w:rPr>
              <w:t>nterests</w:t>
            </w:r>
          </w:p>
        </w:tc>
      </w:tr>
      <w:tr w:rsidR="00A25066" w:rsidRPr="00DD39EE" w14:paraId="3CC3AD30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3D52EF09" w14:textId="40BDEAFB" w:rsidR="00A25066" w:rsidRPr="00F27F25" w:rsidRDefault="00235143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BD1873">
              <w:rPr>
                <w:sz w:val="24"/>
                <w:szCs w:val="24"/>
              </w:rPr>
              <w:t>1</w:t>
            </w:r>
            <w:r w:rsidR="008B03A4" w:rsidRPr="00F27F25">
              <w:rPr>
                <w:sz w:val="24"/>
                <w:szCs w:val="24"/>
              </w:rPr>
              <w:t>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31A908CF" w14:textId="77D2A71D" w:rsidR="00A25066" w:rsidRPr="00F27F25" w:rsidRDefault="00235143" w:rsidP="00791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Chair</w:t>
            </w:r>
            <w:r w:rsidR="00A25066" w:rsidRPr="00F27F25">
              <w:rPr>
                <w:sz w:val="24"/>
                <w:szCs w:val="24"/>
              </w:rPr>
              <w:t xml:space="preserve"> invited Board members to</w:t>
            </w:r>
            <w:r w:rsidR="007F5362">
              <w:rPr>
                <w:sz w:val="24"/>
                <w:szCs w:val="24"/>
              </w:rPr>
              <w:t xml:space="preserve"> declare any relevant interests. </w:t>
            </w:r>
            <w:r w:rsidR="006B316D">
              <w:rPr>
                <w:sz w:val="24"/>
                <w:szCs w:val="24"/>
              </w:rPr>
              <w:t>An interest had previously been declared to the Chair by James Clarke in relation to the review of MABS National Development</w:t>
            </w:r>
            <w:r w:rsidR="00174125">
              <w:rPr>
                <w:sz w:val="24"/>
                <w:szCs w:val="24"/>
              </w:rPr>
              <w:t xml:space="preserve"> (</w:t>
            </w:r>
            <w:proofErr w:type="spellStart"/>
            <w:r w:rsidR="00174125">
              <w:rPr>
                <w:sz w:val="24"/>
                <w:szCs w:val="24"/>
              </w:rPr>
              <w:t>MABSnd</w:t>
            </w:r>
            <w:proofErr w:type="spellEnd"/>
            <w:r w:rsidR="00174125">
              <w:rPr>
                <w:sz w:val="24"/>
                <w:szCs w:val="24"/>
              </w:rPr>
              <w:t>)</w:t>
            </w:r>
            <w:r w:rsidR="006B316D">
              <w:rPr>
                <w:sz w:val="24"/>
                <w:szCs w:val="24"/>
              </w:rPr>
              <w:t>. It was agreed that this item would be taken first</w:t>
            </w:r>
            <w:r w:rsidR="00480048">
              <w:rPr>
                <w:sz w:val="24"/>
                <w:szCs w:val="24"/>
              </w:rPr>
              <w:t>.</w:t>
            </w:r>
          </w:p>
        </w:tc>
      </w:tr>
      <w:tr w:rsidR="00480048" w:rsidRPr="00DD39EE" w14:paraId="3896BC84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1B950716" w14:textId="36C49CFE" w:rsidR="00480048" w:rsidRPr="00480048" w:rsidRDefault="00480048" w:rsidP="00A25066">
            <w:pPr>
              <w:rPr>
                <w:b/>
                <w:sz w:val="24"/>
                <w:szCs w:val="24"/>
              </w:rPr>
            </w:pPr>
            <w:r w:rsidRPr="004800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3F3D9555" w14:textId="1EB459F6" w:rsidR="00480048" w:rsidRPr="00480048" w:rsidRDefault="00FF2674" w:rsidP="007915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Review of </w:t>
            </w:r>
            <w:proofErr w:type="spellStart"/>
            <w:r>
              <w:rPr>
                <w:b/>
                <w:sz w:val="24"/>
                <w:szCs w:val="24"/>
              </w:rPr>
              <w:t>MABS</w:t>
            </w:r>
            <w:r w:rsidR="00174125">
              <w:rPr>
                <w:b/>
                <w:sz w:val="24"/>
                <w:szCs w:val="24"/>
              </w:rPr>
              <w:t>nd</w:t>
            </w:r>
            <w:proofErr w:type="spellEnd"/>
          </w:p>
        </w:tc>
      </w:tr>
      <w:tr w:rsidR="00480048" w:rsidRPr="00DD39EE" w14:paraId="206FE45D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10629F2D" w14:textId="2F4C4613" w:rsidR="00480048" w:rsidRDefault="00480048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32812B89" w14:textId="0DE3EE16" w:rsidR="00480048" w:rsidRDefault="00E13263" w:rsidP="00791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Consultants from Persuasion continue with the process of reviewing </w:t>
            </w:r>
            <w:proofErr w:type="spellStart"/>
            <w:r>
              <w:rPr>
                <w:sz w:val="24"/>
                <w:szCs w:val="24"/>
              </w:rPr>
              <w:t>MABSnd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55502">
              <w:rPr>
                <w:sz w:val="24"/>
                <w:szCs w:val="24"/>
              </w:rPr>
              <w:t xml:space="preserve">The consultants have </w:t>
            </w:r>
            <w:proofErr w:type="gramStart"/>
            <w:r w:rsidR="00055502">
              <w:rPr>
                <w:sz w:val="24"/>
                <w:szCs w:val="24"/>
              </w:rPr>
              <w:t>a number of</w:t>
            </w:r>
            <w:proofErr w:type="gramEnd"/>
            <w:r w:rsidR="00055502">
              <w:rPr>
                <w:sz w:val="24"/>
                <w:szCs w:val="24"/>
              </w:rPr>
              <w:t xml:space="preserve"> meetings scheduled, including</w:t>
            </w:r>
            <w:r>
              <w:rPr>
                <w:sz w:val="24"/>
                <w:szCs w:val="24"/>
              </w:rPr>
              <w:t xml:space="preserve"> with the Chair and Secretary of </w:t>
            </w:r>
            <w:proofErr w:type="spellStart"/>
            <w:r>
              <w:rPr>
                <w:sz w:val="24"/>
                <w:szCs w:val="24"/>
              </w:rPr>
              <w:t>MABSnd</w:t>
            </w:r>
            <w:proofErr w:type="spellEnd"/>
            <w:r>
              <w:rPr>
                <w:sz w:val="24"/>
                <w:szCs w:val="24"/>
              </w:rPr>
              <w:t xml:space="preserve">, with </w:t>
            </w:r>
            <w:r w:rsidR="00055502">
              <w:rPr>
                <w:sz w:val="24"/>
                <w:szCs w:val="24"/>
              </w:rPr>
              <w:t xml:space="preserve">MABS </w:t>
            </w:r>
            <w:r>
              <w:rPr>
                <w:sz w:val="24"/>
                <w:szCs w:val="24"/>
              </w:rPr>
              <w:t xml:space="preserve">Regional Managers and </w:t>
            </w:r>
            <w:r w:rsidR="00055502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>staff members of CIB. A request has been made to meet with</w:t>
            </w:r>
            <w:r w:rsidR="0099576F">
              <w:rPr>
                <w:sz w:val="24"/>
                <w:szCs w:val="24"/>
              </w:rPr>
              <w:t xml:space="preserve"> staff members and with</w:t>
            </w:r>
            <w:r>
              <w:rPr>
                <w:sz w:val="24"/>
                <w:szCs w:val="24"/>
              </w:rPr>
              <w:t xml:space="preserve"> the full board of </w:t>
            </w:r>
            <w:proofErr w:type="spellStart"/>
            <w:r>
              <w:rPr>
                <w:sz w:val="24"/>
                <w:szCs w:val="24"/>
              </w:rPr>
              <w:t>MABSnd</w:t>
            </w:r>
            <w:proofErr w:type="spellEnd"/>
            <w:r>
              <w:rPr>
                <w:sz w:val="24"/>
                <w:szCs w:val="24"/>
              </w:rPr>
              <w:t>. It is expected that the review will be complete in early January.</w:t>
            </w:r>
          </w:p>
        </w:tc>
      </w:tr>
      <w:tr w:rsidR="00A25066" w:rsidRPr="00DD39EE" w14:paraId="34EC4D27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0817E1D3" w14:textId="599220B9" w:rsidR="00A25066" w:rsidRPr="00F27F25" w:rsidRDefault="00F5163D" w:rsidP="00A25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173F028B" w14:textId="53B00E16" w:rsidR="00A25066" w:rsidRPr="00F27F25" w:rsidRDefault="000F3B00" w:rsidP="007915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 of Previous M</w:t>
            </w:r>
            <w:r w:rsidR="00A25066" w:rsidRPr="00F27F25">
              <w:rPr>
                <w:b/>
                <w:sz w:val="24"/>
                <w:szCs w:val="24"/>
              </w:rPr>
              <w:t xml:space="preserve">eeting </w:t>
            </w:r>
          </w:p>
          <w:p w14:paraId="67514C63" w14:textId="2FB6616F" w:rsidR="00A25066" w:rsidRPr="00F27F25" w:rsidRDefault="00A25066" w:rsidP="007915D4">
            <w:pPr>
              <w:jc w:val="both"/>
              <w:rPr>
                <w:i/>
                <w:sz w:val="24"/>
                <w:szCs w:val="24"/>
              </w:rPr>
            </w:pPr>
            <w:r w:rsidRPr="00F27F25">
              <w:rPr>
                <w:i/>
                <w:sz w:val="24"/>
                <w:szCs w:val="24"/>
              </w:rPr>
              <w:t xml:space="preserve">(The minutes of the Board meeting held on </w:t>
            </w:r>
            <w:r w:rsidR="00F67FA5">
              <w:rPr>
                <w:i/>
                <w:sz w:val="24"/>
                <w:szCs w:val="24"/>
              </w:rPr>
              <w:t xml:space="preserve">Wednesday, </w:t>
            </w:r>
            <w:r w:rsidR="00E13263">
              <w:rPr>
                <w:i/>
                <w:sz w:val="24"/>
                <w:szCs w:val="24"/>
              </w:rPr>
              <w:t>14 November</w:t>
            </w:r>
            <w:r w:rsidR="000D6E84" w:rsidRPr="00F27F25">
              <w:rPr>
                <w:i/>
                <w:sz w:val="24"/>
                <w:szCs w:val="24"/>
              </w:rPr>
              <w:t xml:space="preserve"> 2018</w:t>
            </w:r>
            <w:r w:rsidRPr="00F27F25">
              <w:rPr>
                <w:i/>
                <w:sz w:val="24"/>
                <w:szCs w:val="24"/>
              </w:rPr>
              <w:t xml:space="preserve"> were circulated in advance of the meeting.)</w:t>
            </w:r>
          </w:p>
        </w:tc>
      </w:tr>
      <w:tr w:rsidR="00A25066" w:rsidRPr="00DD39EE" w14:paraId="582B4A46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6858AD2E" w14:textId="16DCD10E" w:rsidR="00A25066" w:rsidRPr="00DD39EE" w:rsidRDefault="00F5163D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5066" w:rsidRPr="00DD39EE">
              <w:rPr>
                <w:sz w:val="24"/>
                <w:szCs w:val="24"/>
              </w:rPr>
              <w:t>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2CF899A6" w14:textId="6AEFE156" w:rsidR="00A25066" w:rsidRPr="00AA2BF2" w:rsidRDefault="00A25066" w:rsidP="00791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minutes were proposed by </w:t>
            </w:r>
            <w:proofErr w:type="spellStart"/>
            <w:r w:rsidR="00E13263">
              <w:rPr>
                <w:sz w:val="24"/>
                <w:szCs w:val="24"/>
              </w:rPr>
              <w:t>Cearbhall</w:t>
            </w:r>
            <w:proofErr w:type="spellEnd"/>
            <w:r w:rsidR="00E13263">
              <w:rPr>
                <w:sz w:val="24"/>
                <w:szCs w:val="24"/>
              </w:rPr>
              <w:t xml:space="preserve"> O </w:t>
            </w:r>
            <w:proofErr w:type="spellStart"/>
            <w:r w:rsidR="00E13263">
              <w:rPr>
                <w:sz w:val="24"/>
                <w:szCs w:val="24"/>
              </w:rPr>
              <w:t>Meadhra</w:t>
            </w:r>
            <w:proofErr w:type="spellEnd"/>
            <w:r w:rsidR="00874F41">
              <w:rPr>
                <w:sz w:val="24"/>
                <w:szCs w:val="24"/>
              </w:rPr>
              <w:t xml:space="preserve"> and seconded by </w:t>
            </w:r>
            <w:r w:rsidR="00E13263">
              <w:rPr>
                <w:sz w:val="24"/>
                <w:szCs w:val="24"/>
              </w:rPr>
              <w:t>John Saunders</w:t>
            </w:r>
            <w:r>
              <w:rPr>
                <w:sz w:val="24"/>
                <w:szCs w:val="24"/>
              </w:rPr>
              <w:t>.</w:t>
            </w:r>
          </w:p>
        </w:tc>
      </w:tr>
      <w:tr w:rsidR="00A25066" w:rsidRPr="00E767AF" w14:paraId="64E85B78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48227B1F" w14:textId="19E058E2" w:rsidR="00A25066" w:rsidRPr="00E767AF" w:rsidRDefault="00BD1873" w:rsidP="00A25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6DDA25C8" w14:textId="436CF35E" w:rsidR="000F3B00" w:rsidRPr="0047377A" w:rsidRDefault="0047377A" w:rsidP="0047377A">
            <w:pPr>
              <w:tabs>
                <w:tab w:val="left" w:pos="282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Post </w:t>
            </w:r>
            <w:r w:rsidR="008A03F1">
              <w:rPr>
                <w:b/>
                <w:sz w:val="24"/>
                <w:szCs w:val="24"/>
              </w:rPr>
              <w:t xml:space="preserve">Restructuring </w:t>
            </w:r>
            <w:r w:rsidR="000F3B00">
              <w:rPr>
                <w:b/>
                <w:sz w:val="24"/>
                <w:szCs w:val="24"/>
              </w:rPr>
              <w:t>U</w:t>
            </w:r>
            <w:r w:rsidR="00A25066">
              <w:rPr>
                <w:b/>
                <w:sz w:val="24"/>
                <w:szCs w:val="24"/>
              </w:rPr>
              <w:t>pdate</w:t>
            </w:r>
          </w:p>
        </w:tc>
      </w:tr>
      <w:tr w:rsidR="00A25066" w:rsidRPr="00DD39EE" w14:paraId="66C96FDB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410A0780" w14:textId="7E9125DB" w:rsidR="00A25066" w:rsidRDefault="00BD1873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5066">
              <w:rPr>
                <w:sz w:val="24"/>
                <w:szCs w:val="24"/>
              </w:rPr>
              <w:t>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38CE8B79" w14:textId="685AE201" w:rsidR="00A25066" w:rsidRPr="00AA2BF2" w:rsidRDefault="0047377A" w:rsidP="007915D4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update on projects following the restructuring process was provided</w:t>
            </w:r>
            <w:r w:rsidR="00033A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One of the larger projects arising is the transfer of occup</w:t>
            </w:r>
            <w:r w:rsidR="00B61796">
              <w:rPr>
                <w:sz w:val="24"/>
                <w:szCs w:val="24"/>
              </w:rPr>
              <w:t>ational pension schemes. As the transfers are</w:t>
            </w:r>
            <w:r>
              <w:rPr>
                <w:sz w:val="24"/>
                <w:szCs w:val="24"/>
              </w:rPr>
              <w:t xml:space="preserve"> completed, a parallel project will be run to put in place trustee </w:t>
            </w:r>
            <w:r w:rsidR="00B61796">
              <w:rPr>
                <w:sz w:val="24"/>
                <w:szCs w:val="24"/>
              </w:rPr>
              <w:t>arrangements</w:t>
            </w:r>
            <w:r>
              <w:rPr>
                <w:sz w:val="24"/>
                <w:szCs w:val="24"/>
              </w:rPr>
              <w:t xml:space="preserve"> and independent advice in relation to the consolidation of schemes.</w:t>
            </w:r>
            <w:r w:rsidR="00033AB1">
              <w:rPr>
                <w:sz w:val="24"/>
                <w:szCs w:val="24"/>
              </w:rPr>
              <w:t xml:space="preserve"> </w:t>
            </w:r>
          </w:p>
        </w:tc>
      </w:tr>
      <w:tr w:rsidR="000E7D48" w:rsidRPr="00DD39EE" w14:paraId="17B07974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1BCC7FFE" w14:textId="26D9AB36" w:rsidR="000E7D48" w:rsidRPr="00D97609" w:rsidRDefault="00BD1873" w:rsidP="00A25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0F57003A" w14:textId="45AC10BA" w:rsidR="000E7D48" w:rsidRPr="00D97609" w:rsidRDefault="000F3B00" w:rsidP="00A25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 M</w:t>
            </w:r>
            <w:r w:rsidR="00EA400B" w:rsidRPr="00D97609">
              <w:rPr>
                <w:b/>
                <w:sz w:val="24"/>
                <w:szCs w:val="24"/>
              </w:rPr>
              <w:t>atters</w:t>
            </w:r>
          </w:p>
        </w:tc>
      </w:tr>
      <w:tr w:rsidR="00B61796" w:rsidRPr="00DD39EE" w14:paraId="7A22271F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5C43BCF1" w14:textId="4A2836E9" w:rsidR="00B61796" w:rsidRDefault="00BD1873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2DB454B3" w14:textId="1BFC183B" w:rsidR="00B61796" w:rsidRPr="000F4B96" w:rsidRDefault="00BD545F" w:rsidP="00A2506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Final </w:t>
            </w:r>
            <w:r w:rsidR="00B61796">
              <w:rPr>
                <w:sz w:val="24"/>
                <w:szCs w:val="24"/>
                <w:u w:val="single"/>
              </w:rPr>
              <w:t>Budget Estimates</w:t>
            </w:r>
            <w:r>
              <w:rPr>
                <w:sz w:val="24"/>
                <w:szCs w:val="24"/>
                <w:u w:val="single"/>
              </w:rPr>
              <w:t xml:space="preserve"> 2019</w:t>
            </w:r>
          </w:p>
        </w:tc>
      </w:tr>
      <w:tr w:rsidR="00B61796" w:rsidRPr="00DD39EE" w14:paraId="4ED20265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06A4F11F" w14:textId="78F84121" w:rsidR="00B61796" w:rsidRDefault="00BD1873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1796">
              <w:rPr>
                <w:sz w:val="24"/>
                <w:szCs w:val="24"/>
              </w:rPr>
              <w:t>.1.1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00C2DE2D" w14:textId="35E3667E" w:rsidR="00B61796" w:rsidRPr="00B61796" w:rsidRDefault="00B61796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CIB </w:t>
            </w:r>
            <w:r w:rsidR="007E4490">
              <w:rPr>
                <w:sz w:val="24"/>
                <w:szCs w:val="24"/>
              </w:rPr>
              <w:t xml:space="preserve">has </w:t>
            </w:r>
            <w:r w:rsidR="00575178">
              <w:rPr>
                <w:sz w:val="24"/>
                <w:szCs w:val="24"/>
              </w:rPr>
              <w:t>been approved</w:t>
            </w:r>
            <w:r w:rsidR="007E4490">
              <w:rPr>
                <w:sz w:val="24"/>
                <w:szCs w:val="24"/>
              </w:rPr>
              <w:t xml:space="preserve"> funding of €59.26m from the </w:t>
            </w:r>
            <w:r w:rsidR="00D26449">
              <w:rPr>
                <w:sz w:val="24"/>
                <w:szCs w:val="24"/>
              </w:rPr>
              <w:t>Department of Employment Affairs and Social Protection (</w:t>
            </w:r>
            <w:r w:rsidR="007E4490">
              <w:rPr>
                <w:sz w:val="24"/>
                <w:szCs w:val="24"/>
              </w:rPr>
              <w:t>DEASP</w:t>
            </w:r>
            <w:r w:rsidR="00D26449">
              <w:rPr>
                <w:sz w:val="24"/>
                <w:szCs w:val="24"/>
              </w:rPr>
              <w:t>)</w:t>
            </w:r>
            <w:r w:rsidR="007E4490">
              <w:rPr>
                <w:sz w:val="24"/>
                <w:szCs w:val="24"/>
              </w:rPr>
              <w:t xml:space="preserve"> for 2019. This represents the full budget requested</w:t>
            </w:r>
            <w:r>
              <w:rPr>
                <w:sz w:val="24"/>
                <w:szCs w:val="24"/>
              </w:rPr>
              <w:t>, along with an additional €90,000 to cover pension lump sums. No carryover of surplus from 2018 will be allowed.</w:t>
            </w:r>
          </w:p>
        </w:tc>
      </w:tr>
      <w:tr w:rsidR="000F4B96" w:rsidRPr="00DD39EE" w14:paraId="0C1AAE28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66EC70BE" w14:textId="74566AC1" w:rsidR="000F4B96" w:rsidRDefault="00BD1873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17AE12FA" w14:textId="7F050E1C" w:rsidR="000F4B96" w:rsidRPr="000F4B96" w:rsidRDefault="000F4B96" w:rsidP="00A25066">
            <w:pPr>
              <w:rPr>
                <w:sz w:val="24"/>
                <w:szCs w:val="24"/>
                <w:u w:val="single"/>
              </w:rPr>
            </w:pPr>
            <w:r w:rsidRPr="000F4B96">
              <w:rPr>
                <w:sz w:val="24"/>
                <w:szCs w:val="24"/>
                <w:u w:val="single"/>
              </w:rPr>
              <w:t>Budget Monitoring</w:t>
            </w:r>
          </w:p>
        </w:tc>
      </w:tr>
      <w:tr w:rsidR="00EA400B" w:rsidRPr="00DD39EE" w14:paraId="4839A560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4DD04347" w14:textId="39234D2B" w:rsidR="00EA400B" w:rsidRDefault="00BD1873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  <w:r w:rsidR="000F4B9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49B1E20B" w14:textId="15239635" w:rsidR="00EA400B" w:rsidRDefault="00B4626F" w:rsidP="00791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055502">
              <w:rPr>
                <w:sz w:val="24"/>
                <w:szCs w:val="24"/>
              </w:rPr>
              <w:t>budget monitoring r</w:t>
            </w:r>
            <w:r w:rsidR="000A6C42" w:rsidRPr="000A6C42">
              <w:rPr>
                <w:sz w:val="24"/>
                <w:szCs w:val="24"/>
              </w:rPr>
              <w:t xml:space="preserve">eport </w:t>
            </w:r>
            <w:r>
              <w:rPr>
                <w:sz w:val="24"/>
                <w:szCs w:val="24"/>
              </w:rPr>
              <w:t xml:space="preserve">for </w:t>
            </w:r>
            <w:r w:rsidR="00B61796">
              <w:rPr>
                <w:sz w:val="24"/>
                <w:szCs w:val="24"/>
              </w:rPr>
              <w:t>November</w:t>
            </w:r>
            <w:r w:rsidR="000A6C42" w:rsidRPr="000A6C42">
              <w:rPr>
                <w:sz w:val="24"/>
                <w:szCs w:val="24"/>
              </w:rPr>
              <w:t xml:space="preserve"> 2018</w:t>
            </w:r>
            <w:r w:rsidR="002D2D5E">
              <w:rPr>
                <w:sz w:val="24"/>
                <w:szCs w:val="24"/>
              </w:rPr>
              <w:t xml:space="preserve"> </w:t>
            </w:r>
            <w:r w:rsidR="00B52129">
              <w:rPr>
                <w:sz w:val="24"/>
                <w:szCs w:val="24"/>
              </w:rPr>
              <w:t xml:space="preserve">showed </w:t>
            </w:r>
            <w:r w:rsidR="00D233F9" w:rsidRPr="00D233F9">
              <w:rPr>
                <w:sz w:val="24"/>
                <w:szCs w:val="24"/>
              </w:rPr>
              <w:t xml:space="preserve">overall excess of income over expenditure for the year to </w:t>
            </w:r>
            <w:r w:rsidR="00B61796">
              <w:rPr>
                <w:sz w:val="24"/>
                <w:szCs w:val="24"/>
              </w:rPr>
              <w:t>Novem</w:t>
            </w:r>
            <w:r w:rsidR="00033AB1">
              <w:rPr>
                <w:sz w:val="24"/>
                <w:szCs w:val="24"/>
              </w:rPr>
              <w:t>ber</w:t>
            </w:r>
            <w:r w:rsidR="00D233F9" w:rsidRPr="00D233F9">
              <w:rPr>
                <w:sz w:val="24"/>
                <w:szCs w:val="24"/>
              </w:rPr>
              <w:t xml:space="preserve"> </w:t>
            </w:r>
            <w:r w:rsidR="00D233F9">
              <w:rPr>
                <w:sz w:val="24"/>
                <w:szCs w:val="24"/>
              </w:rPr>
              <w:t>o</w:t>
            </w:r>
            <w:r w:rsidR="00D233F9" w:rsidRPr="001A35A3">
              <w:rPr>
                <w:sz w:val="24"/>
                <w:szCs w:val="24"/>
              </w:rPr>
              <w:t>f €</w:t>
            </w:r>
            <w:r w:rsidR="00540539">
              <w:rPr>
                <w:sz w:val="24"/>
                <w:szCs w:val="24"/>
              </w:rPr>
              <w:t>4,344,906</w:t>
            </w:r>
            <w:r w:rsidR="00AF7CFE">
              <w:rPr>
                <w:sz w:val="24"/>
                <w:szCs w:val="24"/>
              </w:rPr>
              <w:t xml:space="preserve">. </w:t>
            </w:r>
            <w:proofErr w:type="gramStart"/>
            <w:r w:rsidR="00AF7CFE">
              <w:rPr>
                <w:sz w:val="24"/>
                <w:szCs w:val="24"/>
              </w:rPr>
              <w:t>A number of</w:t>
            </w:r>
            <w:proofErr w:type="gramEnd"/>
            <w:r w:rsidR="00AF7CFE">
              <w:rPr>
                <w:sz w:val="24"/>
                <w:szCs w:val="24"/>
              </w:rPr>
              <w:t xml:space="preserve"> Q4 grants to service delivery companies have not been paid in full pending the receipt of financial returns and Service Level Agreements.</w:t>
            </w:r>
            <w:r w:rsidR="00B52129">
              <w:rPr>
                <w:sz w:val="24"/>
                <w:szCs w:val="24"/>
              </w:rPr>
              <w:t xml:space="preserve"> </w:t>
            </w:r>
          </w:p>
        </w:tc>
      </w:tr>
      <w:tr w:rsidR="00AF7CFE" w:rsidRPr="00DD39EE" w14:paraId="602E71EE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17C98AA1" w14:textId="5624FEC6" w:rsidR="00AF7CFE" w:rsidRDefault="00BD1873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29D80B18" w14:textId="65C6A2FF" w:rsidR="00AF7CFE" w:rsidRDefault="00AF7CFE" w:rsidP="00791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noted that </w:t>
            </w:r>
            <w:proofErr w:type="gramStart"/>
            <w:r>
              <w:rPr>
                <w:sz w:val="24"/>
                <w:szCs w:val="24"/>
              </w:rPr>
              <w:t>a number of</w:t>
            </w:r>
            <w:proofErr w:type="gramEnd"/>
            <w:r>
              <w:rPr>
                <w:sz w:val="24"/>
                <w:szCs w:val="24"/>
              </w:rPr>
              <w:t xml:space="preserve"> requests for approval for virements had been made recently. It was agreed by the Board that the Executive could </w:t>
            </w:r>
            <w:r w:rsidR="005258BC">
              <w:rPr>
                <w:sz w:val="24"/>
                <w:szCs w:val="24"/>
              </w:rPr>
              <w:t>approve</w:t>
            </w:r>
            <w:r>
              <w:rPr>
                <w:sz w:val="24"/>
                <w:szCs w:val="24"/>
              </w:rPr>
              <w:t xml:space="preserve"> virements with a limit of €50,000</w:t>
            </w:r>
            <w:r w:rsidR="00F139DE">
              <w:rPr>
                <w:sz w:val="24"/>
                <w:szCs w:val="24"/>
              </w:rPr>
              <w:t xml:space="preserve"> for any individual item</w:t>
            </w:r>
            <w:r>
              <w:rPr>
                <w:sz w:val="24"/>
                <w:szCs w:val="24"/>
              </w:rPr>
              <w:t>.</w:t>
            </w:r>
          </w:p>
        </w:tc>
      </w:tr>
      <w:tr w:rsidR="00D233F9" w:rsidRPr="00DD39EE" w14:paraId="62293D1D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1B6999C5" w14:textId="02EA4521" w:rsidR="00D233F9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3D3CD7A2" w14:textId="28EA975A" w:rsidR="00D233F9" w:rsidRDefault="00055502" w:rsidP="00D23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Risk Management: </w:t>
            </w:r>
            <w:r w:rsidR="00AF7CFE">
              <w:rPr>
                <w:sz w:val="24"/>
                <w:szCs w:val="24"/>
                <w:u w:val="single"/>
              </w:rPr>
              <w:t>Cyber Security Incident</w:t>
            </w:r>
          </w:p>
        </w:tc>
      </w:tr>
      <w:tr w:rsidR="00AF7CFE" w:rsidRPr="00DD39EE" w14:paraId="5804A31A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6DF1D1BB" w14:textId="5E2A64CA" w:rsidR="00AF7CFE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7107EC64" w14:textId="7F389FA7" w:rsidR="00AF7CFE" w:rsidRPr="00AF7CFE" w:rsidRDefault="00540539" w:rsidP="00D23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Data Protection Commission</w:t>
            </w:r>
            <w:r w:rsidR="00A77EC2">
              <w:rPr>
                <w:sz w:val="24"/>
                <w:szCs w:val="24"/>
              </w:rPr>
              <w:t xml:space="preserve"> closed the notification of the recent cyber security</w:t>
            </w:r>
            <w:r>
              <w:rPr>
                <w:sz w:val="24"/>
                <w:szCs w:val="24"/>
              </w:rPr>
              <w:t xml:space="preserve"> incident on 7 December. CIB continues to work on closing out the investigation and </w:t>
            </w:r>
            <w:r w:rsidR="00A77EC2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follow-up actions following the incident, as well as on enhanced security measures.</w:t>
            </w:r>
          </w:p>
        </w:tc>
      </w:tr>
      <w:tr w:rsidR="00AF7CFE" w:rsidRPr="00DD39EE" w14:paraId="6A10C32F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758BE627" w14:textId="2A73986E" w:rsidR="00AF7CFE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13096267" w14:textId="7AD97A2D" w:rsidR="00AF7CFE" w:rsidRPr="00D52809" w:rsidRDefault="00414329" w:rsidP="00D233F9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Risk </w:t>
            </w:r>
            <w:r w:rsidR="00BD545F">
              <w:rPr>
                <w:sz w:val="24"/>
                <w:szCs w:val="24"/>
                <w:u w:val="single"/>
              </w:rPr>
              <w:t xml:space="preserve">Register and Risk </w:t>
            </w:r>
            <w:r>
              <w:rPr>
                <w:sz w:val="24"/>
                <w:szCs w:val="24"/>
                <w:u w:val="single"/>
              </w:rPr>
              <w:t>Appetite</w:t>
            </w:r>
          </w:p>
        </w:tc>
      </w:tr>
      <w:tr w:rsidR="00D233F9" w:rsidRPr="00DD39EE" w14:paraId="68432B17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352AA1E9" w14:textId="72020CB0" w:rsidR="00D233F9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  <w:r w:rsidR="00D233F9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3F923D37" w14:textId="47824A95" w:rsidR="00D233F9" w:rsidRDefault="00E25B86" w:rsidP="00D23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Deloitte audit of CIB’s risk management processes has begun. It was agreed that the </w:t>
            </w:r>
            <w:r w:rsidR="006D7490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isk </w:t>
            </w:r>
            <w:r w:rsidR="006D7490">
              <w:rPr>
                <w:sz w:val="24"/>
                <w:szCs w:val="24"/>
              </w:rPr>
              <w:t>R</w:t>
            </w:r>
            <w:r w:rsidR="00BD545F">
              <w:rPr>
                <w:sz w:val="24"/>
                <w:szCs w:val="24"/>
              </w:rPr>
              <w:t>egister</w:t>
            </w:r>
            <w:r>
              <w:rPr>
                <w:sz w:val="24"/>
                <w:szCs w:val="24"/>
              </w:rPr>
              <w:t xml:space="preserve"> and risk appetite agenda items would be deferred to the next Board meeting. Deloitte’s report will also be considered at the next </w:t>
            </w:r>
            <w:r w:rsidR="00055502">
              <w:rPr>
                <w:sz w:val="24"/>
                <w:szCs w:val="24"/>
              </w:rPr>
              <w:t xml:space="preserve">meeting of the </w:t>
            </w:r>
            <w:r>
              <w:rPr>
                <w:sz w:val="24"/>
                <w:szCs w:val="24"/>
              </w:rPr>
              <w:t>Audit and Risk Committee.</w:t>
            </w:r>
          </w:p>
        </w:tc>
      </w:tr>
      <w:tr w:rsidR="00D233F9" w:rsidRPr="00DD39EE" w14:paraId="3CC6AE30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1AAB8774" w14:textId="3C346947" w:rsidR="00D233F9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41783CF1" w14:textId="4434A3A0" w:rsidR="00D233F9" w:rsidRPr="00AE7F4B" w:rsidRDefault="00D233F9" w:rsidP="00D233F9">
            <w:pPr>
              <w:jc w:val="both"/>
              <w:rPr>
                <w:sz w:val="24"/>
                <w:szCs w:val="24"/>
                <w:u w:val="single"/>
              </w:rPr>
            </w:pPr>
            <w:r w:rsidRPr="00AE7F4B">
              <w:rPr>
                <w:sz w:val="24"/>
                <w:szCs w:val="24"/>
                <w:u w:val="single"/>
              </w:rPr>
              <w:t>Procurement</w:t>
            </w:r>
          </w:p>
        </w:tc>
      </w:tr>
      <w:tr w:rsidR="00D233F9" w:rsidRPr="00DD39EE" w14:paraId="1F3DF631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76F9FD87" w14:textId="53011725" w:rsidR="00D233F9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78789A">
              <w:rPr>
                <w:sz w:val="24"/>
                <w:szCs w:val="24"/>
              </w:rPr>
              <w:t>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6F8011F6" w14:textId="7B8131B6" w:rsidR="00D233F9" w:rsidRDefault="00540539" w:rsidP="00D23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was given by the Board to commence procurement of Wide Area Network (WAN) connections through an </w:t>
            </w:r>
            <w:r w:rsidR="00A77EC2">
              <w:rPr>
                <w:sz w:val="24"/>
                <w:szCs w:val="24"/>
              </w:rPr>
              <w:t>Office of Government Procurement (</w:t>
            </w:r>
            <w:r>
              <w:rPr>
                <w:sz w:val="24"/>
                <w:szCs w:val="24"/>
              </w:rPr>
              <w:t>OGP</w:t>
            </w:r>
            <w:r w:rsidR="00A77EC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framework; to commence procurement of a telephony solution at </w:t>
            </w:r>
            <w:r w:rsidR="00A77EC2">
              <w:rPr>
                <w:sz w:val="24"/>
                <w:szCs w:val="24"/>
              </w:rPr>
              <w:t>Official Journal (</w:t>
            </w:r>
            <w:r>
              <w:rPr>
                <w:sz w:val="24"/>
                <w:szCs w:val="24"/>
              </w:rPr>
              <w:t>OJEU</w:t>
            </w:r>
            <w:r w:rsidR="00A77EC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level; </w:t>
            </w:r>
            <w:r w:rsidR="00055502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to extend an existing contract with Vodafone Ireland for 18 months pending the completion of the WAN and telephony procurement competitions.</w:t>
            </w:r>
          </w:p>
        </w:tc>
      </w:tr>
      <w:tr w:rsidR="00D233F9" w:rsidRPr="00E767AF" w14:paraId="6FF90365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32FECF86" w14:textId="0C33358B" w:rsidR="00D233F9" w:rsidRPr="00E767AF" w:rsidRDefault="00BD1873" w:rsidP="00D23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746C0B43" w14:textId="5CC78350" w:rsidR="00D233F9" w:rsidRPr="00AA2BF2" w:rsidRDefault="000F3B00" w:rsidP="00D233F9">
            <w:pPr>
              <w:tabs>
                <w:tab w:val="left" w:pos="282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 Meetings – U</w:t>
            </w:r>
            <w:r w:rsidR="00D233F9">
              <w:rPr>
                <w:b/>
                <w:sz w:val="24"/>
                <w:szCs w:val="24"/>
              </w:rPr>
              <w:t>pdate</w:t>
            </w:r>
          </w:p>
        </w:tc>
      </w:tr>
      <w:tr w:rsidR="00E25B86" w:rsidRPr="00DD39EE" w14:paraId="005182ED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71B7D3BC" w14:textId="2568D867" w:rsidR="00E25B86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3442C377" w14:textId="55F82FCF" w:rsidR="00E25B86" w:rsidRPr="00E25B86" w:rsidRDefault="00E25B86" w:rsidP="00D233F9">
            <w:pPr>
              <w:tabs>
                <w:tab w:val="left" w:pos="2822"/>
              </w:tabs>
              <w:jc w:val="both"/>
              <w:rPr>
                <w:sz w:val="24"/>
                <w:szCs w:val="24"/>
                <w:u w:val="single"/>
              </w:rPr>
            </w:pPr>
            <w:r w:rsidRPr="00E25B86">
              <w:rPr>
                <w:sz w:val="24"/>
                <w:szCs w:val="24"/>
                <w:u w:val="single"/>
              </w:rPr>
              <w:t>Finance Committee</w:t>
            </w:r>
          </w:p>
        </w:tc>
      </w:tr>
      <w:tr w:rsidR="00E25B86" w:rsidRPr="00DD39EE" w14:paraId="72005819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5670FABF" w14:textId="43760B4C" w:rsidR="00E25B86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4750635A" w14:textId="5A750FFB" w:rsidR="00E25B86" w:rsidRPr="00E25B86" w:rsidRDefault="00E25B86" w:rsidP="00D233F9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Finance Committee met on 21 November. The Committee discussed the October budget monitoring report, virements, internal audit, insurance costs and budget estimates for 2019. </w:t>
            </w:r>
            <w:r w:rsidR="00A77EC2">
              <w:rPr>
                <w:sz w:val="24"/>
                <w:szCs w:val="24"/>
              </w:rPr>
              <w:t>Updates to the financial policies and procedures following restructuring were also discussed.</w:t>
            </w:r>
          </w:p>
        </w:tc>
      </w:tr>
      <w:tr w:rsidR="00625B6E" w:rsidRPr="00DD39EE" w14:paraId="1F3C4717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5747E10E" w14:textId="3DCDB5CF" w:rsidR="00625B6E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7B91B0E5" w14:textId="0973F157" w:rsidR="00625B6E" w:rsidRPr="00625B6E" w:rsidRDefault="00625B6E" w:rsidP="00D233F9">
            <w:pPr>
              <w:tabs>
                <w:tab w:val="left" w:pos="2822"/>
              </w:tabs>
              <w:jc w:val="both"/>
              <w:rPr>
                <w:sz w:val="24"/>
                <w:szCs w:val="24"/>
                <w:u w:val="single"/>
              </w:rPr>
            </w:pPr>
            <w:r w:rsidRPr="00625B6E">
              <w:rPr>
                <w:sz w:val="24"/>
                <w:szCs w:val="24"/>
                <w:u w:val="single"/>
              </w:rPr>
              <w:t>Social Policy and Research Committee</w:t>
            </w:r>
          </w:p>
        </w:tc>
      </w:tr>
      <w:tr w:rsidR="00625B6E" w:rsidRPr="00DD39EE" w14:paraId="24CD5FC5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109EA3E0" w14:textId="25FD7DFF" w:rsidR="00625B6E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31019567" w14:textId="6560090C" w:rsidR="0072107B" w:rsidRDefault="00625B6E" w:rsidP="00D233F9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Draft Terms of Reference </w:t>
            </w:r>
            <w:r w:rsidR="0072107B">
              <w:rPr>
                <w:sz w:val="24"/>
                <w:szCs w:val="24"/>
              </w:rPr>
              <w:t>have been</w:t>
            </w:r>
            <w:r>
              <w:rPr>
                <w:sz w:val="24"/>
                <w:szCs w:val="24"/>
              </w:rPr>
              <w:t xml:space="preserve"> circulated to the Committee</w:t>
            </w:r>
            <w:r w:rsidR="0072107B">
              <w:rPr>
                <w:sz w:val="24"/>
                <w:szCs w:val="24"/>
              </w:rPr>
              <w:t xml:space="preserve"> and it is expected that </w:t>
            </w:r>
            <w:r w:rsidR="00D26449">
              <w:rPr>
                <w:sz w:val="24"/>
                <w:szCs w:val="24"/>
              </w:rPr>
              <w:t>a</w:t>
            </w:r>
            <w:r w:rsidR="0072107B">
              <w:rPr>
                <w:sz w:val="24"/>
                <w:szCs w:val="24"/>
              </w:rPr>
              <w:t xml:space="preserve"> draft will be circulated to the Board in March</w:t>
            </w:r>
            <w:r w:rsidR="00512E57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. </w:t>
            </w:r>
            <w:r w:rsidR="0072107B">
              <w:rPr>
                <w:sz w:val="24"/>
                <w:szCs w:val="24"/>
              </w:rPr>
              <w:t>The Social Policy and Research Committee met on 20 November for a facilitated discussion of the Committee’s roles and responsibilities. A report of the meeting will be presented at the Board meeting</w:t>
            </w:r>
            <w:r w:rsidR="00512E57">
              <w:rPr>
                <w:sz w:val="24"/>
                <w:szCs w:val="24"/>
              </w:rPr>
              <w:t xml:space="preserve"> in March 2019</w:t>
            </w:r>
            <w:r w:rsidR="0072107B">
              <w:rPr>
                <w:sz w:val="24"/>
                <w:szCs w:val="24"/>
              </w:rPr>
              <w:t>.</w:t>
            </w:r>
            <w:r w:rsidR="004E4F7E">
              <w:rPr>
                <w:sz w:val="24"/>
                <w:szCs w:val="24"/>
              </w:rPr>
              <w:t xml:space="preserve"> B</w:t>
            </w:r>
            <w:r w:rsidR="00512E57">
              <w:rPr>
                <w:sz w:val="24"/>
                <w:szCs w:val="24"/>
              </w:rPr>
              <w:t>rexit was also discussed at the November</w:t>
            </w:r>
            <w:r w:rsidR="004E4F7E">
              <w:rPr>
                <w:sz w:val="24"/>
                <w:szCs w:val="24"/>
              </w:rPr>
              <w:t xml:space="preserve"> meeting - it was noted that an Executive Summary of the UCD report on Brexit is currently being drafted and that it is planned to hold a seminar on the topic in UCD in 2019. A suggestion was made that there be a yearly social policy seminar and that social policy feature in each quarterly meeting between CIB and </w:t>
            </w:r>
            <w:r w:rsidR="00D26449">
              <w:rPr>
                <w:sz w:val="24"/>
                <w:szCs w:val="24"/>
              </w:rPr>
              <w:t>DEASP</w:t>
            </w:r>
            <w:r w:rsidR="004E4F7E">
              <w:rPr>
                <w:sz w:val="24"/>
                <w:szCs w:val="24"/>
              </w:rPr>
              <w:t>.</w:t>
            </w:r>
          </w:p>
        </w:tc>
      </w:tr>
      <w:tr w:rsidR="001D1F98" w:rsidRPr="00DD39EE" w14:paraId="645EE163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46A5B7D1" w14:textId="295F07EA" w:rsidR="001D1F98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163D">
              <w:rPr>
                <w:sz w:val="24"/>
                <w:szCs w:val="24"/>
              </w:rPr>
              <w:t>.3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5E89B7D9" w14:textId="21417F2E" w:rsidR="001D1F98" w:rsidRPr="001D1F98" w:rsidRDefault="001D1F98" w:rsidP="00D233F9">
            <w:pPr>
              <w:tabs>
                <w:tab w:val="left" w:pos="2822"/>
              </w:tabs>
              <w:jc w:val="both"/>
              <w:rPr>
                <w:sz w:val="24"/>
                <w:szCs w:val="24"/>
                <w:u w:val="single"/>
              </w:rPr>
            </w:pPr>
            <w:r w:rsidRPr="001D1F98">
              <w:rPr>
                <w:sz w:val="24"/>
                <w:szCs w:val="24"/>
                <w:u w:val="single"/>
              </w:rPr>
              <w:t>Strategy Group</w:t>
            </w:r>
          </w:p>
        </w:tc>
      </w:tr>
      <w:tr w:rsidR="001D1F98" w:rsidRPr="00DD39EE" w14:paraId="3112B49B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328E20D8" w14:textId="34007587" w:rsidR="001D1F98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163D">
              <w:rPr>
                <w:sz w:val="24"/>
                <w:szCs w:val="24"/>
              </w:rPr>
              <w:t>.3.1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118EDF21" w14:textId="05616865" w:rsidR="001D1F98" w:rsidRDefault="00540539" w:rsidP="00D233F9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Workshops were held on 19 and 20 November </w:t>
            </w:r>
            <w:r w:rsidR="004E4F7E">
              <w:rPr>
                <w:sz w:val="24"/>
                <w:szCs w:val="24"/>
              </w:rPr>
              <w:t xml:space="preserve">with staff from CIB and with managers and Chairs from </w:t>
            </w:r>
            <w:r w:rsidR="004D0F60">
              <w:rPr>
                <w:sz w:val="24"/>
                <w:szCs w:val="24"/>
              </w:rPr>
              <w:t xml:space="preserve">the service delivery companies. </w:t>
            </w:r>
            <w:r w:rsidR="004E4F7E">
              <w:rPr>
                <w:sz w:val="24"/>
                <w:szCs w:val="24"/>
              </w:rPr>
              <w:t xml:space="preserve">The Board agreed to hold a meeting exclusively on the strategy on 23 January 2019. </w:t>
            </w:r>
            <w:proofErr w:type="spellStart"/>
            <w:r w:rsidR="00860DC0">
              <w:rPr>
                <w:sz w:val="24"/>
                <w:szCs w:val="24"/>
              </w:rPr>
              <w:t>Seán</w:t>
            </w:r>
            <w:proofErr w:type="spellEnd"/>
            <w:r w:rsidR="00860DC0">
              <w:rPr>
                <w:sz w:val="24"/>
                <w:szCs w:val="24"/>
              </w:rPr>
              <w:t xml:space="preserve"> Sheridan and Adrian O’Connor were thanked for their work on the </w:t>
            </w:r>
            <w:r w:rsidR="00BA426C">
              <w:rPr>
                <w:sz w:val="24"/>
                <w:szCs w:val="24"/>
              </w:rPr>
              <w:t>development of the strategy</w:t>
            </w:r>
            <w:r w:rsidR="00860DC0">
              <w:rPr>
                <w:sz w:val="24"/>
                <w:szCs w:val="24"/>
              </w:rPr>
              <w:t xml:space="preserve"> to date.</w:t>
            </w:r>
            <w:r w:rsidR="004E4F7E">
              <w:rPr>
                <w:sz w:val="24"/>
                <w:szCs w:val="24"/>
              </w:rPr>
              <w:t xml:space="preserve"> </w:t>
            </w:r>
          </w:p>
        </w:tc>
      </w:tr>
      <w:tr w:rsidR="00D233F9" w:rsidRPr="00DD39EE" w14:paraId="2D93AAC0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6E675E09" w14:textId="7A3DCF8F" w:rsidR="00D233F9" w:rsidRPr="003809E1" w:rsidRDefault="00BD1873" w:rsidP="00D23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0E8F6147" w14:textId="75CCDA3D" w:rsidR="00D233F9" w:rsidRPr="00AA2BF2" w:rsidRDefault="00D233F9" w:rsidP="00D233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of the Chief Executive</w:t>
            </w:r>
          </w:p>
        </w:tc>
      </w:tr>
      <w:tr w:rsidR="00D233F9" w:rsidRPr="004D4CBB" w14:paraId="2AA286D0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135DD062" w14:textId="362AF5B0" w:rsidR="00D233F9" w:rsidRPr="004D4CBB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D233F9" w:rsidRPr="004D4CBB">
              <w:rPr>
                <w:sz w:val="24"/>
                <w:szCs w:val="24"/>
              </w:rPr>
              <w:t>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110FEA77" w14:textId="768CD407" w:rsidR="00D233F9" w:rsidRPr="004D4CBB" w:rsidRDefault="00D233F9" w:rsidP="00D233F9">
            <w:pPr>
              <w:jc w:val="both"/>
              <w:rPr>
                <w:sz w:val="24"/>
                <w:szCs w:val="24"/>
              </w:rPr>
            </w:pPr>
            <w:r w:rsidRPr="004D4CBB">
              <w:rPr>
                <w:sz w:val="24"/>
                <w:szCs w:val="24"/>
              </w:rPr>
              <w:t>The Report of the Chief Executive was iss</w:t>
            </w:r>
            <w:r w:rsidR="004D0F60">
              <w:rPr>
                <w:sz w:val="24"/>
                <w:szCs w:val="24"/>
              </w:rPr>
              <w:t xml:space="preserve">ued in advance of the meeting. The Chief Executive described her presentation to </w:t>
            </w:r>
            <w:r w:rsidR="00BA426C">
              <w:rPr>
                <w:sz w:val="24"/>
                <w:szCs w:val="24"/>
              </w:rPr>
              <w:t>the Department of Public Expenditure and Reform’s annual quality customer service conference</w:t>
            </w:r>
            <w:r w:rsidR="004D0F60">
              <w:rPr>
                <w:sz w:val="24"/>
                <w:szCs w:val="24"/>
              </w:rPr>
              <w:t>, covering</w:t>
            </w:r>
            <w:proofErr w:type="gramStart"/>
            <w:r w:rsidR="004D0F60">
              <w:rPr>
                <w:sz w:val="24"/>
                <w:szCs w:val="24"/>
              </w:rPr>
              <w:t>, in particular, how</w:t>
            </w:r>
            <w:proofErr w:type="gramEnd"/>
            <w:r w:rsidR="004D0F60">
              <w:rPr>
                <w:sz w:val="24"/>
                <w:szCs w:val="24"/>
              </w:rPr>
              <w:t xml:space="preserve"> </w:t>
            </w:r>
            <w:r w:rsidR="00E52D5B">
              <w:rPr>
                <w:sz w:val="24"/>
                <w:szCs w:val="24"/>
              </w:rPr>
              <w:t xml:space="preserve">user </w:t>
            </w:r>
            <w:r w:rsidR="004D0F60">
              <w:rPr>
                <w:sz w:val="24"/>
                <w:szCs w:val="24"/>
              </w:rPr>
              <w:t xml:space="preserve">statistics inform content development on the </w:t>
            </w:r>
            <w:r w:rsidR="000A3C5C">
              <w:rPr>
                <w:sz w:val="24"/>
                <w:szCs w:val="24"/>
              </w:rPr>
              <w:t>citizensinformation.ie website.</w:t>
            </w:r>
          </w:p>
        </w:tc>
      </w:tr>
      <w:tr w:rsidR="00D233F9" w:rsidRPr="00DC7CF8" w14:paraId="35D83FA6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0BC71786" w14:textId="21A34815" w:rsidR="00D233F9" w:rsidRPr="00DC7CF8" w:rsidRDefault="00BD1873" w:rsidP="00D23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6FDE14FE" w14:textId="29ED5A12" w:rsidR="00D233F9" w:rsidRPr="00DC7CF8" w:rsidRDefault="00D233F9" w:rsidP="00D233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HR </w:t>
            </w:r>
            <w:r w:rsidR="000F3B00">
              <w:rPr>
                <w:b/>
                <w:sz w:val="24"/>
                <w:szCs w:val="24"/>
              </w:rPr>
              <w:t>and Governance M</w:t>
            </w:r>
            <w:r w:rsidRPr="00DC7CF8">
              <w:rPr>
                <w:b/>
                <w:sz w:val="24"/>
                <w:szCs w:val="24"/>
              </w:rPr>
              <w:t>atters</w:t>
            </w:r>
          </w:p>
        </w:tc>
      </w:tr>
      <w:tr w:rsidR="00D233F9" w:rsidRPr="00DD39EE" w14:paraId="0D49D3FC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5ED606D4" w14:textId="182AE6E0" w:rsidR="00D233F9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33F9">
              <w:rPr>
                <w:sz w:val="24"/>
                <w:szCs w:val="24"/>
              </w:rPr>
              <w:t>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53D0D35F" w14:textId="3810B17C" w:rsidR="00D233F9" w:rsidRPr="008336F4" w:rsidRDefault="00D233F9" w:rsidP="00D233F9">
            <w:pPr>
              <w:jc w:val="both"/>
              <w:rPr>
                <w:sz w:val="24"/>
                <w:szCs w:val="24"/>
                <w:u w:val="single"/>
              </w:rPr>
            </w:pPr>
            <w:r w:rsidRPr="008336F4">
              <w:rPr>
                <w:sz w:val="24"/>
                <w:szCs w:val="24"/>
                <w:u w:val="single"/>
              </w:rPr>
              <w:t>Update on Staffing Matters</w:t>
            </w:r>
          </w:p>
        </w:tc>
      </w:tr>
      <w:tr w:rsidR="00D233F9" w:rsidRPr="00DD39EE" w14:paraId="534FA49E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01FA2577" w14:textId="71A8AEF8" w:rsidR="00D233F9" w:rsidRDefault="00BD1873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789A">
              <w:rPr>
                <w:sz w:val="24"/>
                <w:szCs w:val="24"/>
              </w:rPr>
              <w:t>.1.1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747BFAC1" w14:textId="00FB41F6" w:rsidR="00D233F9" w:rsidRDefault="00055502" w:rsidP="00D23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update was provided on the outcome of a recent </w:t>
            </w:r>
            <w:r w:rsidR="00F139DE">
              <w:rPr>
                <w:sz w:val="24"/>
                <w:szCs w:val="24"/>
              </w:rPr>
              <w:t xml:space="preserve">recruitment </w:t>
            </w:r>
            <w:r>
              <w:rPr>
                <w:sz w:val="24"/>
                <w:szCs w:val="24"/>
              </w:rPr>
              <w:t>competition</w:t>
            </w:r>
            <w:r w:rsidR="00F139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Sanction has been received from DEASP to fill </w:t>
            </w:r>
            <w:proofErr w:type="gramStart"/>
            <w:r>
              <w:rPr>
                <w:sz w:val="24"/>
                <w:szCs w:val="24"/>
              </w:rPr>
              <w:t>a number of</w:t>
            </w:r>
            <w:proofErr w:type="gramEnd"/>
            <w:r>
              <w:rPr>
                <w:sz w:val="24"/>
                <w:szCs w:val="24"/>
              </w:rPr>
              <w:t xml:space="preserve"> current and upcoming vacancies. A letter has been sent to DEASP summarising outstanding requests for sanction to recruit.</w:t>
            </w:r>
          </w:p>
        </w:tc>
      </w:tr>
      <w:tr w:rsidR="00D233F9" w:rsidRPr="00FF1F00" w14:paraId="047AEDD9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64FF6715" w14:textId="150C1E42" w:rsidR="00D233F9" w:rsidRPr="00FF1F00" w:rsidRDefault="00BD1873" w:rsidP="00D23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35226B4B" w14:textId="7E133F56" w:rsidR="00D233F9" w:rsidRPr="00AA2BF2" w:rsidRDefault="000F3B00" w:rsidP="00D23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the Next M</w:t>
            </w:r>
            <w:r w:rsidR="00D233F9" w:rsidRPr="00AA2BF2">
              <w:rPr>
                <w:b/>
                <w:sz w:val="24"/>
                <w:szCs w:val="24"/>
              </w:rPr>
              <w:t xml:space="preserve">eeting </w:t>
            </w:r>
          </w:p>
        </w:tc>
      </w:tr>
      <w:tr w:rsidR="00D233F9" w:rsidRPr="00DD39EE" w14:paraId="6E2CC3CC" w14:textId="77777777" w:rsidTr="00862DF3"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7B0349E3" w14:textId="37B3E046" w:rsidR="00D233F9" w:rsidRPr="00DD39EE" w:rsidRDefault="001959D9" w:rsidP="00D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33F9">
              <w:rPr>
                <w:sz w:val="24"/>
                <w:szCs w:val="24"/>
              </w:rPr>
              <w:t>.1</w:t>
            </w:r>
          </w:p>
        </w:tc>
        <w:tc>
          <w:tcPr>
            <w:tcW w:w="8193" w:type="dxa"/>
            <w:tcBorders>
              <w:top w:val="dotted" w:sz="4" w:space="0" w:color="auto"/>
              <w:bottom w:val="dotted" w:sz="4" w:space="0" w:color="auto"/>
            </w:tcBorders>
          </w:tcPr>
          <w:p w14:paraId="4836822D" w14:textId="65FF861E" w:rsidR="00D233F9" w:rsidRPr="00AA2BF2" w:rsidRDefault="00D233F9" w:rsidP="00D233F9">
            <w:pPr>
              <w:jc w:val="both"/>
              <w:rPr>
                <w:sz w:val="24"/>
                <w:szCs w:val="24"/>
              </w:rPr>
            </w:pPr>
            <w:r w:rsidRPr="00AA2BF2">
              <w:rPr>
                <w:sz w:val="24"/>
                <w:szCs w:val="24"/>
              </w:rPr>
              <w:t>The next meeting of the Board will take place on Wednesday</w:t>
            </w:r>
            <w:r>
              <w:rPr>
                <w:sz w:val="24"/>
                <w:szCs w:val="24"/>
              </w:rPr>
              <w:t>,</w:t>
            </w:r>
            <w:r w:rsidRPr="00AA2BF2">
              <w:rPr>
                <w:sz w:val="24"/>
                <w:szCs w:val="24"/>
              </w:rPr>
              <w:t xml:space="preserve"> </w:t>
            </w:r>
            <w:r w:rsidR="000A3C5C">
              <w:rPr>
                <w:sz w:val="24"/>
                <w:szCs w:val="24"/>
              </w:rPr>
              <w:t>23 January 2019, to discuss the CIB strategy</w:t>
            </w:r>
            <w:r w:rsidRPr="00AA2BF2">
              <w:rPr>
                <w:sz w:val="24"/>
                <w:szCs w:val="24"/>
              </w:rPr>
              <w:t>.</w:t>
            </w:r>
            <w:r w:rsidR="000A3C5C">
              <w:rPr>
                <w:sz w:val="24"/>
                <w:szCs w:val="24"/>
              </w:rPr>
              <w:t xml:space="preserve"> The next regular meeting of the Board will take place on Wednesday, 13 February 2019.</w:t>
            </w:r>
            <w:r w:rsidRPr="00AA2BF2">
              <w:rPr>
                <w:sz w:val="24"/>
                <w:szCs w:val="24"/>
              </w:rPr>
              <w:t xml:space="preserve">  </w:t>
            </w:r>
          </w:p>
        </w:tc>
      </w:tr>
    </w:tbl>
    <w:p w14:paraId="466065F1" w14:textId="77777777" w:rsidR="00682CD3" w:rsidRDefault="00682CD3" w:rsidP="00770B98">
      <w:pPr>
        <w:rPr>
          <w:sz w:val="24"/>
          <w:szCs w:val="24"/>
        </w:rPr>
      </w:pPr>
    </w:p>
    <w:p w14:paraId="54912108" w14:textId="423400C4" w:rsidR="00FE338C" w:rsidRDefault="00FE338C" w:rsidP="00770B98">
      <w:pPr>
        <w:rPr>
          <w:sz w:val="24"/>
          <w:szCs w:val="24"/>
        </w:rPr>
      </w:pPr>
    </w:p>
    <w:p w14:paraId="600E4029" w14:textId="1DC04062" w:rsidR="00CE2F79" w:rsidRDefault="00CE2F79" w:rsidP="00770B98">
      <w:pPr>
        <w:rPr>
          <w:sz w:val="24"/>
          <w:szCs w:val="24"/>
        </w:rPr>
      </w:pPr>
    </w:p>
    <w:sectPr w:rsidR="00CE2F79" w:rsidSect="000F1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CF529" w14:textId="77777777" w:rsidR="00F97012" w:rsidRDefault="00F97012" w:rsidP="00253E0A">
      <w:r>
        <w:separator/>
      </w:r>
    </w:p>
  </w:endnote>
  <w:endnote w:type="continuationSeparator" w:id="0">
    <w:p w14:paraId="4A80C654" w14:textId="77777777" w:rsidR="00F97012" w:rsidRDefault="00F97012" w:rsidP="002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lack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75DE" w14:textId="77777777" w:rsidR="005F372A" w:rsidRDefault="005F3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928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483DC7" w14:textId="33C3C987" w:rsidR="007915D4" w:rsidRDefault="007915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F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F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D4F98" w14:textId="77777777" w:rsidR="00F25245" w:rsidRDefault="00F25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7E84" w14:textId="77777777" w:rsidR="005F372A" w:rsidRDefault="005F3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4202A" w14:textId="77777777" w:rsidR="00F97012" w:rsidRDefault="00F97012" w:rsidP="00253E0A">
      <w:r>
        <w:separator/>
      </w:r>
    </w:p>
  </w:footnote>
  <w:footnote w:type="continuationSeparator" w:id="0">
    <w:p w14:paraId="10F9123D" w14:textId="77777777" w:rsidR="00F97012" w:rsidRDefault="00F97012" w:rsidP="0025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707AB" w14:textId="77777777" w:rsidR="005F372A" w:rsidRDefault="005F3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E62F8" w14:textId="4BC989E1" w:rsidR="00360A04" w:rsidRDefault="00360A04" w:rsidP="00A13C6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64B7" w14:textId="77777777" w:rsidR="005F372A" w:rsidRDefault="005F3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27020"/>
    <w:multiLevelType w:val="hybridMultilevel"/>
    <w:tmpl w:val="F6301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1BB9"/>
    <w:multiLevelType w:val="multilevel"/>
    <w:tmpl w:val="7018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316B5"/>
    <w:multiLevelType w:val="hybridMultilevel"/>
    <w:tmpl w:val="BB4CE42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16976"/>
    <w:multiLevelType w:val="hybridMultilevel"/>
    <w:tmpl w:val="292AA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507C0"/>
    <w:multiLevelType w:val="hybridMultilevel"/>
    <w:tmpl w:val="9EA48846"/>
    <w:lvl w:ilvl="0" w:tplc="51ACC1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D29F3"/>
    <w:multiLevelType w:val="hybridMultilevel"/>
    <w:tmpl w:val="F2E4C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9A1"/>
    <w:multiLevelType w:val="hybridMultilevel"/>
    <w:tmpl w:val="24A07C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537E4"/>
    <w:multiLevelType w:val="hybridMultilevel"/>
    <w:tmpl w:val="C86421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68"/>
    <w:rsid w:val="0000169B"/>
    <w:rsid w:val="000021C2"/>
    <w:rsid w:val="0000433C"/>
    <w:rsid w:val="00005547"/>
    <w:rsid w:val="000110C7"/>
    <w:rsid w:val="0001388E"/>
    <w:rsid w:val="00013AE9"/>
    <w:rsid w:val="00016236"/>
    <w:rsid w:val="00021266"/>
    <w:rsid w:val="000214EF"/>
    <w:rsid w:val="000269CA"/>
    <w:rsid w:val="00027C12"/>
    <w:rsid w:val="00031A49"/>
    <w:rsid w:val="00033AB1"/>
    <w:rsid w:val="0003557A"/>
    <w:rsid w:val="0003580A"/>
    <w:rsid w:val="00036DE3"/>
    <w:rsid w:val="00043916"/>
    <w:rsid w:val="00051F67"/>
    <w:rsid w:val="00054924"/>
    <w:rsid w:val="000550DD"/>
    <w:rsid w:val="000553A0"/>
    <w:rsid w:val="00055502"/>
    <w:rsid w:val="00056150"/>
    <w:rsid w:val="00060D52"/>
    <w:rsid w:val="000646B0"/>
    <w:rsid w:val="00065D25"/>
    <w:rsid w:val="000677D2"/>
    <w:rsid w:val="00072473"/>
    <w:rsid w:val="00072AB6"/>
    <w:rsid w:val="00073232"/>
    <w:rsid w:val="000738BC"/>
    <w:rsid w:val="0007405C"/>
    <w:rsid w:val="00082ED4"/>
    <w:rsid w:val="00083132"/>
    <w:rsid w:val="00086D0C"/>
    <w:rsid w:val="0008789A"/>
    <w:rsid w:val="000908D9"/>
    <w:rsid w:val="0009151B"/>
    <w:rsid w:val="0009318E"/>
    <w:rsid w:val="000A3C5C"/>
    <w:rsid w:val="000A5DF5"/>
    <w:rsid w:val="000A6C42"/>
    <w:rsid w:val="000B26A0"/>
    <w:rsid w:val="000B5541"/>
    <w:rsid w:val="000B7621"/>
    <w:rsid w:val="000C137C"/>
    <w:rsid w:val="000D276D"/>
    <w:rsid w:val="000D35CE"/>
    <w:rsid w:val="000D3D84"/>
    <w:rsid w:val="000D4F5F"/>
    <w:rsid w:val="000D6A6C"/>
    <w:rsid w:val="000D6E84"/>
    <w:rsid w:val="000E1FD9"/>
    <w:rsid w:val="000E2DA3"/>
    <w:rsid w:val="000E71A5"/>
    <w:rsid w:val="000E7D48"/>
    <w:rsid w:val="000F19E9"/>
    <w:rsid w:val="000F3431"/>
    <w:rsid w:val="000F3AF9"/>
    <w:rsid w:val="000F3B00"/>
    <w:rsid w:val="000F44CC"/>
    <w:rsid w:val="000F4961"/>
    <w:rsid w:val="000F4B96"/>
    <w:rsid w:val="000F626B"/>
    <w:rsid w:val="00101E8E"/>
    <w:rsid w:val="00110523"/>
    <w:rsid w:val="00116CA1"/>
    <w:rsid w:val="00117242"/>
    <w:rsid w:val="00120677"/>
    <w:rsid w:val="001211AD"/>
    <w:rsid w:val="001247D8"/>
    <w:rsid w:val="00126288"/>
    <w:rsid w:val="00127E24"/>
    <w:rsid w:val="001305A9"/>
    <w:rsid w:val="00133FB8"/>
    <w:rsid w:val="00136D45"/>
    <w:rsid w:val="0015545C"/>
    <w:rsid w:val="00163EB6"/>
    <w:rsid w:val="00167268"/>
    <w:rsid w:val="001734D5"/>
    <w:rsid w:val="00174125"/>
    <w:rsid w:val="00177D62"/>
    <w:rsid w:val="001819A4"/>
    <w:rsid w:val="001836E2"/>
    <w:rsid w:val="00184481"/>
    <w:rsid w:val="0018555D"/>
    <w:rsid w:val="001959D9"/>
    <w:rsid w:val="001972B7"/>
    <w:rsid w:val="001A072F"/>
    <w:rsid w:val="001A2E70"/>
    <w:rsid w:val="001A35A3"/>
    <w:rsid w:val="001A5D74"/>
    <w:rsid w:val="001A7E90"/>
    <w:rsid w:val="001B5436"/>
    <w:rsid w:val="001C212A"/>
    <w:rsid w:val="001C25EE"/>
    <w:rsid w:val="001C33B2"/>
    <w:rsid w:val="001C4D9E"/>
    <w:rsid w:val="001D1A84"/>
    <w:rsid w:val="001D1F98"/>
    <w:rsid w:val="001D5752"/>
    <w:rsid w:val="001E128C"/>
    <w:rsid w:val="001F2DE7"/>
    <w:rsid w:val="001F5D25"/>
    <w:rsid w:val="001F5D91"/>
    <w:rsid w:val="001F60E9"/>
    <w:rsid w:val="002030F9"/>
    <w:rsid w:val="00206A7E"/>
    <w:rsid w:val="00207853"/>
    <w:rsid w:val="00210FFB"/>
    <w:rsid w:val="00222EA3"/>
    <w:rsid w:val="00223310"/>
    <w:rsid w:val="0023121B"/>
    <w:rsid w:val="00235143"/>
    <w:rsid w:val="0024260C"/>
    <w:rsid w:val="002437A6"/>
    <w:rsid w:val="002452FE"/>
    <w:rsid w:val="00253E0A"/>
    <w:rsid w:val="00256381"/>
    <w:rsid w:val="00262852"/>
    <w:rsid w:val="002668AB"/>
    <w:rsid w:val="00274184"/>
    <w:rsid w:val="00275F87"/>
    <w:rsid w:val="00280B69"/>
    <w:rsid w:val="002867AF"/>
    <w:rsid w:val="0028711A"/>
    <w:rsid w:val="002B0016"/>
    <w:rsid w:val="002B470B"/>
    <w:rsid w:val="002B6F1A"/>
    <w:rsid w:val="002C3FF5"/>
    <w:rsid w:val="002C440A"/>
    <w:rsid w:val="002D2D5E"/>
    <w:rsid w:val="002D2F5B"/>
    <w:rsid w:val="002E2EC7"/>
    <w:rsid w:val="002E2F27"/>
    <w:rsid w:val="002E4A8E"/>
    <w:rsid w:val="002F1665"/>
    <w:rsid w:val="002F1763"/>
    <w:rsid w:val="002F304C"/>
    <w:rsid w:val="002F3BBF"/>
    <w:rsid w:val="002F3E91"/>
    <w:rsid w:val="002F4AFA"/>
    <w:rsid w:val="002F5210"/>
    <w:rsid w:val="002F7526"/>
    <w:rsid w:val="002F7F48"/>
    <w:rsid w:val="003025C7"/>
    <w:rsid w:val="00305E2A"/>
    <w:rsid w:val="00311C62"/>
    <w:rsid w:val="003161EB"/>
    <w:rsid w:val="00316449"/>
    <w:rsid w:val="00317429"/>
    <w:rsid w:val="00317989"/>
    <w:rsid w:val="003214E0"/>
    <w:rsid w:val="003226A1"/>
    <w:rsid w:val="00340314"/>
    <w:rsid w:val="00344369"/>
    <w:rsid w:val="003560D3"/>
    <w:rsid w:val="003567FB"/>
    <w:rsid w:val="00360A04"/>
    <w:rsid w:val="00362740"/>
    <w:rsid w:val="0036347F"/>
    <w:rsid w:val="003717AE"/>
    <w:rsid w:val="0037191C"/>
    <w:rsid w:val="003747AD"/>
    <w:rsid w:val="003809E1"/>
    <w:rsid w:val="00380F83"/>
    <w:rsid w:val="00380FB1"/>
    <w:rsid w:val="00384525"/>
    <w:rsid w:val="0038694F"/>
    <w:rsid w:val="003919E8"/>
    <w:rsid w:val="00393B40"/>
    <w:rsid w:val="003A1153"/>
    <w:rsid w:val="003A1B08"/>
    <w:rsid w:val="003A5A19"/>
    <w:rsid w:val="003A78BC"/>
    <w:rsid w:val="003A7F61"/>
    <w:rsid w:val="003B0825"/>
    <w:rsid w:val="003B3D3C"/>
    <w:rsid w:val="003B4371"/>
    <w:rsid w:val="003C0EB2"/>
    <w:rsid w:val="003C20AD"/>
    <w:rsid w:val="003D1EEA"/>
    <w:rsid w:val="003D3BA3"/>
    <w:rsid w:val="003E0975"/>
    <w:rsid w:val="003E1B20"/>
    <w:rsid w:val="003E2EFA"/>
    <w:rsid w:val="003E52F7"/>
    <w:rsid w:val="003E683A"/>
    <w:rsid w:val="003E7002"/>
    <w:rsid w:val="003F2FCC"/>
    <w:rsid w:val="003F6140"/>
    <w:rsid w:val="004016DD"/>
    <w:rsid w:val="00413A19"/>
    <w:rsid w:val="00414329"/>
    <w:rsid w:val="0041495A"/>
    <w:rsid w:val="004169B0"/>
    <w:rsid w:val="00434A64"/>
    <w:rsid w:val="00436F67"/>
    <w:rsid w:val="00437116"/>
    <w:rsid w:val="00441F46"/>
    <w:rsid w:val="0044287F"/>
    <w:rsid w:val="00446426"/>
    <w:rsid w:val="00453032"/>
    <w:rsid w:val="00456740"/>
    <w:rsid w:val="0046025E"/>
    <w:rsid w:val="00465639"/>
    <w:rsid w:val="004661A9"/>
    <w:rsid w:val="00471261"/>
    <w:rsid w:val="0047238E"/>
    <w:rsid w:val="0047377A"/>
    <w:rsid w:val="00473D3A"/>
    <w:rsid w:val="00474D7F"/>
    <w:rsid w:val="0047699A"/>
    <w:rsid w:val="00480048"/>
    <w:rsid w:val="00481E1A"/>
    <w:rsid w:val="004842DA"/>
    <w:rsid w:val="00491B95"/>
    <w:rsid w:val="004A3335"/>
    <w:rsid w:val="004A3489"/>
    <w:rsid w:val="004A3C55"/>
    <w:rsid w:val="004A6C7E"/>
    <w:rsid w:val="004B0CBA"/>
    <w:rsid w:val="004B2CAC"/>
    <w:rsid w:val="004B308E"/>
    <w:rsid w:val="004B681F"/>
    <w:rsid w:val="004B7694"/>
    <w:rsid w:val="004C5F09"/>
    <w:rsid w:val="004D0F60"/>
    <w:rsid w:val="004D48EE"/>
    <w:rsid w:val="004D499C"/>
    <w:rsid w:val="004D4CBB"/>
    <w:rsid w:val="004D4D17"/>
    <w:rsid w:val="004D4D2A"/>
    <w:rsid w:val="004E096B"/>
    <w:rsid w:val="004E4844"/>
    <w:rsid w:val="004E4F7E"/>
    <w:rsid w:val="004E689D"/>
    <w:rsid w:val="004E6A28"/>
    <w:rsid w:val="004F1454"/>
    <w:rsid w:val="004F1AFD"/>
    <w:rsid w:val="004F2E5A"/>
    <w:rsid w:val="004F30CD"/>
    <w:rsid w:val="004F31AF"/>
    <w:rsid w:val="004F446E"/>
    <w:rsid w:val="00502368"/>
    <w:rsid w:val="00504FF1"/>
    <w:rsid w:val="00512D4A"/>
    <w:rsid w:val="00512E57"/>
    <w:rsid w:val="00514CE1"/>
    <w:rsid w:val="005215DA"/>
    <w:rsid w:val="005249F3"/>
    <w:rsid w:val="005258BC"/>
    <w:rsid w:val="00531374"/>
    <w:rsid w:val="00531F77"/>
    <w:rsid w:val="00533536"/>
    <w:rsid w:val="00535086"/>
    <w:rsid w:val="00540539"/>
    <w:rsid w:val="00541834"/>
    <w:rsid w:val="0055047A"/>
    <w:rsid w:val="00557A94"/>
    <w:rsid w:val="00560DCE"/>
    <w:rsid w:val="00561652"/>
    <w:rsid w:val="00561F9F"/>
    <w:rsid w:val="00570FD6"/>
    <w:rsid w:val="00573B66"/>
    <w:rsid w:val="00573E9A"/>
    <w:rsid w:val="00575178"/>
    <w:rsid w:val="005841C0"/>
    <w:rsid w:val="00591FB3"/>
    <w:rsid w:val="00592D01"/>
    <w:rsid w:val="00593953"/>
    <w:rsid w:val="00595AE5"/>
    <w:rsid w:val="00596012"/>
    <w:rsid w:val="0059619A"/>
    <w:rsid w:val="005A081A"/>
    <w:rsid w:val="005A3F47"/>
    <w:rsid w:val="005A6535"/>
    <w:rsid w:val="005B23B8"/>
    <w:rsid w:val="005B381C"/>
    <w:rsid w:val="005B4E20"/>
    <w:rsid w:val="005B7ED0"/>
    <w:rsid w:val="005C486C"/>
    <w:rsid w:val="005C7ADA"/>
    <w:rsid w:val="005D063F"/>
    <w:rsid w:val="005E0F12"/>
    <w:rsid w:val="005F372A"/>
    <w:rsid w:val="006139F4"/>
    <w:rsid w:val="00624E95"/>
    <w:rsid w:val="00625B6E"/>
    <w:rsid w:val="006263C8"/>
    <w:rsid w:val="00631438"/>
    <w:rsid w:val="006347F0"/>
    <w:rsid w:val="006359E9"/>
    <w:rsid w:val="0063668D"/>
    <w:rsid w:val="00637C43"/>
    <w:rsid w:val="0064020E"/>
    <w:rsid w:val="00645BBC"/>
    <w:rsid w:val="00651FC3"/>
    <w:rsid w:val="0065415B"/>
    <w:rsid w:val="006544F1"/>
    <w:rsid w:val="0065511E"/>
    <w:rsid w:val="0065575E"/>
    <w:rsid w:val="0065628B"/>
    <w:rsid w:val="00657990"/>
    <w:rsid w:val="0067216A"/>
    <w:rsid w:val="00672840"/>
    <w:rsid w:val="0067376C"/>
    <w:rsid w:val="006777C6"/>
    <w:rsid w:val="006829E2"/>
    <w:rsid w:val="00682CD3"/>
    <w:rsid w:val="0069267E"/>
    <w:rsid w:val="00694352"/>
    <w:rsid w:val="00695583"/>
    <w:rsid w:val="006A19C7"/>
    <w:rsid w:val="006A1E9A"/>
    <w:rsid w:val="006A445C"/>
    <w:rsid w:val="006A6B88"/>
    <w:rsid w:val="006A764B"/>
    <w:rsid w:val="006B01D2"/>
    <w:rsid w:val="006B316D"/>
    <w:rsid w:val="006B42A1"/>
    <w:rsid w:val="006B4DD5"/>
    <w:rsid w:val="006B5458"/>
    <w:rsid w:val="006B6DE7"/>
    <w:rsid w:val="006C316D"/>
    <w:rsid w:val="006C62E8"/>
    <w:rsid w:val="006D5BB3"/>
    <w:rsid w:val="006D7490"/>
    <w:rsid w:val="006E2AD6"/>
    <w:rsid w:val="006E6347"/>
    <w:rsid w:val="006F3A83"/>
    <w:rsid w:val="00701D27"/>
    <w:rsid w:val="0070567D"/>
    <w:rsid w:val="00713187"/>
    <w:rsid w:val="00715E0B"/>
    <w:rsid w:val="0072107B"/>
    <w:rsid w:val="00724614"/>
    <w:rsid w:val="007251DB"/>
    <w:rsid w:val="007340D6"/>
    <w:rsid w:val="0073549F"/>
    <w:rsid w:val="0074366F"/>
    <w:rsid w:val="00744DFB"/>
    <w:rsid w:val="007479CD"/>
    <w:rsid w:val="007502B9"/>
    <w:rsid w:val="00750C10"/>
    <w:rsid w:val="007514EC"/>
    <w:rsid w:val="007541C7"/>
    <w:rsid w:val="007565DD"/>
    <w:rsid w:val="007640E4"/>
    <w:rsid w:val="00765B46"/>
    <w:rsid w:val="00767570"/>
    <w:rsid w:val="00770B98"/>
    <w:rsid w:val="007732B2"/>
    <w:rsid w:val="007735C7"/>
    <w:rsid w:val="007738DA"/>
    <w:rsid w:val="007753D5"/>
    <w:rsid w:val="00776E24"/>
    <w:rsid w:val="007807AA"/>
    <w:rsid w:val="00781496"/>
    <w:rsid w:val="00782077"/>
    <w:rsid w:val="007827CF"/>
    <w:rsid w:val="00784D82"/>
    <w:rsid w:val="0078789A"/>
    <w:rsid w:val="0079096B"/>
    <w:rsid w:val="0079099F"/>
    <w:rsid w:val="007915D4"/>
    <w:rsid w:val="0079346D"/>
    <w:rsid w:val="007956A0"/>
    <w:rsid w:val="007A11CF"/>
    <w:rsid w:val="007A164E"/>
    <w:rsid w:val="007A2E63"/>
    <w:rsid w:val="007A6D4E"/>
    <w:rsid w:val="007B028B"/>
    <w:rsid w:val="007B18E8"/>
    <w:rsid w:val="007B6178"/>
    <w:rsid w:val="007D29BC"/>
    <w:rsid w:val="007D77D8"/>
    <w:rsid w:val="007E4490"/>
    <w:rsid w:val="007E6D19"/>
    <w:rsid w:val="007F1270"/>
    <w:rsid w:val="007F5362"/>
    <w:rsid w:val="00802E74"/>
    <w:rsid w:val="00816D65"/>
    <w:rsid w:val="008230F9"/>
    <w:rsid w:val="00826B01"/>
    <w:rsid w:val="008310C6"/>
    <w:rsid w:val="008336F4"/>
    <w:rsid w:val="00833D2A"/>
    <w:rsid w:val="0083570C"/>
    <w:rsid w:val="00835872"/>
    <w:rsid w:val="00835FC7"/>
    <w:rsid w:val="008413BF"/>
    <w:rsid w:val="008421E1"/>
    <w:rsid w:val="00843506"/>
    <w:rsid w:val="008451A6"/>
    <w:rsid w:val="0084699B"/>
    <w:rsid w:val="00851FEA"/>
    <w:rsid w:val="00853A67"/>
    <w:rsid w:val="00860DC0"/>
    <w:rsid w:val="00862DF3"/>
    <w:rsid w:val="00867189"/>
    <w:rsid w:val="00870A6E"/>
    <w:rsid w:val="008711C9"/>
    <w:rsid w:val="00874C19"/>
    <w:rsid w:val="00874F41"/>
    <w:rsid w:val="00882BDB"/>
    <w:rsid w:val="00882F77"/>
    <w:rsid w:val="00885958"/>
    <w:rsid w:val="00885CCE"/>
    <w:rsid w:val="0088602C"/>
    <w:rsid w:val="0089053A"/>
    <w:rsid w:val="008922C3"/>
    <w:rsid w:val="0089268B"/>
    <w:rsid w:val="00893FF9"/>
    <w:rsid w:val="00895F79"/>
    <w:rsid w:val="008960FA"/>
    <w:rsid w:val="00896D9A"/>
    <w:rsid w:val="00897AA7"/>
    <w:rsid w:val="008A03F1"/>
    <w:rsid w:val="008A26CE"/>
    <w:rsid w:val="008A3A08"/>
    <w:rsid w:val="008B03A4"/>
    <w:rsid w:val="008B03EC"/>
    <w:rsid w:val="008B0F8B"/>
    <w:rsid w:val="008B19AF"/>
    <w:rsid w:val="008C0DC0"/>
    <w:rsid w:val="008C328F"/>
    <w:rsid w:val="008C45F0"/>
    <w:rsid w:val="008C483C"/>
    <w:rsid w:val="008C66C2"/>
    <w:rsid w:val="008D2F90"/>
    <w:rsid w:val="008E0894"/>
    <w:rsid w:val="008E31D9"/>
    <w:rsid w:val="008E40E5"/>
    <w:rsid w:val="008F1725"/>
    <w:rsid w:val="008F1AD3"/>
    <w:rsid w:val="008F3B26"/>
    <w:rsid w:val="008F5BA5"/>
    <w:rsid w:val="009061A5"/>
    <w:rsid w:val="00913CEB"/>
    <w:rsid w:val="0091532B"/>
    <w:rsid w:val="00916D8F"/>
    <w:rsid w:val="00920F0A"/>
    <w:rsid w:val="00921AF2"/>
    <w:rsid w:val="00925FA1"/>
    <w:rsid w:val="009302EA"/>
    <w:rsid w:val="0093159A"/>
    <w:rsid w:val="00940D59"/>
    <w:rsid w:val="009420BA"/>
    <w:rsid w:val="00946395"/>
    <w:rsid w:val="00947D78"/>
    <w:rsid w:val="00954190"/>
    <w:rsid w:val="00961DA5"/>
    <w:rsid w:val="009677CB"/>
    <w:rsid w:val="009813DA"/>
    <w:rsid w:val="00990617"/>
    <w:rsid w:val="00992395"/>
    <w:rsid w:val="0099576F"/>
    <w:rsid w:val="00997CC1"/>
    <w:rsid w:val="009A7017"/>
    <w:rsid w:val="009B2969"/>
    <w:rsid w:val="009C0653"/>
    <w:rsid w:val="009C3476"/>
    <w:rsid w:val="009C6F6C"/>
    <w:rsid w:val="009D2811"/>
    <w:rsid w:val="009E113F"/>
    <w:rsid w:val="009E157F"/>
    <w:rsid w:val="009F03FF"/>
    <w:rsid w:val="009F4A56"/>
    <w:rsid w:val="00A10617"/>
    <w:rsid w:val="00A13C6C"/>
    <w:rsid w:val="00A221E1"/>
    <w:rsid w:val="00A22F07"/>
    <w:rsid w:val="00A25066"/>
    <w:rsid w:val="00A308EB"/>
    <w:rsid w:val="00A31715"/>
    <w:rsid w:val="00A328CD"/>
    <w:rsid w:val="00A36414"/>
    <w:rsid w:val="00A37231"/>
    <w:rsid w:val="00A37706"/>
    <w:rsid w:val="00A4417C"/>
    <w:rsid w:val="00A45BBC"/>
    <w:rsid w:val="00A50008"/>
    <w:rsid w:val="00A530A4"/>
    <w:rsid w:val="00A53270"/>
    <w:rsid w:val="00A64D6C"/>
    <w:rsid w:val="00A7376F"/>
    <w:rsid w:val="00A74FEC"/>
    <w:rsid w:val="00A77EC2"/>
    <w:rsid w:val="00A868BA"/>
    <w:rsid w:val="00A86B7C"/>
    <w:rsid w:val="00A9519D"/>
    <w:rsid w:val="00A96269"/>
    <w:rsid w:val="00AA1A07"/>
    <w:rsid w:val="00AA2AD8"/>
    <w:rsid w:val="00AA2BF2"/>
    <w:rsid w:val="00AA2E22"/>
    <w:rsid w:val="00AA5FA5"/>
    <w:rsid w:val="00AA715B"/>
    <w:rsid w:val="00AB0C42"/>
    <w:rsid w:val="00AB3160"/>
    <w:rsid w:val="00AC2752"/>
    <w:rsid w:val="00AD0CB4"/>
    <w:rsid w:val="00AD12AE"/>
    <w:rsid w:val="00AD4160"/>
    <w:rsid w:val="00AD57EE"/>
    <w:rsid w:val="00AE7F4B"/>
    <w:rsid w:val="00AF7512"/>
    <w:rsid w:val="00AF7967"/>
    <w:rsid w:val="00AF7CFE"/>
    <w:rsid w:val="00B0025C"/>
    <w:rsid w:val="00B0206D"/>
    <w:rsid w:val="00B03FF2"/>
    <w:rsid w:val="00B044BC"/>
    <w:rsid w:val="00B17842"/>
    <w:rsid w:val="00B207FB"/>
    <w:rsid w:val="00B23108"/>
    <w:rsid w:val="00B265FF"/>
    <w:rsid w:val="00B27790"/>
    <w:rsid w:val="00B3586D"/>
    <w:rsid w:val="00B363F0"/>
    <w:rsid w:val="00B40EEA"/>
    <w:rsid w:val="00B4216E"/>
    <w:rsid w:val="00B45A0A"/>
    <w:rsid w:val="00B4626F"/>
    <w:rsid w:val="00B4728E"/>
    <w:rsid w:val="00B51AD9"/>
    <w:rsid w:val="00B52129"/>
    <w:rsid w:val="00B55550"/>
    <w:rsid w:val="00B61796"/>
    <w:rsid w:val="00B6244D"/>
    <w:rsid w:val="00B624BE"/>
    <w:rsid w:val="00B628B5"/>
    <w:rsid w:val="00B62BED"/>
    <w:rsid w:val="00B63D7E"/>
    <w:rsid w:val="00B80555"/>
    <w:rsid w:val="00B82E1E"/>
    <w:rsid w:val="00B85FA4"/>
    <w:rsid w:val="00B86B36"/>
    <w:rsid w:val="00B86F8A"/>
    <w:rsid w:val="00B8735D"/>
    <w:rsid w:val="00B87489"/>
    <w:rsid w:val="00B94410"/>
    <w:rsid w:val="00BA2368"/>
    <w:rsid w:val="00BA3BCF"/>
    <w:rsid w:val="00BA426C"/>
    <w:rsid w:val="00BA5194"/>
    <w:rsid w:val="00BA7401"/>
    <w:rsid w:val="00BB0054"/>
    <w:rsid w:val="00BB556A"/>
    <w:rsid w:val="00BB7BC6"/>
    <w:rsid w:val="00BC5F58"/>
    <w:rsid w:val="00BD03F5"/>
    <w:rsid w:val="00BD1873"/>
    <w:rsid w:val="00BD545F"/>
    <w:rsid w:val="00BD614A"/>
    <w:rsid w:val="00BE1868"/>
    <w:rsid w:val="00BE28D3"/>
    <w:rsid w:val="00BE35D5"/>
    <w:rsid w:val="00BE5E31"/>
    <w:rsid w:val="00BE6DEA"/>
    <w:rsid w:val="00BE7799"/>
    <w:rsid w:val="00BF363A"/>
    <w:rsid w:val="00BF4AD1"/>
    <w:rsid w:val="00BF6C39"/>
    <w:rsid w:val="00C02A1B"/>
    <w:rsid w:val="00C06DBF"/>
    <w:rsid w:val="00C1136E"/>
    <w:rsid w:val="00C12ABB"/>
    <w:rsid w:val="00C13C15"/>
    <w:rsid w:val="00C1535D"/>
    <w:rsid w:val="00C22C53"/>
    <w:rsid w:val="00C24E1B"/>
    <w:rsid w:val="00C33BC5"/>
    <w:rsid w:val="00C36283"/>
    <w:rsid w:val="00C3747C"/>
    <w:rsid w:val="00C46512"/>
    <w:rsid w:val="00C50EA4"/>
    <w:rsid w:val="00C54139"/>
    <w:rsid w:val="00C54CB5"/>
    <w:rsid w:val="00C607DB"/>
    <w:rsid w:val="00C61A92"/>
    <w:rsid w:val="00C63798"/>
    <w:rsid w:val="00C63A9E"/>
    <w:rsid w:val="00C70D47"/>
    <w:rsid w:val="00C75A9F"/>
    <w:rsid w:val="00C86D14"/>
    <w:rsid w:val="00C920FC"/>
    <w:rsid w:val="00C92972"/>
    <w:rsid w:val="00C96A47"/>
    <w:rsid w:val="00CA2AE1"/>
    <w:rsid w:val="00CA30FB"/>
    <w:rsid w:val="00CB6561"/>
    <w:rsid w:val="00CB66D0"/>
    <w:rsid w:val="00CC0A04"/>
    <w:rsid w:val="00CC0E8F"/>
    <w:rsid w:val="00CC26B3"/>
    <w:rsid w:val="00CC74D0"/>
    <w:rsid w:val="00CD3134"/>
    <w:rsid w:val="00CD5BAC"/>
    <w:rsid w:val="00CE0887"/>
    <w:rsid w:val="00CE2F79"/>
    <w:rsid w:val="00CE4AEE"/>
    <w:rsid w:val="00CE6DD5"/>
    <w:rsid w:val="00CF5C95"/>
    <w:rsid w:val="00D02670"/>
    <w:rsid w:val="00D06B3D"/>
    <w:rsid w:val="00D06BC6"/>
    <w:rsid w:val="00D14786"/>
    <w:rsid w:val="00D16749"/>
    <w:rsid w:val="00D1740C"/>
    <w:rsid w:val="00D21DFF"/>
    <w:rsid w:val="00D222B9"/>
    <w:rsid w:val="00D233F9"/>
    <w:rsid w:val="00D26449"/>
    <w:rsid w:val="00D30862"/>
    <w:rsid w:val="00D30A26"/>
    <w:rsid w:val="00D36185"/>
    <w:rsid w:val="00D36A83"/>
    <w:rsid w:val="00D375F0"/>
    <w:rsid w:val="00D400AB"/>
    <w:rsid w:val="00D428F1"/>
    <w:rsid w:val="00D4578C"/>
    <w:rsid w:val="00D4638F"/>
    <w:rsid w:val="00D52809"/>
    <w:rsid w:val="00D53E6C"/>
    <w:rsid w:val="00D5440E"/>
    <w:rsid w:val="00D565B8"/>
    <w:rsid w:val="00D5755E"/>
    <w:rsid w:val="00D614E8"/>
    <w:rsid w:val="00D63FDA"/>
    <w:rsid w:val="00D742CA"/>
    <w:rsid w:val="00D80BE0"/>
    <w:rsid w:val="00D92AC3"/>
    <w:rsid w:val="00D97609"/>
    <w:rsid w:val="00DA0CEE"/>
    <w:rsid w:val="00DA5A4C"/>
    <w:rsid w:val="00DA5D19"/>
    <w:rsid w:val="00DB0923"/>
    <w:rsid w:val="00DB18B6"/>
    <w:rsid w:val="00DC3368"/>
    <w:rsid w:val="00DC6ECD"/>
    <w:rsid w:val="00DC7CF8"/>
    <w:rsid w:val="00DD0A21"/>
    <w:rsid w:val="00DD39EE"/>
    <w:rsid w:val="00DD3EA3"/>
    <w:rsid w:val="00DD708B"/>
    <w:rsid w:val="00DE2F25"/>
    <w:rsid w:val="00DF0D58"/>
    <w:rsid w:val="00DF14AD"/>
    <w:rsid w:val="00DF2C74"/>
    <w:rsid w:val="00DF7C2A"/>
    <w:rsid w:val="00E01B64"/>
    <w:rsid w:val="00E12010"/>
    <w:rsid w:val="00E13263"/>
    <w:rsid w:val="00E15D4E"/>
    <w:rsid w:val="00E17B43"/>
    <w:rsid w:val="00E22F81"/>
    <w:rsid w:val="00E23641"/>
    <w:rsid w:val="00E23707"/>
    <w:rsid w:val="00E24AC2"/>
    <w:rsid w:val="00E25B86"/>
    <w:rsid w:val="00E2753F"/>
    <w:rsid w:val="00E32D1B"/>
    <w:rsid w:val="00E32EB3"/>
    <w:rsid w:val="00E37170"/>
    <w:rsid w:val="00E43BE3"/>
    <w:rsid w:val="00E4437D"/>
    <w:rsid w:val="00E45C55"/>
    <w:rsid w:val="00E467CD"/>
    <w:rsid w:val="00E52D5B"/>
    <w:rsid w:val="00E57453"/>
    <w:rsid w:val="00E63F28"/>
    <w:rsid w:val="00E66B5F"/>
    <w:rsid w:val="00E673EC"/>
    <w:rsid w:val="00E71364"/>
    <w:rsid w:val="00E72666"/>
    <w:rsid w:val="00E739D8"/>
    <w:rsid w:val="00E7402B"/>
    <w:rsid w:val="00E767AF"/>
    <w:rsid w:val="00E8035E"/>
    <w:rsid w:val="00E82214"/>
    <w:rsid w:val="00E86F61"/>
    <w:rsid w:val="00E96423"/>
    <w:rsid w:val="00EA0CE7"/>
    <w:rsid w:val="00EA2E08"/>
    <w:rsid w:val="00EA37DF"/>
    <w:rsid w:val="00EA3C20"/>
    <w:rsid w:val="00EA400B"/>
    <w:rsid w:val="00EA4EAD"/>
    <w:rsid w:val="00EA53ED"/>
    <w:rsid w:val="00EB22D9"/>
    <w:rsid w:val="00EB3CAC"/>
    <w:rsid w:val="00EB42BE"/>
    <w:rsid w:val="00EC2393"/>
    <w:rsid w:val="00EC492F"/>
    <w:rsid w:val="00ED5CD0"/>
    <w:rsid w:val="00ED6FEA"/>
    <w:rsid w:val="00EE040A"/>
    <w:rsid w:val="00EE33CF"/>
    <w:rsid w:val="00EE50FC"/>
    <w:rsid w:val="00EE7720"/>
    <w:rsid w:val="00EF181E"/>
    <w:rsid w:val="00EF19B4"/>
    <w:rsid w:val="00EF2DE2"/>
    <w:rsid w:val="00EF699E"/>
    <w:rsid w:val="00EF6D39"/>
    <w:rsid w:val="00F011F4"/>
    <w:rsid w:val="00F02FA8"/>
    <w:rsid w:val="00F04750"/>
    <w:rsid w:val="00F1029B"/>
    <w:rsid w:val="00F11C92"/>
    <w:rsid w:val="00F11EE0"/>
    <w:rsid w:val="00F134A5"/>
    <w:rsid w:val="00F139DE"/>
    <w:rsid w:val="00F14482"/>
    <w:rsid w:val="00F21BD9"/>
    <w:rsid w:val="00F23CAD"/>
    <w:rsid w:val="00F24226"/>
    <w:rsid w:val="00F25245"/>
    <w:rsid w:val="00F27F25"/>
    <w:rsid w:val="00F42206"/>
    <w:rsid w:val="00F4601A"/>
    <w:rsid w:val="00F460F9"/>
    <w:rsid w:val="00F46DFB"/>
    <w:rsid w:val="00F5163D"/>
    <w:rsid w:val="00F53AB9"/>
    <w:rsid w:val="00F55892"/>
    <w:rsid w:val="00F635B4"/>
    <w:rsid w:val="00F63917"/>
    <w:rsid w:val="00F67FA5"/>
    <w:rsid w:val="00F77FC5"/>
    <w:rsid w:val="00F816DE"/>
    <w:rsid w:val="00F842B5"/>
    <w:rsid w:val="00F85824"/>
    <w:rsid w:val="00F8585A"/>
    <w:rsid w:val="00F90E45"/>
    <w:rsid w:val="00F9146D"/>
    <w:rsid w:val="00F92579"/>
    <w:rsid w:val="00F93099"/>
    <w:rsid w:val="00F97012"/>
    <w:rsid w:val="00FA68FF"/>
    <w:rsid w:val="00FA773C"/>
    <w:rsid w:val="00FA7C79"/>
    <w:rsid w:val="00FB30C4"/>
    <w:rsid w:val="00FB33DF"/>
    <w:rsid w:val="00FC0444"/>
    <w:rsid w:val="00FC0BCF"/>
    <w:rsid w:val="00FC46CA"/>
    <w:rsid w:val="00FC6842"/>
    <w:rsid w:val="00FD1596"/>
    <w:rsid w:val="00FD34AA"/>
    <w:rsid w:val="00FD440A"/>
    <w:rsid w:val="00FD5ACB"/>
    <w:rsid w:val="00FE1830"/>
    <w:rsid w:val="00FE338C"/>
    <w:rsid w:val="00FE34C8"/>
    <w:rsid w:val="00FE7E87"/>
    <w:rsid w:val="00FE7FE5"/>
    <w:rsid w:val="00FF1F00"/>
    <w:rsid w:val="00FF2674"/>
    <w:rsid w:val="00FF54B8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518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6A19C7"/>
    <w:pPr>
      <w:widowControl w:val="0"/>
      <w:suppressAutoHyphens/>
      <w:autoSpaceDE w:val="0"/>
      <w:autoSpaceDN w:val="0"/>
      <w:adjustRightInd w:val="0"/>
      <w:spacing w:line="288" w:lineRule="auto"/>
      <w:jc w:val="center"/>
      <w:outlineLvl w:val="0"/>
    </w:pPr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E0A"/>
  </w:style>
  <w:style w:type="paragraph" w:styleId="Footer">
    <w:name w:val="footer"/>
    <w:basedOn w:val="Normal"/>
    <w:link w:val="Foot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0A"/>
  </w:style>
  <w:style w:type="paragraph" w:styleId="BalloonText">
    <w:name w:val="Balloon Text"/>
    <w:basedOn w:val="Normal"/>
    <w:link w:val="BalloonTextChar"/>
    <w:uiPriority w:val="99"/>
    <w:semiHidden/>
    <w:unhideWhenUsed/>
    <w:rsid w:val="0094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A19C7"/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BodyText">
    <w:name w:val="Body Text"/>
    <w:basedOn w:val="Normal"/>
    <w:link w:val="BodyTextChar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86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00A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363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D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8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A023-BE63-4B51-AC1C-624D3998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2018-12-11T16:22:00Z</dcterms:created>
  <dcterms:modified xsi:type="dcterms:W3CDTF">2019-03-04T10:37:00Z</dcterms:modified>
</cp:coreProperties>
</file>