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3BC06B40"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6B316D">
        <w:rPr>
          <w:b/>
          <w:sz w:val="24"/>
          <w:szCs w:val="24"/>
        </w:rPr>
        <w:t>14 November</w:t>
      </w:r>
      <w:r w:rsidR="006E6347">
        <w:rPr>
          <w:b/>
          <w:sz w:val="24"/>
          <w:szCs w:val="24"/>
        </w:rPr>
        <w:t xml:space="preserve"> 2018</w:t>
      </w:r>
    </w:p>
    <w:p w14:paraId="13843BF0" w14:textId="59DAD7A0" w:rsidR="00167268" w:rsidRPr="00BC5F58" w:rsidRDefault="006B316D" w:rsidP="00167268">
      <w:pPr>
        <w:jc w:val="center"/>
        <w:rPr>
          <w:sz w:val="24"/>
          <w:szCs w:val="24"/>
        </w:rPr>
      </w:pPr>
      <w:r>
        <w:rPr>
          <w:sz w:val="24"/>
          <w:szCs w:val="24"/>
        </w:rPr>
        <w:t>George’s Quay House, 43 Townsend St., Dublin 2</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69387CB6" w14:textId="72D7275E" w:rsidR="004C5F09" w:rsidRDefault="00167268" w:rsidP="006B42A1">
      <w:pPr>
        <w:rPr>
          <w:sz w:val="24"/>
          <w:szCs w:val="24"/>
        </w:rPr>
      </w:pPr>
      <w:r w:rsidRPr="00DD39EE">
        <w:rPr>
          <w:b/>
          <w:sz w:val="24"/>
          <w:szCs w:val="24"/>
        </w:rPr>
        <w:t>Present:</w:t>
      </w:r>
      <w:r w:rsidR="006E6347">
        <w:rPr>
          <w:b/>
          <w:sz w:val="24"/>
          <w:szCs w:val="24"/>
        </w:rPr>
        <w:t xml:space="preserve"> </w:t>
      </w:r>
      <w:r w:rsidR="00F46DFB" w:rsidRPr="00DD39EE">
        <w:rPr>
          <w:sz w:val="24"/>
          <w:szCs w:val="24"/>
        </w:rPr>
        <w:t xml:space="preserve">Ita Mangan </w:t>
      </w:r>
      <w:r w:rsidR="00F46DFB">
        <w:rPr>
          <w:sz w:val="24"/>
          <w:szCs w:val="24"/>
        </w:rPr>
        <w:t xml:space="preserve">(Chairperson), </w:t>
      </w:r>
      <w:r w:rsidR="00311C62">
        <w:rPr>
          <w:sz w:val="24"/>
          <w:szCs w:val="24"/>
        </w:rPr>
        <w:t>Cearbhall O Meadhra, John Saunders, Nicola Walshe, Seán Sheridan, Mary Higgins, Ian Power, Tina Leonard, Josephine Henry</w:t>
      </w:r>
      <w:r w:rsidR="006B316D">
        <w:rPr>
          <w:sz w:val="24"/>
          <w:szCs w:val="24"/>
        </w:rPr>
        <w:t>, Eilis Barry, Mary Doyle</w:t>
      </w:r>
      <w:r w:rsidR="004D499C">
        <w:rPr>
          <w:sz w:val="24"/>
          <w:szCs w:val="24"/>
        </w:rPr>
        <w:t>, Joanne McCarthy, James Clarke and</w:t>
      </w:r>
      <w:r w:rsidR="006B316D">
        <w:rPr>
          <w:sz w:val="24"/>
          <w:szCs w:val="24"/>
        </w:rPr>
        <w:t xml:space="preserve"> Tim Duggan</w:t>
      </w:r>
    </w:p>
    <w:p w14:paraId="447D4E12" w14:textId="77777777" w:rsidR="004C5F09" w:rsidRDefault="004C5F09" w:rsidP="006B42A1">
      <w:pPr>
        <w:rPr>
          <w:sz w:val="24"/>
          <w:szCs w:val="24"/>
        </w:rPr>
      </w:pPr>
    </w:p>
    <w:p w14:paraId="38855F08" w14:textId="57382BB3" w:rsidR="00BC5F58" w:rsidRPr="006B42A1" w:rsidRDefault="00BC5F58" w:rsidP="009C0653">
      <w:pPr>
        <w:rPr>
          <w:sz w:val="24"/>
          <w:szCs w:val="24"/>
        </w:rPr>
      </w:pPr>
      <w:r w:rsidRPr="00BC5F58">
        <w:rPr>
          <w:b/>
          <w:sz w:val="24"/>
          <w:szCs w:val="24"/>
        </w:rPr>
        <w:t>Apologies:</w:t>
      </w:r>
      <w:r w:rsidR="006E6347">
        <w:rPr>
          <w:b/>
          <w:sz w:val="24"/>
          <w:szCs w:val="24"/>
        </w:rPr>
        <w:t xml:space="preserve"> </w:t>
      </w:r>
      <w:r w:rsidR="006B316D">
        <w:rPr>
          <w:sz w:val="24"/>
          <w:szCs w:val="24"/>
        </w:rPr>
        <w:t>Niall Mulligan</w:t>
      </w:r>
    </w:p>
    <w:p w14:paraId="6F9B8F85" w14:textId="77777777" w:rsidR="00BC5F58" w:rsidRDefault="00BC5F58">
      <w:pPr>
        <w:rPr>
          <w:sz w:val="24"/>
          <w:szCs w:val="24"/>
        </w:rPr>
      </w:pPr>
    </w:p>
    <w:p w14:paraId="3DDDC472" w14:textId="7BA5E800"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Angela Black, Chief Executive; Fiona Coyne, </w:t>
      </w:r>
      <w:r w:rsidR="00C12ABB">
        <w:rPr>
          <w:sz w:val="24"/>
          <w:szCs w:val="24"/>
        </w:rPr>
        <w:t xml:space="preserve">Adrian O’Connor, Gráinne Griffin, </w:t>
      </w:r>
      <w:r w:rsidRPr="00DD39EE">
        <w:rPr>
          <w:sz w:val="24"/>
          <w:szCs w:val="24"/>
        </w:rPr>
        <w:t>Graham Long</w:t>
      </w:r>
      <w:r w:rsidR="003A1B08">
        <w:rPr>
          <w:sz w:val="24"/>
          <w:szCs w:val="24"/>
        </w:rPr>
        <w:t xml:space="preserve"> (also taking minutes)</w:t>
      </w:r>
      <w:r w:rsidR="00FA7C79">
        <w:rPr>
          <w:sz w:val="24"/>
          <w:szCs w:val="24"/>
        </w:rPr>
        <w:t>;</w:t>
      </w:r>
      <w:r w:rsidRPr="00DD39EE">
        <w:rPr>
          <w:sz w:val="24"/>
          <w:szCs w:val="24"/>
        </w:rPr>
        <w:t xml:space="preserve"> </w:t>
      </w:r>
      <w:r w:rsidR="006B42A1">
        <w:rPr>
          <w:sz w:val="24"/>
          <w:szCs w:val="24"/>
        </w:rPr>
        <w:t>Gary Watters, Finance and Administration Manager</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3"/>
        <w:gridCol w:w="8193"/>
      </w:tblGrid>
      <w:tr w:rsidR="00AB3160" w:rsidRPr="00BA3BCF" w14:paraId="2B62CB24" w14:textId="77777777" w:rsidTr="00862DF3">
        <w:tc>
          <w:tcPr>
            <w:tcW w:w="823"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3"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37191C" w:rsidRPr="00DD39EE" w14:paraId="576D4A49" w14:textId="77777777" w:rsidTr="00862DF3">
        <w:tc>
          <w:tcPr>
            <w:tcW w:w="823" w:type="dxa"/>
            <w:tcBorders>
              <w:top w:val="dotted" w:sz="4" w:space="0" w:color="auto"/>
              <w:bottom w:val="dotted" w:sz="4" w:space="0" w:color="auto"/>
            </w:tcBorders>
          </w:tcPr>
          <w:p w14:paraId="45F6D640" w14:textId="0DBF93DD" w:rsidR="0037191C" w:rsidRPr="00F27F25" w:rsidRDefault="006E6347" w:rsidP="00770B98">
            <w:pPr>
              <w:rPr>
                <w:b/>
                <w:sz w:val="24"/>
                <w:szCs w:val="24"/>
              </w:rPr>
            </w:pPr>
            <w:r w:rsidRPr="00F27F25">
              <w:rPr>
                <w:b/>
                <w:sz w:val="24"/>
                <w:szCs w:val="24"/>
              </w:rPr>
              <w:t>0</w:t>
            </w:r>
          </w:p>
        </w:tc>
        <w:tc>
          <w:tcPr>
            <w:tcW w:w="8193" w:type="dxa"/>
            <w:tcBorders>
              <w:top w:val="dotted" w:sz="4" w:space="0" w:color="auto"/>
              <w:bottom w:val="dotted" w:sz="4" w:space="0" w:color="auto"/>
            </w:tcBorders>
          </w:tcPr>
          <w:p w14:paraId="19CC8DEC" w14:textId="6FBBD18D" w:rsidR="006E6347" w:rsidRPr="00F27F25" w:rsidRDefault="000F3B00" w:rsidP="00A25066">
            <w:pPr>
              <w:rPr>
                <w:b/>
                <w:sz w:val="24"/>
                <w:szCs w:val="24"/>
              </w:rPr>
            </w:pPr>
            <w:r>
              <w:rPr>
                <w:b/>
                <w:sz w:val="24"/>
                <w:szCs w:val="24"/>
              </w:rPr>
              <w:t>Various M</w:t>
            </w:r>
            <w:r w:rsidR="00A25066" w:rsidRPr="00F27F25">
              <w:rPr>
                <w:b/>
                <w:sz w:val="24"/>
                <w:szCs w:val="24"/>
              </w:rPr>
              <w:t>atters</w:t>
            </w:r>
          </w:p>
        </w:tc>
      </w:tr>
      <w:tr w:rsidR="0015545C" w:rsidRPr="00DD39EE" w14:paraId="6467B34D" w14:textId="77777777" w:rsidTr="00862DF3">
        <w:tc>
          <w:tcPr>
            <w:tcW w:w="823" w:type="dxa"/>
            <w:tcBorders>
              <w:top w:val="dotted" w:sz="4" w:space="0" w:color="auto"/>
              <w:bottom w:val="dotted" w:sz="4" w:space="0" w:color="auto"/>
            </w:tcBorders>
          </w:tcPr>
          <w:p w14:paraId="308A5633" w14:textId="50320A0E" w:rsidR="0015545C" w:rsidRPr="0015545C" w:rsidRDefault="0015545C" w:rsidP="00770B98">
            <w:pPr>
              <w:rPr>
                <w:sz w:val="24"/>
                <w:szCs w:val="24"/>
              </w:rPr>
            </w:pPr>
            <w:r w:rsidRPr="0015545C">
              <w:rPr>
                <w:sz w:val="24"/>
                <w:szCs w:val="24"/>
              </w:rPr>
              <w:t>0.1</w:t>
            </w:r>
          </w:p>
        </w:tc>
        <w:tc>
          <w:tcPr>
            <w:tcW w:w="8193" w:type="dxa"/>
            <w:tcBorders>
              <w:top w:val="dotted" w:sz="4" w:space="0" w:color="auto"/>
              <w:bottom w:val="dotted" w:sz="4" w:space="0" w:color="auto"/>
            </w:tcBorders>
          </w:tcPr>
          <w:p w14:paraId="4619BCAB" w14:textId="384401E0" w:rsidR="0015545C" w:rsidRPr="0015545C" w:rsidRDefault="0015545C" w:rsidP="00A25066">
            <w:pPr>
              <w:rPr>
                <w:sz w:val="24"/>
                <w:szCs w:val="24"/>
                <w:u w:val="single"/>
              </w:rPr>
            </w:pPr>
            <w:r w:rsidRPr="0015545C">
              <w:rPr>
                <w:sz w:val="24"/>
                <w:szCs w:val="24"/>
                <w:u w:val="single"/>
              </w:rPr>
              <w:t>New Members</w:t>
            </w:r>
          </w:p>
        </w:tc>
      </w:tr>
      <w:tr w:rsidR="0015545C" w:rsidRPr="00DD39EE" w14:paraId="1E8BCE0C" w14:textId="77777777" w:rsidTr="00862DF3">
        <w:tc>
          <w:tcPr>
            <w:tcW w:w="823" w:type="dxa"/>
            <w:tcBorders>
              <w:top w:val="dotted" w:sz="4" w:space="0" w:color="auto"/>
              <w:bottom w:val="dotted" w:sz="4" w:space="0" w:color="auto"/>
            </w:tcBorders>
          </w:tcPr>
          <w:p w14:paraId="5B6446EA" w14:textId="77777777" w:rsidR="0015545C" w:rsidRPr="0015545C" w:rsidRDefault="0015545C" w:rsidP="00770B98">
            <w:pPr>
              <w:rPr>
                <w:sz w:val="24"/>
                <w:szCs w:val="24"/>
              </w:rPr>
            </w:pPr>
          </w:p>
        </w:tc>
        <w:tc>
          <w:tcPr>
            <w:tcW w:w="8193" w:type="dxa"/>
            <w:tcBorders>
              <w:top w:val="dotted" w:sz="4" w:space="0" w:color="auto"/>
              <w:bottom w:val="dotted" w:sz="4" w:space="0" w:color="auto"/>
            </w:tcBorders>
          </w:tcPr>
          <w:p w14:paraId="31016BA8" w14:textId="17251CAB" w:rsidR="0015545C" w:rsidRPr="0015545C" w:rsidRDefault="0015545C" w:rsidP="00A25066">
            <w:pPr>
              <w:rPr>
                <w:sz w:val="24"/>
                <w:szCs w:val="24"/>
              </w:rPr>
            </w:pPr>
            <w:r w:rsidRPr="0015545C">
              <w:rPr>
                <w:sz w:val="24"/>
                <w:szCs w:val="24"/>
              </w:rPr>
              <w:t>The Chair welcomed Eilis Barry and Mary Doyle to the Board.</w:t>
            </w:r>
          </w:p>
        </w:tc>
      </w:tr>
      <w:tr w:rsidR="008B03A4" w:rsidRPr="00DD39EE" w14:paraId="2A37C8AB" w14:textId="77777777" w:rsidTr="00862DF3">
        <w:tc>
          <w:tcPr>
            <w:tcW w:w="823" w:type="dxa"/>
            <w:tcBorders>
              <w:top w:val="dotted" w:sz="4" w:space="0" w:color="auto"/>
              <w:bottom w:val="dotted" w:sz="4" w:space="0" w:color="auto"/>
            </w:tcBorders>
          </w:tcPr>
          <w:p w14:paraId="56DCF9E8" w14:textId="00FCFA39" w:rsidR="008B03A4" w:rsidRPr="00F27F25" w:rsidRDefault="0015545C" w:rsidP="00A25066">
            <w:pPr>
              <w:rPr>
                <w:sz w:val="24"/>
                <w:szCs w:val="24"/>
              </w:rPr>
            </w:pPr>
            <w:r>
              <w:rPr>
                <w:sz w:val="24"/>
                <w:szCs w:val="24"/>
              </w:rPr>
              <w:t>0.2</w:t>
            </w:r>
          </w:p>
        </w:tc>
        <w:tc>
          <w:tcPr>
            <w:tcW w:w="8193" w:type="dxa"/>
            <w:tcBorders>
              <w:top w:val="dotted" w:sz="4" w:space="0" w:color="auto"/>
              <w:bottom w:val="dotted" w:sz="4" w:space="0" w:color="auto"/>
            </w:tcBorders>
          </w:tcPr>
          <w:p w14:paraId="766C0CE6" w14:textId="310D037A" w:rsidR="008B03A4" w:rsidRPr="00F27F25" w:rsidRDefault="008B03A4" w:rsidP="00A25066">
            <w:pPr>
              <w:rPr>
                <w:sz w:val="24"/>
                <w:szCs w:val="24"/>
                <w:u w:val="single"/>
              </w:rPr>
            </w:pPr>
            <w:r w:rsidRPr="00F27F25">
              <w:rPr>
                <w:sz w:val="24"/>
                <w:szCs w:val="24"/>
                <w:u w:val="single"/>
              </w:rPr>
              <w:t xml:space="preserve">Declaration of </w:t>
            </w:r>
            <w:r w:rsidR="00FC6842">
              <w:rPr>
                <w:sz w:val="24"/>
                <w:szCs w:val="24"/>
                <w:u w:val="single"/>
              </w:rPr>
              <w:t>I</w:t>
            </w:r>
            <w:r w:rsidRPr="00F27F25">
              <w:rPr>
                <w:sz w:val="24"/>
                <w:szCs w:val="24"/>
                <w:u w:val="single"/>
              </w:rPr>
              <w:t>nterests</w:t>
            </w:r>
          </w:p>
        </w:tc>
      </w:tr>
      <w:tr w:rsidR="00A25066" w:rsidRPr="00DD39EE" w14:paraId="3CC3AD30" w14:textId="77777777" w:rsidTr="00862DF3">
        <w:tc>
          <w:tcPr>
            <w:tcW w:w="823" w:type="dxa"/>
            <w:tcBorders>
              <w:top w:val="dotted" w:sz="4" w:space="0" w:color="auto"/>
              <w:bottom w:val="dotted" w:sz="4" w:space="0" w:color="auto"/>
            </w:tcBorders>
          </w:tcPr>
          <w:p w14:paraId="3D52EF09" w14:textId="4298F940" w:rsidR="00A25066" w:rsidRPr="00F27F25" w:rsidRDefault="00235143" w:rsidP="00A25066">
            <w:pPr>
              <w:rPr>
                <w:sz w:val="24"/>
                <w:szCs w:val="24"/>
              </w:rPr>
            </w:pPr>
            <w:r>
              <w:rPr>
                <w:sz w:val="24"/>
                <w:szCs w:val="24"/>
              </w:rPr>
              <w:t>0.</w:t>
            </w:r>
            <w:r w:rsidR="0015545C">
              <w:rPr>
                <w:sz w:val="24"/>
                <w:szCs w:val="24"/>
              </w:rPr>
              <w:t>2</w:t>
            </w:r>
            <w:r w:rsidR="008B03A4" w:rsidRPr="00F27F25">
              <w:rPr>
                <w:sz w:val="24"/>
                <w:szCs w:val="24"/>
              </w:rPr>
              <w:t>.1</w:t>
            </w:r>
          </w:p>
        </w:tc>
        <w:tc>
          <w:tcPr>
            <w:tcW w:w="8193" w:type="dxa"/>
            <w:tcBorders>
              <w:top w:val="dotted" w:sz="4" w:space="0" w:color="auto"/>
              <w:bottom w:val="dotted" w:sz="4" w:space="0" w:color="auto"/>
            </w:tcBorders>
          </w:tcPr>
          <w:p w14:paraId="31A908CF" w14:textId="7D566598" w:rsidR="00A25066" w:rsidRPr="00F27F25"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6B316D">
              <w:rPr>
                <w:sz w:val="24"/>
                <w:szCs w:val="24"/>
              </w:rPr>
              <w:t>An interest had previously been declared to the Chair by James Clarke in relation to the review of MABS National Development. It was agreed that this item would be taken first</w:t>
            </w:r>
            <w:r w:rsidR="00480048">
              <w:rPr>
                <w:sz w:val="24"/>
                <w:szCs w:val="24"/>
              </w:rPr>
              <w:t>, after which Mr Clarke would join the meeting.</w:t>
            </w:r>
          </w:p>
        </w:tc>
      </w:tr>
      <w:tr w:rsidR="00480048" w:rsidRPr="00DD39EE" w14:paraId="3896BC84" w14:textId="77777777" w:rsidTr="00862DF3">
        <w:tc>
          <w:tcPr>
            <w:tcW w:w="823" w:type="dxa"/>
            <w:tcBorders>
              <w:top w:val="dotted" w:sz="4" w:space="0" w:color="auto"/>
              <w:bottom w:val="dotted" w:sz="4" w:space="0" w:color="auto"/>
            </w:tcBorders>
          </w:tcPr>
          <w:p w14:paraId="1B950716" w14:textId="36C49CFE" w:rsidR="00480048" w:rsidRPr="00480048" w:rsidRDefault="00480048" w:rsidP="00A25066">
            <w:pPr>
              <w:rPr>
                <w:b/>
                <w:sz w:val="24"/>
                <w:szCs w:val="24"/>
              </w:rPr>
            </w:pPr>
            <w:r w:rsidRPr="00480048">
              <w:rPr>
                <w:b/>
                <w:sz w:val="24"/>
                <w:szCs w:val="24"/>
              </w:rPr>
              <w:t>1</w:t>
            </w:r>
          </w:p>
        </w:tc>
        <w:tc>
          <w:tcPr>
            <w:tcW w:w="8193" w:type="dxa"/>
            <w:tcBorders>
              <w:top w:val="dotted" w:sz="4" w:space="0" w:color="auto"/>
              <w:bottom w:val="dotted" w:sz="4" w:space="0" w:color="auto"/>
            </w:tcBorders>
          </w:tcPr>
          <w:p w14:paraId="3F3D9555" w14:textId="2C04BB90" w:rsidR="00480048" w:rsidRPr="00480048" w:rsidRDefault="00480048" w:rsidP="007915D4">
            <w:pPr>
              <w:jc w:val="both"/>
              <w:rPr>
                <w:b/>
                <w:sz w:val="24"/>
                <w:szCs w:val="24"/>
              </w:rPr>
            </w:pPr>
            <w:r w:rsidRPr="00480048">
              <w:rPr>
                <w:b/>
                <w:sz w:val="24"/>
                <w:szCs w:val="24"/>
              </w:rPr>
              <w:t>Review of MABSnd</w:t>
            </w:r>
          </w:p>
        </w:tc>
      </w:tr>
      <w:tr w:rsidR="00480048" w:rsidRPr="00DD39EE" w14:paraId="206FE45D" w14:textId="77777777" w:rsidTr="00862DF3">
        <w:tc>
          <w:tcPr>
            <w:tcW w:w="823" w:type="dxa"/>
            <w:tcBorders>
              <w:top w:val="dotted" w:sz="4" w:space="0" w:color="auto"/>
              <w:bottom w:val="dotted" w:sz="4" w:space="0" w:color="auto"/>
            </w:tcBorders>
          </w:tcPr>
          <w:p w14:paraId="10629F2D" w14:textId="2F4C4613" w:rsidR="00480048" w:rsidRDefault="00480048" w:rsidP="00A25066">
            <w:pPr>
              <w:rPr>
                <w:sz w:val="24"/>
                <w:szCs w:val="24"/>
              </w:rPr>
            </w:pPr>
            <w:r>
              <w:rPr>
                <w:sz w:val="24"/>
                <w:szCs w:val="24"/>
              </w:rPr>
              <w:t>1.1</w:t>
            </w:r>
          </w:p>
        </w:tc>
        <w:tc>
          <w:tcPr>
            <w:tcW w:w="8193" w:type="dxa"/>
            <w:tcBorders>
              <w:top w:val="dotted" w:sz="4" w:space="0" w:color="auto"/>
              <w:bottom w:val="dotted" w:sz="4" w:space="0" w:color="auto"/>
            </w:tcBorders>
          </w:tcPr>
          <w:p w14:paraId="32812B89" w14:textId="509A9952" w:rsidR="00480048" w:rsidRDefault="00480048" w:rsidP="007915D4">
            <w:pPr>
              <w:jc w:val="both"/>
              <w:rPr>
                <w:sz w:val="24"/>
                <w:szCs w:val="24"/>
              </w:rPr>
            </w:pPr>
            <w:r>
              <w:rPr>
                <w:sz w:val="24"/>
                <w:szCs w:val="24"/>
              </w:rPr>
              <w:t>Following a procurement process, consultants from Persuasion have been tasked with reviewing MABS National Development. The scope of the review includes a detailed analysis of the organisation’s current position, as well as an analysis of overlaps with the Citizens Information Board and the distribution of responsibilities between the two organisations.</w:t>
            </w:r>
            <w:r w:rsidR="001C212A">
              <w:rPr>
                <w:sz w:val="24"/>
                <w:szCs w:val="24"/>
              </w:rPr>
              <w:t xml:space="preserve"> An update </w:t>
            </w:r>
            <w:r w:rsidR="00E739D8">
              <w:rPr>
                <w:sz w:val="24"/>
                <w:szCs w:val="24"/>
              </w:rPr>
              <w:t xml:space="preserve">on the review </w:t>
            </w:r>
            <w:r w:rsidR="001C212A">
              <w:rPr>
                <w:sz w:val="24"/>
                <w:szCs w:val="24"/>
              </w:rPr>
              <w:t>will be provided at the Board meeting in December.</w:t>
            </w:r>
          </w:p>
        </w:tc>
      </w:tr>
      <w:tr w:rsidR="00A25066" w:rsidRPr="00DD39EE" w14:paraId="34EC4D27" w14:textId="77777777" w:rsidTr="00862DF3">
        <w:tc>
          <w:tcPr>
            <w:tcW w:w="823" w:type="dxa"/>
            <w:tcBorders>
              <w:top w:val="dotted" w:sz="4" w:space="0" w:color="auto"/>
              <w:bottom w:val="dotted" w:sz="4" w:space="0" w:color="auto"/>
            </w:tcBorders>
          </w:tcPr>
          <w:p w14:paraId="0817E1D3" w14:textId="599220B9" w:rsidR="00A25066" w:rsidRPr="00F27F25" w:rsidRDefault="00F5163D" w:rsidP="00A25066">
            <w:pPr>
              <w:rPr>
                <w:b/>
                <w:sz w:val="24"/>
                <w:szCs w:val="24"/>
              </w:rPr>
            </w:pPr>
            <w:r>
              <w:rPr>
                <w:b/>
                <w:sz w:val="24"/>
                <w:szCs w:val="24"/>
              </w:rPr>
              <w:t>2</w:t>
            </w:r>
          </w:p>
        </w:tc>
        <w:tc>
          <w:tcPr>
            <w:tcW w:w="8193" w:type="dxa"/>
            <w:tcBorders>
              <w:top w:val="dotted" w:sz="4" w:space="0" w:color="auto"/>
              <w:bottom w:val="dotted" w:sz="4" w:space="0" w:color="auto"/>
            </w:tcBorders>
          </w:tcPr>
          <w:p w14:paraId="173F028B" w14:textId="53B00E16" w:rsidR="00A25066" w:rsidRPr="00F27F25" w:rsidRDefault="000F3B00" w:rsidP="007915D4">
            <w:pPr>
              <w:jc w:val="both"/>
              <w:rPr>
                <w:b/>
                <w:sz w:val="24"/>
                <w:szCs w:val="24"/>
              </w:rPr>
            </w:pPr>
            <w:r>
              <w:rPr>
                <w:b/>
                <w:sz w:val="24"/>
                <w:szCs w:val="24"/>
              </w:rPr>
              <w:t>Minutes of Previous M</w:t>
            </w:r>
            <w:r w:rsidR="00A25066" w:rsidRPr="00F27F25">
              <w:rPr>
                <w:b/>
                <w:sz w:val="24"/>
                <w:szCs w:val="24"/>
              </w:rPr>
              <w:t xml:space="preserve">eeting </w:t>
            </w:r>
          </w:p>
          <w:p w14:paraId="67514C63" w14:textId="425F3136" w:rsidR="00A25066" w:rsidRPr="00F27F25" w:rsidRDefault="00A25066" w:rsidP="007915D4">
            <w:pPr>
              <w:jc w:val="both"/>
              <w:rPr>
                <w:i/>
                <w:sz w:val="24"/>
                <w:szCs w:val="24"/>
              </w:rPr>
            </w:pPr>
            <w:r w:rsidRPr="00F27F25">
              <w:rPr>
                <w:i/>
                <w:sz w:val="24"/>
                <w:szCs w:val="24"/>
              </w:rPr>
              <w:t xml:space="preserve">(The minutes of the Board meeting held on </w:t>
            </w:r>
            <w:r w:rsidR="00F67FA5">
              <w:rPr>
                <w:i/>
                <w:sz w:val="24"/>
                <w:szCs w:val="24"/>
              </w:rPr>
              <w:t xml:space="preserve">Wednesday, </w:t>
            </w:r>
            <w:r w:rsidR="00480048">
              <w:rPr>
                <w:i/>
                <w:sz w:val="24"/>
                <w:szCs w:val="24"/>
              </w:rPr>
              <w:t>19 September</w:t>
            </w:r>
            <w:r w:rsidR="000D6E84" w:rsidRPr="00F27F25">
              <w:rPr>
                <w:i/>
                <w:sz w:val="24"/>
                <w:szCs w:val="24"/>
              </w:rPr>
              <w:t xml:space="preserve"> 2018</w:t>
            </w:r>
            <w:r w:rsidRPr="00F27F25">
              <w:rPr>
                <w:i/>
                <w:sz w:val="24"/>
                <w:szCs w:val="24"/>
              </w:rPr>
              <w:t xml:space="preserve"> were circulated in advance of the meeting.)</w:t>
            </w:r>
          </w:p>
        </w:tc>
      </w:tr>
      <w:tr w:rsidR="00A25066" w:rsidRPr="00DD39EE" w14:paraId="582B4A46" w14:textId="77777777" w:rsidTr="00862DF3">
        <w:tc>
          <w:tcPr>
            <w:tcW w:w="823" w:type="dxa"/>
            <w:tcBorders>
              <w:top w:val="dotted" w:sz="4" w:space="0" w:color="auto"/>
              <w:bottom w:val="dotted" w:sz="4" w:space="0" w:color="auto"/>
            </w:tcBorders>
          </w:tcPr>
          <w:p w14:paraId="6858AD2E" w14:textId="16DCD10E" w:rsidR="00A25066" w:rsidRPr="00DD39EE" w:rsidRDefault="00F5163D" w:rsidP="00A25066">
            <w:pPr>
              <w:rPr>
                <w:sz w:val="24"/>
                <w:szCs w:val="24"/>
              </w:rPr>
            </w:pPr>
            <w:r>
              <w:rPr>
                <w:sz w:val="24"/>
                <w:szCs w:val="24"/>
              </w:rPr>
              <w:t>2</w:t>
            </w:r>
            <w:r w:rsidR="00A25066" w:rsidRPr="00DD39EE">
              <w:rPr>
                <w:sz w:val="24"/>
                <w:szCs w:val="24"/>
              </w:rPr>
              <w:t>.1</w:t>
            </w:r>
          </w:p>
        </w:tc>
        <w:tc>
          <w:tcPr>
            <w:tcW w:w="8193" w:type="dxa"/>
            <w:tcBorders>
              <w:top w:val="dotted" w:sz="4" w:space="0" w:color="auto"/>
              <w:bottom w:val="dotted" w:sz="4" w:space="0" w:color="auto"/>
            </w:tcBorders>
          </w:tcPr>
          <w:p w14:paraId="2CF899A6" w14:textId="59AE7B55" w:rsidR="00A25066" w:rsidRPr="00AA2BF2" w:rsidRDefault="00A25066" w:rsidP="007915D4">
            <w:pPr>
              <w:jc w:val="both"/>
              <w:rPr>
                <w:sz w:val="24"/>
                <w:szCs w:val="24"/>
              </w:rPr>
            </w:pPr>
            <w:r>
              <w:rPr>
                <w:sz w:val="24"/>
                <w:szCs w:val="24"/>
              </w:rPr>
              <w:t xml:space="preserve">The minutes were proposed by </w:t>
            </w:r>
            <w:r w:rsidR="00480048">
              <w:rPr>
                <w:sz w:val="24"/>
                <w:szCs w:val="24"/>
              </w:rPr>
              <w:t>Tina Leonard</w:t>
            </w:r>
            <w:r w:rsidR="00874F41">
              <w:rPr>
                <w:sz w:val="24"/>
                <w:szCs w:val="24"/>
              </w:rPr>
              <w:t xml:space="preserve"> and seconded by </w:t>
            </w:r>
            <w:r w:rsidR="00480048">
              <w:rPr>
                <w:sz w:val="24"/>
                <w:szCs w:val="24"/>
              </w:rPr>
              <w:t>Cearbhall O Meadhra</w:t>
            </w:r>
            <w:r>
              <w:rPr>
                <w:sz w:val="24"/>
                <w:szCs w:val="24"/>
              </w:rPr>
              <w:t>.</w:t>
            </w:r>
          </w:p>
        </w:tc>
      </w:tr>
      <w:tr w:rsidR="00A25066" w:rsidRPr="00DD39EE" w14:paraId="05F95226" w14:textId="77777777" w:rsidTr="00862DF3">
        <w:tc>
          <w:tcPr>
            <w:tcW w:w="823" w:type="dxa"/>
            <w:tcBorders>
              <w:top w:val="dotted" w:sz="4" w:space="0" w:color="auto"/>
              <w:bottom w:val="dotted" w:sz="4" w:space="0" w:color="auto"/>
            </w:tcBorders>
          </w:tcPr>
          <w:p w14:paraId="0FCD3886" w14:textId="12134CA3" w:rsidR="00A25066" w:rsidRPr="003809E1" w:rsidRDefault="00F5163D" w:rsidP="00A25066">
            <w:pPr>
              <w:rPr>
                <w:b/>
                <w:sz w:val="24"/>
                <w:szCs w:val="24"/>
              </w:rPr>
            </w:pPr>
            <w:r>
              <w:rPr>
                <w:b/>
                <w:sz w:val="24"/>
                <w:szCs w:val="24"/>
              </w:rPr>
              <w:t>3</w:t>
            </w:r>
          </w:p>
        </w:tc>
        <w:tc>
          <w:tcPr>
            <w:tcW w:w="8193" w:type="dxa"/>
            <w:tcBorders>
              <w:top w:val="dotted" w:sz="4" w:space="0" w:color="auto"/>
              <w:bottom w:val="dotted" w:sz="4" w:space="0" w:color="auto"/>
            </w:tcBorders>
          </w:tcPr>
          <w:p w14:paraId="4EFE1F08" w14:textId="01D440B8" w:rsidR="00A25066" w:rsidRPr="00AA2BF2" w:rsidRDefault="00480048" w:rsidP="007915D4">
            <w:pPr>
              <w:jc w:val="both"/>
              <w:rPr>
                <w:b/>
                <w:sz w:val="24"/>
                <w:szCs w:val="24"/>
              </w:rPr>
            </w:pPr>
            <w:r>
              <w:rPr>
                <w:b/>
                <w:sz w:val="24"/>
                <w:szCs w:val="24"/>
              </w:rPr>
              <w:t>Matters Arising</w:t>
            </w:r>
          </w:p>
        </w:tc>
      </w:tr>
      <w:tr w:rsidR="00874F41" w:rsidRPr="00DD39EE" w14:paraId="704ADF71" w14:textId="77777777" w:rsidTr="00862DF3">
        <w:tc>
          <w:tcPr>
            <w:tcW w:w="823" w:type="dxa"/>
            <w:tcBorders>
              <w:top w:val="dotted" w:sz="4" w:space="0" w:color="auto"/>
              <w:bottom w:val="dotted" w:sz="4" w:space="0" w:color="auto"/>
            </w:tcBorders>
          </w:tcPr>
          <w:p w14:paraId="7F1A376B" w14:textId="59CB8854" w:rsidR="00874F41" w:rsidRDefault="00F5163D" w:rsidP="00A25066">
            <w:pPr>
              <w:rPr>
                <w:sz w:val="24"/>
                <w:szCs w:val="24"/>
              </w:rPr>
            </w:pPr>
            <w:r>
              <w:rPr>
                <w:sz w:val="24"/>
                <w:szCs w:val="24"/>
              </w:rPr>
              <w:t>3</w:t>
            </w:r>
            <w:r w:rsidR="00874F41">
              <w:rPr>
                <w:sz w:val="24"/>
                <w:szCs w:val="24"/>
              </w:rPr>
              <w:t>.1</w:t>
            </w:r>
          </w:p>
        </w:tc>
        <w:tc>
          <w:tcPr>
            <w:tcW w:w="8193" w:type="dxa"/>
            <w:tcBorders>
              <w:top w:val="dotted" w:sz="4" w:space="0" w:color="auto"/>
              <w:bottom w:val="dotted" w:sz="4" w:space="0" w:color="auto"/>
            </w:tcBorders>
          </w:tcPr>
          <w:p w14:paraId="2BCCF11E" w14:textId="0BE83D69" w:rsidR="00874F41" w:rsidRDefault="004661A9" w:rsidP="007915D4">
            <w:pPr>
              <w:jc w:val="both"/>
              <w:rPr>
                <w:sz w:val="24"/>
                <w:szCs w:val="24"/>
              </w:rPr>
            </w:pPr>
            <w:r>
              <w:rPr>
                <w:sz w:val="24"/>
                <w:szCs w:val="24"/>
              </w:rPr>
              <w:t xml:space="preserve">The Chair </w:t>
            </w:r>
            <w:r w:rsidR="00480048">
              <w:rPr>
                <w:sz w:val="24"/>
                <w:szCs w:val="24"/>
              </w:rPr>
              <w:t>noted that the Board had previously made a decision to reduce its quorum to six</w:t>
            </w:r>
            <w:r w:rsidR="0036347F">
              <w:rPr>
                <w:sz w:val="24"/>
                <w:szCs w:val="24"/>
              </w:rPr>
              <w:t>.</w:t>
            </w:r>
            <w:r w:rsidR="00480048">
              <w:rPr>
                <w:sz w:val="24"/>
                <w:szCs w:val="24"/>
              </w:rPr>
              <w:t xml:space="preserve"> With the addition of new members, the Board agreed to return the quorum to eight.</w:t>
            </w:r>
          </w:p>
        </w:tc>
      </w:tr>
      <w:tr w:rsidR="00A25066" w:rsidRPr="00E767AF" w14:paraId="64E85B78" w14:textId="77777777" w:rsidTr="00862DF3">
        <w:tc>
          <w:tcPr>
            <w:tcW w:w="823" w:type="dxa"/>
            <w:tcBorders>
              <w:top w:val="dotted" w:sz="4" w:space="0" w:color="auto"/>
              <w:bottom w:val="dotted" w:sz="4" w:space="0" w:color="auto"/>
            </w:tcBorders>
          </w:tcPr>
          <w:p w14:paraId="48227B1F" w14:textId="37826E41" w:rsidR="00A25066" w:rsidRPr="00E767AF" w:rsidRDefault="00F9146D" w:rsidP="00A25066">
            <w:pPr>
              <w:rPr>
                <w:b/>
                <w:sz w:val="24"/>
                <w:szCs w:val="24"/>
              </w:rPr>
            </w:pPr>
            <w:r>
              <w:rPr>
                <w:b/>
                <w:sz w:val="24"/>
                <w:szCs w:val="24"/>
              </w:rPr>
              <w:t>4</w:t>
            </w:r>
          </w:p>
        </w:tc>
        <w:tc>
          <w:tcPr>
            <w:tcW w:w="8193" w:type="dxa"/>
            <w:tcBorders>
              <w:top w:val="dotted" w:sz="4" w:space="0" w:color="auto"/>
              <w:bottom w:val="dotted" w:sz="4" w:space="0" w:color="auto"/>
            </w:tcBorders>
          </w:tcPr>
          <w:p w14:paraId="6D1A4819" w14:textId="77777777" w:rsidR="00A25066" w:rsidRDefault="008A03F1" w:rsidP="007915D4">
            <w:pPr>
              <w:tabs>
                <w:tab w:val="left" w:pos="2822"/>
              </w:tabs>
              <w:jc w:val="both"/>
              <w:rPr>
                <w:b/>
                <w:sz w:val="24"/>
                <w:szCs w:val="24"/>
              </w:rPr>
            </w:pPr>
            <w:r>
              <w:rPr>
                <w:b/>
                <w:sz w:val="24"/>
                <w:szCs w:val="24"/>
              </w:rPr>
              <w:t xml:space="preserve">Restructuring </w:t>
            </w:r>
            <w:r w:rsidR="000F3B00">
              <w:rPr>
                <w:b/>
                <w:sz w:val="24"/>
                <w:szCs w:val="24"/>
              </w:rPr>
              <w:t>U</w:t>
            </w:r>
            <w:r w:rsidR="00A25066">
              <w:rPr>
                <w:b/>
                <w:sz w:val="24"/>
                <w:szCs w:val="24"/>
              </w:rPr>
              <w:t>pdate</w:t>
            </w:r>
          </w:p>
          <w:p w14:paraId="6DDA25C8" w14:textId="51421EF7" w:rsidR="000F3B00" w:rsidRPr="000F3B00" w:rsidRDefault="000F3B00" w:rsidP="000F3B00">
            <w:pPr>
              <w:jc w:val="both"/>
              <w:rPr>
                <w:i/>
                <w:sz w:val="24"/>
                <w:szCs w:val="24"/>
              </w:rPr>
            </w:pPr>
            <w:r>
              <w:rPr>
                <w:i/>
                <w:sz w:val="24"/>
                <w:szCs w:val="24"/>
              </w:rPr>
              <w:t>(Two</w:t>
            </w:r>
            <w:r w:rsidRPr="004B308E">
              <w:rPr>
                <w:i/>
                <w:sz w:val="24"/>
                <w:szCs w:val="24"/>
              </w:rPr>
              <w:t xml:space="preserve"> updated </w:t>
            </w:r>
            <w:r>
              <w:rPr>
                <w:i/>
                <w:sz w:val="24"/>
                <w:szCs w:val="24"/>
              </w:rPr>
              <w:t>reports on the restructuring project</w:t>
            </w:r>
            <w:r w:rsidRPr="004B308E">
              <w:rPr>
                <w:i/>
                <w:sz w:val="24"/>
                <w:szCs w:val="24"/>
              </w:rPr>
              <w:t xml:space="preserve"> w</w:t>
            </w:r>
            <w:r>
              <w:rPr>
                <w:i/>
                <w:sz w:val="24"/>
                <w:szCs w:val="24"/>
              </w:rPr>
              <w:t>ere</w:t>
            </w:r>
            <w:r w:rsidRPr="004B308E">
              <w:rPr>
                <w:i/>
                <w:sz w:val="24"/>
                <w:szCs w:val="24"/>
              </w:rPr>
              <w:t xml:space="preserve"> circulated to Board members at the meeting.) </w:t>
            </w:r>
          </w:p>
        </w:tc>
      </w:tr>
      <w:tr w:rsidR="00A25066" w:rsidRPr="00DD39EE" w14:paraId="66C96FDB" w14:textId="77777777" w:rsidTr="00862DF3">
        <w:tc>
          <w:tcPr>
            <w:tcW w:w="823" w:type="dxa"/>
            <w:tcBorders>
              <w:top w:val="dotted" w:sz="4" w:space="0" w:color="auto"/>
              <w:bottom w:val="dotted" w:sz="4" w:space="0" w:color="auto"/>
            </w:tcBorders>
          </w:tcPr>
          <w:p w14:paraId="410A0780" w14:textId="7095EC06" w:rsidR="00A25066" w:rsidRDefault="00F9146D" w:rsidP="00A25066">
            <w:pPr>
              <w:rPr>
                <w:sz w:val="24"/>
                <w:szCs w:val="24"/>
              </w:rPr>
            </w:pPr>
            <w:r>
              <w:rPr>
                <w:sz w:val="24"/>
                <w:szCs w:val="24"/>
              </w:rPr>
              <w:lastRenderedPageBreak/>
              <w:t>4</w:t>
            </w:r>
            <w:r w:rsidR="00A25066">
              <w:rPr>
                <w:sz w:val="24"/>
                <w:szCs w:val="24"/>
              </w:rPr>
              <w:t>.1</w:t>
            </w:r>
          </w:p>
        </w:tc>
        <w:tc>
          <w:tcPr>
            <w:tcW w:w="8193" w:type="dxa"/>
            <w:tcBorders>
              <w:top w:val="dotted" w:sz="4" w:space="0" w:color="auto"/>
              <w:bottom w:val="dotted" w:sz="4" w:space="0" w:color="auto"/>
            </w:tcBorders>
          </w:tcPr>
          <w:p w14:paraId="38CE8B79" w14:textId="358462ED" w:rsidR="00A25066" w:rsidRPr="00AA2BF2" w:rsidRDefault="00EA53ED" w:rsidP="007915D4">
            <w:pPr>
              <w:tabs>
                <w:tab w:val="left" w:pos="2822"/>
              </w:tabs>
              <w:jc w:val="both"/>
              <w:rPr>
                <w:sz w:val="24"/>
                <w:szCs w:val="24"/>
              </w:rPr>
            </w:pPr>
            <w:r>
              <w:rPr>
                <w:sz w:val="24"/>
                <w:szCs w:val="24"/>
              </w:rPr>
              <w:t xml:space="preserve">An update on the restructuring project was provided. </w:t>
            </w:r>
            <w:r w:rsidR="00480048">
              <w:rPr>
                <w:sz w:val="24"/>
                <w:szCs w:val="24"/>
              </w:rPr>
              <w:t>The restructuring project was completed on 1 October</w:t>
            </w:r>
            <w:r w:rsidR="00D233F9">
              <w:rPr>
                <w:sz w:val="24"/>
                <w:szCs w:val="24"/>
              </w:rPr>
              <w:t>.</w:t>
            </w:r>
            <w:r w:rsidR="00480048">
              <w:rPr>
                <w:sz w:val="24"/>
                <w:szCs w:val="24"/>
              </w:rPr>
              <w:t xml:space="preserve"> Forty-nine of the 93 companies that have been restructured are now in liquidation. The restructuring team continues to assist with this process, along with the transfer of pensions to the 16 new companies</w:t>
            </w:r>
            <w:r w:rsidR="00033AB1">
              <w:rPr>
                <w:sz w:val="24"/>
                <w:szCs w:val="24"/>
              </w:rPr>
              <w:t xml:space="preserve">. </w:t>
            </w:r>
          </w:p>
        </w:tc>
      </w:tr>
      <w:tr w:rsidR="000E7D48" w:rsidRPr="00DD39EE" w14:paraId="17B07974" w14:textId="77777777" w:rsidTr="00862DF3">
        <w:tc>
          <w:tcPr>
            <w:tcW w:w="823" w:type="dxa"/>
            <w:tcBorders>
              <w:top w:val="dotted" w:sz="4" w:space="0" w:color="auto"/>
              <w:bottom w:val="dotted" w:sz="4" w:space="0" w:color="auto"/>
            </w:tcBorders>
          </w:tcPr>
          <w:p w14:paraId="1BCC7FFE" w14:textId="021937DD" w:rsidR="000E7D48" w:rsidRPr="00D97609" w:rsidRDefault="0078789A" w:rsidP="00A25066">
            <w:pPr>
              <w:rPr>
                <w:b/>
                <w:sz w:val="24"/>
                <w:szCs w:val="24"/>
              </w:rPr>
            </w:pPr>
            <w:r>
              <w:rPr>
                <w:b/>
                <w:sz w:val="24"/>
                <w:szCs w:val="24"/>
              </w:rPr>
              <w:t>5</w:t>
            </w:r>
          </w:p>
        </w:tc>
        <w:tc>
          <w:tcPr>
            <w:tcW w:w="8193" w:type="dxa"/>
            <w:tcBorders>
              <w:top w:val="dotted" w:sz="4" w:space="0" w:color="auto"/>
              <w:bottom w:val="dotted" w:sz="4" w:space="0" w:color="auto"/>
            </w:tcBorders>
          </w:tcPr>
          <w:p w14:paraId="0F57003A" w14:textId="45AC10BA" w:rsidR="000E7D48" w:rsidRPr="00D97609" w:rsidRDefault="000F3B00" w:rsidP="00A25066">
            <w:pPr>
              <w:rPr>
                <w:b/>
                <w:sz w:val="24"/>
                <w:szCs w:val="24"/>
              </w:rPr>
            </w:pPr>
            <w:r>
              <w:rPr>
                <w:b/>
                <w:sz w:val="24"/>
                <w:szCs w:val="24"/>
              </w:rPr>
              <w:t>Finance M</w:t>
            </w:r>
            <w:r w:rsidR="00EA400B" w:rsidRPr="00D97609">
              <w:rPr>
                <w:b/>
                <w:sz w:val="24"/>
                <w:szCs w:val="24"/>
              </w:rPr>
              <w:t>atters</w:t>
            </w:r>
          </w:p>
        </w:tc>
      </w:tr>
      <w:tr w:rsidR="000F4B96" w:rsidRPr="00DD39EE" w14:paraId="0C1AAE28" w14:textId="77777777" w:rsidTr="00862DF3">
        <w:tc>
          <w:tcPr>
            <w:tcW w:w="823" w:type="dxa"/>
            <w:tcBorders>
              <w:top w:val="dotted" w:sz="4" w:space="0" w:color="auto"/>
              <w:bottom w:val="dotted" w:sz="4" w:space="0" w:color="auto"/>
            </w:tcBorders>
          </w:tcPr>
          <w:p w14:paraId="66EC70BE" w14:textId="27DC0E92" w:rsidR="000F4B96" w:rsidRDefault="0078789A" w:rsidP="00A25066">
            <w:pPr>
              <w:rPr>
                <w:sz w:val="24"/>
                <w:szCs w:val="24"/>
              </w:rPr>
            </w:pPr>
            <w:r>
              <w:rPr>
                <w:sz w:val="24"/>
                <w:szCs w:val="24"/>
              </w:rPr>
              <w:t>5</w:t>
            </w:r>
            <w:r w:rsidR="00D233F9">
              <w:rPr>
                <w:sz w:val="24"/>
                <w:szCs w:val="24"/>
              </w:rPr>
              <w:t>.1</w:t>
            </w:r>
          </w:p>
        </w:tc>
        <w:tc>
          <w:tcPr>
            <w:tcW w:w="8193" w:type="dxa"/>
            <w:tcBorders>
              <w:top w:val="dotted" w:sz="4" w:space="0" w:color="auto"/>
              <w:bottom w:val="dotted" w:sz="4" w:space="0" w:color="auto"/>
            </w:tcBorders>
          </w:tcPr>
          <w:p w14:paraId="17AE12FA" w14:textId="7F050E1C" w:rsidR="000F4B96" w:rsidRPr="000F4B96" w:rsidRDefault="000F4B96" w:rsidP="00A25066">
            <w:pPr>
              <w:rPr>
                <w:sz w:val="24"/>
                <w:szCs w:val="24"/>
                <w:u w:val="single"/>
              </w:rPr>
            </w:pPr>
            <w:r w:rsidRPr="000F4B96">
              <w:rPr>
                <w:sz w:val="24"/>
                <w:szCs w:val="24"/>
                <w:u w:val="single"/>
              </w:rPr>
              <w:t>Budget Monitoring</w:t>
            </w:r>
          </w:p>
        </w:tc>
      </w:tr>
      <w:tr w:rsidR="00EA400B" w:rsidRPr="00DD39EE" w14:paraId="4839A560" w14:textId="77777777" w:rsidTr="00862DF3">
        <w:tc>
          <w:tcPr>
            <w:tcW w:w="823" w:type="dxa"/>
            <w:tcBorders>
              <w:top w:val="dotted" w:sz="4" w:space="0" w:color="auto"/>
              <w:bottom w:val="dotted" w:sz="4" w:space="0" w:color="auto"/>
            </w:tcBorders>
          </w:tcPr>
          <w:p w14:paraId="4DD04347" w14:textId="07886A8E" w:rsidR="00EA400B" w:rsidRDefault="0078789A" w:rsidP="00A25066">
            <w:pPr>
              <w:rPr>
                <w:sz w:val="24"/>
                <w:szCs w:val="24"/>
              </w:rPr>
            </w:pPr>
            <w:r>
              <w:rPr>
                <w:sz w:val="24"/>
                <w:szCs w:val="24"/>
              </w:rPr>
              <w:t>5.1</w:t>
            </w:r>
            <w:r w:rsidR="000F4B96">
              <w:rPr>
                <w:sz w:val="24"/>
                <w:szCs w:val="24"/>
              </w:rPr>
              <w:t>.1</w:t>
            </w:r>
          </w:p>
        </w:tc>
        <w:tc>
          <w:tcPr>
            <w:tcW w:w="8193" w:type="dxa"/>
            <w:tcBorders>
              <w:top w:val="dotted" w:sz="4" w:space="0" w:color="auto"/>
              <w:bottom w:val="dotted" w:sz="4" w:space="0" w:color="auto"/>
            </w:tcBorders>
          </w:tcPr>
          <w:p w14:paraId="49B1E20B" w14:textId="5FAFA901" w:rsidR="00EA400B" w:rsidRDefault="00B4626F" w:rsidP="007915D4">
            <w:pPr>
              <w:jc w:val="both"/>
              <w:rPr>
                <w:sz w:val="24"/>
                <w:szCs w:val="24"/>
              </w:rPr>
            </w:pPr>
            <w:r>
              <w:rPr>
                <w:sz w:val="24"/>
                <w:szCs w:val="24"/>
              </w:rPr>
              <w:t xml:space="preserve">The </w:t>
            </w:r>
            <w:r w:rsidR="000A6C42" w:rsidRPr="000A6C42">
              <w:rPr>
                <w:sz w:val="24"/>
                <w:szCs w:val="24"/>
              </w:rPr>
              <w:t xml:space="preserve">Budget Monitoring Report </w:t>
            </w:r>
            <w:r>
              <w:rPr>
                <w:sz w:val="24"/>
                <w:szCs w:val="24"/>
              </w:rPr>
              <w:t xml:space="preserve">for </w:t>
            </w:r>
            <w:r w:rsidR="00033AB1">
              <w:rPr>
                <w:sz w:val="24"/>
                <w:szCs w:val="24"/>
              </w:rPr>
              <w:t>October</w:t>
            </w:r>
            <w:r w:rsidR="000A6C42" w:rsidRPr="000A6C42">
              <w:rPr>
                <w:sz w:val="24"/>
                <w:szCs w:val="24"/>
              </w:rPr>
              <w:t xml:space="preserve"> 2018</w:t>
            </w:r>
            <w:r w:rsidR="002D2D5E">
              <w:rPr>
                <w:sz w:val="24"/>
                <w:szCs w:val="24"/>
              </w:rPr>
              <w:t xml:space="preserve"> </w:t>
            </w:r>
            <w:r w:rsidR="00B52129">
              <w:rPr>
                <w:sz w:val="24"/>
                <w:szCs w:val="24"/>
              </w:rPr>
              <w:t xml:space="preserve">showed </w:t>
            </w:r>
            <w:r w:rsidR="00D233F9" w:rsidRPr="00D233F9">
              <w:rPr>
                <w:sz w:val="24"/>
                <w:szCs w:val="24"/>
              </w:rPr>
              <w:t xml:space="preserve">overall excess of income over expenditure for the year to </w:t>
            </w:r>
            <w:r w:rsidR="00033AB1">
              <w:rPr>
                <w:sz w:val="24"/>
                <w:szCs w:val="24"/>
              </w:rPr>
              <w:t>October</w:t>
            </w:r>
            <w:r w:rsidR="00D233F9" w:rsidRPr="00D233F9">
              <w:rPr>
                <w:sz w:val="24"/>
                <w:szCs w:val="24"/>
              </w:rPr>
              <w:t xml:space="preserve"> </w:t>
            </w:r>
            <w:r w:rsidR="00D233F9">
              <w:rPr>
                <w:sz w:val="24"/>
                <w:szCs w:val="24"/>
              </w:rPr>
              <w:t>o</w:t>
            </w:r>
            <w:r w:rsidR="00D233F9" w:rsidRPr="001A35A3">
              <w:rPr>
                <w:sz w:val="24"/>
                <w:szCs w:val="24"/>
              </w:rPr>
              <w:t>f €</w:t>
            </w:r>
            <w:r w:rsidR="001A35A3" w:rsidRPr="001A35A3">
              <w:rPr>
                <w:sz w:val="24"/>
                <w:szCs w:val="24"/>
              </w:rPr>
              <w:t>5,490,008</w:t>
            </w:r>
            <w:r>
              <w:rPr>
                <w:sz w:val="24"/>
                <w:szCs w:val="24"/>
              </w:rPr>
              <w:t>.</w:t>
            </w:r>
            <w:r w:rsidR="00B52129">
              <w:rPr>
                <w:sz w:val="24"/>
                <w:szCs w:val="24"/>
              </w:rPr>
              <w:t xml:space="preserve"> </w:t>
            </w:r>
          </w:p>
        </w:tc>
      </w:tr>
      <w:tr w:rsidR="00D233F9" w:rsidRPr="00DD39EE" w14:paraId="62293D1D" w14:textId="77777777" w:rsidTr="00862DF3">
        <w:tc>
          <w:tcPr>
            <w:tcW w:w="823" w:type="dxa"/>
            <w:tcBorders>
              <w:top w:val="dotted" w:sz="4" w:space="0" w:color="auto"/>
              <w:bottom w:val="dotted" w:sz="4" w:space="0" w:color="auto"/>
            </w:tcBorders>
          </w:tcPr>
          <w:p w14:paraId="1B6999C5" w14:textId="22858821" w:rsidR="00D233F9" w:rsidRDefault="0078789A" w:rsidP="00D233F9">
            <w:pPr>
              <w:rPr>
                <w:sz w:val="24"/>
                <w:szCs w:val="24"/>
              </w:rPr>
            </w:pPr>
            <w:r>
              <w:rPr>
                <w:sz w:val="24"/>
                <w:szCs w:val="24"/>
              </w:rPr>
              <w:t>5.2</w:t>
            </w:r>
          </w:p>
        </w:tc>
        <w:tc>
          <w:tcPr>
            <w:tcW w:w="8193" w:type="dxa"/>
            <w:tcBorders>
              <w:top w:val="dotted" w:sz="4" w:space="0" w:color="auto"/>
              <w:bottom w:val="dotted" w:sz="4" w:space="0" w:color="auto"/>
            </w:tcBorders>
          </w:tcPr>
          <w:p w14:paraId="3D3CD7A2" w14:textId="6EAC7D2F" w:rsidR="00D233F9" w:rsidRDefault="00D233F9" w:rsidP="00D233F9">
            <w:pPr>
              <w:jc w:val="both"/>
              <w:rPr>
                <w:sz w:val="24"/>
                <w:szCs w:val="24"/>
              </w:rPr>
            </w:pPr>
            <w:r w:rsidRPr="00D52809">
              <w:rPr>
                <w:sz w:val="24"/>
                <w:szCs w:val="24"/>
                <w:u w:val="single"/>
              </w:rPr>
              <w:t>Risk Management</w:t>
            </w:r>
          </w:p>
        </w:tc>
      </w:tr>
      <w:tr w:rsidR="00D233F9" w:rsidRPr="00DD39EE" w14:paraId="68432B17" w14:textId="77777777" w:rsidTr="00862DF3">
        <w:tc>
          <w:tcPr>
            <w:tcW w:w="823" w:type="dxa"/>
            <w:tcBorders>
              <w:top w:val="dotted" w:sz="4" w:space="0" w:color="auto"/>
              <w:bottom w:val="dotted" w:sz="4" w:space="0" w:color="auto"/>
            </w:tcBorders>
          </w:tcPr>
          <w:p w14:paraId="352AA1E9" w14:textId="077EE533" w:rsidR="00D233F9" w:rsidRDefault="0078789A" w:rsidP="00D233F9">
            <w:pPr>
              <w:rPr>
                <w:sz w:val="24"/>
                <w:szCs w:val="24"/>
              </w:rPr>
            </w:pPr>
            <w:r>
              <w:rPr>
                <w:sz w:val="24"/>
                <w:szCs w:val="24"/>
              </w:rPr>
              <w:t>5.2.</w:t>
            </w:r>
            <w:r w:rsidR="00D233F9">
              <w:rPr>
                <w:sz w:val="24"/>
                <w:szCs w:val="24"/>
              </w:rPr>
              <w:t>1</w:t>
            </w:r>
          </w:p>
        </w:tc>
        <w:tc>
          <w:tcPr>
            <w:tcW w:w="8193" w:type="dxa"/>
            <w:tcBorders>
              <w:top w:val="dotted" w:sz="4" w:space="0" w:color="auto"/>
              <w:bottom w:val="dotted" w:sz="4" w:space="0" w:color="auto"/>
            </w:tcBorders>
          </w:tcPr>
          <w:p w14:paraId="3F923D37" w14:textId="245F73CF" w:rsidR="00D233F9" w:rsidRDefault="00033AB1" w:rsidP="00D233F9">
            <w:pPr>
              <w:jc w:val="both"/>
              <w:rPr>
                <w:sz w:val="24"/>
                <w:szCs w:val="24"/>
              </w:rPr>
            </w:pPr>
            <w:r>
              <w:rPr>
                <w:sz w:val="24"/>
                <w:szCs w:val="24"/>
              </w:rPr>
              <w:t>Strategic risks will be extracted for the Board from the December 2018 meeting. Risk management in CIB is scheduled for internal audit from 19 November 2018.</w:t>
            </w:r>
          </w:p>
        </w:tc>
      </w:tr>
      <w:tr w:rsidR="00033AB1" w:rsidRPr="00DD39EE" w14:paraId="7C5AB5BF" w14:textId="77777777" w:rsidTr="00862DF3">
        <w:tc>
          <w:tcPr>
            <w:tcW w:w="823" w:type="dxa"/>
            <w:tcBorders>
              <w:top w:val="dotted" w:sz="4" w:space="0" w:color="auto"/>
              <w:bottom w:val="dotted" w:sz="4" w:space="0" w:color="auto"/>
            </w:tcBorders>
          </w:tcPr>
          <w:p w14:paraId="10F47451" w14:textId="4F18EBB2" w:rsidR="00033AB1" w:rsidRDefault="00F5163D" w:rsidP="00D233F9">
            <w:pPr>
              <w:rPr>
                <w:sz w:val="24"/>
                <w:szCs w:val="24"/>
              </w:rPr>
            </w:pPr>
            <w:r>
              <w:rPr>
                <w:sz w:val="24"/>
                <w:szCs w:val="24"/>
              </w:rPr>
              <w:t>5.3</w:t>
            </w:r>
          </w:p>
        </w:tc>
        <w:tc>
          <w:tcPr>
            <w:tcW w:w="8193" w:type="dxa"/>
            <w:tcBorders>
              <w:top w:val="dotted" w:sz="4" w:space="0" w:color="auto"/>
              <w:bottom w:val="dotted" w:sz="4" w:space="0" w:color="auto"/>
            </w:tcBorders>
          </w:tcPr>
          <w:p w14:paraId="0D1F144E" w14:textId="20CF8691" w:rsidR="00033AB1" w:rsidRPr="00F5163D" w:rsidRDefault="00033AB1" w:rsidP="00D233F9">
            <w:pPr>
              <w:jc w:val="both"/>
              <w:rPr>
                <w:sz w:val="24"/>
                <w:szCs w:val="24"/>
                <w:u w:val="single"/>
              </w:rPr>
            </w:pPr>
            <w:r w:rsidRPr="00F5163D">
              <w:rPr>
                <w:sz w:val="24"/>
                <w:szCs w:val="24"/>
                <w:u w:val="single"/>
              </w:rPr>
              <w:t>Internal Audit Plan 2019</w:t>
            </w:r>
          </w:p>
        </w:tc>
      </w:tr>
      <w:tr w:rsidR="00033AB1" w:rsidRPr="00DD39EE" w14:paraId="1E1F850F" w14:textId="77777777" w:rsidTr="00862DF3">
        <w:tc>
          <w:tcPr>
            <w:tcW w:w="823" w:type="dxa"/>
            <w:tcBorders>
              <w:top w:val="dotted" w:sz="4" w:space="0" w:color="auto"/>
              <w:bottom w:val="dotted" w:sz="4" w:space="0" w:color="auto"/>
            </w:tcBorders>
          </w:tcPr>
          <w:p w14:paraId="5B1D2948" w14:textId="4FB0ECC3" w:rsidR="00033AB1" w:rsidRDefault="00F5163D" w:rsidP="00D233F9">
            <w:pPr>
              <w:rPr>
                <w:sz w:val="24"/>
                <w:szCs w:val="24"/>
              </w:rPr>
            </w:pPr>
            <w:r>
              <w:rPr>
                <w:sz w:val="24"/>
                <w:szCs w:val="24"/>
              </w:rPr>
              <w:t>5.3.1</w:t>
            </w:r>
          </w:p>
        </w:tc>
        <w:tc>
          <w:tcPr>
            <w:tcW w:w="8193" w:type="dxa"/>
            <w:tcBorders>
              <w:top w:val="dotted" w:sz="4" w:space="0" w:color="auto"/>
              <w:bottom w:val="dotted" w:sz="4" w:space="0" w:color="auto"/>
            </w:tcBorders>
          </w:tcPr>
          <w:p w14:paraId="32107818" w14:textId="01EEF143" w:rsidR="00033AB1" w:rsidRDefault="00033AB1" w:rsidP="00D233F9">
            <w:pPr>
              <w:jc w:val="both"/>
              <w:rPr>
                <w:sz w:val="24"/>
                <w:szCs w:val="24"/>
              </w:rPr>
            </w:pPr>
            <w:r>
              <w:rPr>
                <w:sz w:val="24"/>
                <w:szCs w:val="24"/>
              </w:rPr>
              <w:t>The last meeting of the Audit and Risk Committee was not quorate, so the decision to extend the internal audit contract and the approval of the 2019 internal audit plan were added to the agenda for the Board.</w:t>
            </w:r>
          </w:p>
          <w:p w14:paraId="5D1E4931" w14:textId="46AA5B4D" w:rsidR="00033AB1" w:rsidRDefault="00033AB1" w:rsidP="00D233F9">
            <w:pPr>
              <w:jc w:val="both"/>
              <w:rPr>
                <w:sz w:val="24"/>
                <w:szCs w:val="24"/>
              </w:rPr>
            </w:pPr>
          </w:p>
          <w:p w14:paraId="107D6927" w14:textId="59918999" w:rsidR="00033AB1" w:rsidRDefault="00033AB1" w:rsidP="00D233F9">
            <w:pPr>
              <w:jc w:val="both"/>
              <w:rPr>
                <w:sz w:val="24"/>
                <w:szCs w:val="24"/>
              </w:rPr>
            </w:pPr>
            <w:r>
              <w:rPr>
                <w:sz w:val="24"/>
                <w:szCs w:val="24"/>
              </w:rPr>
              <w:t>It was agreed that the internal audit contract would be extended by 12 months, as originally envisaged in the contract. The extension was proposed by James Clarke and seconded by Joanne McCarthy.</w:t>
            </w:r>
          </w:p>
          <w:p w14:paraId="655E4A58" w14:textId="77777777" w:rsidR="00033AB1" w:rsidRDefault="00033AB1" w:rsidP="00D233F9">
            <w:pPr>
              <w:jc w:val="both"/>
              <w:rPr>
                <w:sz w:val="24"/>
                <w:szCs w:val="24"/>
              </w:rPr>
            </w:pPr>
          </w:p>
          <w:p w14:paraId="08C58F85" w14:textId="509DCD53" w:rsidR="00033AB1" w:rsidRDefault="00033AB1" w:rsidP="00D233F9">
            <w:pPr>
              <w:jc w:val="both"/>
              <w:rPr>
                <w:sz w:val="24"/>
                <w:szCs w:val="24"/>
              </w:rPr>
            </w:pPr>
            <w:r>
              <w:rPr>
                <w:sz w:val="24"/>
                <w:szCs w:val="24"/>
              </w:rPr>
              <w:t>The proposed internal audit schedule was approved by the Board.</w:t>
            </w:r>
            <w:r w:rsidR="00E86F61">
              <w:rPr>
                <w:sz w:val="24"/>
                <w:szCs w:val="24"/>
              </w:rPr>
              <w:t xml:space="preserve"> It was noted that it should be possible to audit one-third of the companies funded by CIB in </w:t>
            </w:r>
            <w:r w:rsidR="002E2EC7">
              <w:rPr>
                <w:sz w:val="24"/>
                <w:szCs w:val="24"/>
              </w:rPr>
              <w:t xml:space="preserve">the course of </w:t>
            </w:r>
            <w:r w:rsidR="00E86F61">
              <w:rPr>
                <w:sz w:val="24"/>
                <w:szCs w:val="24"/>
              </w:rPr>
              <w:t>2019.</w:t>
            </w:r>
          </w:p>
        </w:tc>
      </w:tr>
      <w:tr w:rsidR="00D233F9" w:rsidRPr="00DD39EE" w14:paraId="3CC6AE30" w14:textId="77777777" w:rsidTr="00862DF3">
        <w:tc>
          <w:tcPr>
            <w:tcW w:w="823" w:type="dxa"/>
            <w:tcBorders>
              <w:top w:val="dotted" w:sz="4" w:space="0" w:color="auto"/>
              <w:bottom w:val="dotted" w:sz="4" w:space="0" w:color="auto"/>
            </w:tcBorders>
          </w:tcPr>
          <w:p w14:paraId="1AAB8774" w14:textId="6A4018A4" w:rsidR="00D233F9" w:rsidRDefault="00F5163D" w:rsidP="00D233F9">
            <w:pPr>
              <w:rPr>
                <w:sz w:val="24"/>
                <w:szCs w:val="24"/>
              </w:rPr>
            </w:pPr>
            <w:r>
              <w:rPr>
                <w:sz w:val="24"/>
                <w:szCs w:val="24"/>
              </w:rPr>
              <w:t>5.4</w:t>
            </w:r>
          </w:p>
        </w:tc>
        <w:tc>
          <w:tcPr>
            <w:tcW w:w="8193" w:type="dxa"/>
            <w:tcBorders>
              <w:top w:val="dotted" w:sz="4" w:space="0" w:color="auto"/>
              <w:bottom w:val="dotted" w:sz="4" w:space="0" w:color="auto"/>
            </w:tcBorders>
          </w:tcPr>
          <w:p w14:paraId="41783CF1" w14:textId="4434A3A0" w:rsidR="00D233F9" w:rsidRPr="00AE7F4B" w:rsidRDefault="00D233F9" w:rsidP="00D233F9">
            <w:pPr>
              <w:jc w:val="both"/>
              <w:rPr>
                <w:sz w:val="24"/>
                <w:szCs w:val="24"/>
                <w:u w:val="single"/>
              </w:rPr>
            </w:pPr>
            <w:r w:rsidRPr="00AE7F4B">
              <w:rPr>
                <w:sz w:val="24"/>
                <w:szCs w:val="24"/>
                <w:u w:val="single"/>
              </w:rPr>
              <w:t>Procurement</w:t>
            </w:r>
          </w:p>
        </w:tc>
      </w:tr>
      <w:tr w:rsidR="00D233F9" w:rsidRPr="00DD39EE" w14:paraId="1F3DF631" w14:textId="77777777" w:rsidTr="00862DF3">
        <w:tc>
          <w:tcPr>
            <w:tcW w:w="823" w:type="dxa"/>
            <w:tcBorders>
              <w:top w:val="dotted" w:sz="4" w:space="0" w:color="auto"/>
              <w:bottom w:val="dotted" w:sz="4" w:space="0" w:color="auto"/>
            </w:tcBorders>
          </w:tcPr>
          <w:p w14:paraId="76F9FD87" w14:textId="2FF91CFD" w:rsidR="00D233F9" w:rsidRDefault="0078789A" w:rsidP="00D233F9">
            <w:pPr>
              <w:rPr>
                <w:sz w:val="24"/>
                <w:szCs w:val="24"/>
              </w:rPr>
            </w:pPr>
            <w:r>
              <w:rPr>
                <w:sz w:val="24"/>
                <w:szCs w:val="24"/>
              </w:rPr>
              <w:t>5.</w:t>
            </w:r>
            <w:r w:rsidR="00F5163D">
              <w:rPr>
                <w:sz w:val="24"/>
                <w:szCs w:val="24"/>
              </w:rPr>
              <w:t>4</w:t>
            </w:r>
            <w:r>
              <w:rPr>
                <w:sz w:val="24"/>
                <w:szCs w:val="24"/>
              </w:rPr>
              <w:t>.1</w:t>
            </w:r>
          </w:p>
        </w:tc>
        <w:tc>
          <w:tcPr>
            <w:tcW w:w="8193" w:type="dxa"/>
            <w:tcBorders>
              <w:top w:val="dotted" w:sz="4" w:space="0" w:color="auto"/>
              <w:bottom w:val="dotted" w:sz="4" w:space="0" w:color="auto"/>
            </w:tcBorders>
          </w:tcPr>
          <w:p w14:paraId="6F8011F6" w14:textId="7BDB2693" w:rsidR="00D233F9" w:rsidRDefault="00E86F61" w:rsidP="00D233F9">
            <w:pPr>
              <w:jc w:val="both"/>
              <w:rPr>
                <w:sz w:val="24"/>
                <w:szCs w:val="24"/>
              </w:rPr>
            </w:pPr>
            <w:r>
              <w:rPr>
                <w:sz w:val="24"/>
                <w:szCs w:val="24"/>
              </w:rPr>
              <w:t xml:space="preserve">A Corporate Procurement Plan is a requirement under the </w:t>
            </w:r>
            <w:r w:rsidRPr="00D80BE0">
              <w:rPr>
                <w:i/>
                <w:sz w:val="24"/>
                <w:szCs w:val="24"/>
              </w:rPr>
              <w:t xml:space="preserve">Code of Practice for </w:t>
            </w:r>
            <w:r w:rsidR="00D80BE0" w:rsidRPr="00D80BE0">
              <w:rPr>
                <w:i/>
                <w:sz w:val="24"/>
                <w:szCs w:val="24"/>
              </w:rPr>
              <w:t>the Governance of State Bodies</w:t>
            </w:r>
            <w:r w:rsidR="00D80BE0">
              <w:rPr>
                <w:sz w:val="24"/>
                <w:szCs w:val="24"/>
              </w:rPr>
              <w:t>. The plan was proposed by James Clarke and seconded by Ian Power.</w:t>
            </w:r>
          </w:p>
        </w:tc>
      </w:tr>
      <w:tr w:rsidR="00D233F9" w:rsidRPr="00E767AF" w14:paraId="6FF90365" w14:textId="77777777" w:rsidTr="00862DF3">
        <w:tc>
          <w:tcPr>
            <w:tcW w:w="823" w:type="dxa"/>
            <w:tcBorders>
              <w:top w:val="dotted" w:sz="4" w:space="0" w:color="auto"/>
              <w:bottom w:val="dotted" w:sz="4" w:space="0" w:color="auto"/>
            </w:tcBorders>
          </w:tcPr>
          <w:p w14:paraId="32FECF86" w14:textId="6025869E" w:rsidR="00D233F9" w:rsidRPr="00E767AF" w:rsidRDefault="0078789A" w:rsidP="00D233F9">
            <w:pPr>
              <w:rPr>
                <w:b/>
                <w:sz w:val="24"/>
                <w:szCs w:val="24"/>
              </w:rPr>
            </w:pPr>
            <w:r>
              <w:rPr>
                <w:b/>
                <w:sz w:val="24"/>
                <w:szCs w:val="24"/>
              </w:rPr>
              <w:t>6</w:t>
            </w:r>
          </w:p>
        </w:tc>
        <w:tc>
          <w:tcPr>
            <w:tcW w:w="8193" w:type="dxa"/>
            <w:tcBorders>
              <w:top w:val="dotted" w:sz="4" w:space="0" w:color="auto"/>
              <w:bottom w:val="dotted" w:sz="4" w:space="0" w:color="auto"/>
            </w:tcBorders>
          </w:tcPr>
          <w:p w14:paraId="746C0B43" w14:textId="5CC78350" w:rsidR="00D233F9" w:rsidRPr="00AA2BF2" w:rsidRDefault="000F3B00" w:rsidP="00D233F9">
            <w:pPr>
              <w:tabs>
                <w:tab w:val="left" w:pos="2822"/>
              </w:tabs>
              <w:jc w:val="both"/>
              <w:rPr>
                <w:b/>
                <w:sz w:val="24"/>
                <w:szCs w:val="24"/>
              </w:rPr>
            </w:pPr>
            <w:r>
              <w:rPr>
                <w:b/>
                <w:sz w:val="24"/>
                <w:szCs w:val="24"/>
              </w:rPr>
              <w:t>Committee Meetings – U</w:t>
            </w:r>
            <w:r w:rsidR="00D233F9">
              <w:rPr>
                <w:b/>
                <w:sz w:val="24"/>
                <w:szCs w:val="24"/>
              </w:rPr>
              <w:t>pdate</w:t>
            </w:r>
          </w:p>
        </w:tc>
      </w:tr>
      <w:tr w:rsidR="00D233F9" w:rsidRPr="00DD39EE" w14:paraId="19805E68" w14:textId="77777777" w:rsidTr="00862DF3">
        <w:tc>
          <w:tcPr>
            <w:tcW w:w="823" w:type="dxa"/>
            <w:tcBorders>
              <w:top w:val="dotted" w:sz="4" w:space="0" w:color="auto"/>
              <w:bottom w:val="dotted" w:sz="4" w:space="0" w:color="auto"/>
            </w:tcBorders>
          </w:tcPr>
          <w:p w14:paraId="3BAFC23E" w14:textId="2C41BD71" w:rsidR="00D233F9" w:rsidRDefault="0078789A" w:rsidP="00D233F9">
            <w:pPr>
              <w:rPr>
                <w:sz w:val="24"/>
                <w:szCs w:val="24"/>
              </w:rPr>
            </w:pPr>
            <w:r>
              <w:rPr>
                <w:sz w:val="24"/>
                <w:szCs w:val="24"/>
              </w:rPr>
              <w:t>6</w:t>
            </w:r>
            <w:r w:rsidR="00D233F9">
              <w:rPr>
                <w:sz w:val="24"/>
                <w:szCs w:val="24"/>
              </w:rPr>
              <w:t>.1</w:t>
            </w:r>
          </w:p>
        </w:tc>
        <w:tc>
          <w:tcPr>
            <w:tcW w:w="8193" w:type="dxa"/>
            <w:tcBorders>
              <w:top w:val="dotted" w:sz="4" w:space="0" w:color="auto"/>
              <w:bottom w:val="dotted" w:sz="4" w:space="0" w:color="auto"/>
            </w:tcBorders>
          </w:tcPr>
          <w:p w14:paraId="60BBA39B" w14:textId="22352032" w:rsidR="00D233F9" w:rsidRDefault="00D233F9" w:rsidP="00D233F9">
            <w:pPr>
              <w:tabs>
                <w:tab w:val="left" w:pos="2822"/>
              </w:tabs>
              <w:jc w:val="both"/>
              <w:rPr>
                <w:sz w:val="24"/>
                <w:szCs w:val="24"/>
                <w:u w:val="single"/>
              </w:rPr>
            </w:pPr>
            <w:r>
              <w:rPr>
                <w:sz w:val="24"/>
                <w:szCs w:val="24"/>
                <w:u w:val="single"/>
              </w:rPr>
              <w:t>Audit and Risk Committee</w:t>
            </w:r>
          </w:p>
        </w:tc>
      </w:tr>
      <w:tr w:rsidR="00D233F9" w:rsidRPr="00DD39EE" w14:paraId="2BEAD727" w14:textId="77777777" w:rsidTr="00862DF3">
        <w:tc>
          <w:tcPr>
            <w:tcW w:w="823" w:type="dxa"/>
            <w:tcBorders>
              <w:top w:val="dotted" w:sz="4" w:space="0" w:color="auto"/>
              <w:bottom w:val="dotted" w:sz="4" w:space="0" w:color="auto"/>
            </w:tcBorders>
          </w:tcPr>
          <w:p w14:paraId="7838EF5C" w14:textId="1F7CD530" w:rsidR="00D233F9" w:rsidRDefault="0078789A" w:rsidP="00D233F9">
            <w:pPr>
              <w:rPr>
                <w:sz w:val="24"/>
                <w:szCs w:val="24"/>
              </w:rPr>
            </w:pPr>
            <w:r>
              <w:rPr>
                <w:sz w:val="24"/>
                <w:szCs w:val="24"/>
              </w:rPr>
              <w:t>6</w:t>
            </w:r>
            <w:r w:rsidR="00D233F9">
              <w:rPr>
                <w:sz w:val="24"/>
                <w:szCs w:val="24"/>
              </w:rPr>
              <w:t>.1.1</w:t>
            </w:r>
          </w:p>
        </w:tc>
        <w:tc>
          <w:tcPr>
            <w:tcW w:w="8193" w:type="dxa"/>
            <w:tcBorders>
              <w:top w:val="dotted" w:sz="4" w:space="0" w:color="auto"/>
              <w:bottom w:val="dotted" w:sz="4" w:space="0" w:color="auto"/>
            </w:tcBorders>
          </w:tcPr>
          <w:p w14:paraId="3B439D00" w14:textId="56BB11D2" w:rsidR="00D233F9" w:rsidRPr="00CE4AEE" w:rsidRDefault="00D80BE0" w:rsidP="00D233F9">
            <w:pPr>
              <w:tabs>
                <w:tab w:val="left" w:pos="2822"/>
              </w:tabs>
              <w:jc w:val="both"/>
              <w:rPr>
                <w:sz w:val="24"/>
                <w:szCs w:val="24"/>
              </w:rPr>
            </w:pPr>
            <w:r>
              <w:rPr>
                <w:sz w:val="24"/>
                <w:szCs w:val="24"/>
              </w:rPr>
              <w:t>The committee was not quorate at its last meeting. It discussed the internal audit reporting process as well as a recent cyber security incident and data breach.</w:t>
            </w:r>
          </w:p>
        </w:tc>
      </w:tr>
      <w:tr w:rsidR="00D80BE0" w:rsidRPr="00DD39EE" w14:paraId="3605368E" w14:textId="77777777" w:rsidTr="00862DF3">
        <w:tc>
          <w:tcPr>
            <w:tcW w:w="823" w:type="dxa"/>
            <w:tcBorders>
              <w:top w:val="dotted" w:sz="4" w:space="0" w:color="auto"/>
              <w:bottom w:val="dotted" w:sz="4" w:space="0" w:color="auto"/>
            </w:tcBorders>
          </w:tcPr>
          <w:p w14:paraId="6B534F06" w14:textId="42CCEA43" w:rsidR="00D80BE0" w:rsidRDefault="00F5163D" w:rsidP="00D233F9">
            <w:pPr>
              <w:rPr>
                <w:sz w:val="24"/>
                <w:szCs w:val="24"/>
              </w:rPr>
            </w:pPr>
            <w:r>
              <w:rPr>
                <w:sz w:val="24"/>
                <w:szCs w:val="24"/>
              </w:rPr>
              <w:t>6.1.2</w:t>
            </w:r>
          </w:p>
        </w:tc>
        <w:tc>
          <w:tcPr>
            <w:tcW w:w="8193" w:type="dxa"/>
            <w:tcBorders>
              <w:top w:val="dotted" w:sz="4" w:space="0" w:color="auto"/>
              <w:bottom w:val="dotted" w:sz="4" w:space="0" w:color="auto"/>
            </w:tcBorders>
          </w:tcPr>
          <w:p w14:paraId="760B994E" w14:textId="703D1B95" w:rsidR="00D80BE0" w:rsidRDefault="00D80BE0" w:rsidP="00D233F9">
            <w:pPr>
              <w:tabs>
                <w:tab w:val="left" w:pos="2822"/>
              </w:tabs>
              <w:jc w:val="both"/>
              <w:rPr>
                <w:sz w:val="24"/>
                <w:szCs w:val="24"/>
              </w:rPr>
            </w:pPr>
            <w:r>
              <w:rPr>
                <w:sz w:val="24"/>
                <w:szCs w:val="24"/>
              </w:rPr>
              <w:t xml:space="preserve">On 25 October, CIB identified that an email account in Office 365 had been compromised. An investigation by Deloitte revealed that a small number of additional email accounts </w:t>
            </w:r>
            <w:r w:rsidR="001C33B2">
              <w:rPr>
                <w:sz w:val="24"/>
                <w:szCs w:val="24"/>
              </w:rPr>
              <w:t xml:space="preserve">provided by CIB </w:t>
            </w:r>
            <w:r>
              <w:rPr>
                <w:sz w:val="24"/>
                <w:szCs w:val="24"/>
              </w:rPr>
              <w:t>had been compromised. CIB is working with the Data Protection Commission and the Garda National Cyber Crime Bureau</w:t>
            </w:r>
            <w:r w:rsidR="002E2EC7">
              <w:rPr>
                <w:sz w:val="24"/>
                <w:szCs w:val="24"/>
              </w:rPr>
              <w:t xml:space="preserve"> in relation to the data breach</w:t>
            </w:r>
            <w:r>
              <w:rPr>
                <w:sz w:val="24"/>
                <w:szCs w:val="24"/>
              </w:rPr>
              <w:t xml:space="preserve">. A number of enhanced security measures have been put in place following the identification of the incident. The Board acknowledged the response to the incident and asked to be kept informed at </w:t>
            </w:r>
            <w:r w:rsidR="001C33B2">
              <w:rPr>
                <w:sz w:val="24"/>
                <w:szCs w:val="24"/>
              </w:rPr>
              <w:t>future</w:t>
            </w:r>
            <w:r>
              <w:rPr>
                <w:sz w:val="24"/>
                <w:szCs w:val="24"/>
              </w:rPr>
              <w:t xml:space="preserve"> Board meetings.</w:t>
            </w:r>
          </w:p>
        </w:tc>
      </w:tr>
      <w:tr w:rsidR="00D80BE0" w:rsidRPr="00DD39EE" w14:paraId="05907BFF" w14:textId="77777777" w:rsidTr="00862DF3">
        <w:tc>
          <w:tcPr>
            <w:tcW w:w="823" w:type="dxa"/>
            <w:tcBorders>
              <w:top w:val="dotted" w:sz="4" w:space="0" w:color="auto"/>
              <w:bottom w:val="dotted" w:sz="4" w:space="0" w:color="auto"/>
            </w:tcBorders>
          </w:tcPr>
          <w:p w14:paraId="260128A3" w14:textId="332AE3F9" w:rsidR="00D80BE0" w:rsidRDefault="00F5163D" w:rsidP="00D233F9">
            <w:pPr>
              <w:rPr>
                <w:sz w:val="24"/>
                <w:szCs w:val="24"/>
              </w:rPr>
            </w:pPr>
            <w:r>
              <w:rPr>
                <w:sz w:val="24"/>
                <w:szCs w:val="24"/>
              </w:rPr>
              <w:t>6.1.3</w:t>
            </w:r>
          </w:p>
        </w:tc>
        <w:tc>
          <w:tcPr>
            <w:tcW w:w="8193" w:type="dxa"/>
            <w:tcBorders>
              <w:top w:val="dotted" w:sz="4" w:space="0" w:color="auto"/>
              <w:bottom w:val="dotted" w:sz="4" w:space="0" w:color="auto"/>
            </w:tcBorders>
          </w:tcPr>
          <w:p w14:paraId="1580B445" w14:textId="37FA2F2A" w:rsidR="00D80BE0" w:rsidRDefault="00D80BE0" w:rsidP="00D233F9">
            <w:pPr>
              <w:tabs>
                <w:tab w:val="left" w:pos="2822"/>
              </w:tabs>
              <w:jc w:val="both"/>
              <w:rPr>
                <w:sz w:val="24"/>
                <w:szCs w:val="24"/>
              </w:rPr>
            </w:pPr>
            <w:r>
              <w:rPr>
                <w:sz w:val="24"/>
                <w:szCs w:val="24"/>
              </w:rPr>
              <w:t xml:space="preserve">It was noted that CIB’s contract with Deloitte </w:t>
            </w:r>
            <w:r w:rsidR="002E2EC7">
              <w:rPr>
                <w:sz w:val="24"/>
                <w:szCs w:val="24"/>
              </w:rPr>
              <w:t>for cyber security services</w:t>
            </w:r>
            <w:r>
              <w:rPr>
                <w:sz w:val="24"/>
                <w:szCs w:val="24"/>
              </w:rPr>
              <w:t xml:space="preserve"> expired in early November. The Board agreed that CIB would continue to use the services of Del</w:t>
            </w:r>
            <w:r w:rsidR="001C33B2">
              <w:rPr>
                <w:sz w:val="24"/>
                <w:szCs w:val="24"/>
              </w:rPr>
              <w:t>oitte un</w:t>
            </w:r>
            <w:r w:rsidR="002E2EC7">
              <w:rPr>
                <w:sz w:val="24"/>
                <w:szCs w:val="24"/>
              </w:rPr>
              <w:t>til the investigation</w:t>
            </w:r>
            <w:r w:rsidR="001C33B2">
              <w:rPr>
                <w:sz w:val="24"/>
                <w:szCs w:val="24"/>
              </w:rPr>
              <w:t xml:space="preserve"> concluded, as well as for any potential follow-up issues. The arrangement was proposed by Tina Leonard and seconded by Ian Power.</w:t>
            </w:r>
          </w:p>
        </w:tc>
      </w:tr>
      <w:tr w:rsidR="00D80BE0" w:rsidRPr="00DD39EE" w14:paraId="466CD99C" w14:textId="77777777" w:rsidTr="00862DF3">
        <w:tc>
          <w:tcPr>
            <w:tcW w:w="823" w:type="dxa"/>
            <w:tcBorders>
              <w:top w:val="dotted" w:sz="4" w:space="0" w:color="auto"/>
              <w:bottom w:val="dotted" w:sz="4" w:space="0" w:color="auto"/>
            </w:tcBorders>
          </w:tcPr>
          <w:p w14:paraId="78EF38B5" w14:textId="65390F22" w:rsidR="00D80BE0" w:rsidRDefault="00F5163D" w:rsidP="00D233F9">
            <w:pPr>
              <w:rPr>
                <w:sz w:val="24"/>
                <w:szCs w:val="24"/>
              </w:rPr>
            </w:pPr>
            <w:r>
              <w:rPr>
                <w:sz w:val="24"/>
                <w:szCs w:val="24"/>
              </w:rPr>
              <w:t>6.1.4</w:t>
            </w:r>
          </w:p>
        </w:tc>
        <w:tc>
          <w:tcPr>
            <w:tcW w:w="8193" w:type="dxa"/>
            <w:tcBorders>
              <w:top w:val="dotted" w:sz="4" w:space="0" w:color="auto"/>
              <w:bottom w:val="dotted" w:sz="4" w:space="0" w:color="auto"/>
            </w:tcBorders>
          </w:tcPr>
          <w:p w14:paraId="0C5F7DE1" w14:textId="15328E91" w:rsidR="00D80BE0" w:rsidRDefault="001C33B2" w:rsidP="00D233F9">
            <w:pPr>
              <w:tabs>
                <w:tab w:val="left" w:pos="2822"/>
              </w:tabs>
              <w:jc w:val="both"/>
              <w:rPr>
                <w:sz w:val="24"/>
                <w:szCs w:val="24"/>
              </w:rPr>
            </w:pPr>
            <w:r>
              <w:rPr>
                <w:sz w:val="24"/>
                <w:szCs w:val="24"/>
              </w:rPr>
              <w:t xml:space="preserve">It was requested that CIB look to commission a cyber security expert pending a procurement process to cover security services generally. It was agreed that an </w:t>
            </w:r>
            <w:r>
              <w:rPr>
                <w:sz w:val="24"/>
                <w:szCs w:val="24"/>
              </w:rPr>
              <w:lastRenderedPageBreak/>
              <w:t>expert could be commissioned for up to 4 months. This arrangement was proposed by James Clarke and seconded by Cearbhall O Meadhra.</w:t>
            </w:r>
          </w:p>
        </w:tc>
      </w:tr>
      <w:tr w:rsidR="00D233F9" w:rsidRPr="00DD39EE" w14:paraId="02D9307A" w14:textId="77777777" w:rsidTr="00862DF3">
        <w:tc>
          <w:tcPr>
            <w:tcW w:w="823" w:type="dxa"/>
            <w:tcBorders>
              <w:top w:val="dotted" w:sz="4" w:space="0" w:color="auto"/>
              <w:bottom w:val="dotted" w:sz="4" w:space="0" w:color="auto"/>
            </w:tcBorders>
          </w:tcPr>
          <w:p w14:paraId="2E0BEAFB" w14:textId="646CFD1F" w:rsidR="00D233F9" w:rsidRDefault="0078789A" w:rsidP="00D233F9">
            <w:pPr>
              <w:rPr>
                <w:sz w:val="24"/>
                <w:szCs w:val="24"/>
              </w:rPr>
            </w:pPr>
            <w:r>
              <w:rPr>
                <w:sz w:val="24"/>
                <w:szCs w:val="24"/>
              </w:rPr>
              <w:lastRenderedPageBreak/>
              <w:t>6.2</w:t>
            </w:r>
          </w:p>
        </w:tc>
        <w:tc>
          <w:tcPr>
            <w:tcW w:w="8193" w:type="dxa"/>
            <w:tcBorders>
              <w:top w:val="dotted" w:sz="4" w:space="0" w:color="auto"/>
              <w:bottom w:val="dotted" w:sz="4" w:space="0" w:color="auto"/>
            </w:tcBorders>
          </w:tcPr>
          <w:p w14:paraId="1A4276ED" w14:textId="4652EEC1" w:rsidR="00D233F9" w:rsidRPr="00AA2BF2" w:rsidRDefault="00D233F9" w:rsidP="00D233F9">
            <w:pPr>
              <w:tabs>
                <w:tab w:val="left" w:pos="2822"/>
              </w:tabs>
              <w:jc w:val="both"/>
              <w:rPr>
                <w:sz w:val="24"/>
                <w:szCs w:val="24"/>
              </w:rPr>
            </w:pPr>
            <w:r>
              <w:rPr>
                <w:sz w:val="24"/>
                <w:szCs w:val="24"/>
                <w:u w:val="single"/>
              </w:rPr>
              <w:t>Social Policy &amp; Research Committee</w:t>
            </w:r>
          </w:p>
        </w:tc>
      </w:tr>
      <w:tr w:rsidR="00D233F9" w:rsidRPr="00DD39EE" w14:paraId="6F299E33" w14:textId="77777777" w:rsidTr="00862DF3">
        <w:tc>
          <w:tcPr>
            <w:tcW w:w="823" w:type="dxa"/>
            <w:tcBorders>
              <w:top w:val="dotted" w:sz="4" w:space="0" w:color="auto"/>
              <w:bottom w:val="dotted" w:sz="4" w:space="0" w:color="auto"/>
            </w:tcBorders>
          </w:tcPr>
          <w:p w14:paraId="6CFF3988" w14:textId="109C37D4" w:rsidR="00D233F9" w:rsidRDefault="0078789A" w:rsidP="00D233F9">
            <w:pPr>
              <w:rPr>
                <w:sz w:val="24"/>
                <w:szCs w:val="24"/>
              </w:rPr>
            </w:pPr>
            <w:r>
              <w:rPr>
                <w:sz w:val="24"/>
                <w:szCs w:val="24"/>
              </w:rPr>
              <w:t>6.2.</w:t>
            </w:r>
            <w:r w:rsidR="00D233F9">
              <w:rPr>
                <w:sz w:val="24"/>
                <w:szCs w:val="24"/>
              </w:rPr>
              <w:t>1</w:t>
            </w:r>
          </w:p>
        </w:tc>
        <w:tc>
          <w:tcPr>
            <w:tcW w:w="8193" w:type="dxa"/>
            <w:tcBorders>
              <w:top w:val="dotted" w:sz="4" w:space="0" w:color="auto"/>
              <w:bottom w:val="dotted" w:sz="4" w:space="0" w:color="auto"/>
            </w:tcBorders>
          </w:tcPr>
          <w:p w14:paraId="164EFC16" w14:textId="637352A6" w:rsidR="00D233F9" w:rsidRPr="00F842B5" w:rsidRDefault="001D1F98" w:rsidP="00D233F9">
            <w:pPr>
              <w:tabs>
                <w:tab w:val="left" w:pos="2822"/>
              </w:tabs>
              <w:jc w:val="both"/>
              <w:rPr>
                <w:sz w:val="24"/>
                <w:szCs w:val="24"/>
              </w:rPr>
            </w:pPr>
            <w:r>
              <w:rPr>
                <w:sz w:val="24"/>
                <w:szCs w:val="24"/>
              </w:rPr>
              <w:t>CIB recently made a submission in relation to auto-enrolment pensions. The committee had also met with an external facilitator to examine improved methods of planning. The draft Terms of</w:t>
            </w:r>
            <w:r w:rsidR="002E2EC7">
              <w:rPr>
                <w:sz w:val="24"/>
                <w:szCs w:val="24"/>
              </w:rPr>
              <w:t xml:space="preserve"> Reference for the committee have</w:t>
            </w:r>
            <w:r>
              <w:rPr>
                <w:sz w:val="24"/>
                <w:szCs w:val="24"/>
              </w:rPr>
              <w:t xml:space="preserve"> been finalised and will </w:t>
            </w:r>
            <w:r w:rsidR="002E2EC7">
              <w:rPr>
                <w:sz w:val="24"/>
                <w:szCs w:val="24"/>
              </w:rPr>
              <w:t>shortly be</w:t>
            </w:r>
            <w:r>
              <w:rPr>
                <w:sz w:val="24"/>
                <w:szCs w:val="24"/>
              </w:rPr>
              <w:t xml:space="preserve"> brought to the Board for consideration.</w:t>
            </w:r>
            <w:r w:rsidR="002B0016">
              <w:rPr>
                <w:sz w:val="24"/>
                <w:szCs w:val="24"/>
              </w:rPr>
              <w:t xml:space="preserve"> </w:t>
            </w:r>
          </w:p>
        </w:tc>
      </w:tr>
      <w:tr w:rsidR="001D1F98" w:rsidRPr="00DD39EE" w14:paraId="645EE163" w14:textId="77777777" w:rsidTr="00862DF3">
        <w:tc>
          <w:tcPr>
            <w:tcW w:w="823" w:type="dxa"/>
            <w:tcBorders>
              <w:top w:val="dotted" w:sz="4" w:space="0" w:color="auto"/>
              <w:bottom w:val="dotted" w:sz="4" w:space="0" w:color="auto"/>
            </w:tcBorders>
          </w:tcPr>
          <w:p w14:paraId="46A5B7D1" w14:textId="33D24DEA" w:rsidR="001D1F98" w:rsidRDefault="00F5163D" w:rsidP="00D233F9">
            <w:pPr>
              <w:rPr>
                <w:sz w:val="24"/>
                <w:szCs w:val="24"/>
              </w:rPr>
            </w:pPr>
            <w:r>
              <w:rPr>
                <w:sz w:val="24"/>
                <w:szCs w:val="24"/>
              </w:rPr>
              <w:t>6.3</w:t>
            </w:r>
          </w:p>
        </w:tc>
        <w:tc>
          <w:tcPr>
            <w:tcW w:w="8193" w:type="dxa"/>
            <w:tcBorders>
              <w:top w:val="dotted" w:sz="4" w:space="0" w:color="auto"/>
              <w:bottom w:val="dotted" w:sz="4" w:space="0" w:color="auto"/>
            </w:tcBorders>
          </w:tcPr>
          <w:p w14:paraId="5E89B7D9" w14:textId="21417F2E" w:rsidR="001D1F98" w:rsidRPr="001D1F98" w:rsidRDefault="001D1F98" w:rsidP="00D233F9">
            <w:pPr>
              <w:tabs>
                <w:tab w:val="left" w:pos="2822"/>
              </w:tabs>
              <w:jc w:val="both"/>
              <w:rPr>
                <w:sz w:val="24"/>
                <w:szCs w:val="24"/>
                <w:u w:val="single"/>
              </w:rPr>
            </w:pPr>
            <w:r w:rsidRPr="001D1F98">
              <w:rPr>
                <w:sz w:val="24"/>
                <w:szCs w:val="24"/>
                <w:u w:val="single"/>
              </w:rPr>
              <w:t>Strategy Group</w:t>
            </w:r>
          </w:p>
        </w:tc>
      </w:tr>
      <w:tr w:rsidR="001D1F98" w:rsidRPr="00DD39EE" w14:paraId="3112B49B" w14:textId="77777777" w:rsidTr="00862DF3">
        <w:tc>
          <w:tcPr>
            <w:tcW w:w="823" w:type="dxa"/>
            <w:tcBorders>
              <w:top w:val="dotted" w:sz="4" w:space="0" w:color="auto"/>
              <w:bottom w:val="dotted" w:sz="4" w:space="0" w:color="auto"/>
            </w:tcBorders>
          </w:tcPr>
          <w:p w14:paraId="328E20D8" w14:textId="02604804" w:rsidR="001D1F98" w:rsidRDefault="00F5163D" w:rsidP="00D233F9">
            <w:pPr>
              <w:rPr>
                <w:sz w:val="24"/>
                <w:szCs w:val="24"/>
              </w:rPr>
            </w:pPr>
            <w:r>
              <w:rPr>
                <w:sz w:val="24"/>
                <w:szCs w:val="24"/>
              </w:rPr>
              <w:t>6.3.1</w:t>
            </w:r>
          </w:p>
        </w:tc>
        <w:tc>
          <w:tcPr>
            <w:tcW w:w="8193" w:type="dxa"/>
            <w:tcBorders>
              <w:top w:val="dotted" w:sz="4" w:space="0" w:color="auto"/>
              <w:bottom w:val="dotted" w:sz="4" w:space="0" w:color="auto"/>
            </w:tcBorders>
          </w:tcPr>
          <w:p w14:paraId="118EDF21" w14:textId="7848CE4F" w:rsidR="001D1F98" w:rsidRDefault="001D1F98" w:rsidP="00D233F9">
            <w:pPr>
              <w:tabs>
                <w:tab w:val="left" w:pos="2822"/>
              </w:tabs>
              <w:jc w:val="both"/>
              <w:rPr>
                <w:sz w:val="24"/>
                <w:szCs w:val="24"/>
              </w:rPr>
            </w:pPr>
            <w:r>
              <w:rPr>
                <w:sz w:val="24"/>
                <w:szCs w:val="24"/>
              </w:rPr>
              <w:t>The Chair thanked Seán Sheridan for his work on the CIB strategy. A consultation document has been circulated to the staff of CIB and to the service delivery companies. Four consultation sessions are arranged for the week commencing 19 November</w:t>
            </w:r>
            <w:r w:rsidR="00657990">
              <w:rPr>
                <w:sz w:val="24"/>
                <w:szCs w:val="24"/>
              </w:rPr>
              <w:t xml:space="preserve"> 2018</w:t>
            </w:r>
            <w:r>
              <w:rPr>
                <w:sz w:val="24"/>
                <w:szCs w:val="24"/>
              </w:rPr>
              <w:t xml:space="preserve">. </w:t>
            </w:r>
          </w:p>
        </w:tc>
      </w:tr>
      <w:tr w:rsidR="00D233F9" w:rsidRPr="00DD39EE" w14:paraId="2D93AAC0" w14:textId="77777777" w:rsidTr="00862DF3">
        <w:tc>
          <w:tcPr>
            <w:tcW w:w="823" w:type="dxa"/>
            <w:tcBorders>
              <w:top w:val="dotted" w:sz="4" w:space="0" w:color="auto"/>
              <w:bottom w:val="dotted" w:sz="4" w:space="0" w:color="auto"/>
            </w:tcBorders>
          </w:tcPr>
          <w:p w14:paraId="6E675E09" w14:textId="151295AD" w:rsidR="00D233F9" w:rsidRPr="003809E1" w:rsidRDefault="0078789A" w:rsidP="00D233F9">
            <w:pPr>
              <w:rPr>
                <w:b/>
                <w:sz w:val="24"/>
                <w:szCs w:val="24"/>
              </w:rPr>
            </w:pPr>
            <w:r>
              <w:rPr>
                <w:b/>
                <w:sz w:val="24"/>
                <w:szCs w:val="24"/>
              </w:rPr>
              <w:t>7</w:t>
            </w:r>
          </w:p>
        </w:tc>
        <w:tc>
          <w:tcPr>
            <w:tcW w:w="8193" w:type="dxa"/>
            <w:tcBorders>
              <w:top w:val="dotted" w:sz="4" w:space="0" w:color="auto"/>
              <w:bottom w:val="dotted" w:sz="4" w:space="0" w:color="auto"/>
            </w:tcBorders>
          </w:tcPr>
          <w:p w14:paraId="0E8F6147" w14:textId="75CCDA3D" w:rsidR="00D233F9" w:rsidRPr="00AA2BF2" w:rsidRDefault="00D233F9" w:rsidP="00D233F9">
            <w:pPr>
              <w:jc w:val="both"/>
              <w:rPr>
                <w:b/>
                <w:sz w:val="24"/>
                <w:szCs w:val="24"/>
              </w:rPr>
            </w:pPr>
            <w:r>
              <w:rPr>
                <w:b/>
                <w:sz w:val="24"/>
                <w:szCs w:val="24"/>
              </w:rPr>
              <w:t>Report of the Chief Executive</w:t>
            </w:r>
          </w:p>
        </w:tc>
      </w:tr>
      <w:tr w:rsidR="00D233F9" w:rsidRPr="004D4CBB" w14:paraId="2AA286D0" w14:textId="77777777" w:rsidTr="00862DF3">
        <w:tc>
          <w:tcPr>
            <w:tcW w:w="823" w:type="dxa"/>
            <w:tcBorders>
              <w:top w:val="dotted" w:sz="4" w:space="0" w:color="auto"/>
              <w:bottom w:val="dotted" w:sz="4" w:space="0" w:color="auto"/>
            </w:tcBorders>
          </w:tcPr>
          <w:p w14:paraId="135DD062" w14:textId="61A2994E" w:rsidR="00D233F9" w:rsidRPr="004D4CBB" w:rsidRDefault="0078789A" w:rsidP="00D233F9">
            <w:pPr>
              <w:rPr>
                <w:sz w:val="24"/>
                <w:szCs w:val="24"/>
              </w:rPr>
            </w:pPr>
            <w:r>
              <w:rPr>
                <w:sz w:val="24"/>
                <w:szCs w:val="24"/>
              </w:rPr>
              <w:t>7</w:t>
            </w:r>
            <w:r w:rsidR="00D233F9" w:rsidRPr="004D4CBB">
              <w:rPr>
                <w:sz w:val="24"/>
                <w:szCs w:val="24"/>
              </w:rPr>
              <w:t>.1</w:t>
            </w:r>
          </w:p>
        </w:tc>
        <w:tc>
          <w:tcPr>
            <w:tcW w:w="8193" w:type="dxa"/>
            <w:tcBorders>
              <w:top w:val="dotted" w:sz="4" w:space="0" w:color="auto"/>
              <w:bottom w:val="dotted" w:sz="4" w:space="0" w:color="auto"/>
            </w:tcBorders>
          </w:tcPr>
          <w:p w14:paraId="110FEA77" w14:textId="7918B91A" w:rsidR="00D233F9" w:rsidRPr="004D4CBB" w:rsidRDefault="00D233F9" w:rsidP="00D233F9">
            <w:pPr>
              <w:jc w:val="both"/>
              <w:rPr>
                <w:sz w:val="24"/>
                <w:szCs w:val="24"/>
              </w:rPr>
            </w:pPr>
            <w:r w:rsidRPr="004D4CBB">
              <w:rPr>
                <w:sz w:val="24"/>
                <w:szCs w:val="24"/>
              </w:rPr>
              <w:t>The Report of the Chief Executive was iss</w:t>
            </w:r>
            <w:r>
              <w:rPr>
                <w:sz w:val="24"/>
                <w:szCs w:val="24"/>
              </w:rPr>
              <w:t xml:space="preserve">ued in advance of the meeting. </w:t>
            </w:r>
            <w:r w:rsidR="001D1F98">
              <w:rPr>
                <w:sz w:val="24"/>
                <w:szCs w:val="24"/>
              </w:rPr>
              <w:t>The metrics use</w:t>
            </w:r>
            <w:r w:rsidR="00F5163D">
              <w:rPr>
                <w:sz w:val="24"/>
                <w:szCs w:val="24"/>
              </w:rPr>
              <w:t>d in the report were discussed.</w:t>
            </w:r>
            <w:r w:rsidR="00657990">
              <w:rPr>
                <w:sz w:val="24"/>
                <w:szCs w:val="24"/>
              </w:rPr>
              <w:t xml:space="preserve"> It was noted that a project with the Department of Foreign Affairs and Trade would be progressing. The project relates to information for returning migrants</w:t>
            </w:r>
            <w:r w:rsidR="00E01B64">
              <w:rPr>
                <w:sz w:val="24"/>
                <w:szCs w:val="24"/>
              </w:rPr>
              <w:t>.</w:t>
            </w:r>
          </w:p>
        </w:tc>
      </w:tr>
      <w:tr w:rsidR="00D233F9" w:rsidRPr="00DC7CF8" w14:paraId="35D83FA6" w14:textId="77777777" w:rsidTr="00862DF3">
        <w:tc>
          <w:tcPr>
            <w:tcW w:w="823" w:type="dxa"/>
            <w:tcBorders>
              <w:top w:val="dotted" w:sz="4" w:space="0" w:color="auto"/>
              <w:bottom w:val="dotted" w:sz="4" w:space="0" w:color="auto"/>
            </w:tcBorders>
          </w:tcPr>
          <w:p w14:paraId="0BC71786" w14:textId="005DB36A" w:rsidR="00D233F9" w:rsidRPr="00DC7CF8" w:rsidRDefault="0078789A" w:rsidP="00D233F9">
            <w:pPr>
              <w:rPr>
                <w:b/>
                <w:sz w:val="24"/>
                <w:szCs w:val="24"/>
              </w:rPr>
            </w:pPr>
            <w:r>
              <w:rPr>
                <w:b/>
                <w:sz w:val="24"/>
                <w:szCs w:val="24"/>
              </w:rPr>
              <w:t>8</w:t>
            </w:r>
          </w:p>
        </w:tc>
        <w:tc>
          <w:tcPr>
            <w:tcW w:w="8193" w:type="dxa"/>
            <w:tcBorders>
              <w:top w:val="dotted" w:sz="4" w:space="0" w:color="auto"/>
              <w:bottom w:val="dotted" w:sz="4" w:space="0" w:color="auto"/>
            </w:tcBorders>
          </w:tcPr>
          <w:p w14:paraId="6FDE14FE" w14:textId="29ED5A12" w:rsidR="00D233F9" w:rsidRPr="00DC7CF8" w:rsidRDefault="00D233F9" w:rsidP="00D233F9">
            <w:pPr>
              <w:jc w:val="both"/>
              <w:rPr>
                <w:b/>
                <w:sz w:val="24"/>
                <w:szCs w:val="24"/>
              </w:rPr>
            </w:pPr>
            <w:r>
              <w:rPr>
                <w:b/>
                <w:sz w:val="24"/>
                <w:szCs w:val="24"/>
              </w:rPr>
              <w:t xml:space="preserve">HR </w:t>
            </w:r>
            <w:r w:rsidR="000F3B00">
              <w:rPr>
                <w:b/>
                <w:sz w:val="24"/>
                <w:szCs w:val="24"/>
              </w:rPr>
              <w:t>and Governance M</w:t>
            </w:r>
            <w:r w:rsidRPr="00DC7CF8">
              <w:rPr>
                <w:b/>
                <w:sz w:val="24"/>
                <w:szCs w:val="24"/>
              </w:rPr>
              <w:t>atters</w:t>
            </w:r>
          </w:p>
        </w:tc>
      </w:tr>
      <w:tr w:rsidR="00D233F9" w:rsidRPr="00DD39EE" w14:paraId="0D49D3FC" w14:textId="77777777" w:rsidTr="00862DF3">
        <w:tc>
          <w:tcPr>
            <w:tcW w:w="823" w:type="dxa"/>
            <w:tcBorders>
              <w:top w:val="dotted" w:sz="4" w:space="0" w:color="auto"/>
              <w:bottom w:val="dotted" w:sz="4" w:space="0" w:color="auto"/>
            </w:tcBorders>
          </w:tcPr>
          <w:p w14:paraId="5ED606D4" w14:textId="538CA587" w:rsidR="00D233F9" w:rsidRDefault="00F4601A" w:rsidP="00D233F9">
            <w:pPr>
              <w:rPr>
                <w:sz w:val="24"/>
                <w:szCs w:val="24"/>
              </w:rPr>
            </w:pPr>
            <w:r>
              <w:rPr>
                <w:sz w:val="24"/>
                <w:szCs w:val="24"/>
              </w:rPr>
              <w:t>8</w:t>
            </w:r>
            <w:r w:rsidR="00D233F9">
              <w:rPr>
                <w:sz w:val="24"/>
                <w:szCs w:val="24"/>
              </w:rPr>
              <w:t>.1</w:t>
            </w:r>
          </w:p>
        </w:tc>
        <w:tc>
          <w:tcPr>
            <w:tcW w:w="8193" w:type="dxa"/>
            <w:tcBorders>
              <w:top w:val="dotted" w:sz="4" w:space="0" w:color="auto"/>
              <w:bottom w:val="dotted" w:sz="4" w:space="0" w:color="auto"/>
            </w:tcBorders>
          </w:tcPr>
          <w:p w14:paraId="53D0D35F" w14:textId="3810B17C" w:rsidR="00D233F9" w:rsidRPr="008336F4" w:rsidRDefault="00D233F9" w:rsidP="00D233F9">
            <w:pPr>
              <w:jc w:val="both"/>
              <w:rPr>
                <w:sz w:val="24"/>
                <w:szCs w:val="24"/>
                <w:u w:val="single"/>
              </w:rPr>
            </w:pPr>
            <w:r w:rsidRPr="008336F4">
              <w:rPr>
                <w:sz w:val="24"/>
                <w:szCs w:val="24"/>
                <w:u w:val="single"/>
              </w:rPr>
              <w:t>Update on Staffing Matters</w:t>
            </w:r>
          </w:p>
        </w:tc>
      </w:tr>
      <w:tr w:rsidR="00D233F9" w:rsidRPr="00DD39EE" w14:paraId="534FA49E" w14:textId="77777777" w:rsidTr="00862DF3">
        <w:tc>
          <w:tcPr>
            <w:tcW w:w="823" w:type="dxa"/>
            <w:tcBorders>
              <w:top w:val="dotted" w:sz="4" w:space="0" w:color="auto"/>
              <w:bottom w:val="dotted" w:sz="4" w:space="0" w:color="auto"/>
            </w:tcBorders>
          </w:tcPr>
          <w:p w14:paraId="01FA2577" w14:textId="620BF05A" w:rsidR="00D233F9" w:rsidRDefault="00F4601A" w:rsidP="00D233F9">
            <w:pPr>
              <w:rPr>
                <w:sz w:val="24"/>
                <w:szCs w:val="24"/>
              </w:rPr>
            </w:pPr>
            <w:r>
              <w:rPr>
                <w:sz w:val="24"/>
                <w:szCs w:val="24"/>
              </w:rPr>
              <w:t>8</w:t>
            </w:r>
            <w:r w:rsidR="0078789A">
              <w:rPr>
                <w:sz w:val="24"/>
                <w:szCs w:val="24"/>
              </w:rPr>
              <w:t>.1.1</w:t>
            </w:r>
          </w:p>
        </w:tc>
        <w:tc>
          <w:tcPr>
            <w:tcW w:w="8193" w:type="dxa"/>
            <w:tcBorders>
              <w:top w:val="dotted" w:sz="4" w:space="0" w:color="auto"/>
              <w:bottom w:val="dotted" w:sz="4" w:space="0" w:color="auto"/>
            </w:tcBorders>
          </w:tcPr>
          <w:p w14:paraId="747BFAC1" w14:textId="431AEFC7" w:rsidR="00D233F9" w:rsidRDefault="00D233F9" w:rsidP="00D233F9">
            <w:pPr>
              <w:jc w:val="both"/>
              <w:rPr>
                <w:sz w:val="24"/>
                <w:szCs w:val="24"/>
              </w:rPr>
            </w:pPr>
            <w:r>
              <w:rPr>
                <w:sz w:val="24"/>
                <w:szCs w:val="24"/>
              </w:rPr>
              <w:t xml:space="preserve">There </w:t>
            </w:r>
            <w:r w:rsidR="002C440A">
              <w:rPr>
                <w:sz w:val="24"/>
                <w:szCs w:val="24"/>
              </w:rPr>
              <w:t>has been no further response from the Department of Employment Affairs and Social Protection (DEASP)</w:t>
            </w:r>
            <w:r>
              <w:rPr>
                <w:sz w:val="24"/>
                <w:szCs w:val="24"/>
              </w:rPr>
              <w:t xml:space="preserve"> in relation to CIB’s request for sanction for a Data Protection Officer post. </w:t>
            </w:r>
            <w:r w:rsidR="002C440A">
              <w:rPr>
                <w:sz w:val="24"/>
                <w:szCs w:val="24"/>
              </w:rPr>
              <w:t>DEASP</w:t>
            </w:r>
            <w:r>
              <w:rPr>
                <w:sz w:val="24"/>
                <w:szCs w:val="24"/>
              </w:rPr>
              <w:t xml:space="preserve"> continues to explore options in relation to CIB’s request for an additional 7 Executive Officer posts.</w:t>
            </w:r>
            <w:r w:rsidR="004661A9">
              <w:rPr>
                <w:sz w:val="24"/>
                <w:szCs w:val="24"/>
              </w:rPr>
              <w:t xml:space="preserve"> CIB has also made a staffing request to facilitate succession planning</w:t>
            </w:r>
            <w:r w:rsidR="00E01B64">
              <w:rPr>
                <w:sz w:val="24"/>
                <w:szCs w:val="24"/>
              </w:rPr>
              <w:t xml:space="preserve"> and a request for</w:t>
            </w:r>
            <w:r w:rsidR="00F5163D">
              <w:rPr>
                <w:sz w:val="24"/>
                <w:szCs w:val="24"/>
              </w:rPr>
              <w:t xml:space="preserve"> </w:t>
            </w:r>
            <w:r w:rsidR="00E01B64">
              <w:rPr>
                <w:sz w:val="24"/>
                <w:szCs w:val="24"/>
              </w:rPr>
              <w:t>support</w:t>
            </w:r>
            <w:r w:rsidR="00F5163D">
              <w:rPr>
                <w:sz w:val="24"/>
                <w:szCs w:val="24"/>
              </w:rPr>
              <w:t xml:space="preserve"> with cyber security. A competition to recruit at HEO level in the Information Resources team is now complete. </w:t>
            </w:r>
            <w:r w:rsidR="00BB556A">
              <w:rPr>
                <w:sz w:val="24"/>
                <w:szCs w:val="24"/>
              </w:rPr>
              <w:t>It was agreed that resource requirements</w:t>
            </w:r>
            <w:r w:rsidR="00E23707">
              <w:rPr>
                <w:sz w:val="24"/>
                <w:szCs w:val="24"/>
              </w:rPr>
              <w:t xml:space="preserve"> in CIB</w:t>
            </w:r>
            <w:r w:rsidR="00BB556A">
              <w:rPr>
                <w:sz w:val="24"/>
                <w:szCs w:val="24"/>
              </w:rPr>
              <w:t xml:space="preserve"> should be examined in the context of the strategy exercise.</w:t>
            </w:r>
          </w:p>
        </w:tc>
      </w:tr>
      <w:tr w:rsidR="00D233F9" w:rsidRPr="00FF1F00" w14:paraId="047AEDD9" w14:textId="77777777" w:rsidTr="00862DF3">
        <w:tc>
          <w:tcPr>
            <w:tcW w:w="823" w:type="dxa"/>
            <w:tcBorders>
              <w:top w:val="dotted" w:sz="4" w:space="0" w:color="auto"/>
              <w:bottom w:val="dotted" w:sz="4" w:space="0" w:color="auto"/>
            </w:tcBorders>
          </w:tcPr>
          <w:p w14:paraId="64FF6715" w14:textId="3F1F1C6A" w:rsidR="00D233F9" w:rsidRPr="00FF1F00" w:rsidRDefault="00F4601A" w:rsidP="00D233F9">
            <w:pPr>
              <w:rPr>
                <w:b/>
                <w:sz w:val="24"/>
                <w:szCs w:val="24"/>
              </w:rPr>
            </w:pPr>
            <w:r>
              <w:rPr>
                <w:b/>
                <w:sz w:val="24"/>
                <w:szCs w:val="24"/>
              </w:rPr>
              <w:t>9</w:t>
            </w:r>
          </w:p>
        </w:tc>
        <w:tc>
          <w:tcPr>
            <w:tcW w:w="8193" w:type="dxa"/>
            <w:tcBorders>
              <w:top w:val="dotted" w:sz="4" w:space="0" w:color="auto"/>
              <w:bottom w:val="dotted" w:sz="4" w:space="0" w:color="auto"/>
            </w:tcBorders>
          </w:tcPr>
          <w:p w14:paraId="35226B4B" w14:textId="7E133F56" w:rsidR="00D233F9" w:rsidRPr="00AA2BF2" w:rsidRDefault="000F3B00" w:rsidP="00D233F9">
            <w:pPr>
              <w:rPr>
                <w:b/>
                <w:sz w:val="24"/>
                <w:szCs w:val="24"/>
              </w:rPr>
            </w:pPr>
            <w:r>
              <w:rPr>
                <w:b/>
                <w:sz w:val="24"/>
                <w:szCs w:val="24"/>
              </w:rPr>
              <w:t>Date of the Next M</w:t>
            </w:r>
            <w:r w:rsidR="00D233F9" w:rsidRPr="00AA2BF2">
              <w:rPr>
                <w:b/>
                <w:sz w:val="24"/>
                <w:szCs w:val="24"/>
              </w:rPr>
              <w:t xml:space="preserve">eeting </w:t>
            </w:r>
          </w:p>
        </w:tc>
      </w:tr>
      <w:tr w:rsidR="00D233F9" w:rsidRPr="00DD39EE" w14:paraId="6E2CC3CC" w14:textId="77777777" w:rsidTr="00862DF3">
        <w:tc>
          <w:tcPr>
            <w:tcW w:w="823" w:type="dxa"/>
            <w:tcBorders>
              <w:top w:val="dotted" w:sz="4" w:space="0" w:color="auto"/>
              <w:bottom w:val="dotted" w:sz="4" w:space="0" w:color="auto"/>
            </w:tcBorders>
          </w:tcPr>
          <w:p w14:paraId="7B0349E3" w14:textId="54D4F591" w:rsidR="00D233F9" w:rsidRPr="00DD39EE" w:rsidRDefault="00F4601A" w:rsidP="00D233F9">
            <w:pPr>
              <w:rPr>
                <w:sz w:val="24"/>
                <w:szCs w:val="24"/>
              </w:rPr>
            </w:pPr>
            <w:r>
              <w:rPr>
                <w:sz w:val="24"/>
                <w:szCs w:val="24"/>
              </w:rPr>
              <w:t>9</w:t>
            </w:r>
            <w:r w:rsidR="00D233F9">
              <w:rPr>
                <w:sz w:val="24"/>
                <w:szCs w:val="24"/>
              </w:rPr>
              <w:t>.1</w:t>
            </w:r>
          </w:p>
        </w:tc>
        <w:tc>
          <w:tcPr>
            <w:tcW w:w="8193" w:type="dxa"/>
            <w:tcBorders>
              <w:top w:val="dotted" w:sz="4" w:space="0" w:color="auto"/>
              <w:bottom w:val="dotted" w:sz="4" w:space="0" w:color="auto"/>
            </w:tcBorders>
          </w:tcPr>
          <w:p w14:paraId="4836822D" w14:textId="5B24BF23" w:rsidR="00D233F9" w:rsidRPr="00AA2BF2" w:rsidRDefault="00D233F9" w:rsidP="00D233F9">
            <w:pPr>
              <w:jc w:val="both"/>
              <w:rPr>
                <w:sz w:val="24"/>
                <w:szCs w:val="24"/>
              </w:rPr>
            </w:pPr>
            <w:r w:rsidRPr="00AA2BF2">
              <w:rPr>
                <w:sz w:val="24"/>
                <w:szCs w:val="24"/>
              </w:rPr>
              <w:t>The next meeting of the Board will take place on Wednesday</w:t>
            </w:r>
            <w:r>
              <w:rPr>
                <w:sz w:val="24"/>
                <w:szCs w:val="24"/>
              </w:rPr>
              <w:t>,</w:t>
            </w:r>
            <w:r w:rsidRPr="00AA2BF2">
              <w:rPr>
                <w:sz w:val="24"/>
                <w:szCs w:val="24"/>
              </w:rPr>
              <w:t xml:space="preserve"> </w:t>
            </w:r>
            <w:r w:rsidR="00F5163D">
              <w:rPr>
                <w:sz w:val="24"/>
                <w:szCs w:val="24"/>
              </w:rPr>
              <w:t>12 December</w:t>
            </w:r>
            <w:r w:rsidR="004661A9">
              <w:rPr>
                <w:sz w:val="24"/>
                <w:szCs w:val="24"/>
              </w:rPr>
              <w:t xml:space="preserve"> </w:t>
            </w:r>
            <w:r>
              <w:rPr>
                <w:sz w:val="24"/>
                <w:szCs w:val="24"/>
              </w:rPr>
              <w:t>2018</w:t>
            </w:r>
            <w:r w:rsidRPr="00AA2BF2">
              <w:rPr>
                <w:sz w:val="24"/>
                <w:szCs w:val="24"/>
              </w:rPr>
              <w:t xml:space="preserve">.  </w:t>
            </w:r>
          </w:p>
        </w:tc>
      </w:tr>
    </w:tbl>
    <w:p w14:paraId="466065F1" w14:textId="77777777" w:rsidR="00682CD3" w:rsidRDefault="00682CD3" w:rsidP="00770B98">
      <w:pPr>
        <w:rPr>
          <w:sz w:val="24"/>
          <w:szCs w:val="24"/>
        </w:rPr>
      </w:pPr>
    </w:p>
    <w:p w14:paraId="54912108" w14:textId="423400C4" w:rsidR="00FE338C" w:rsidRDefault="00FE338C" w:rsidP="00770B98">
      <w:pPr>
        <w:rPr>
          <w:sz w:val="24"/>
          <w:szCs w:val="24"/>
        </w:rPr>
      </w:pPr>
    </w:p>
    <w:p w14:paraId="600E4029" w14:textId="1DC04062" w:rsidR="00CE2F79" w:rsidRDefault="00CE2F79" w:rsidP="00770B98">
      <w:pPr>
        <w:rPr>
          <w:sz w:val="24"/>
          <w:szCs w:val="24"/>
        </w:rPr>
      </w:pPr>
      <w:bookmarkStart w:id="0" w:name="_GoBack"/>
      <w:bookmarkEnd w:id="0"/>
    </w:p>
    <w:sectPr w:rsidR="00CE2F79" w:rsidSect="000F19E9">
      <w:headerReference w:type="default" r:id="rId8"/>
      <w:footerReference w:type="default" r:id="rId9"/>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588BF" w14:textId="77777777" w:rsidR="0065575E" w:rsidRDefault="0065575E" w:rsidP="00253E0A">
      <w:r>
        <w:separator/>
      </w:r>
    </w:p>
  </w:endnote>
  <w:endnote w:type="continuationSeparator" w:id="0">
    <w:p w14:paraId="28CCFC70" w14:textId="77777777" w:rsidR="0065575E" w:rsidRDefault="0065575E"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33C3C987"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03FF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3FF2">
              <w:rPr>
                <w:b/>
                <w:bCs/>
                <w:noProof/>
              </w:rPr>
              <w:t>3</w:t>
            </w:r>
            <w:r>
              <w:rPr>
                <w:b/>
                <w:bCs/>
                <w:sz w:val="24"/>
                <w:szCs w:val="24"/>
              </w:rPr>
              <w:fldChar w:fldCharType="end"/>
            </w:r>
          </w:p>
        </w:sdtContent>
      </w:sdt>
    </w:sdtContent>
  </w:sdt>
  <w:p w14:paraId="3D3D4F98" w14:textId="77777777" w:rsidR="00F25245" w:rsidRDefault="00F2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BEEFD" w14:textId="77777777" w:rsidR="0065575E" w:rsidRDefault="0065575E" w:rsidP="00253E0A">
      <w:r>
        <w:separator/>
      </w:r>
    </w:p>
  </w:footnote>
  <w:footnote w:type="continuationSeparator" w:id="0">
    <w:p w14:paraId="2A4F2214" w14:textId="77777777" w:rsidR="0065575E" w:rsidRDefault="0065575E" w:rsidP="0025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E62F8" w14:textId="4CA0147D" w:rsidR="00360A04" w:rsidRDefault="00360A04" w:rsidP="00A13C6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FF61BB9"/>
    <w:multiLevelType w:val="multilevel"/>
    <w:tmpl w:val="7018C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68"/>
    <w:rsid w:val="0000169B"/>
    <w:rsid w:val="000021C2"/>
    <w:rsid w:val="0000433C"/>
    <w:rsid w:val="00005547"/>
    <w:rsid w:val="000110C7"/>
    <w:rsid w:val="0001388E"/>
    <w:rsid w:val="00013AE9"/>
    <w:rsid w:val="00016236"/>
    <w:rsid w:val="00021266"/>
    <w:rsid w:val="000214EF"/>
    <w:rsid w:val="000269CA"/>
    <w:rsid w:val="00027C12"/>
    <w:rsid w:val="00031A49"/>
    <w:rsid w:val="00033AB1"/>
    <w:rsid w:val="0003557A"/>
    <w:rsid w:val="0003580A"/>
    <w:rsid w:val="00036DE3"/>
    <w:rsid w:val="00043916"/>
    <w:rsid w:val="00051F67"/>
    <w:rsid w:val="00054924"/>
    <w:rsid w:val="000550DD"/>
    <w:rsid w:val="000553A0"/>
    <w:rsid w:val="00056150"/>
    <w:rsid w:val="00060D52"/>
    <w:rsid w:val="000646B0"/>
    <w:rsid w:val="00065D25"/>
    <w:rsid w:val="000677D2"/>
    <w:rsid w:val="00072473"/>
    <w:rsid w:val="00072AB6"/>
    <w:rsid w:val="00073232"/>
    <w:rsid w:val="000738BC"/>
    <w:rsid w:val="0007405C"/>
    <w:rsid w:val="00082ED4"/>
    <w:rsid w:val="00083132"/>
    <w:rsid w:val="00086D0C"/>
    <w:rsid w:val="0008789A"/>
    <w:rsid w:val="000908D9"/>
    <w:rsid w:val="0009151B"/>
    <w:rsid w:val="0009318E"/>
    <w:rsid w:val="000A5DF5"/>
    <w:rsid w:val="000A6C42"/>
    <w:rsid w:val="000B26A0"/>
    <w:rsid w:val="000B5541"/>
    <w:rsid w:val="000B7621"/>
    <w:rsid w:val="000C137C"/>
    <w:rsid w:val="000D276D"/>
    <w:rsid w:val="000D35CE"/>
    <w:rsid w:val="000D3D84"/>
    <w:rsid w:val="000D4F5F"/>
    <w:rsid w:val="000D6A6C"/>
    <w:rsid w:val="000D6E84"/>
    <w:rsid w:val="000E1FD9"/>
    <w:rsid w:val="000E2DA3"/>
    <w:rsid w:val="000E71A5"/>
    <w:rsid w:val="000E7D48"/>
    <w:rsid w:val="000F19E9"/>
    <w:rsid w:val="000F3431"/>
    <w:rsid w:val="000F3AF9"/>
    <w:rsid w:val="000F3B00"/>
    <w:rsid w:val="000F44CC"/>
    <w:rsid w:val="000F4961"/>
    <w:rsid w:val="000F4B96"/>
    <w:rsid w:val="000F626B"/>
    <w:rsid w:val="00101E8E"/>
    <w:rsid w:val="00110523"/>
    <w:rsid w:val="00116CA1"/>
    <w:rsid w:val="00117242"/>
    <w:rsid w:val="00120677"/>
    <w:rsid w:val="001211AD"/>
    <w:rsid w:val="001247D8"/>
    <w:rsid w:val="00126288"/>
    <w:rsid w:val="00127E24"/>
    <w:rsid w:val="001305A9"/>
    <w:rsid w:val="00133FB8"/>
    <w:rsid w:val="00136D45"/>
    <w:rsid w:val="0015545C"/>
    <w:rsid w:val="00163EB6"/>
    <w:rsid w:val="00167268"/>
    <w:rsid w:val="001734D5"/>
    <w:rsid w:val="00177D62"/>
    <w:rsid w:val="001819A4"/>
    <w:rsid w:val="001836E2"/>
    <w:rsid w:val="00184481"/>
    <w:rsid w:val="0018555D"/>
    <w:rsid w:val="001972B7"/>
    <w:rsid w:val="001A072F"/>
    <w:rsid w:val="001A2E70"/>
    <w:rsid w:val="001A35A3"/>
    <w:rsid w:val="001A5D74"/>
    <w:rsid w:val="001A7E90"/>
    <w:rsid w:val="001B5436"/>
    <w:rsid w:val="001C212A"/>
    <w:rsid w:val="001C25EE"/>
    <w:rsid w:val="001C33B2"/>
    <w:rsid w:val="001C4D9E"/>
    <w:rsid w:val="001D1A84"/>
    <w:rsid w:val="001D1F98"/>
    <w:rsid w:val="001D5752"/>
    <w:rsid w:val="001E128C"/>
    <w:rsid w:val="001F2DE7"/>
    <w:rsid w:val="001F5D25"/>
    <w:rsid w:val="001F5D91"/>
    <w:rsid w:val="001F60E9"/>
    <w:rsid w:val="002030F9"/>
    <w:rsid w:val="00206A7E"/>
    <w:rsid w:val="00207853"/>
    <w:rsid w:val="00210FFB"/>
    <w:rsid w:val="00222EA3"/>
    <w:rsid w:val="00223310"/>
    <w:rsid w:val="0023121B"/>
    <w:rsid w:val="00235143"/>
    <w:rsid w:val="0024260C"/>
    <w:rsid w:val="002437A6"/>
    <w:rsid w:val="002452FE"/>
    <w:rsid w:val="00253E0A"/>
    <w:rsid w:val="00256381"/>
    <w:rsid w:val="00262852"/>
    <w:rsid w:val="002668AB"/>
    <w:rsid w:val="00274184"/>
    <w:rsid w:val="00275F87"/>
    <w:rsid w:val="00280B69"/>
    <w:rsid w:val="002867AF"/>
    <w:rsid w:val="0028711A"/>
    <w:rsid w:val="002B0016"/>
    <w:rsid w:val="002B470B"/>
    <w:rsid w:val="002B6F1A"/>
    <w:rsid w:val="002C3FF5"/>
    <w:rsid w:val="002C440A"/>
    <w:rsid w:val="002D2D5E"/>
    <w:rsid w:val="002D2F5B"/>
    <w:rsid w:val="002E2EC7"/>
    <w:rsid w:val="002E2F27"/>
    <w:rsid w:val="002E4A8E"/>
    <w:rsid w:val="002F1665"/>
    <w:rsid w:val="002F1763"/>
    <w:rsid w:val="002F304C"/>
    <w:rsid w:val="002F3BBF"/>
    <w:rsid w:val="002F3E91"/>
    <w:rsid w:val="002F4AFA"/>
    <w:rsid w:val="002F5210"/>
    <w:rsid w:val="002F7526"/>
    <w:rsid w:val="002F7F48"/>
    <w:rsid w:val="003025C7"/>
    <w:rsid w:val="00305E2A"/>
    <w:rsid w:val="00311C62"/>
    <w:rsid w:val="003161EB"/>
    <w:rsid w:val="00316449"/>
    <w:rsid w:val="00317429"/>
    <w:rsid w:val="00317989"/>
    <w:rsid w:val="003214E0"/>
    <w:rsid w:val="003226A1"/>
    <w:rsid w:val="00340314"/>
    <w:rsid w:val="00344369"/>
    <w:rsid w:val="003560D3"/>
    <w:rsid w:val="003567FB"/>
    <w:rsid w:val="00360A04"/>
    <w:rsid w:val="00362740"/>
    <w:rsid w:val="0036347F"/>
    <w:rsid w:val="003717AE"/>
    <w:rsid w:val="0037191C"/>
    <w:rsid w:val="003747AD"/>
    <w:rsid w:val="003809E1"/>
    <w:rsid w:val="00380F83"/>
    <w:rsid w:val="00380FB1"/>
    <w:rsid w:val="00384525"/>
    <w:rsid w:val="0038694F"/>
    <w:rsid w:val="003919E8"/>
    <w:rsid w:val="00393B40"/>
    <w:rsid w:val="003A1153"/>
    <w:rsid w:val="003A1B08"/>
    <w:rsid w:val="003A5A19"/>
    <w:rsid w:val="003A78BC"/>
    <w:rsid w:val="003A7F61"/>
    <w:rsid w:val="003B0825"/>
    <w:rsid w:val="003B3D3C"/>
    <w:rsid w:val="003B4371"/>
    <w:rsid w:val="003C0EB2"/>
    <w:rsid w:val="003C20AD"/>
    <w:rsid w:val="003D1EEA"/>
    <w:rsid w:val="003D3BA3"/>
    <w:rsid w:val="003E0975"/>
    <w:rsid w:val="003E1B20"/>
    <w:rsid w:val="003E2EFA"/>
    <w:rsid w:val="003E52F7"/>
    <w:rsid w:val="003E683A"/>
    <w:rsid w:val="003E7002"/>
    <w:rsid w:val="003F2FCC"/>
    <w:rsid w:val="003F6140"/>
    <w:rsid w:val="004016DD"/>
    <w:rsid w:val="00413A19"/>
    <w:rsid w:val="0041495A"/>
    <w:rsid w:val="004169B0"/>
    <w:rsid w:val="00434A64"/>
    <w:rsid w:val="00436F67"/>
    <w:rsid w:val="00437116"/>
    <w:rsid w:val="00441F46"/>
    <w:rsid w:val="0044287F"/>
    <w:rsid w:val="00446426"/>
    <w:rsid w:val="00453032"/>
    <w:rsid w:val="00456740"/>
    <w:rsid w:val="0046025E"/>
    <w:rsid w:val="00465639"/>
    <w:rsid w:val="004661A9"/>
    <w:rsid w:val="00471261"/>
    <w:rsid w:val="0047238E"/>
    <w:rsid w:val="00473D3A"/>
    <w:rsid w:val="00474D7F"/>
    <w:rsid w:val="0047699A"/>
    <w:rsid w:val="00480048"/>
    <w:rsid w:val="00481E1A"/>
    <w:rsid w:val="004842DA"/>
    <w:rsid w:val="00491B95"/>
    <w:rsid w:val="004A3335"/>
    <w:rsid w:val="004A3489"/>
    <w:rsid w:val="004A3C55"/>
    <w:rsid w:val="004A6C7E"/>
    <w:rsid w:val="004B0CBA"/>
    <w:rsid w:val="004B2CAC"/>
    <w:rsid w:val="004B308E"/>
    <w:rsid w:val="004B681F"/>
    <w:rsid w:val="004B7694"/>
    <w:rsid w:val="004C5F09"/>
    <w:rsid w:val="004D48EE"/>
    <w:rsid w:val="004D499C"/>
    <w:rsid w:val="004D4CBB"/>
    <w:rsid w:val="004D4D17"/>
    <w:rsid w:val="004D4D2A"/>
    <w:rsid w:val="004E096B"/>
    <w:rsid w:val="004E4844"/>
    <w:rsid w:val="004E689D"/>
    <w:rsid w:val="004E6A28"/>
    <w:rsid w:val="004F1454"/>
    <w:rsid w:val="004F1AFD"/>
    <w:rsid w:val="004F2E5A"/>
    <w:rsid w:val="004F30CD"/>
    <w:rsid w:val="004F31AF"/>
    <w:rsid w:val="004F446E"/>
    <w:rsid w:val="00502368"/>
    <w:rsid w:val="00504FF1"/>
    <w:rsid w:val="00512D4A"/>
    <w:rsid w:val="00514CE1"/>
    <w:rsid w:val="005215DA"/>
    <w:rsid w:val="005249F3"/>
    <w:rsid w:val="00531374"/>
    <w:rsid w:val="00531F77"/>
    <w:rsid w:val="00533536"/>
    <w:rsid w:val="00535086"/>
    <w:rsid w:val="00541834"/>
    <w:rsid w:val="0055047A"/>
    <w:rsid w:val="00557A94"/>
    <w:rsid w:val="00560DCE"/>
    <w:rsid w:val="00561652"/>
    <w:rsid w:val="00561F9F"/>
    <w:rsid w:val="00570FD6"/>
    <w:rsid w:val="00573B66"/>
    <w:rsid w:val="00573E9A"/>
    <w:rsid w:val="005841C0"/>
    <w:rsid w:val="00591FB3"/>
    <w:rsid w:val="00592D01"/>
    <w:rsid w:val="00593953"/>
    <w:rsid w:val="00595AE5"/>
    <w:rsid w:val="00596012"/>
    <w:rsid w:val="0059619A"/>
    <w:rsid w:val="005A081A"/>
    <w:rsid w:val="005A3F47"/>
    <w:rsid w:val="005A6535"/>
    <w:rsid w:val="005B23B8"/>
    <w:rsid w:val="005B381C"/>
    <w:rsid w:val="005B4E20"/>
    <w:rsid w:val="005B7ED0"/>
    <w:rsid w:val="005C486C"/>
    <w:rsid w:val="005C7ADA"/>
    <w:rsid w:val="005D063F"/>
    <w:rsid w:val="005E0F12"/>
    <w:rsid w:val="006139F4"/>
    <w:rsid w:val="00624E95"/>
    <w:rsid w:val="006263C8"/>
    <w:rsid w:val="00631438"/>
    <w:rsid w:val="006347F0"/>
    <w:rsid w:val="006359E9"/>
    <w:rsid w:val="0063668D"/>
    <w:rsid w:val="00637C43"/>
    <w:rsid w:val="0064020E"/>
    <w:rsid w:val="00645BBC"/>
    <w:rsid w:val="00651FC3"/>
    <w:rsid w:val="0065415B"/>
    <w:rsid w:val="006544F1"/>
    <w:rsid w:val="0065511E"/>
    <w:rsid w:val="0065575E"/>
    <w:rsid w:val="0065628B"/>
    <w:rsid w:val="00657990"/>
    <w:rsid w:val="0067216A"/>
    <w:rsid w:val="00672840"/>
    <w:rsid w:val="0067376C"/>
    <w:rsid w:val="006777C6"/>
    <w:rsid w:val="006829E2"/>
    <w:rsid w:val="00682CD3"/>
    <w:rsid w:val="0069267E"/>
    <w:rsid w:val="00694352"/>
    <w:rsid w:val="00695583"/>
    <w:rsid w:val="006A19C7"/>
    <w:rsid w:val="006A1E9A"/>
    <w:rsid w:val="006A445C"/>
    <w:rsid w:val="006A6B88"/>
    <w:rsid w:val="006A764B"/>
    <w:rsid w:val="006B01D2"/>
    <w:rsid w:val="006B316D"/>
    <w:rsid w:val="006B42A1"/>
    <w:rsid w:val="006B4DD5"/>
    <w:rsid w:val="006B6DE7"/>
    <w:rsid w:val="006C316D"/>
    <w:rsid w:val="006C62E8"/>
    <w:rsid w:val="006D5BB3"/>
    <w:rsid w:val="006E2AD6"/>
    <w:rsid w:val="006E6347"/>
    <w:rsid w:val="006F3A83"/>
    <w:rsid w:val="00701D27"/>
    <w:rsid w:val="0070567D"/>
    <w:rsid w:val="00713187"/>
    <w:rsid w:val="00715E0B"/>
    <w:rsid w:val="00724614"/>
    <w:rsid w:val="007251DB"/>
    <w:rsid w:val="007340D6"/>
    <w:rsid w:val="0073549F"/>
    <w:rsid w:val="0074366F"/>
    <w:rsid w:val="00744DFB"/>
    <w:rsid w:val="007479CD"/>
    <w:rsid w:val="007502B9"/>
    <w:rsid w:val="00750C10"/>
    <w:rsid w:val="007514EC"/>
    <w:rsid w:val="007541C7"/>
    <w:rsid w:val="007565DD"/>
    <w:rsid w:val="007640E4"/>
    <w:rsid w:val="00765B46"/>
    <w:rsid w:val="00767570"/>
    <w:rsid w:val="00770B98"/>
    <w:rsid w:val="007732B2"/>
    <w:rsid w:val="007735C7"/>
    <w:rsid w:val="007738DA"/>
    <w:rsid w:val="007753D5"/>
    <w:rsid w:val="00776E24"/>
    <w:rsid w:val="007807AA"/>
    <w:rsid w:val="00781496"/>
    <w:rsid w:val="00782077"/>
    <w:rsid w:val="007827CF"/>
    <w:rsid w:val="00784D82"/>
    <w:rsid w:val="0078789A"/>
    <w:rsid w:val="0079096B"/>
    <w:rsid w:val="0079099F"/>
    <w:rsid w:val="007915D4"/>
    <w:rsid w:val="0079346D"/>
    <w:rsid w:val="007956A0"/>
    <w:rsid w:val="007A11CF"/>
    <w:rsid w:val="007A164E"/>
    <w:rsid w:val="007A2E63"/>
    <w:rsid w:val="007A6D4E"/>
    <w:rsid w:val="007B028B"/>
    <w:rsid w:val="007B18E8"/>
    <w:rsid w:val="007B6178"/>
    <w:rsid w:val="007D29BC"/>
    <w:rsid w:val="007D77D8"/>
    <w:rsid w:val="007E6D19"/>
    <w:rsid w:val="007F1270"/>
    <w:rsid w:val="007F5362"/>
    <w:rsid w:val="00802E74"/>
    <w:rsid w:val="00816D65"/>
    <w:rsid w:val="008230F9"/>
    <w:rsid w:val="00826B01"/>
    <w:rsid w:val="008310C6"/>
    <w:rsid w:val="008336F4"/>
    <w:rsid w:val="00833D2A"/>
    <w:rsid w:val="0083570C"/>
    <w:rsid w:val="00835872"/>
    <w:rsid w:val="00835FC7"/>
    <w:rsid w:val="008413BF"/>
    <w:rsid w:val="008421E1"/>
    <w:rsid w:val="00843506"/>
    <w:rsid w:val="008451A6"/>
    <w:rsid w:val="0084699B"/>
    <w:rsid w:val="00851FEA"/>
    <w:rsid w:val="00853A67"/>
    <w:rsid w:val="00862DF3"/>
    <w:rsid w:val="00867189"/>
    <w:rsid w:val="00870A6E"/>
    <w:rsid w:val="008711C9"/>
    <w:rsid w:val="00874C19"/>
    <w:rsid w:val="00874F41"/>
    <w:rsid w:val="00882BDB"/>
    <w:rsid w:val="00882F77"/>
    <w:rsid w:val="00885958"/>
    <w:rsid w:val="00885CCE"/>
    <w:rsid w:val="0088602C"/>
    <w:rsid w:val="0089053A"/>
    <w:rsid w:val="008922C3"/>
    <w:rsid w:val="0089268B"/>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5F0"/>
    <w:rsid w:val="008C483C"/>
    <w:rsid w:val="008C66C2"/>
    <w:rsid w:val="008D2F90"/>
    <w:rsid w:val="008E0894"/>
    <w:rsid w:val="008E31D9"/>
    <w:rsid w:val="008E40E5"/>
    <w:rsid w:val="008F1725"/>
    <w:rsid w:val="008F1AD3"/>
    <w:rsid w:val="008F3B26"/>
    <w:rsid w:val="008F5BA5"/>
    <w:rsid w:val="009061A5"/>
    <w:rsid w:val="00913CEB"/>
    <w:rsid w:val="0091532B"/>
    <w:rsid w:val="00916D8F"/>
    <w:rsid w:val="00920F0A"/>
    <w:rsid w:val="00921AF2"/>
    <w:rsid w:val="00925FA1"/>
    <w:rsid w:val="009302EA"/>
    <w:rsid w:val="0093159A"/>
    <w:rsid w:val="00940D59"/>
    <w:rsid w:val="009420BA"/>
    <w:rsid w:val="00946395"/>
    <w:rsid w:val="00947D78"/>
    <w:rsid w:val="00954190"/>
    <w:rsid w:val="00961DA5"/>
    <w:rsid w:val="009677CB"/>
    <w:rsid w:val="009813DA"/>
    <w:rsid w:val="00990617"/>
    <w:rsid w:val="00992395"/>
    <w:rsid w:val="00997CC1"/>
    <w:rsid w:val="009A7017"/>
    <w:rsid w:val="009B2969"/>
    <w:rsid w:val="009C0653"/>
    <w:rsid w:val="009C3476"/>
    <w:rsid w:val="009C6F6C"/>
    <w:rsid w:val="009D2811"/>
    <w:rsid w:val="009E113F"/>
    <w:rsid w:val="009E157F"/>
    <w:rsid w:val="009F03FF"/>
    <w:rsid w:val="009F4A56"/>
    <w:rsid w:val="00A10617"/>
    <w:rsid w:val="00A13C6C"/>
    <w:rsid w:val="00A221E1"/>
    <w:rsid w:val="00A22F07"/>
    <w:rsid w:val="00A25066"/>
    <w:rsid w:val="00A308EB"/>
    <w:rsid w:val="00A31715"/>
    <w:rsid w:val="00A328CD"/>
    <w:rsid w:val="00A36414"/>
    <w:rsid w:val="00A37231"/>
    <w:rsid w:val="00A37706"/>
    <w:rsid w:val="00A4417C"/>
    <w:rsid w:val="00A45BBC"/>
    <w:rsid w:val="00A50008"/>
    <w:rsid w:val="00A530A4"/>
    <w:rsid w:val="00A53270"/>
    <w:rsid w:val="00A64D6C"/>
    <w:rsid w:val="00A7376F"/>
    <w:rsid w:val="00A74FEC"/>
    <w:rsid w:val="00A868BA"/>
    <w:rsid w:val="00A86B7C"/>
    <w:rsid w:val="00A9519D"/>
    <w:rsid w:val="00A96269"/>
    <w:rsid w:val="00AA1A07"/>
    <w:rsid w:val="00AA2AD8"/>
    <w:rsid w:val="00AA2BF2"/>
    <w:rsid w:val="00AA2E22"/>
    <w:rsid w:val="00AA5FA5"/>
    <w:rsid w:val="00AA715B"/>
    <w:rsid w:val="00AB0C42"/>
    <w:rsid w:val="00AB3160"/>
    <w:rsid w:val="00AC2752"/>
    <w:rsid w:val="00AD0CB4"/>
    <w:rsid w:val="00AD12AE"/>
    <w:rsid w:val="00AD4160"/>
    <w:rsid w:val="00AD57EE"/>
    <w:rsid w:val="00AE7F4B"/>
    <w:rsid w:val="00AF7512"/>
    <w:rsid w:val="00AF7967"/>
    <w:rsid w:val="00B0025C"/>
    <w:rsid w:val="00B0206D"/>
    <w:rsid w:val="00B03FF2"/>
    <w:rsid w:val="00B044BC"/>
    <w:rsid w:val="00B17842"/>
    <w:rsid w:val="00B207FB"/>
    <w:rsid w:val="00B23108"/>
    <w:rsid w:val="00B265FF"/>
    <w:rsid w:val="00B27790"/>
    <w:rsid w:val="00B3586D"/>
    <w:rsid w:val="00B363F0"/>
    <w:rsid w:val="00B40EEA"/>
    <w:rsid w:val="00B4216E"/>
    <w:rsid w:val="00B45A0A"/>
    <w:rsid w:val="00B4626F"/>
    <w:rsid w:val="00B4728E"/>
    <w:rsid w:val="00B51AD9"/>
    <w:rsid w:val="00B52129"/>
    <w:rsid w:val="00B55550"/>
    <w:rsid w:val="00B6244D"/>
    <w:rsid w:val="00B624BE"/>
    <w:rsid w:val="00B628B5"/>
    <w:rsid w:val="00B62BED"/>
    <w:rsid w:val="00B63D7E"/>
    <w:rsid w:val="00B80555"/>
    <w:rsid w:val="00B82E1E"/>
    <w:rsid w:val="00B85FA4"/>
    <w:rsid w:val="00B86B36"/>
    <w:rsid w:val="00B86F8A"/>
    <w:rsid w:val="00B8735D"/>
    <w:rsid w:val="00B87489"/>
    <w:rsid w:val="00B94410"/>
    <w:rsid w:val="00BA2368"/>
    <w:rsid w:val="00BA3BCF"/>
    <w:rsid w:val="00BA5194"/>
    <w:rsid w:val="00BA7401"/>
    <w:rsid w:val="00BB0054"/>
    <w:rsid w:val="00BB556A"/>
    <w:rsid w:val="00BB7BC6"/>
    <w:rsid w:val="00BC5F58"/>
    <w:rsid w:val="00BD03F5"/>
    <w:rsid w:val="00BD614A"/>
    <w:rsid w:val="00BE1868"/>
    <w:rsid w:val="00BE28D3"/>
    <w:rsid w:val="00BE35D5"/>
    <w:rsid w:val="00BE5E31"/>
    <w:rsid w:val="00BE6DEA"/>
    <w:rsid w:val="00BE7799"/>
    <w:rsid w:val="00BF363A"/>
    <w:rsid w:val="00BF4AD1"/>
    <w:rsid w:val="00BF6C39"/>
    <w:rsid w:val="00C02A1B"/>
    <w:rsid w:val="00C06DBF"/>
    <w:rsid w:val="00C1136E"/>
    <w:rsid w:val="00C12ABB"/>
    <w:rsid w:val="00C13C15"/>
    <w:rsid w:val="00C1535D"/>
    <w:rsid w:val="00C22C53"/>
    <w:rsid w:val="00C24E1B"/>
    <w:rsid w:val="00C33BC5"/>
    <w:rsid w:val="00C36283"/>
    <w:rsid w:val="00C3747C"/>
    <w:rsid w:val="00C46512"/>
    <w:rsid w:val="00C50EA4"/>
    <w:rsid w:val="00C54139"/>
    <w:rsid w:val="00C54CB5"/>
    <w:rsid w:val="00C607DB"/>
    <w:rsid w:val="00C61A92"/>
    <w:rsid w:val="00C63798"/>
    <w:rsid w:val="00C63A9E"/>
    <w:rsid w:val="00C70D47"/>
    <w:rsid w:val="00C75A9F"/>
    <w:rsid w:val="00C86D14"/>
    <w:rsid w:val="00C920FC"/>
    <w:rsid w:val="00C92972"/>
    <w:rsid w:val="00C96A47"/>
    <w:rsid w:val="00CA2AE1"/>
    <w:rsid w:val="00CA30FB"/>
    <w:rsid w:val="00CB6561"/>
    <w:rsid w:val="00CB66D0"/>
    <w:rsid w:val="00CC0A04"/>
    <w:rsid w:val="00CC0E8F"/>
    <w:rsid w:val="00CC26B3"/>
    <w:rsid w:val="00CC74D0"/>
    <w:rsid w:val="00CD3134"/>
    <w:rsid w:val="00CD5BAC"/>
    <w:rsid w:val="00CE0887"/>
    <w:rsid w:val="00CE2F79"/>
    <w:rsid w:val="00CE4AEE"/>
    <w:rsid w:val="00CE6DD5"/>
    <w:rsid w:val="00CF5C95"/>
    <w:rsid w:val="00D02670"/>
    <w:rsid w:val="00D06B3D"/>
    <w:rsid w:val="00D06BC6"/>
    <w:rsid w:val="00D14786"/>
    <w:rsid w:val="00D16749"/>
    <w:rsid w:val="00D1740C"/>
    <w:rsid w:val="00D21DFF"/>
    <w:rsid w:val="00D222B9"/>
    <w:rsid w:val="00D233F9"/>
    <w:rsid w:val="00D30862"/>
    <w:rsid w:val="00D30A26"/>
    <w:rsid w:val="00D36185"/>
    <w:rsid w:val="00D36A83"/>
    <w:rsid w:val="00D375F0"/>
    <w:rsid w:val="00D400AB"/>
    <w:rsid w:val="00D428F1"/>
    <w:rsid w:val="00D4578C"/>
    <w:rsid w:val="00D4638F"/>
    <w:rsid w:val="00D52809"/>
    <w:rsid w:val="00D53E6C"/>
    <w:rsid w:val="00D5440E"/>
    <w:rsid w:val="00D565B8"/>
    <w:rsid w:val="00D5755E"/>
    <w:rsid w:val="00D614E8"/>
    <w:rsid w:val="00D63FDA"/>
    <w:rsid w:val="00D742CA"/>
    <w:rsid w:val="00D80BE0"/>
    <w:rsid w:val="00D92AC3"/>
    <w:rsid w:val="00D97609"/>
    <w:rsid w:val="00DA0CEE"/>
    <w:rsid w:val="00DA5A4C"/>
    <w:rsid w:val="00DA5D19"/>
    <w:rsid w:val="00DB0923"/>
    <w:rsid w:val="00DB18B6"/>
    <w:rsid w:val="00DC3368"/>
    <w:rsid w:val="00DC6ECD"/>
    <w:rsid w:val="00DC7CF8"/>
    <w:rsid w:val="00DD0A21"/>
    <w:rsid w:val="00DD39EE"/>
    <w:rsid w:val="00DD3EA3"/>
    <w:rsid w:val="00DD708B"/>
    <w:rsid w:val="00DE2F25"/>
    <w:rsid w:val="00DF0D58"/>
    <w:rsid w:val="00DF14AD"/>
    <w:rsid w:val="00DF2C74"/>
    <w:rsid w:val="00DF7C2A"/>
    <w:rsid w:val="00E01B64"/>
    <w:rsid w:val="00E12010"/>
    <w:rsid w:val="00E15D4E"/>
    <w:rsid w:val="00E17B43"/>
    <w:rsid w:val="00E22F81"/>
    <w:rsid w:val="00E23641"/>
    <w:rsid w:val="00E23707"/>
    <w:rsid w:val="00E24AC2"/>
    <w:rsid w:val="00E2753F"/>
    <w:rsid w:val="00E32D1B"/>
    <w:rsid w:val="00E32EB3"/>
    <w:rsid w:val="00E37170"/>
    <w:rsid w:val="00E43BE3"/>
    <w:rsid w:val="00E4437D"/>
    <w:rsid w:val="00E45C55"/>
    <w:rsid w:val="00E467CD"/>
    <w:rsid w:val="00E57453"/>
    <w:rsid w:val="00E63F28"/>
    <w:rsid w:val="00E66B5F"/>
    <w:rsid w:val="00E673EC"/>
    <w:rsid w:val="00E71364"/>
    <w:rsid w:val="00E72666"/>
    <w:rsid w:val="00E739D8"/>
    <w:rsid w:val="00E7402B"/>
    <w:rsid w:val="00E767AF"/>
    <w:rsid w:val="00E8035E"/>
    <w:rsid w:val="00E82214"/>
    <w:rsid w:val="00E86F61"/>
    <w:rsid w:val="00E96423"/>
    <w:rsid w:val="00EA2E08"/>
    <w:rsid w:val="00EA37DF"/>
    <w:rsid w:val="00EA3C20"/>
    <w:rsid w:val="00EA400B"/>
    <w:rsid w:val="00EA4EAD"/>
    <w:rsid w:val="00EA53ED"/>
    <w:rsid w:val="00EB22D9"/>
    <w:rsid w:val="00EB3CAC"/>
    <w:rsid w:val="00EB42BE"/>
    <w:rsid w:val="00EC2393"/>
    <w:rsid w:val="00EC492F"/>
    <w:rsid w:val="00ED5CD0"/>
    <w:rsid w:val="00ED6FEA"/>
    <w:rsid w:val="00EE040A"/>
    <w:rsid w:val="00EE33CF"/>
    <w:rsid w:val="00EE50FC"/>
    <w:rsid w:val="00EE7720"/>
    <w:rsid w:val="00EF181E"/>
    <w:rsid w:val="00EF19B4"/>
    <w:rsid w:val="00EF2DE2"/>
    <w:rsid w:val="00EF699E"/>
    <w:rsid w:val="00EF6D39"/>
    <w:rsid w:val="00F011F4"/>
    <w:rsid w:val="00F02FA8"/>
    <w:rsid w:val="00F04750"/>
    <w:rsid w:val="00F1029B"/>
    <w:rsid w:val="00F11C92"/>
    <w:rsid w:val="00F11EE0"/>
    <w:rsid w:val="00F134A5"/>
    <w:rsid w:val="00F14482"/>
    <w:rsid w:val="00F21BD9"/>
    <w:rsid w:val="00F23CAD"/>
    <w:rsid w:val="00F24226"/>
    <w:rsid w:val="00F25245"/>
    <w:rsid w:val="00F27F25"/>
    <w:rsid w:val="00F42206"/>
    <w:rsid w:val="00F4601A"/>
    <w:rsid w:val="00F460F9"/>
    <w:rsid w:val="00F46DFB"/>
    <w:rsid w:val="00F5163D"/>
    <w:rsid w:val="00F53AB9"/>
    <w:rsid w:val="00F55892"/>
    <w:rsid w:val="00F635B4"/>
    <w:rsid w:val="00F63917"/>
    <w:rsid w:val="00F67FA5"/>
    <w:rsid w:val="00F77FC5"/>
    <w:rsid w:val="00F816DE"/>
    <w:rsid w:val="00F842B5"/>
    <w:rsid w:val="00F85824"/>
    <w:rsid w:val="00F8585A"/>
    <w:rsid w:val="00F90E45"/>
    <w:rsid w:val="00F9146D"/>
    <w:rsid w:val="00F92579"/>
    <w:rsid w:val="00F93099"/>
    <w:rsid w:val="00FA68FF"/>
    <w:rsid w:val="00FA773C"/>
    <w:rsid w:val="00FA7C79"/>
    <w:rsid w:val="00FB33DF"/>
    <w:rsid w:val="00FC0444"/>
    <w:rsid w:val="00FC0BCF"/>
    <w:rsid w:val="00FC46CA"/>
    <w:rsid w:val="00FC6842"/>
    <w:rsid w:val="00FD1596"/>
    <w:rsid w:val="00FD34AA"/>
    <w:rsid w:val="00FD440A"/>
    <w:rsid w:val="00FD5ACB"/>
    <w:rsid w:val="00FE1830"/>
    <w:rsid w:val="00FE338C"/>
    <w:rsid w:val="00FE34C8"/>
    <w:rsid w:val="00FE7E87"/>
    <w:rsid w:val="00FE7FE5"/>
    <w:rsid w:val="00FF1F00"/>
    <w:rsid w:val="00FF54B8"/>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9CF4-52E1-4F5A-A387-99F32FBB7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2018-12-11T16:22:00Z</dcterms:created>
  <dcterms:modified xsi:type="dcterms:W3CDTF">2018-12-14T10:31:00Z</dcterms:modified>
</cp:coreProperties>
</file>