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42B5C1D7"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B42A1">
        <w:rPr>
          <w:b/>
          <w:sz w:val="24"/>
          <w:szCs w:val="24"/>
        </w:rPr>
        <w:t>1</w:t>
      </w:r>
      <w:r w:rsidR="00C12ABB">
        <w:rPr>
          <w:b/>
          <w:sz w:val="24"/>
          <w:szCs w:val="24"/>
        </w:rPr>
        <w:t>3</w:t>
      </w:r>
      <w:r w:rsidR="006B42A1">
        <w:rPr>
          <w:b/>
          <w:sz w:val="24"/>
          <w:szCs w:val="24"/>
        </w:rPr>
        <w:t xml:space="preserve"> </w:t>
      </w:r>
      <w:r w:rsidR="00C12ABB">
        <w:rPr>
          <w:b/>
          <w:sz w:val="24"/>
          <w:szCs w:val="24"/>
        </w:rPr>
        <w:t>June</w:t>
      </w:r>
      <w:r w:rsidR="006E6347">
        <w:rPr>
          <w:b/>
          <w:sz w:val="24"/>
          <w:szCs w:val="24"/>
        </w:rPr>
        <w:t xml:space="preserve"> 2018</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3B034853" w14:textId="484CE949" w:rsidR="006B42A1" w:rsidRPr="0037191C" w:rsidRDefault="00167268" w:rsidP="006B42A1">
      <w:pPr>
        <w:rPr>
          <w:sz w:val="24"/>
          <w:szCs w:val="24"/>
        </w:rPr>
      </w:pPr>
      <w:r w:rsidRPr="00DD39EE">
        <w:rPr>
          <w:b/>
          <w:sz w:val="24"/>
          <w:szCs w:val="24"/>
        </w:rPr>
        <w:t>Present:</w:t>
      </w:r>
      <w:r w:rsidR="006E6347">
        <w:rPr>
          <w:b/>
          <w:sz w:val="24"/>
          <w:szCs w:val="24"/>
        </w:rPr>
        <w:t xml:space="preserve"> </w:t>
      </w:r>
      <w:proofErr w:type="spellStart"/>
      <w:r w:rsidR="00F46DFB" w:rsidRPr="00DD39EE">
        <w:rPr>
          <w:sz w:val="24"/>
          <w:szCs w:val="24"/>
        </w:rPr>
        <w:t>Ita</w:t>
      </w:r>
      <w:proofErr w:type="spellEnd"/>
      <w:r w:rsidR="00F46DFB" w:rsidRPr="00DD39EE">
        <w:rPr>
          <w:sz w:val="24"/>
          <w:szCs w:val="24"/>
        </w:rPr>
        <w:t xml:space="preserve"> Mangan </w:t>
      </w:r>
      <w:r w:rsidR="00F46DFB">
        <w:rPr>
          <w:sz w:val="24"/>
          <w:szCs w:val="24"/>
        </w:rPr>
        <w:t xml:space="preserve">(Chairperson), </w:t>
      </w:r>
      <w:r w:rsidR="006E6347">
        <w:rPr>
          <w:sz w:val="24"/>
          <w:szCs w:val="24"/>
        </w:rPr>
        <w:t xml:space="preserve">John Saunders, James Clarke, Cearbhall O’Meadhra, Mary Higgins, </w:t>
      </w:r>
      <w:proofErr w:type="spellStart"/>
      <w:r w:rsidR="006E6347">
        <w:rPr>
          <w:sz w:val="24"/>
          <w:szCs w:val="24"/>
        </w:rPr>
        <w:t>Seán</w:t>
      </w:r>
      <w:proofErr w:type="spellEnd"/>
      <w:r w:rsidR="006E6347">
        <w:rPr>
          <w:sz w:val="24"/>
          <w:szCs w:val="24"/>
        </w:rPr>
        <w:t xml:space="preserve"> Sheridan, Ian Power, Tim Duggan, </w:t>
      </w:r>
      <w:r w:rsidR="006B42A1" w:rsidRPr="0037191C">
        <w:rPr>
          <w:sz w:val="24"/>
          <w:szCs w:val="24"/>
        </w:rPr>
        <w:t>Tina Leonard, Josephine Henry</w:t>
      </w:r>
      <w:r w:rsidR="00C12ABB">
        <w:rPr>
          <w:sz w:val="24"/>
          <w:szCs w:val="24"/>
        </w:rPr>
        <w:t>, Joanne McCarthy</w:t>
      </w:r>
    </w:p>
    <w:p w14:paraId="41C187D9" w14:textId="77777777" w:rsidR="00167268" w:rsidRDefault="00167268">
      <w:pPr>
        <w:rPr>
          <w:sz w:val="24"/>
          <w:szCs w:val="24"/>
        </w:rPr>
      </w:pPr>
    </w:p>
    <w:p w14:paraId="38855F08" w14:textId="6822AD13" w:rsidR="00BC5F58" w:rsidRPr="006B42A1" w:rsidRDefault="00BC5F58" w:rsidP="009C0653">
      <w:pPr>
        <w:rPr>
          <w:sz w:val="24"/>
          <w:szCs w:val="24"/>
        </w:rPr>
      </w:pPr>
      <w:r w:rsidRPr="00BC5F58">
        <w:rPr>
          <w:b/>
          <w:sz w:val="24"/>
          <w:szCs w:val="24"/>
        </w:rPr>
        <w:t>Apologies:</w:t>
      </w:r>
      <w:r w:rsidR="006E6347">
        <w:rPr>
          <w:b/>
          <w:sz w:val="24"/>
          <w:szCs w:val="24"/>
        </w:rPr>
        <w:t xml:space="preserve"> </w:t>
      </w:r>
      <w:r w:rsidR="006B42A1">
        <w:rPr>
          <w:sz w:val="24"/>
          <w:szCs w:val="24"/>
        </w:rPr>
        <w:t xml:space="preserve">Niall Mulligan, </w:t>
      </w:r>
      <w:r w:rsidR="00C12ABB">
        <w:rPr>
          <w:sz w:val="24"/>
          <w:szCs w:val="24"/>
        </w:rPr>
        <w:t>Nicola Walshe</w:t>
      </w:r>
    </w:p>
    <w:p w14:paraId="6F9B8F85" w14:textId="77777777" w:rsidR="00BC5F58" w:rsidRDefault="00BC5F58">
      <w:pPr>
        <w:rPr>
          <w:sz w:val="24"/>
          <w:szCs w:val="24"/>
        </w:rPr>
      </w:pPr>
    </w:p>
    <w:p w14:paraId="3DDDC472" w14:textId="08EC140C"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C12ABB">
        <w:rPr>
          <w:sz w:val="24"/>
          <w:szCs w:val="24"/>
        </w:rPr>
        <w:t xml:space="preserve">Adrian O’Connor, Senior Manager; </w:t>
      </w:r>
      <w:proofErr w:type="spellStart"/>
      <w:r w:rsidR="00C12ABB">
        <w:rPr>
          <w:sz w:val="24"/>
          <w:szCs w:val="24"/>
        </w:rPr>
        <w:t>Gráinne</w:t>
      </w:r>
      <w:proofErr w:type="spellEnd"/>
      <w:r w:rsidR="00C12ABB">
        <w:rPr>
          <w:sz w:val="24"/>
          <w:szCs w:val="24"/>
        </w:rPr>
        <w:t xml:space="preserve"> Griffin, Senior Manager;</w:t>
      </w:r>
      <w:r w:rsidRPr="00DD39EE">
        <w:rPr>
          <w:sz w:val="24"/>
          <w:szCs w:val="24"/>
        </w:rPr>
        <w:t xml:space="preserve"> Graham Long, </w:t>
      </w:r>
      <w:r w:rsidR="006E6347">
        <w:rPr>
          <w:sz w:val="24"/>
          <w:szCs w:val="24"/>
        </w:rPr>
        <w:t>Senior Manager (minutes)</w:t>
      </w:r>
      <w:r w:rsidRPr="00DD39EE">
        <w:rPr>
          <w:sz w:val="24"/>
          <w:szCs w:val="24"/>
        </w:rPr>
        <w:t xml:space="preserve">; </w:t>
      </w:r>
      <w:r w:rsidR="00CC0E8F">
        <w:rPr>
          <w:sz w:val="24"/>
          <w:szCs w:val="24"/>
        </w:rPr>
        <w:t xml:space="preserve">Caroline Mitchell, Restructuring Project Manager; </w:t>
      </w:r>
      <w:r w:rsidR="006B42A1">
        <w:rPr>
          <w:sz w:val="24"/>
          <w:szCs w:val="24"/>
        </w:rPr>
        <w:t>Gary Watters, Finance and Administration Manager</w:t>
      </w:r>
      <w:r w:rsidR="00C12ABB">
        <w:rPr>
          <w:sz w:val="24"/>
          <w:szCs w:val="24"/>
        </w:rPr>
        <w:t>; Keith Scanlon, ICT Manager</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3"/>
        <w:gridCol w:w="8193"/>
      </w:tblGrid>
      <w:tr w:rsidR="00AB3160" w:rsidRPr="00BA3BCF" w14:paraId="2B62CB24" w14:textId="77777777" w:rsidTr="001836E2">
        <w:trPr>
          <w:tblHeader/>
        </w:trPr>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253" w:type="dxa"/>
            <w:tcBorders>
              <w:bottom w:val="dotted" w:sz="4" w:space="0" w:color="auto"/>
            </w:tcBorders>
          </w:tcPr>
          <w:p w14:paraId="55A80F60" w14:textId="77777777" w:rsidR="00AB3160" w:rsidRPr="00F27F25" w:rsidRDefault="00AB3160" w:rsidP="00F02FA8">
            <w:pPr>
              <w:rPr>
                <w:b/>
                <w:sz w:val="24"/>
                <w:szCs w:val="24"/>
              </w:rPr>
            </w:pPr>
            <w:r w:rsidRPr="00F27F25">
              <w:rPr>
                <w:b/>
                <w:sz w:val="24"/>
                <w:szCs w:val="24"/>
              </w:rPr>
              <w:t>Agenda Description</w:t>
            </w:r>
          </w:p>
        </w:tc>
      </w:tr>
      <w:tr w:rsidR="0037191C" w:rsidRPr="00DD39EE" w14:paraId="576D4A49" w14:textId="77777777" w:rsidTr="001836E2">
        <w:tc>
          <w:tcPr>
            <w:tcW w:w="824"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253" w:type="dxa"/>
            <w:tcBorders>
              <w:top w:val="dotted" w:sz="4" w:space="0" w:color="auto"/>
              <w:bottom w:val="dotted" w:sz="4" w:space="0" w:color="auto"/>
            </w:tcBorders>
          </w:tcPr>
          <w:p w14:paraId="19CC8DEC" w14:textId="0FA521DB" w:rsidR="006E6347" w:rsidRPr="00F27F25" w:rsidRDefault="00A25066" w:rsidP="00A25066">
            <w:pPr>
              <w:rPr>
                <w:b/>
                <w:sz w:val="24"/>
                <w:szCs w:val="24"/>
              </w:rPr>
            </w:pPr>
            <w:r w:rsidRPr="00F27F25">
              <w:rPr>
                <w:b/>
                <w:sz w:val="24"/>
                <w:szCs w:val="24"/>
              </w:rPr>
              <w:t>Various matters</w:t>
            </w:r>
          </w:p>
        </w:tc>
      </w:tr>
      <w:tr w:rsidR="008B03A4" w:rsidRPr="00DD39EE" w14:paraId="2A37C8AB" w14:textId="77777777" w:rsidTr="001836E2">
        <w:tc>
          <w:tcPr>
            <w:tcW w:w="824" w:type="dxa"/>
            <w:tcBorders>
              <w:top w:val="dotted" w:sz="4" w:space="0" w:color="auto"/>
              <w:bottom w:val="dotted" w:sz="4" w:space="0" w:color="auto"/>
            </w:tcBorders>
          </w:tcPr>
          <w:p w14:paraId="56DCF9E8" w14:textId="739A9017" w:rsidR="008B03A4" w:rsidRPr="00F27F25" w:rsidRDefault="00C12ABB" w:rsidP="00A25066">
            <w:pPr>
              <w:rPr>
                <w:sz w:val="24"/>
                <w:szCs w:val="24"/>
              </w:rPr>
            </w:pPr>
            <w:r>
              <w:rPr>
                <w:sz w:val="24"/>
                <w:szCs w:val="24"/>
              </w:rPr>
              <w:t>0.1</w:t>
            </w:r>
          </w:p>
        </w:tc>
        <w:tc>
          <w:tcPr>
            <w:tcW w:w="8253" w:type="dxa"/>
            <w:tcBorders>
              <w:top w:val="dotted" w:sz="4" w:space="0" w:color="auto"/>
              <w:bottom w:val="dotted" w:sz="4" w:space="0" w:color="auto"/>
            </w:tcBorders>
          </w:tcPr>
          <w:p w14:paraId="766C0CE6" w14:textId="2D1404DD" w:rsidR="008B03A4" w:rsidRPr="00F27F25" w:rsidRDefault="008B03A4" w:rsidP="00A25066">
            <w:pPr>
              <w:rPr>
                <w:sz w:val="24"/>
                <w:szCs w:val="24"/>
                <w:u w:val="single"/>
              </w:rPr>
            </w:pPr>
            <w:r w:rsidRPr="00F27F25">
              <w:rPr>
                <w:sz w:val="24"/>
                <w:szCs w:val="24"/>
                <w:u w:val="single"/>
              </w:rPr>
              <w:t>Declaration of interests</w:t>
            </w:r>
          </w:p>
        </w:tc>
      </w:tr>
      <w:tr w:rsidR="00A25066" w:rsidRPr="00DD39EE" w14:paraId="3CC3AD30" w14:textId="77777777" w:rsidTr="001836E2">
        <w:tc>
          <w:tcPr>
            <w:tcW w:w="824" w:type="dxa"/>
            <w:tcBorders>
              <w:top w:val="dotted" w:sz="4" w:space="0" w:color="auto"/>
              <w:bottom w:val="dotted" w:sz="4" w:space="0" w:color="auto"/>
            </w:tcBorders>
          </w:tcPr>
          <w:p w14:paraId="3D52EF09" w14:textId="60249966" w:rsidR="00A25066" w:rsidRPr="00F27F25" w:rsidRDefault="00235143" w:rsidP="00A25066">
            <w:pPr>
              <w:rPr>
                <w:sz w:val="24"/>
                <w:szCs w:val="24"/>
              </w:rPr>
            </w:pPr>
            <w:r>
              <w:rPr>
                <w:sz w:val="24"/>
                <w:szCs w:val="24"/>
              </w:rPr>
              <w:t>0.</w:t>
            </w:r>
            <w:r w:rsidR="00C12ABB">
              <w:rPr>
                <w:sz w:val="24"/>
                <w:szCs w:val="24"/>
              </w:rPr>
              <w:t>1</w:t>
            </w:r>
            <w:r w:rsidR="008B03A4" w:rsidRPr="00F27F25">
              <w:rPr>
                <w:sz w:val="24"/>
                <w:szCs w:val="24"/>
              </w:rPr>
              <w:t>.1</w:t>
            </w:r>
          </w:p>
        </w:tc>
        <w:tc>
          <w:tcPr>
            <w:tcW w:w="8253" w:type="dxa"/>
            <w:tcBorders>
              <w:top w:val="dotted" w:sz="4" w:space="0" w:color="auto"/>
              <w:bottom w:val="dotted" w:sz="4" w:space="0" w:color="auto"/>
            </w:tcBorders>
          </w:tcPr>
          <w:p w14:paraId="31A908CF" w14:textId="509F6EA1" w:rsidR="00A25066" w:rsidRPr="00F27F25" w:rsidRDefault="00235143" w:rsidP="007915D4">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No interests</w:t>
            </w:r>
            <w:r w:rsidR="00A25066" w:rsidRPr="00F27F25">
              <w:rPr>
                <w:sz w:val="24"/>
                <w:szCs w:val="24"/>
              </w:rPr>
              <w:t xml:space="preserve"> were declared.</w:t>
            </w:r>
          </w:p>
        </w:tc>
      </w:tr>
      <w:tr w:rsidR="00A25066" w:rsidRPr="00DD39EE" w14:paraId="34EC4D27" w14:textId="77777777" w:rsidTr="001836E2">
        <w:tc>
          <w:tcPr>
            <w:tcW w:w="824" w:type="dxa"/>
            <w:tcBorders>
              <w:top w:val="dotted" w:sz="4" w:space="0" w:color="auto"/>
              <w:bottom w:val="dotted" w:sz="4" w:space="0" w:color="auto"/>
            </w:tcBorders>
          </w:tcPr>
          <w:p w14:paraId="0817E1D3" w14:textId="77777777" w:rsidR="00A25066" w:rsidRPr="00F27F25" w:rsidRDefault="00A25066" w:rsidP="00A25066">
            <w:pPr>
              <w:rPr>
                <w:b/>
                <w:sz w:val="24"/>
                <w:szCs w:val="24"/>
              </w:rPr>
            </w:pPr>
            <w:r w:rsidRPr="00F27F25">
              <w:rPr>
                <w:b/>
                <w:sz w:val="24"/>
                <w:szCs w:val="24"/>
              </w:rPr>
              <w:t>1</w:t>
            </w:r>
          </w:p>
        </w:tc>
        <w:tc>
          <w:tcPr>
            <w:tcW w:w="8253" w:type="dxa"/>
            <w:tcBorders>
              <w:top w:val="dotted" w:sz="4" w:space="0" w:color="auto"/>
              <w:bottom w:val="dotted" w:sz="4" w:space="0" w:color="auto"/>
            </w:tcBorders>
          </w:tcPr>
          <w:p w14:paraId="173F028B" w14:textId="77777777" w:rsidR="00A25066" w:rsidRPr="00F27F25" w:rsidRDefault="00A25066" w:rsidP="007915D4">
            <w:pPr>
              <w:jc w:val="both"/>
              <w:rPr>
                <w:b/>
                <w:sz w:val="24"/>
                <w:szCs w:val="24"/>
              </w:rPr>
            </w:pPr>
            <w:r w:rsidRPr="00F27F25">
              <w:rPr>
                <w:b/>
                <w:sz w:val="24"/>
                <w:szCs w:val="24"/>
              </w:rPr>
              <w:t xml:space="preserve">Minutes of previous meeting </w:t>
            </w:r>
          </w:p>
          <w:p w14:paraId="67514C63" w14:textId="39573E63" w:rsidR="00A25066" w:rsidRPr="00F27F25" w:rsidRDefault="00A25066" w:rsidP="007915D4">
            <w:pPr>
              <w:jc w:val="both"/>
              <w:rPr>
                <w:i/>
                <w:sz w:val="24"/>
                <w:szCs w:val="24"/>
              </w:rPr>
            </w:pPr>
            <w:r w:rsidRPr="00F27F25">
              <w:rPr>
                <w:i/>
                <w:sz w:val="24"/>
                <w:szCs w:val="24"/>
              </w:rPr>
              <w:t xml:space="preserve">(The minutes of the Board meeting held on </w:t>
            </w:r>
            <w:r w:rsidR="00F67FA5">
              <w:rPr>
                <w:i/>
                <w:sz w:val="24"/>
                <w:szCs w:val="24"/>
              </w:rPr>
              <w:t xml:space="preserve">Wednesday, </w:t>
            </w:r>
            <w:r w:rsidR="00C12ABB">
              <w:rPr>
                <w:i/>
                <w:sz w:val="24"/>
                <w:szCs w:val="24"/>
              </w:rPr>
              <w:t>16</w:t>
            </w:r>
            <w:r w:rsidR="00235143">
              <w:rPr>
                <w:i/>
                <w:sz w:val="24"/>
                <w:szCs w:val="24"/>
              </w:rPr>
              <w:t xml:space="preserve"> </w:t>
            </w:r>
            <w:r w:rsidR="00C12ABB">
              <w:rPr>
                <w:i/>
                <w:sz w:val="24"/>
                <w:szCs w:val="24"/>
              </w:rPr>
              <w:t>May</w:t>
            </w:r>
            <w:r w:rsidR="000D6E84" w:rsidRPr="00F27F25">
              <w:rPr>
                <w:i/>
                <w:sz w:val="24"/>
                <w:szCs w:val="24"/>
              </w:rPr>
              <w:t xml:space="preserve"> 2018</w:t>
            </w:r>
            <w:r w:rsidRPr="00F27F25">
              <w:rPr>
                <w:i/>
                <w:sz w:val="24"/>
                <w:szCs w:val="24"/>
              </w:rPr>
              <w:t xml:space="preserve"> were circulated in advance of the meeting.)</w:t>
            </w:r>
          </w:p>
        </w:tc>
      </w:tr>
      <w:tr w:rsidR="00A25066" w:rsidRPr="00DD39EE" w14:paraId="582B4A46" w14:textId="77777777" w:rsidTr="001836E2">
        <w:tc>
          <w:tcPr>
            <w:tcW w:w="824" w:type="dxa"/>
            <w:tcBorders>
              <w:top w:val="dotted" w:sz="4" w:space="0" w:color="auto"/>
              <w:bottom w:val="dotted" w:sz="4" w:space="0" w:color="auto"/>
            </w:tcBorders>
          </w:tcPr>
          <w:p w14:paraId="6858AD2E" w14:textId="77777777" w:rsidR="00A25066" w:rsidRPr="00DD39EE" w:rsidRDefault="00A25066" w:rsidP="00A25066">
            <w:pPr>
              <w:rPr>
                <w:sz w:val="24"/>
                <w:szCs w:val="24"/>
              </w:rPr>
            </w:pPr>
            <w:r w:rsidRPr="00DD39EE">
              <w:rPr>
                <w:sz w:val="24"/>
                <w:szCs w:val="24"/>
              </w:rPr>
              <w:t>1.1</w:t>
            </w:r>
          </w:p>
        </w:tc>
        <w:tc>
          <w:tcPr>
            <w:tcW w:w="8253" w:type="dxa"/>
            <w:tcBorders>
              <w:top w:val="dotted" w:sz="4" w:space="0" w:color="auto"/>
              <w:bottom w:val="dotted" w:sz="4" w:space="0" w:color="auto"/>
            </w:tcBorders>
          </w:tcPr>
          <w:p w14:paraId="2CF899A6" w14:textId="513612B6" w:rsidR="00A25066" w:rsidRPr="00AA2BF2" w:rsidRDefault="00A25066" w:rsidP="007915D4">
            <w:pPr>
              <w:jc w:val="both"/>
              <w:rPr>
                <w:sz w:val="24"/>
                <w:szCs w:val="24"/>
              </w:rPr>
            </w:pPr>
            <w:r>
              <w:rPr>
                <w:sz w:val="24"/>
                <w:szCs w:val="24"/>
              </w:rPr>
              <w:t xml:space="preserve">The minutes were proposed by </w:t>
            </w:r>
            <w:r w:rsidR="00C12ABB">
              <w:rPr>
                <w:sz w:val="24"/>
                <w:szCs w:val="24"/>
              </w:rPr>
              <w:t>Tina Leonard</w:t>
            </w:r>
            <w:r>
              <w:rPr>
                <w:sz w:val="24"/>
                <w:szCs w:val="24"/>
              </w:rPr>
              <w:t xml:space="preserve"> and seconded by </w:t>
            </w:r>
            <w:proofErr w:type="spellStart"/>
            <w:r>
              <w:rPr>
                <w:sz w:val="24"/>
                <w:szCs w:val="24"/>
              </w:rPr>
              <w:t>Seán</w:t>
            </w:r>
            <w:proofErr w:type="spellEnd"/>
            <w:r>
              <w:rPr>
                <w:sz w:val="24"/>
                <w:szCs w:val="24"/>
              </w:rPr>
              <w:t xml:space="preserve"> Sheridan.</w:t>
            </w:r>
          </w:p>
        </w:tc>
      </w:tr>
      <w:tr w:rsidR="00A25066" w:rsidRPr="00DD39EE" w14:paraId="05F95226" w14:textId="77777777" w:rsidTr="001836E2">
        <w:tc>
          <w:tcPr>
            <w:tcW w:w="824" w:type="dxa"/>
            <w:tcBorders>
              <w:top w:val="dotted" w:sz="4" w:space="0" w:color="auto"/>
              <w:bottom w:val="dotted" w:sz="4" w:space="0" w:color="auto"/>
            </w:tcBorders>
          </w:tcPr>
          <w:p w14:paraId="0FCD3886" w14:textId="77777777" w:rsidR="00A25066" w:rsidRPr="003809E1" w:rsidRDefault="00A25066" w:rsidP="00A25066">
            <w:pPr>
              <w:rPr>
                <w:b/>
                <w:sz w:val="24"/>
                <w:szCs w:val="24"/>
              </w:rPr>
            </w:pPr>
            <w:r w:rsidRPr="003809E1">
              <w:rPr>
                <w:b/>
                <w:sz w:val="24"/>
                <w:szCs w:val="24"/>
              </w:rPr>
              <w:t>2</w:t>
            </w:r>
          </w:p>
        </w:tc>
        <w:tc>
          <w:tcPr>
            <w:tcW w:w="8253" w:type="dxa"/>
            <w:tcBorders>
              <w:top w:val="dotted" w:sz="4" w:space="0" w:color="auto"/>
              <w:bottom w:val="dotted" w:sz="4" w:space="0" w:color="auto"/>
            </w:tcBorders>
          </w:tcPr>
          <w:p w14:paraId="4EFE1F08" w14:textId="77777777" w:rsidR="00A25066" w:rsidRPr="00AA2BF2" w:rsidRDefault="00A25066" w:rsidP="007915D4">
            <w:pPr>
              <w:jc w:val="both"/>
              <w:rPr>
                <w:b/>
                <w:sz w:val="24"/>
                <w:szCs w:val="24"/>
              </w:rPr>
            </w:pPr>
            <w:r w:rsidRPr="00AA2BF2">
              <w:rPr>
                <w:b/>
                <w:sz w:val="24"/>
                <w:szCs w:val="24"/>
              </w:rPr>
              <w:t>Matters arising</w:t>
            </w:r>
          </w:p>
        </w:tc>
      </w:tr>
      <w:tr w:rsidR="00A25066" w:rsidRPr="00DD39EE" w14:paraId="525008D1" w14:textId="77777777" w:rsidTr="001836E2">
        <w:tc>
          <w:tcPr>
            <w:tcW w:w="824" w:type="dxa"/>
            <w:tcBorders>
              <w:top w:val="dotted" w:sz="4" w:space="0" w:color="auto"/>
              <w:bottom w:val="dotted" w:sz="4" w:space="0" w:color="auto"/>
            </w:tcBorders>
          </w:tcPr>
          <w:p w14:paraId="48D11FEB" w14:textId="77777777" w:rsidR="00A25066" w:rsidRPr="00DD39EE" w:rsidRDefault="00A25066" w:rsidP="00A25066">
            <w:pPr>
              <w:rPr>
                <w:sz w:val="24"/>
                <w:szCs w:val="24"/>
              </w:rPr>
            </w:pPr>
            <w:r>
              <w:rPr>
                <w:sz w:val="24"/>
                <w:szCs w:val="24"/>
              </w:rPr>
              <w:t>2.1</w:t>
            </w:r>
          </w:p>
        </w:tc>
        <w:tc>
          <w:tcPr>
            <w:tcW w:w="8253" w:type="dxa"/>
            <w:tcBorders>
              <w:top w:val="dotted" w:sz="4" w:space="0" w:color="auto"/>
              <w:bottom w:val="dotted" w:sz="4" w:space="0" w:color="auto"/>
            </w:tcBorders>
          </w:tcPr>
          <w:p w14:paraId="19C26958" w14:textId="68D3DC13" w:rsidR="00A25066" w:rsidRPr="00AA2BF2" w:rsidRDefault="00C12ABB" w:rsidP="007915D4">
            <w:pPr>
              <w:jc w:val="both"/>
              <w:rPr>
                <w:sz w:val="24"/>
                <w:szCs w:val="24"/>
              </w:rPr>
            </w:pPr>
            <w:proofErr w:type="spellStart"/>
            <w:r>
              <w:rPr>
                <w:sz w:val="24"/>
                <w:szCs w:val="24"/>
              </w:rPr>
              <w:t>Seán</w:t>
            </w:r>
            <w:proofErr w:type="spellEnd"/>
            <w:r>
              <w:rPr>
                <w:sz w:val="24"/>
                <w:szCs w:val="24"/>
              </w:rPr>
              <w:t xml:space="preserve"> Sheridan noted that it was agreed at the last meeting to circulate the NAS strategy. The strategy will be circulated for the meeting of 25 July</w:t>
            </w:r>
            <w:r w:rsidR="004E4844">
              <w:rPr>
                <w:sz w:val="24"/>
                <w:szCs w:val="24"/>
              </w:rPr>
              <w:t>,</w:t>
            </w:r>
            <w:r>
              <w:rPr>
                <w:sz w:val="24"/>
                <w:szCs w:val="24"/>
              </w:rPr>
              <w:t xml:space="preserve"> when an overview of advocacy in the context of CIS and NAS will be on the agenda. Ian Power requested </w:t>
            </w:r>
            <w:r w:rsidR="00F25245">
              <w:rPr>
                <w:sz w:val="24"/>
                <w:szCs w:val="24"/>
              </w:rPr>
              <w:t>an update on</w:t>
            </w:r>
            <w:r>
              <w:rPr>
                <w:sz w:val="24"/>
                <w:szCs w:val="24"/>
              </w:rPr>
              <w:t xml:space="preserve"> CIB’s digital offering – this will be placed on the agenda for the September meeting.</w:t>
            </w:r>
          </w:p>
        </w:tc>
      </w:tr>
      <w:tr w:rsidR="00A25066" w:rsidRPr="00E767AF" w14:paraId="64E85B78" w14:textId="77777777" w:rsidTr="001836E2">
        <w:tc>
          <w:tcPr>
            <w:tcW w:w="824" w:type="dxa"/>
            <w:tcBorders>
              <w:top w:val="dotted" w:sz="4" w:space="0" w:color="auto"/>
              <w:bottom w:val="dotted" w:sz="4" w:space="0" w:color="auto"/>
            </w:tcBorders>
          </w:tcPr>
          <w:p w14:paraId="48227B1F" w14:textId="33F33F52" w:rsidR="00A25066" w:rsidRPr="00E767AF" w:rsidRDefault="00CC0E8F" w:rsidP="00A25066">
            <w:pPr>
              <w:rPr>
                <w:b/>
                <w:sz w:val="24"/>
                <w:szCs w:val="24"/>
              </w:rPr>
            </w:pPr>
            <w:r>
              <w:rPr>
                <w:b/>
                <w:sz w:val="24"/>
                <w:szCs w:val="24"/>
              </w:rPr>
              <w:t>3</w:t>
            </w:r>
          </w:p>
        </w:tc>
        <w:tc>
          <w:tcPr>
            <w:tcW w:w="8253" w:type="dxa"/>
            <w:tcBorders>
              <w:top w:val="dotted" w:sz="4" w:space="0" w:color="auto"/>
              <w:bottom w:val="dotted" w:sz="4" w:space="0" w:color="auto"/>
            </w:tcBorders>
          </w:tcPr>
          <w:p w14:paraId="6DDA25C8" w14:textId="2B75F0D7" w:rsidR="00A25066" w:rsidRPr="00AA2BF2" w:rsidRDefault="008A03F1" w:rsidP="007915D4">
            <w:pPr>
              <w:tabs>
                <w:tab w:val="left" w:pos="2822"/>
              </w:tabs>
              <w:jc w:val="both"/>
              <w:rPr>
                <w:b/>
                <w:sz w:val="24"/>
                <w:szCs w:val="24"/>
              </w:rPr>
            </w:pPr>
            <w:r>
              <w:rPr>
                <w:b/>
                <w:sz w:val="24"/>
                <w:szCs w:val="24"/>
              </w:rPr>
              <w:t>Restructuring u</w:t>
            </w:r>
            <w:r w:rsidR="00A25066">
              <w:rPr>
                <w:b/>
                <w:sz w:val="24"/>
                <w:szCs w:val="24"/>
              </w:rPr>
              <w:t>pdate</w:t>
            </w:r>
          </w:p>
        </w:tc>
      </w:tr>
      <w:tr w:rsidR="00A25066" w:rsidRPr="00DD39EE" w14:paraId="66C96FDB" w14:textId="77777777" w:rsidTr="001836E2">
        <w:tc>
          <w:tcPr>
            <w:tcW w:w="824" w:type="dxa"/>
            <w:tcBorders>
              <w:top w:val="dotted" w:sz="4" w:space="0" w:color="auto"/>
              <w:bottom w:val="dotted" w:sz="4" w:space="0" w:color="auto"/>
            </w:tcBorders>
          </w:tcPr>
          <w:p w14:paraId="410A0780" w14:textId="56E5DF75" w:rsidR="00A25066" w:rsidRDefault="00CC0E8F" w:rsidP="00A25066">
            <w:pPr>
              <w:rPr>
                <w:sz w:val="24"/>
                <w:szCs w:val="24"/>
              </w:rPr>
            </w:pPr>
            <w:r>
              <w:rPr>
                <w:sz w:val="24"/>
                <w:szCs w:val="24"/>
              </w:rPr>
              <w:t>3</w:t>
            </w:r>
            <w:r w:rsidR="00A25066">
              <w:rPr>
                <w:sz w:val="24"/>
                <w:szCs w:val="24"/>
              </w:rPr>
              <w:t>.1</w:t>
            </w:r>
          </w:p>
        </w:tc>
        <w:tc>
          <w:tcPr>
            <w:tcW w:w="8253" w:type="dxa"/>
            <w:tcBorders>
              <w:top w:val="dotted" w:sz="4" w:space="0" w:color="auto"/>
              <w:bottom w:val="dotted" w:sz="4" w:space="0" w:color="auto"/>
            </w:tcBorders>
          </w:tcPr>
          <w:p w14:paraId="08CC976D" w14:textId="627F1EF6" w:rsidR="008B03EC" w:rsidRPr="008B03EC" w:rsidRDefault="00EA53ED" w:rsidP="007915D4">
            <w:pPr>
              <w:jc w:val="both"/>
              <w:rPr>
                <w:i/>
                <w:sz w:val="24"/>
                <w:szCs w:val="24"/>
              </w:rPr>
            </w:pPr>
            <w:r>
              <w:rPr>
                <w:i/>
                <w:sz w:val="24"/>
                <w:szCs w:val="24"/>
              </w:rPr>
              <w:t>(Two</w:t>
            </w:r>
            <w:r w:rsidR="008B03EC" w:rsidRPr="004B308E">
              <w:rPr>
                <w:i/>
                <w:sz w:val="24"/>
                <w:szCs w:val="24"/>
              </w:rPr>
              <w:t xml:space="preserve"> updated </w:t>
            </w:r>
            <w:r w:rsidR="008B03EC">
              <w:rPr>
                <w:i/>
                <w:sz w:val="24"/>
                <w:szCs w:val="24"/>
              </w:rPr>
              <w:t>report</w:t>
            </w:r>
            <w:r>
              <w:rPr>
                <w:i/>
                <w:sz w:val="24"/>
                <w:szCs w:val="24"/>
              </w:rPr>
              <w:t>s</w:t>
            </w:r>
            <w:r w:rsidR="008B03EC">
              <w:rPr>
                <w:i/>
                <w:sz w:val="24"/>
                <w:szCs w:val="24"/>
              </w:rPr>
              <w:t xml:space="preserve"> on the restructuring project</w:t>
            </w:r>
            <w:r w:rsidR="008B03EC" w:rsidRPr="004B308E">
              <w:rPr>
                <w:i/>
                <w:sz w:val="24"/>
                <w:szCs w:val="24"/>
              </w:rPr>
              <w:t xml:space="preserve"> w</w:t>
            </w:r>
            <w:r>
              <w:rPr>
                <w:i/>
                <w:sz w:val="24"/>
                <w:szCs w:val="24"/>
              </w:rPr>
              <w:t>ere</w:t>
            </w:r>
            <w:r w:rsidR="008B03EC" w:rsidRPr="004B308E">
              <w:rPr>
                <w:i/>
                <w:sz w:val="24"/>
                <w:szCs w:val="24"/>
              </w:rPr>
              <w:t xml:space="preserve"> circulated to Board members at the meeting.) </w:t>
            </w:r>
          </w:p>
          <w:p w14:paraId="38CE8B79" w14:textId="4EFB3E4E" w:rsidR="00A25066" w:rsidRPr="00AA2BF2" w:rsidRDefault="00EA53ED" w:rsidP="007915D4">
            <w:pPr>
              <w:tabs>
                <w:tab w:val="left" w:pos="2822"/>
              </w:tabs>
              <w:jc w:val="both"/>
              <w:rPr>
                <w:sz w:val="24"/>
                <w:szCs w:val="24"/>
              </w:rPr>
            </w:pPr>
            <w:r>
              <w:rPr>
                <w:sz w:val="24"/>
                <w:szCs w:val="24"/>
              </w:rPr>
              <w:t xml:space="preserve">An update on the restructuring project was provided. </w:t>
            </w:r>
            <w:r w:rsidR="003E1B20">
              <w:rPr>
                <w:sz w:val="24"/>
                <w:szCs w:val="24"/>
              </w:rPr>
              <w:t>Thirty-two</w:t>
            </w:r>
            <w:r>
              <w:rPr>
                <w:sz w:val="24"/>
                <w:szCs w:val="24"/>
              </w:rPr>
              <w:t xml:space="preserve"> </w:t>
            </w:r>
            <w:r w:rsidR="00C70D47">
              <w:rPr>
                <w:sz w:val="24"/>
                <w:szCs w:val="24"/>
              </w:rPr>
              <w:t xml:space="preserve">CIS and MABS </w:t>
            </w:r>
            <w:r>
              <w:rPr>
                <w:sz w:val="24"/>
                <w:szCs w:val="24"/>
              </w:rPr>
              <w:t xml:space="preserve">companies are currently in the process of liquidation. It is expected that all companies that are part of the first phase of restructuring will be </w:t>
            </w:r>
            <w:r w:rsidR="003E1B20">
              <w:rPr>
                <w:sz w:val="24"/>
                <w:szCs w:val="24"/>
              </w:rPr>
              <w:t>in liquidation</w:t>
            </w:r>
            <w:r>
              <w:rPr>
                <w:sz w:val="24"/>
                <w:szCs w:val="24"/>
              </w:rPr>
              <w:t xml:space="preserve"> by the end of </w:t>
            </w:r>
            <w:r w:rsidR="003E1B20">
              <w:rPr>
                <w:sz w:val="24"/>
                <w:szCs w:val="24"/>
              </w:rPr>
              <w:t>June</w:t>
            </w:r>
            <w:r>
              <w:rPr>
                <w:sz w:val="24"/>
                <w:szCs w:val="24"/>
              </w:rPr>
              <w:t xml:space="preserve">. Briefings for companies in the second phase </w:t>
            </w:r>
            <w:r w:rsidR="003E1B20">
              <w:rPr>
                <w:sz w:val="24"/>
                <w:szCs w:val="24"/>
              </w:rPr>
              <w:t>took</w:t>
            </w:r>
            <w:r>
              <w:rPr>
                <w:sz w:val="24"/>
                <w:szCs w:val="24"/>
              </w:rPr>
              <w:t xml:space="preserve"> place on 22, 29 and 30 May. Advertisements for Board members and Regional Managers of the new regional companies </w:t>
            </w:r>
            <w:r w:rsidR="002B470B">
              <w:rPr>
                <w:sz w:val="24"/>
                <w:szCs w:val="24"/>
              </w:rPr>
              <w:t>were</w:t>
            </w:r>
            <w:r>
              <w:rPr>
                <w:sz w:val="24"/>
                <w:szCs w:val="24"/>
              </w:rPr>
              <w:t xml:space="preserve"> posted</w:t>
            </w:r>
            <w:r w:rsidR="00FD5ACB">
              <w:rPr>
                <w:sz w:val="24"/>
                <w:szCs w:val="24"/>
              </w:rPr>
              <w:t xml:space="preserve"> </w:t>
            </w:r>
            <w:r w:rsidR="002B470B">
              <w:rPr>
                <w:sz w:val="24"/>
                <w:szCs w:val="24"/>
              </w:rPr>
              <w:t>in May – 30 new Board members are currently being processed by KPMG</w:t>
            </w:r>
            <w:r w:rsidR="00FD5ACB">
              <w:rPr>
                <w:sz w:val="24"/>
                <w:szCs w:val="24"/>
              </w:rPr>
              <w:t>.</w:t>
            </w:r>
            <w:r w:rsidR="008C45F0">
              <w:rPr>
                <w:sz w:val="24"/>
                <w:szCs w:val="24"/>
              </w:rPr>
              <w:t xml:space="preserve"> </w:t>
            </w:r>
          </w:p>
        </w:tc>
      </w:tr>
      <w:tr w:rsidR="000E7D48" w:rsidRPr="00DD39EE" w14:paraId="17B07974" w14:textId="77777777" w:rsidTr="001836E2">
        <w:tc>
          <w:tcPr>
            <w:tcW w:w="824" w:type="dxa"/>
            <w:tcBorders>
              <w:top w:val="dotted" w:sz="4" w:space="0" w:color="auto"/>
              <w:bottom w:val="dotted" w:sz="4" w:space="0" w:color="auto"/>
            </w:tcBorders>
          </w:tcPr>
          <w:p w14:paraId="1BCC7FFE" w14:textId="2FDBBEA5" w:rsidR="000E7D48" w:rsidRPr="00D97609" w:rsidRDefault="001836E2" w:rsidP="00A25066">
            <w:pPr>
              <w:rPr>
                <w:b/>
                <w:sz w:val="24"/>
                <w:szCs w:val="24"/>
              </w:rPr>
            </w:pPr>
            <w:r>
              <w:rPr>
                <w:b/>
                <w:sz w:val="24"/>
                <w:szCs w:val="24"/>
              </w:rPr>
              <w:t>4</w:t>
            </w:r>
          </w:p>
        </w:tc>
        <w:tc>
          <w:tcPr>
            <w:tcW w:w="8253" w:type="dxa"/>
            <w:tcBorders>
              <w:top w:val="dotted" w:sz="4" w:space="0" w:color="auto"/>
              <w:bottom w:val="dotted" w:sz="4" w:space="0" w:color="auto"/>
            </w:tcBorders>
          </w:tcPr>
          <w:p w14:paraId="0F57003A" w14:textId="6F6D04E5" w:rsidR="000E7D48" w:rsidRPr="00D97609" w:rsidRDefault="00EA400B" w:rsidP="00A25066">
            <w:pPr>
              <w:rPr>
                <w:b/>
                <w:sz w:val="24"/>
                <w:szCs w:val="24"/>
              </w:rPr>
            </w:pPr>
            <w:r w:rsidRPr="00D97609">
              <w:rPr>
                <w:b/>
                <w:sz w:val="24"/>
                <w:szCs w:val="24"/>
              </w:rPr>
              <w:t>Finance matters</w:t>
            </w:r>
          </w:p>
        </w:tc>
      </w:tr>
      <w:tr w:rsidR="000F4B96" w:rsidRPr="00DD39EE" w14:paraId="0C1AAE28" w14:textId="77777777" w:rsidTr="001836E2">
        <w:tc>
          <w:tcPr>
            <w:tcW w:w="824" w:type="dxa"/>
            <w:tcBorders>
              <w:top w:val="dotted" w:sz="4" w:space="0" w:color="auto"/>
              <w:bottom w:val="dotted" w:sz="4" w:space="0" w:color="auto"/>
            </w:tcBorders>
          </w:tcPr>
          <w:p w14:paraId="66EC70BE" w14:textId="50BDD124" w:rsidR="000F4B96" w:rsidRDefault="001836E2" w:rsidP="00A25066">
            <w:pPr>
              <w:rPr>
                <w:sz w:val="24"/>
                <w:szCs w:val="24"/>
              </w:rPr>
            </w:pPr>
            <w:r>
              <w:rPr>
                <w:sz w:val="24"/>
                <w:szCs w:val="24"/>
              </w:rPr>
              <w:t>4</w:t>
            </w:r>
            <w:r w:rsidR="00B4626F">
              <w:rPr>
                <w:sz w:val="24"/>
                <w:szCs w:val="24"/>
              </w:rPr>
              <w:t>.1</w:t>
            </w:r>
          </w:p>
        </w:tc>
        <w:tc>
          <w:tcPr>
            <w:tcW w:w="8253" w:type="dxa"/>
            <w:tcBorders>
              <w:top w:val="dotted" w:sz="4" w:space="0" w:color="auto"/>
              <w:bottom w:val="dotted" w:sz="4" w:space="0" w:color="auto"/>
            </w:tcBorders>
          </w:tcPr>
          <w:p w14:paraId="17AE12FA" w14:textId="7F050E1C" w:rsidR="000F4B96" w:rsidRPr="000F4B96" w:rsidRDefault="000F4B96" w:rsidP="00A25066">
            <w:pPr>
              <w:rPr>
                <w:sz w:val="24"/>
                <w:szCs w:val="24"/>
                <w:u w:val="single"/>
              </w:rPr>
            </w:pPr>
            <w:r w:rsidRPr="000F4B96">
              <w:rPr>
                <w:sz w:val="24"/>
                <w:szCs w:val="24"/>
                <w:u w:val="single"/>
              </w:rPr>
              <w:t>Budget Monitoring</w:t>
            </w:r>
          </w:p>
        </w:tc>
      </w:tr>
      <w:tr w:rsidR="00EA400B" w:rsidRPr="00DD39EE" w14:paraId="4839A560" w14:textId="77777777" w:rsidTr="001836E2">
        <w:tc>
          <w:tcPr>
            <w:tcW w:w="824" w:type="dxa"/>
            <w:tcBorders>
              <w:top w:val="dotted" w:sz="4" w:space="0" w:color="auto"/>
              <w:bottom w:val="dotted" w:sz="4" w:space="0" w:color="auto"/>
            </w:tcBorders>
          </w:tcPr>
          <w:p w14:paraId="4DD04347" w14:textId="03D21DDC" w:rsidR="00EA400B" w:rsidRDefault="001836E2" w:rsidP="00A25066">
            <w:pPr>
              <w:rPr>
                <w:sz w:val="24"/>
                <w:szCs w:val="24"/>
              </w:rPr>
            </w:pPr>
            <w:r>
              <w:rPr>
                <w:sz w:val="24"/>
                <w:szCs w:val="24"/>
              </w:rPr>
              <w:lastRenderedPageBreak/>
              <w:t>4</w:t>
            </w:r>
            <w:r w:rsidR="00B4626F">
              <w:rPr>
                <w:sz w:val="24"/>
                <w:szCs w:val="24"/>
              </w:rPr>
              <w:t>.1</w:t>
            </w:r>
            <w:r w:rsidR="000F4B96">
              <w:rPr>
                <w:sz w:val="24"/>
                <w:szCs w:val="24"/>
              </w:rPr>
              <w:t>.1</w:t>
            </w:r>
          </w:p>
        </w:tc>
        <w:tc>
          <w:tcPr>
            <w:tcW w:w="8253" w:type="dxa"/>
            <w:tcBorders>
              <w:top w:val="dotted" w:sz="4" w:space="0" w:color="auto"/>
              <w:bottom w:val="dotted" w:sz="4" w:space="0" w:color="auto"/>
            </w:tcBorders>
          </w:tcPr>
          <w:p w14:paraId="49B1E20B" w14:textId="2F55EBC1" w:rsidR="00EA400B" w:rsidRDefault="00B4626F" w:rsidP="007915D4">
            <w:pPr>
              <w:jc w:val="both"/>
              <w:rPr>
                <w:sz w:val="24"/>
                <w:szCs w:val="24"/>
              </w:rPr>
            </w:pPr>
            <w:r>
              <w:rPr>
                <w:sz w:val="24"/>
                <w:szCs w:val="24"/>
              </w:rPr>
              <w:t xml:space="preserve">The </w:t>
            </w:r>
            <w:r w:rsidR="000A6C42" w:rsidRPr="000A6C42">
              <w:rPr>
                <w:sz w:val="24"/>
                <w:szCs w:val="24"/>
              </w:rPr>
              <w:t xml:space="preserve">Budget Monitoring Report </w:t>
            </w:r>
            <w:r>
              <w:rPr>
                <w:sz w:val="24"/>
                <w:szCs w:val="24"/>
              </w:rPr>
              <w:t xml:space="preserve">for </w:t>
            </w:r>
            <w:r w:rsidR="002B470B">
              <w:rPr>
                <w:sz w:val="24"/>
                <w:szCs w:val="24"/>
              </w:rPr>
              <w:t>May</w:t>
            </w:r>
            <w:r w:rsidR="000A6C42" w:rsidRPr="000A6C42">
              <w:rPr>
                <w:sz w:val="24"/>
                <w:szCs w:val="24"/>
              </w:rPr>
              <w:t xml:space="preserve"> 2018</w:t>
            </w:r>
            <w:r w:rsidR="002D2D5E">
              <w:rPr>
                <w:sz w:val="24"/>
                <w:szCs w:val="24"/>
              </w:rPr>
              <w:t xml:space="preserve"> </w:t>
            </w:r>
            <w:r w:rsidR="00B52129">
              <w:rPr>
                <w:sz w:val="24"/>
                <w:szCs w:val="24"/>
              </w:rPr>
              <w:t>showed an</w:t>
            </w:r>
            <w:r w:rsidR="00317429">
              <w:rPr>
                <w:sz w:val="24"/>
                <w:szCs w:val="24"/>
              </w:rPr>
              <w:t xml:space="preserve"> overall</w:t>
            </w:r>
            <w:r w:rsidR="000A6C42" w:rsidRPr="000A6C42">
              <w:rPr>
                <w:sz w:val="24"/>
                <w:szCs w:val="24"/>
              </w:rPr>
              <w:t xml:space="preserve"> </w:t>
            </w:r>
            <w:r w:rsidR="002D2D5E" w:rsidRPr="002D2D5E">
              <w:rPr>
                <w:sz w:val="24"/>
                <w:szCs w:val="24"/>
              </w:rPr>
              <w:t xml:space="preserve">excess of income over expenditure for the year to </w:t>
            </w:r>
            <w:r w:rsidR="002B470B">
              <w:rPr>
                <w:sz w:val="24"/>
                <w:szCs w:val="24"/>
              </w:rPr>
              <w:t>May</w:t>
            </w:r>
            <w:r w:rsidR="002D2D5E" w:rsidRPr="002D2D5E">
              <w:rPr>
                <w:sz w:val="24"/>
                <w:szCs w:val="24"/>
              </w:rPr>
              <w:t xml:space="preserve"> 2018 </w:t>
            </w:r>
            <w:r w:rsidR="00624E95">
              <w:rPr>
                <w:sz w:val="24"/>
                <w:szCs w:val="24"/>
              </w:rPr>
              <w:t>of</w:t>
            </w:r>
            <w:r w:rsidR="002D2D5E" w:rsidRPr="002D2D5E">
              <w:rPr>
                <w:sz w:val="24"/>
                <w:szCs w:val="24"/>
              </w:rPr>
              <w:t xml:space="preserve"> €</w:t>
            </w:r>
            <w:r w:rsidR="002B470B">
              <w:rPr>
                <w:sz w:val="24"/>
                <w:szCs w:val="24"/>
              </w:rPr>
              <w:t>1,484</w:t>
            </w:r>
            <w:r>
              <w:rPr>
                <w:sz w:val="24"/>
                <w:szCs w:val="24"/>
              </w:rPr>
              <w:t>,</w:t>
            </w:r>
            <w:r w:rsidR="002B470B">
              <w:rPr>
                <w:sz w:val="24"/>
                <w:szCs w:val="24"/>
              </w:rPr>
              <w:t>487</w:t>
            </w:r>
            <w:r>
              <w:rPr>
                <w:sz w:val="24"/>
                <w:szCs w:val="24"/>
              </w:rPr>
              <w:t>.</w:t>
            </w:r>
            <w:r w:rsidR="00B52129">
              <w:rPr>
                <w:sz w:val="24"/>
                <w:szCs w:val="24"/>
              </w:rPr>
              <w:t xml:space="preserve"> </w:t>
            </w:r>
          </w:p>
        </w:tc>
      </w:tr>
      <w:tr w:rsidR="00B4626F" w:rsidRPr="00DD39EE" w14:paraId="25ACFEA9" w14:textId="77777777" w:rsidTr="001836E2">
        <w:tc>
          <w:tcPr>
            <w:tcW w:w="824" w:type="dxa"/>
            <w:tcBorders>
              <w:top w:val="dotted" w:sz="4" w:space="0" w:color="auto"/>
              <w:bottom w:val="dotted" w:sz="4" w:space="0" w:color="auto"/>
            </w:tcBorders>
          </w:tcPr>
          <w:p w14:paraId="3E55F23D" w14:textId="20A8C7E9" w:rsidR="00B4626F" w:rsidRDefault="001836E2" w:rsidP="00A25066">
            <w:pPr>
              <w:rPr>
                <w:sz w:val="24"/>
                <w:szCs w:val="24"/>
              </w:rPr>
            </w:pPr>
            <w:r>
              <w:rPr>
                <w:sz w:val="24"/>
                <w:szCs w:val="24"/>
              </w:rPr>
              <w:t>4</w:t>
            </w:r>
            <w:r w:rsidR="00B4626F">
              <w:rPr>
                <w:sz w:val="24"/>
                <w:szCs w:val="24"/>
              </w:rPr>
              <w:t>.1.2</w:t>
            </w:r>
          </w:p>
        </w:tc>
        <w:tc>
          <w:tcPr>
            <w:tcW w:w="8253" w:type="dxa"/>
            <w:tcBorders>
              <w:top w:val="dotted" w:sz="4" w:space="0" w:color="auto"/>
              <w:bottom w:val="dotted" w:sz="4" w:space="0" w:color="auto"/>
            </w:tcBorders>
          </w:tcPr>
          <w:p w14:paraId="023AD293" w14:textId="2C3EBA3D" w:rsidR="00B4626F" w:rsidRDefault="00B4626F" w:rsidP="007915D4">
            <w:pPr>
              <w:jc w:val="both"/>
              <w:rPr>
                <w:sz w:val="24"/>
                <w:szCs w:val="24"/>
              </w:rPr>
            </w:pPr>
            <w:r>
              <w:rPr>
                <w:sz w:val="24"/>
                <w:szCs w:val="24"/>
              </w:rPr>
              <w:t>The Virement Register showed virements to the MABS M</w:t>
            </w:r>
            <w:r w:rsidR="002B470B">
              <w:rPr>
                <w:sz w:val="24"/>
                <w:szCs w:val="24"/>
              </w:rPr>
              <w:t>eetings/Projects budget line,</w:t>
            </w:r>
            <w:r>
              <w:rPr>
                <w:sz w:val="24"/>
                <w:szCs w:val="24"/>
              </w:rPr>
              <w:t xml:space="preserve"> the Consultancy budget line</w:t>
            </w:r>
            <w:r w:rsidR="002B470B">
              <w:rPr>
                <w:sz w:val="24"/>
                <w:szCs w:val="24"/>
              </w:rPr>
              <w:t xml:space="preserve"> and the PC Replacements budget line</w:t>
            </w:r>
            <w:r>
              <w:rPr>
                <w:sz w:val="24"/>
                <w:szCs w:val="24"/>
              </w:rPr>
              <w:t xml:space="preserve">. </w:t>
            </w:r>
          </w:p>
        </w:tc>
      </w:tr>
      <w:tr w:rsidR="00E72666" w:rsidRPr="00DD39EE" w14:paraId="0C4D0089" w14:textId="77777777" w:rsidTr="001836E2">
        <w:tc>
          <w:tcPr>
            <w:tcW w:w="824" w:type="dxa"/>
            <w:tcBorders>
              <w:top w:val="dotted" w:sz="4" w:space="0" w:color="auto"/>
              <w:bottom w:val="dotted" w:sz="4" w:space="0" w:color="auto"/>
            </w:tcBorders>
          </w:tcPr>
          <w:p w14:paraId="1E0DFE66" w14:textId="02DC799C" w:rsidR="00E72666" w:rsidRDefault="001836E2" w:rsidP="00A25066">
            <w:pPr>
              <w:rPr>
                <w:sz w:val="24"/>
                <w:szCs w:val="24"/>
              </w:rPr>
            </w:pPr>
            <w:r>
              <w:rPr>
                <w:sz w:val="24"/>
                <w:szCs w:val="24"/>
              </w:rPr>
              <w:t>4</w:t>
            </w:r>
            <w:r w:rsidR="00E72666">
              <w:rPr>
                <w:sz w:val="24"/>
                <w:szCs w:val="24"/>
              </w:rPr>
              <w:t>.2</w:t>
            </w:r>
          </w:p>
        </w:tc>
        <w:tc>
          <w:tcPr>
            <w:tcW w:w="8253" w:type="dxa"/>
            <w:tcBorders>
              <w:top w:val="dotted" w:sz="4" w:space="0" w:color="auto"/>
              <w:bottom w:val="dotted" w:sz="4" w:space="0" w:color="auto"/>
            </w:tcBorders>
          </w:tcPr>
          <w:p w14:paraId="19E549CD" w14:textId="64C580DF" w:rsidR="00E72666" w:rsidRPr="001836E2" w:rsidRDefault="00E72666" w:rsidP="007915D4">
            <w:pPr>
              <w:jc w:val="both"/>
              <w:rPr>
                <w:sz w:val="24"/>
                <w:szCs w:val="24"/>
                <w:u w:val="single"/>
              </w:rPr>
            </w:pPr>
            <w:r w:rsidRPr="001836E2">
              <w:rPr>
                <w:sz w:val="24"/>
                <w:szCs w:val="24"/>
                <w:u w:val="single"/>
              </w:rPr>
              <w:t>Annual Financial Statements and Letter of Representation</w:t>
            </w:r>
          </w:p>
        </w:tc>
      </w:tr>
      <w:tr w:rsidR="00E72666" w:rsidRPr="00DD39EE" w14:paraId="08A93DE7" w14:textId="77777777" w:rsidTr="001836E2">
        <w:tc>
          <w:tcPr>
            <w:tcW w:w="824" w:type="dxa"/>
            <w:tcBorders>
              <w:top w:val="dotted" w:sz="4" w:space="0" w:color="auto"/>
              <w:bottom w:val="dotted" w:sz="4" w:space="0" w:color="auto"/>
            </w:tcBorders>
          </w:tcPr>
          <w:p w14:paraId="1CFEA847" w14:textId="77777777" w:rsidR="00E72666" w:rsidRDefault="00E72666" w:rsidP="00A25066">
            <w:pPr>
              <w:rPr>
                <w:sz w:val="24"/>
                <w:szCs w:val="24"/>
              </w:rPr>
            </w:pPr>
          </w:p>
        </w:tc>
        <w:tc>
          <w:tcPr>
            <w:tcW w:w="8253" w:type="dxa"/>
            <w:tcBorders>
              <w:top w:val="dotted" w:sz="4" w:space="0" w:color="auto"/>
              <w:bottom w:val="dotted" w:sz="4" w:space="0" w:color="auto"/>
            </w:tcBorders>
          </w:tcPr>
          <w:p w14:paraId="708A6749" w14:textId="19E2DECF" w:rsidR="00E72666" w:rsidRDefault="00E72666" w:rsidP="007915D4">
            <w:pPr>
              <w:jc w:val="both"/>
              <w:rPr>
                <w:sz w:val="24"/>
                <w:szCs w:val="24"/>
              </w:rPr>
            </w:pPr>
            <w:r>
              <w:rPr>
                <w:sz w:val="24"/>
                <w:szCs w:val="24"/>
              </w:rPr>
              <w:t>The Annual Financial Statements 2017 and the Letter of Representation were approved subject to there being no material changes.</w:t>
            </w:r>
          </w:p>
        </w:tc>
      </w:tr>
      <w:tr w:rsidR="00384525" w:rsidRPr="00DD39EE" w14:paraId="5CEC68D1" w14:textId="77777777" w:rsidTr="001836E2">
        <w:tc>
          <w:tcPr>
            <w:tcW w:w="824" w:type="dxa"/>
            <w:tcBorders>
              <w:top w:val="dotted" w:sz="4" w:space="0" w:color="auto"/>
              <w:bottom w:val="dotted" w:sz="4" w:space="0" w:color="auto"/>
            </w:tcBorders>
          </w:tcPr>
          <w:p w14:paraId="3849DC07" w14:textId="3D52C4D0" w:rsidR="00384525" w:rsidRDefault="001836E2" w:rsidP="00A25066">
            <w:pPr>
              <w:rPr>
                <w:sz w:val="24"/>
                <w:szCs w:val="24"/>
              </w:rPr>
            </w:pPr>
            <w:r>
              <w:rPr>
                <w:sz w:val="24"/>
                <w:szCs w:val="24"/>
              </w:rPr>
              <w:t>4</w:t>
            </w:r>
            <w:r w:rsidR="000B26A0">
              <w:rPr>
                <w:sz w:val="24"/>
                <w:szCs w:val="24"/>
              </w:rPr>
              <w:t>.3</w:t>
            </w:r>
          </w:p>
        </w:tc>
        <w:tc>
          <w:tcPr>
            <w:tcW w:w="8253" w:type="dxa"/>
            <w:tcBorders>
              <w:top w:val="dotted" w:sz="4" w:space="0" w:color="auto"/>
              <w:bottom w:val="dotted" w:sz="4" w:space="0" w:color="auto"/>
            </w:tcBorders>
          </w:tcPr>
          <w:p w14:paraId="048AD3CF" w14:textId="17FFC86C" w:rsidR="00384525" w:rsidRPr="000B26A0" w:rsidRDefault="000B26A0" w:rsidP="007915D4">
            <w:pPr>
              <w:jc w:val="both"/>
              <w:rPr>
                <w:sz w:val="24"/>
                <w:szCs w:val="24"/>
                <w:u w:val="single"/>
              </w:rPr>
            </w:pPr>
            <w:r w:rsidRPr="000B26A0">
              <w:rPr>
                <w:sz w:val="24"/>
                <w:szCs w:val="24"/>
                <w:u w:val="single"/>
              </w:rPr>
              <w:t>Contract Approval Limits</w:t>
            </w:r>
          </w:p>
        </w:tc>
      </w:tr>
      <w:tr w:rsidR="00384525" w:rsidRPr="00DD39EE" w14:paraId="606C3D6C" w14:textId="77777777" w:rsidTr="001836E2">
        <w:tc>
          <w:tcPr>
            <w:tcW w:w="824" w:type="dxa"/>
            <w:tcBorders>
              <w:top w:val="dotted" w:sz="4" w:space="0" w:color="auto"/>
              <w:bottom w:val="dotted" w:sz="4" w:space="0" w:color="auto"/>
            </w:tcBorders>
          </w:tcPr>
          <w:p w14:paraId="3CC697B4" w14:textId="7A6632A9" w:rsidR="00384525" w:rsidRDefault="001836E2" w:rsidP="00A25066">
            <w:pPr>
              <w:rPr>
                <w:sz w:val="24"/>
                <w:szCs w:val="24"/>
              </w:rPr>
            </w:pPr>
            <w:r>
              <w:rPr>
                <w:sz w:val="24"/>
                <w:szCs w:val="24"/>
              </w:rPr>
              <w:t>4</w:t>
            </w:r>
            <w:r w:rsidR="000B26A0">
              <w:rPr>
                <w:sz w:val="24"/>
                <w:szCs w:val="24"/>
              </w:rPr>
              <w:t>.3.1</w:t>
            </w:r>
          </w:p>
        </w:tc>
        <w:tc>
          <w:tcPr>
            <w:tcW w:w="8253" w:type="dxa"/>
            <w:tcBorders>
              <w:top w:val="dotted" w:sz="4" w:space="0" w:color="auto"/>
              <w:bottom w:val="dotted" w:sz="4" w:space="0" w:color="auto"/>
            </w:tcBorders>
          </w:tcPr>
          <w:p w14:paraId="29B6AF35" w14:textId="5F4FFBC3" w:rsidR="00384525" w:rsidRDefault="000B26A0" w:rsidP="007915D4">
            <w:pPr>
              <w:jc w:val="both"/>
              <w:rPr>
                <w:sz w:val="24"/>
                <w:szCs w:val="24"/>
              </w:rPr>
            </w:pPr>
            <w:r>
              <w:rPr>
                <w:sz w:val="24"/>
                <w:szCs w:val="24"/>
              </w:rPr>
              <w:t xml:space="preserve">A </w:t>
            </w:r>
            <w:r w:rsidR="00E72666">
              <w:rPr>
                <w:sz w:val="24"/>
                <w:szCs w:val="24"/>
              </w:rPr>
              <w:t xml:space="preserve">revised </w:t>
            </w:r>
            <w:r>
              <w:rPr>
                <w:sz w:val="24"/>
                <w:szCs w:val="24"/>
              </w:rPr>
              <w:t>proposal regarding approval limits for commencing tender processes and awarding contracts wa</w:t>
            </w:r>
            <w:r w:rsidR="00624E95">
              <w:rPr>
                <w:sz w:val="24"/>
                <w:szCs w:val="24"/>
              </w:rPr>
              <w:t>s discus</w:t>
            </w:r>
            <w:r w:rsidR="00E72666">
              <w:rPr>
                <w:sz w:val="24"/>
                <w:szCs w:val="24"/>
              </w:rPr>
              <w:t>sed. An amendment in relation to budget approval and an amendment in relation to the Audit and Risk Committee were proposed. The document will be discussed at the next Audit and Risk Committee and can then be added to CIB’s procurement policy. A request was made for CIB’s contract register to be brought to the Board.</w:t>
            </w:r>
          </w:p>
        </w:tc>
      </w:tr>
      <w:tr w:rsidR="00384525" w:rsidRPr="00DD39EE" w14:paraId="4336475C" w14:textId="77777777" w:rsidTr="001836E2">
        <w:tc>
          <w:tcPr>
            <w:tcW w:w="824" w:type="dxa"/>
            <w:tcBorders>
              <w:top w:val="dotted" w:sz="4" w:space="0" w:color="auto"/>
              <w:bottom w:val="dotted" w:sz="4" w:space="0" w:color="auto"/>
            </w:tcBorders>
          </w:tcPr>
          <w:p w14:paraId="5EEB7EB3" w14:textId="247D6438" w:rsidR="00384525" w:rsidRDefault="001836E2" w:rsidP="00A25066">
            <w:pPr>
              <w:rPr>
                <w:sz w:val="24"/>
                <w:szCs w:val="24"/>
              </w:rPr>
            </w:pPr>
            <w:r>
              <w:rPr>
                <w:sz w:val="24"/>
                <w:szCs w:val="24"/>
              </w:rPr>
              <w:t>4</w:t>
            </w:r>
            <w:r w:rsidR="000B26A0">
              <w:rPr>
                <w:sz w:val="24"/>
                <w:szCs w:val="24"/>
              </w:rPr>
              <w:t>.4</w:t>
            </w:r>
          </w:p>
        </w:tc>
        <w:tc>
          <w:tcPr>
            <w:tcW w:w="8253" w:type="dxa"/>
            <w:tcBorders>
              <w:top w:val="dotted" w:sz="4" w:space="0" w:color="auto"/>
              <w:bottom w:val="dotted" w:sz="4" w:space="0" w:color="auto"/>
            </w:tcBorders>
          </w:tcPr>
          <w:p w14:paraId="0B688155" w14:textId="34F230E2" w:rsidR="00384525" w:rsidRPr="000B26A0" w:rsidRDefault="000B26A0" w:rsidP="00B52129">
            <w:pPr>
              <w:rPr>
                <w:sz w:val="24"/>
                <w:szCs w:val="24"/>
                <w:u w:val="single"/>
              </w:rPr>
            </w:pPr>
            <w:r w:rsidRPr="000B26A0">
              <w:rPr>
                <w:sz w:val="24"/>
                <w:szCs w:val="24"/>
                <w:u w:val="single"/>
              </w:rPr>
              <w:t>Risk Management</w:t>
            </w:r>
          </w:p>
        </w:tc>
      </w:tr>
      <w:tr w:rsidR="000B26A0" w:rsidRPr="00DD39EE" w14:paraId="42AB0F8C" w14:textId="77777777" w:rsidTr="001836E2">
        <w:tc>
          <w:tcPr>
            <w:tcW w:w="824" w:type="dxa"/>
            <w:tcBorders>
              <w:top w:val="dotted" w:sz="4" w:space="0" w:color="auto"/>
              <w:bottom w:val="dotted" w:sz="4" w:space="0" w:color="auto"/>
            </w:tcBorders>
          </w:tcPr>
          <w:p w14:paraId="5E6DE401" w14:textId="4914D790" w:rsidR="000B26A0" w:rsidRDefault="001836E2" w:rsidP="00A25066">
            <w:pPr>
              <w:rPr>
                <w:sz w:val="24"/>
                <w:szCs w:val="24"/>
              </w:rPr>
            </w:pPr>
            <w:r>
              <w:rPr>
                <w:sz w:val="24"/>
                <w:szCs w:val="24"/>
              </w:rPr>
              <w:t>4</w:t>
            </w:r>
            <w:r w:rsidR="000B26A0">
              <w:rPr>
                <w:sz w:val="24"/>
                <w:szCs w:val="24"/>
              </w:rPr>
              <w:t>.4.1</w:t>
            </w:r>
          </w:p>
        </w:tc>
        <w:tc>
          <w:tcPr>
            <w:tcW w:w="8253" w:type="dxa"/>
            <w:tcBorders>
              <w:top w:val="dotted" w:sz="4" w:space="0" w:color="auto"/>
              <w:bottom w:val="dotted" w:sz="4" w:space="0" w:color="auto"/>
            </w:tcBorders>
          </w:tcPr>
          <w:p w14:paraId="38D0F09A" w14:textId="1BC08033" w:rsidR="000B26A0" w:rsidRDefault="00E72666" w:rsidP="007915D4">
            <w:pPr>
              <w:jc w:val="both"/>
              <w:rPr>
                <w:sz w:val="24"/>
                <w:szCs w:val="24"/>
              </w:rPr>
            </w:pPr>
            <w:r>
              <w:rPr>
                <w:sz w:val="24"/>
                <w:szCs w:val="24"/>
              </w:rPr>
              <w:t>The Risk Register was circulated to the Board prior to the meeting.</w:t>
            </w:r>
            <w:r w:rsidR="000B26A0">
              <w:rPr>
                <w:sz w:val="24"/>
                <w:szCs w:val="24"/>
              </w:rPr>
              <w:t xml:space="preserve"> </w:t>
            </w:r>
          </w:p>
        </w:tc>
      </w:tr>
      <w:tr w:rsidR="000B26A0" w:rsidRPr="00DD39EE" w14:paraId="6B979923" w14:textId="77777777" w:rsidTr="001836E2">
        <w:tc>
          <w:tcPr>
            <w:tcW w:w="824" w:type="dxa"/>
            <w:tcBorders>
              <w:top w:val="dotted" w:sz="4" w:space="0" w:color="auto"/>
              <w:bottom w:val="dotted" w:sz="4" w:space="0" w:color="auto"/>
            </w:tcBorders>
          </w:tcPr>
          <w:p w14:paraId="522E7BB1" w14:textId="499C8158" w:rsidR="000B26A0" w:rsidRDefault="001836E2" w:rsidP="00A25066">
            <w:pPr>
              <w:rPr>
                <w:sz w:val="24"/>
                <w:szCs w:val="24"/>
              </w:rPr>
            </w:pPr>
            <w:r>
              <w:rPr>
                <w:sz w:val="24"/>
                <w:szCs w:val="24"/>
              </w:rPr>
              <w:t>4</w:t>
            </w:r>
            <w:r w:rsidR="000B26A0">
              <w:rPr>
                <w:sz w:val="24"/>
                <w:szCs w:val="24"/>
              </w:rPr>
              <w:t>.4.2</w:t>
            </w:r>
          </w:p>
        </w:tc>
        <w:tc>
          <w:tcPr>
            <w:tcW w:w="8253" w:type="dxa"/>
            <w:tcBorders>
              <w:top w:val="dotted" w:sz="4" w:space="0" w:color="auto"/>
              <w:bottom w:val="dotted" w:sz="4" w:space="0" w:color="auto"/>
            </w:tcBorders>
          </w:tcPr>
          <w:p w14:paraId="5C4C0639" w14:textId="1C0CB657" w:rsidR="000B26A0" w:rsidRDefault="00E72666" w:rsidP="007915D4">
            <w:pPr>
              <w:jc w:val="both"/>
              <w:rPr>
                <w:sz w:val="24"/>
                <w:szCs w:val="24"/>
              </w:rPr>
            </w:pPr>
            <w:r>
              <w:rPr>
                <w:sz w:val="24"/>
                <w:szCs w:val="24"/>
              </w:rPr>
              <w:t xml:space="preserve">A report from the IPA on risk appetite was discussed, along with a draft risk appetite statement for CIB. </w:t>
            </w:r>
            <w:r w:rsidR="001836E2">
              <w:rPr>
                <w:sz w:val="24"/>
                <w:szCs w:val="24"/>
              </w:rPr>
              <w:t>A change in relation to risk appetite for innovation in service provision was proposed.</w:t>
            </w:r>
          </w:p>
        </w:tc>
      </w:tr>
      <w:tr w:rsidR="001836E2" w:rsidRPr="00DD39EE" w14:paraId="77D7EE41" w14:textId="77777777" w:rsidTr="001836E2">
        <w:tc>
          <w:tcPr>
            <w:tcW w:w="824" w:type="dxa"/>
            <w:tcBorders>
              <w:top w:val="dotted" w:sz="4" w:space="0" w:color="auto"/>
              <w:bottom w:val="dotted" w:sz="4" w:space="0" w:color="auto"/>
            </w:tcBorders>
          </w:tcPr>
          <w:p w14:paraId="05EFFAEC" w14:textId="2DC5201D" w:rsidR="001836E2" w:rsidRDefault="001836E2" w:rsidP="00A25066">
            <w:pPr>
              <w:rPr>
                <w:sz w:val="24"/>
                <w:szCs w:val="24"/>
              </w:rPr>
            </w:pPr>
            <w:r>
              <w:rPr>
                <w:sz w:val="24"/>
                <w:szCs w:val="24"/>
              </w:rPr>
              <w:t>4.5</w:t>
            </w:r>
          </w:p>
        </w:tc>
        <w:tc>
          <w:tcPr>
            <w:tcW w:w="8253" w:type="dxa"/>
            <w:tcBorders>
              <w:top w:val="dotted" w:sz="4" w:space="0" w:color="auto"/>
              <w:bottom w:val="dotted" w:sz="4" w:space="0" w:color="auto"/>
            </w:tcBorders>
          </w:tcPr>
          <w:p w14:paraId="6279DB1E" w14:textId="611C90B3" w:rsidR="001836E2" w:rsidRPr="001836E2" w:rsidRDefault="001836E2" w:rsidP="007915D4">
            <w:pPr>
              <w:jc w:val="both"/>
              <w:rPr>
                <w:sz w:val="24"/>
                <w:szCs w:val="24"/>
                <w:u w:val="single"/>
              </w:rPr>
            </w:pPr>
            <w:r w:rsidRPr="001836E2">
              <w:rPr>
                <w:sz w:val="24"/>
                <w:szCs w:val="24"/>
                <w:u w:val="single"/>
              </w:rPr>
              <w:t>WAN and Telephony Project</w:t>
            </w:r>
          </w:p>
        </w:tc>
      </w:tr>
      <w:tr w:rsidR="001836E2" w:rsidRPr="00DD39EE" w14:paraId="2FEB29F2" w14:textId="77777777" w:rsidTr="001836E2">
        <w:tc>
          <w:tcPr>
            <w:tcW w:w="824" w:type="dxa"/>
            <w:tcBorders>
              <w:top w:val="dotted" w:sz="4" w:space="0" w:color="auto"/>
              <w:bottom w:val="dotted" w:sz="4" w:space="0" w:color="auto"/>
            </w:tcBorders>
          </w:tcPr>
          <w:p w14:paraId="2F5EC014" w14:textId="27BF5A45" w:rsidR="001836E2" w:rsidRDefault="001836E2" w:rsidP="00A25066">
            <w:pPr>
              <w:rPr>
                <w:sz w:val="24"/>
                <w:szCs w:val="24"/>
              </w:rPr>
            </w:pPr>
            <w:r>
              <w:rPr>
                <w:sz w:val="24"/>
                <w:szCs w:val="24"/>
              </w:rPr>
              <w:t>4.5.1</w:t>
            </w:r>
          </w:p>
        </w:tc>
        <w:tc>
          <w:tcPr>
            <w:tcW w:w="8253" w:type="dxa"/>
            <w:tcBorders>
              <w:top w:val="dotted" w:sz="4" w:space="0" w:color="auto"/>
              <w:bottom w:val="dotted" w:sz="4" w:space="0" w:color="auto"/>
            </w:tcBorders>
          </w:tcPr>
          <w:p w14:paraId="60FB9E0C" w14:textId="2B9A77F8" w:rsidR="001836E2" w:rsidRDefault="001836E2" w:rsidP="007915D4">
            <w:pPr>
              <w:jc w:val="both"/>
              <w:rPr>
                <w:sz w:val="24"/>
                <w:szCs w:val="24"/>
              </w:rPr>
            </w:pPr>
            <w:r>
              <w:rPr>
                <w:sz w:val="24"/>
                <w:szCs w:val="24"/>
              </w:rPr>
              <w:t>A report was provided on delays in</w:t>
            </w:r>
            <w:r w:rsidR="00BE7799">
              <w:rPr>
                <w:sz w:val="24"/>
                <w:szCs w:val="24"/>
              </w:rPr>
              <w:t xml:space="preserve"> commencing parts of</w:t>
            </w:r>
            <w:r>
              <w:rPr>
                <w:sz w:val="24"/>
                <w:szCs w:val="24"/>
              </w:rPr>
              <w:t xml:space="preserve"> CIB’s WAN and Telephony project</w:t>
            </w:r>
            <w:r w:rsidR="00BE7799">
              <w:rPr>
                <w:sz w:val="24"/>
                <w:szCs w:val="24"/>
              </w:rPr>
              <w:t xml:space="preserve"> while approval is pending from DPER</w:t>
            </w:r>
            <w:r>
              <w:rPr>
                <w:sz w:val="24"/>
                <w:szCs w:val="24"/>
              </w:rPr>
              <w:t>. It was noted that a meeting is scheduled with the Office of the Government Chief Information Officer for 20 June.</w:t>
            </w:r>
          </w:p>
        </w:tc>
      </w:tr>
      <w:tr w:rsidR="001836E2" w:rsidRPr="00DD39EE" w14:paraId="1FE1A1A6" w14:textId="77777777" w:rsidTr="001836E2">
        <w:tc>
          <w:tcPr>
            <w:tcW w:w="824" w:type="dxa"/>
            <w:tcBorders>
              <w:top w:val="dotted" w:sz="4" w:space="0" w:color="auto"/>
              <w:bottom w:val="dotted" w:sz="4" w:space="0" w:color="auto"/>
            </w:tcBorders>
          </w:tcPr>
          <w:p w14:paraId="1BFF6660" w14:textId="085DA601" w:rsidR="001836E2" w:rsidRDefault="001836E2" w:rsidP="00A25066">
            <w:pPr>
              <w:rPr>
                <w:sz w:val="24"/>
                <w:szCs w:val="24"/>
              </w:rPr>
            </w:pPr>
            <w:r>
              <w:rPr>
                <w:sz w:val="24"/>
                <w:szCs w:val="24"/>
              </w:rPr>
              <w:t>4.5.2</w:t>
            </w:r>
          </w:p>
        </w:tc>
        <w:tc>
          <w:tcPr>
            <w:tcW w:w="8253" w:type="dxa"/>
            <w:tcBorders>
              <w:top w:val="dotted" w:sz="4" w:space="0" w:color="auto"/>
              <w:bottom w:val="dotted" w:sz="4" w:space="0" w:color="auto"/>
            </w:tcBorders>
          </w:tcPr>
          <w:p w14:paraId="3007374F" w14:textId="6860E0BB" w:rsidR="001836E2" w:rsidRDefault="001836E2" w:rsidP="007915D4">
            <w:pPr>
              <w:jc w:val="both"/>
              <w:rPr>
                <w:sz w:val="24"/>
                <w:szCs w:val="24"/>
              </w:rPr>
            </w:pPr>
            <w:r>
              <w:rPr>
                <w:sz w:val="24"/>
                <w:szCs w:val="24"/>
              </w:rPr>
              <w:t>The accessibility of CIB’s information systems was discussed. A report is to be provided on this for the September meeting.</w:t>
            </w:r>
          </w:p>
        </w:tc>
      </w:tr>
      <w:tr w:rsidR="00A25066" w:rsidRPr="00E767AF" w14:paraId="6FF90365" w14:textId="77777777" w:rsidTr="001836E2">
        <w:tc>
          <w:tcPr>
            <w:tcW w:w="824" w:type="dxa"/>
            <w:tcBorders>
              <w:top w:val="dotted" w:sz="4" w:space="0" w:color="auto"/>
              <w:bottom w:val="dotted" w:sz="4" w:space="0" w:color="auto"/>
            </w:tcBorders>
          </w:tcPr>
          <w:p w14:paraId="32FECF86" w14:textId="3F9F5EF0" w:rsidR="00A25066" w:rsidRPr="00E767AF" w:rsidRDefault="001836E2" w:rsidP="00A25066">
            <w:pPr>
              <w:rPr>
                <w:b/>
                <w:sz w:val="24"/>
                <w:szCs w:val="24"/>
              </w:rPr>
            </w:pPr>
            <w:r>
              <w:rPr>
                <w:b/>
                <w:sz w:val="24"/>
                <w:szCs w:val="24"/>
              </w:rPr>
              <w:t>5</w:t>
            </w:r>
          </w:p>
        </w:tc>
        <w:tc>
          <w:tcPr>
            <w:tcW w:w="8253" w:type="dxa"/>
            <w:tcBorders>
              <w:top w:val="dotted" w:sz="4" w:space="0" w:color="auto"/>
              <w:bottom w:val="dotted" w:sz="4" w:space="0" w:color="auto"/>
            </w:tcBorders>
          </w:tcPr>
          <w:p w14:paraId="746C0B43" w14:textId="1BD4983C" w:rsidR="00A25066" w:rsidRPr="00AA2BF2" w:rsidRDefault="00DC6ECD" w:rsidP="007915D4">
            <w:pPr>
              <w:tabs>
                <w:tab w:val="left" w:pos="2822"/>
              </w:tabs>
              <w:jc w:val="both"/>
              <w:rPr>
                <w:b/>
                <w:sz w:val="24"/>
                <w:szCs w:val="24"/>
              </w:rPr>
            </w:pPr>
            <w:r>
              <w:rPr>
                <w:b/>
                <w:sz w:val="24"/>
                <w:szCs w:val="24"/>
              </w:rPr>
              <w:t>Committee meetings – u</w:t>
            </w:r>
            <w:r w:rsidR="00A25066">
              <w:rPr>
                <w:b/>
                <w:sz w:val="24"/>
                <w:szCs w:val="24"/>
              </w:rPr>
              <w:t>pdate</w:t>
            </w:r>
          </w:p>
        </w:tc>
      </w:tr>
      <w:tr w:rsidR="00EC2393" w:rsidRPr="00DD39EE" w14:paraId="02D9307A" w14:textId="77777777" w:rsidTr="001836E2">
        <w:tc>
          <w:tcPr>
            <w:tcW w:w="824" w:type="dxa"/>
            <w:tcBorders>
              <w:top w:val="dotted" w:sz="4" w:space="0" w:color="auto"/>
              <w:bottom w:val="dotted" w:sz="4" w:space="0" w:color="auto"/>
            </w:tcBorders>
          </w:tcPr>
          <w:p w14:paraId="2E0BEAFB" w14:textId="3779B77B" w:rsidR="00EC2393" w:rsidRDefault="001836E2" w:rsidP="00EC2393">
            <w:pPr>
              <w:rPr>
                <w:sz w:val="24"/>
                <w:szCs w:val="24"/>
              </w:rPr>
            </w:pPr>
            <w:r>
              <w:rPr>
                <w:sz w:val="24"/>
                <w:szCs w:val="24"/>
              </w:rPr>
              <w:t>5.1</w:t>
            </w:r>
          </w:p>
        </w:tc>
        <w:tc>
          <w:tcPr>
            <w:tcW w:w="8253" w:type="dxa"/>
            <w:tcBorders>
              <w:top w:val="dotted" w:sz="4" w:space="0" w:color="auto"/>
              <w:bottom w:val="dotted" w:sz="4" w:space="0" w:color="auto"/>
            </w:tcBorders>
          </w:tcPr>
          <w:p w14:paraId="1A4276ED" w14:textId="4652EEC1" w:rsidR="00EC2393" w:rsidRPr="00AA2BF2" w:rsidRDefault="00EC2393" w:rsidP="007915D4">
            <w:pPr>
              <w:tabs>
                <w:tab w:val="left" w:pos="2822"/>
              </w:tabs>
              <w:jc w:val="both"/>
              <w:rPr>
                <w:sz w:val="24"/>
                <w:szCs w:val="24"/>
              </w:rPr>
            </w:pPr>
            <w:r>
              <w:rPr>
                <w:sz w:val="24"/>
                <w:szCs w:val="24"/>
                <w:u w:val="single"/>
              </w:rPr>
              <w:t>Social Policy &amp; Research Committee</w:t>
            </w:r>
          </w:p>
        </w:tc>
      </w:tr>
      <w:tr w:rsidR="00EC2393" w:rsidRPr="00DD39EE" w14:paraId="6F299E33" w14:textId="77777777" w:rsidTr="001836E2">
        <w:tc>
          <w:tcPr>
            <w:tcW w:w="824" w:type="dxa"/>
            <w:tcBorders>
              <w:top w:val="dotted" w:sz="4" w:space="0" w:color="auto"/>
              <w:bottom w:val="dotted" w:sz="4" w:space="0" w:color="auto"/>
            </w:tcBorders>
          </w:tcPr>
          <w:p w14:paraId="6CFF3988" w14:textId="7B078DD6" w:rsidR="00EC2393" w:rsidRDefault="001836E2" w:rsidP="00EC2393">
            <w:pPr>
              <w:rPr>
                <w:sz w:val="24"/>
                <w:szCs w:val="24"/>
              </w:rPr>
            </w:pPr>
            <w:r>
              <w:rPr>
                <w:sz w:val="24"/>
                <w:szCs w:val="24"/>
              </w:rPr>
              <w:t>5.1</w:t>
            </w:r>
            <w:r w:rsidR="00EC2393">
              <w:rPr>
                <w:sz w:val="24"/>
                <w:szCs w:val="24"/>
              </w:rPr>
              <w:t>.1</w:t>
            </w:r>
          </w:p>
        </w:tc>
        <w:tc>
          <w:tcPr>
            <w:tcW w:w="8253" w:type="dxa"/>
            <w:tcBorders>
              <w:top w:val="dotted" w:sz="4" w:space="0" w:color="auto"/>
              <w:bottom w:val="dotted" w:sz="4" w:space="0" w:color="auto"/>
            </w:tcBorders>
          </w:tcPr>
          <w:p w14:paraId="164EFC16" w14:textId="257C45AD" w:rsidR="00EC2393" w:rsidRPr="00F842B5" w:rsidRDefault="001836E2" w:rsidP="007915D4">
            <w:pPr>
              <w:tabs>
                <w:tab w:val="left" w:pos="2822"/>
              </w:tabs>
              <w:jc w:val="both"/>
              <w:rPr>
                <w:sz w:val="24"/>
                <w:szCs w:val="24"/>
              </w:rPr>
            </w:pPr>
            <w:r>
              <w:rPr>
                <w:sz w:val="24"/>
                <w:szCs w:val="24"/>
              </w:rPr>
              <w:t>The Social Policy &amp; Research Committee did not meet on 22 May as it did not have a quorum. A request was made for new members to join the committee.</w:t>
            </w:r>
          </w:p>
        </w:tc>
      </w:tr>
      <w:tr w:rsidR="00EC2393" w:rsidRPr="00DD39EE" w14:paraId="134F21A4" w14:textId="77777777" w:rsidTr="001836E2">
        <w:tc>
          <w:tcPr>
            <w:tcW w:w="824" w:type="dxa"/>
            <w:tcBorders>
              <w:top w:val="dotted" w:sz="4" w:space="0" w:color="auto"/>
              <w:bottom w:val="dotted" w:sz="4" w:space="0" w:color="auto"/>
            </w:tcBorders>
          </w:tcPr>
          <w:p w14:paraId="3E528828" w14:textId="28340C9D" w:rsidR="00EC2393" w:rsidRPr="008336F4" w:rsidRDefault="001836E2" w:rsidP="00EC2393">
            <w:pPr>
              <w:rPr>
                <w:b/>
                <w:sz w:val="24"/>
                <w:szCs w:val="24"/>
              </w:rPr>
            </w:pPr>
            <w:r>
              <w:rPr>
                <w:b/>
                <w:sz w:val="24"/>
                <w:szCs w:val="24"/>
              </w:rPr>
              <w:t>6</w:t>
            </w:r>
          </w:p>
        </w:tc>
        <w:tc>
          <w:tcPr>
            <w:tcW w:w="8253" w:type="dxa"/>
            <w:tcBorders>
              <w:top w:val="dotted" w:sz="4" w:space="0" w:color="auto"/>
              <w:bottom w:val="dotted" w:sz="4" w:space="0" w:color="auto"/>
            </w:tcBorders>
          </w:tcPr>
          <w:p w14:paraId="7F3E47A3" w14:textId="6B6502C4" w:rsidR="00EC2393" w:rsidRPr="00784D82" w:rsidRDefault="00DC6ECD" w:rsidP="00EC2393">
            <w:pPr>
              <w:tabs>
                <w:tab w:val="left" w:pos="2822"/>
              </w:tabs>
              <w:rPr>
                <w:b/>
                <w:sz w:val="24"/>
                <w:szCs w:val="24"/>
              </w:rPr>
            </w:pPr>
            <w:r>
              <w:rPr>
                <w:b/>
                <w:sz w:val="24"/>
                <w:szCs w:val="24"/>
              </w:rPr>
              <w:t>GDPR compliance u</w:t>
            </w:r>
            <w:r w:rsidR="00784D82" w:rsidRPr="00784D82">
              <w:rPr>
                <w:b/>
                <w:sz w:val="24"/>
                <w:szCs w:val="24"/>
              </w:rPr>
              <w:t>pdate</w:t>
            </w:r>
          </w:p>
        </w:tc>
      </w:tr>
      <w:tr w:rsidR="00EC2393" w:rsidRPr="00DD39EE" w14:paraId="6C0D0647" w14:textId="77777777" w:rsidTr="001836E2">
        <w:tc>
          <w:tcPr>
            <w:tcW w:w="824" w:type="dxa"/>
            <w:tcBorders>
              <w:top w:val="dotted" w:sz="4" w:space="0" w:color="auto"/>
              <w:bottom w:val="dotted" w:sz="4" w:space="0" w:color="auto"/>
            </w:tcBorders>
          </w:tcPr>
          <w:p w14:paraId="599FCBEB" w14:textId="6340357B" w:rsidR="00EC2393" w:rsidRDefault="001836E2" w:rsidP="00EC2393">
            <w:pPr>
              <w:rPr>
                <w:sz w:val="24"/>
                <w:szCs w:val="24"/>
              </w:rPr>
            </w:pPr>
            <w:r>
              <w:rPr>
                <w:sz w:val="24"/>
                <w:szCs w:val="24"/>
              </w:rPr>
              <w:t>6</w:t>
            </w:r>
            <w:r w:rsidR="008336F4">
              <w:rPr>
                <w:sz w:val="24"/>
                <w:szCs w:val="24"/>
              </w:rPr>
              <w:t>.1</w:t>
            </w:r>
          </w:p>
        </w:tc>
        <w:tc>
          <w:tcPr>
            <w:tcW w:w="8253" w:type="dxa"/>
            <w:tcBorders>
              <w:top w:val="dotted" w:sz="4" w:space="0" w:color="auto"/>
              <w:bottom w:val="dotted" w:sz="4" w:space="0" w:color="auto"/>
            </w:tcBorders>
          </w:tcPr>
          <w:p w14:paraId="625EDB39" w14:textId="1CFE901A" w:rsidR="00EC2393" w:rsidRPr="00784D82" w:rsidRDefault="00784D82" w:rsidP="007915D4">
            <w:pPr>
              <w:tabs>
                <w:tab w:val="left" w:pos="2822"/>
              </w:tabs>
              <w:jc w:val="both"/>
              <w:rPr>
                <w:sz w:val="24"/>
                <w:szCs w:val="24"/>
              </w:rPr>
            </w:pPr>
            <w:r>
              <w:rPr>
                <w:sz w:val="24"/>
                <w:szCs w:val="24"/>
              </w:rPr>
              <w:t xml:space="preserve">An update on actions in CIB and the delivery services was provided, </w:t>
            </w:r>
            <w:r w:rsidR="00B628B5">
              <w:rPr>
                <w:sz w:val="24"/>
                <w:szCs w:val="24"/>
              </w:rPr>
              <w:t>including in relation to</w:t>
            </w:r>
            <w:r w:rsidR="0079346D">
              <w:rPr>
                <w:sz w:val="24"/>
                <w:szCs w:val="24"/>
              </w:rPr>
              <w:t xml:space="preserve"> </w:t>
            </w:r>
            <w:r>
              <w:rPr>
                <w:sz w:val="24"/>
                <w:szCs w:val="24"/>
              </w:rPr>
              <w:t>data protection notices and consent forms</w:t>
            </w:r>
            <w:r w:rsidR="001836E2">
              <w:rPr>
                <w:sz w:val="24"/>
                <w:szCs w:val="24"/>
              </w:rPr>
              <w:t>. A draft data protection policy for CIB was discussed and Data Protection Notices and Data Protection Consent Forms for Board Members were also discussed.</w:t>
            </w:r>
          </w:p>
        </w:tc>
      </w:tr>
      <w:tr w:rsidR="001836E2" w:rsidRPr="00DD39EE" w14:paraId="7B0C9A4B" w14:textId="77777777" w:rsidTr="001836E2">
        <w:tc>
          <w:tcPr>
            <w:tcW w:w="824" w:type="dxa"/>
            <w:tcBorders>
              <w:top w:val="dotted" w:sz="4" w:space="0" w:color="auto"/>
              <w:bottom w:val="dotted" w:sz="4" w:space="0" w:color="auto"/>
            </w:tcBorders>
          </w:tcPr>
          <w:p w14:paraId="101C80F4" w14:textId="60715E22" w:rsidR="001836E2" w:rsidRPr="001836E2" w:rsidRDefault="001836E2" w:rsidP="00EC2393">
            <w:pPr>
              <w:rPr>
                <w:b/>
                <w:sz w:val="24"/>
                <w:szCs w:val="24"/>
              </w:rPr>
            </w:pPr>
            <w:r>
              <w:rPr>
                <w:b/>
                <w:sz w:val="24"/>
                <w:szCs w:val="24"/>
              </w:rPr>
              <w:t>7</w:t>
            </w:r>
          </w:p>
        </w:tc>
        <w:tc>
          <w:tcPr>
            <w:tcW w:w="8253" w:type="dxa"/>
            <w:tcBorders>
              <w:top w:val="dotted" w:sz="4" w:space="0" w:color="auto"/>
              <w:bottom w:val="dotted" w:sz="4" w:space="0" w:color="auto"/>
            </w:tcBorders>
          </w:tcPr>
          <w:p w14:paraId="308BB788" w14:textId="69AD3BF0" w:rsidR="001836E2" w:rsidRPr="001836E2" w:rsidRDefault="001836E2" w:rsidP="007915D4">
            <w:pPr>
              <w:tabs>
                <w:tab w:val="left" w:pos="2822"/>
              </w:tabs>
              <w:jc w:val="both"/>
              <w:rPr>
                <w:b/>
                <w:sz w:val="24"/>
                <w:szCs w:val="24"/>
              </w:rPr>
            </w:pPr>
            <w:r w:rsidRPr="001836E2">
              <w:rPr>
                <w:b/>
                <w:sz w:val="24"/>
                <w:szCs w:val="24"/>
              </w:rPr>
              <w:t>Annual Report 2017</w:t>
            </w:r>
          </w:p>
        </w:tc>
      </w:tr>
      <w:tr w:rsidR="001836E2" w:rsidRPr="00DD39EE" w14:paraId="10DAAD73" w14:textId="77777777" w:rsidTr="001836E2">
        <w:tc>
          <w:tcPr>
            <w:tcW w:w="824" w:type="dxa"/>
            <w:tcBorders>
              <w:top w:val="dotted" w:sz="4" w:space="0" w:color="auto"/>
              <w:bottom w:val="dotted" w:sz="4" w:space="0" w:color="auto"/>
            </w:tcBorders>
          </w:tcPr>
          <w:p w14:paraId="2EDC2445" w14:textId="1F2922F5" w:rsidR="001836E2" w:rsidRDefault="001836E2" w:rsidP="00EC2393">
            <w:pPr>
              <w:rPr>
                <w:sz w:val="24"/>
                <w:szCs w:val="24"/>
              </w:rPr>
            </w:pPr>
            <w:r>
              <w:rPr>
                <w:sz w:val="24"/>
                <w:szCs w:val="24"/>
              </w:rPr>
              <w:t>7.1</w:t>
            </w:r>
          </w:p>
        </w:tc>
        <w:tc>
          <w:tcPr>
            <w:tcW w:w="8253" w:type="dxa"/>
            <w:tcBorders>
              <w:top w:val="dotted" w:sz="4" w:space="0" w:color="auto"/>
              <w:bottom w:val="dotted" w:sz="4" w:space="0" w:color="auto"/>
            </w:tcBorders>
          </w:tcPr>
          <w:p w14:paraId="4E6842E2" w14:textId="44B948A5" w:rsidR="001836E2" w:rsidRDefault="001836E2" w:rsidP="007915D4">
            <w:pPr>
              <w:tabs>
                <w:tab w:val="left" w:pos="2822"/>
              </w:tabs>
              <w:jc w:val="both"/>
              <w:rPr>
                <w:sz w:val="24"/>
                <w:szCs w:val="24"/>
              </w:rPr>
            </w:pPr>
            <w:r>
              <w:rPr>
                <w:sz w:val="24"/>
                <w:szCs w:val="24"/>
              </w:rPr>
              <w:t xml:space="preserve">The Annual Report 2017 was approved pending the </w:t>
            </w:r>
            <w:r w:rsidR="004E4844">
              <w:rPr>
                <w:sz w:val="24"/>
                <w:szCs w:val="24"/>
              </w:rPr>
              <w:t xml:space="preserve">circulation of the </w:t>
            </w:r>
            <w:r>
              <w:rPr>
                <w:sz w:val="24"/>
                <w:szCs w:val="24"/>
              </w:rPr>
              <w:t>Chief Executive’s Foreword and the Chairperson’s Report. A launch event for the report was discussed, potentially in conjunction with the Board meeting on 25 July.</w:t>
            </w:r>
          </w:p>
        </w:tc>
      </w:tr>
      <w:tr w:rsidR="00EC2393" w:rsidRPr="00DD39EE" w14:paraId="2D93AAC0" w14:textId="77777777" w:rsidTr="001836E2">
        <w:tc>
          <w:tcPr>
            <w:tcW w:w="824" w:type="dxa"/>
            <w:tcBorders>
              <w:top w:val="dotted" w:sz="4" w:space="0" w:color="auto"/>
              <w:bottom w:val="dotted" w:sz="4" w:space="0" w:color="auto"/>
            </w:tcBorders>
          </w:tcPr>
          <w:p w14:paraId="6E675E09" w14:textId="21A12CB2" w:rsidR="00EC2393" w:rsidRPr="003809E1" w:rsidRDefault="001836E2" w:rsidP="00EC2393">
            <w:pPr>
              <w:rPr>
                <w:b/>
                <w:sz w:val="24"/>
                <w:szCs w:val="24"/>
              </w:rPr>
            </w:pPr>
            <w:r>
              <w:rPr>
                <w:b/>
                <w:sz w:val="24"/>
                <w:szCs w:val="24"/>
              </w:rPr>
              <w:t>8</w:t>
            </w:r>
          </w:p>
        </w:tc>
        <w:tc>
          <w:tcPr>
            <w:tcW w:w="8253" w:type="dxa"/>
            <w:tcBorders>
              <w:top w:val="dotted" w:sz="4" w:space="0" w:color="auto"/>
              <w:bottom w:val="dotted" w:sz="4" w:space="0" w:color="auto"/>
            </w:tcBorders>
          </w:tcPr>
          <w:p w14:paraId="0E8F6147" w14:textId="75CCDA3D" w:rsidR="00EC2393" w:rsidRPr="00AA2BF2" w:rsidRDefault="00EC2393" w:rsidP="007915D4">
            <w:pPr>
              <w:jc w:val="both"/>
              <w:rPr>
                <w:b/>
                <w:sz w:val="24"/>
                <w:szCs w:val="24"/>
              </w:rPr>
            </w:pPr>
            <w:r>
              <w:rPr>
                <w:b/>
                <w:sz w:val="24"/>
                <w:szCs w:val="24"/>
              </w:rPr>
              <w:t>Report of the Chief Executive</w:t>
            </w:r>
          </w:p>
        </w:tc>
      </w:tr>
      <w:tr w:rsidR="00EC2393" w:rsidRPr="004D4CBB" w14:paraId="2AA286D0" w14:textId="77777777" w:rsidTr="001836E2">
        <w:tc>
          <w:tcPr>
            <w:tcW w:w="824" w:type="dxa"/>
            <w:tcBorders>
              <w:top w:val="dotted" w:sz="4" w:space="0" w:color="auto"/>
              <w:bottom w:val="dotted" w:sz="4" w:space="0" w:color="auto"/>
            </w:tcBorders>
          </w:tcPr>
          <w:p w14:paraId="135DD062" w14:textId="4B641CDC" w:rsidR="00EC2393" w:rsidRPr="004D4CBB" w:rsidRDefault="001836E2" w:rsidP="00EC2393">
            <w:pPr>
              <w:rPr>
                <w:sz w:val="24"/>
                <w:szCs w:val="24"/>
              </w:rPr>
            </w:pPr>
            <w:r>
              <w:rPr>
                <w:sz w:val="24"/>
                <w:szCs w:val="24"/>
              </w:rPr>
              <w:t>8</w:t>
            </w:r>
            <w:r w:rsidR="00EC2393" w:rsidRPr="004D4CBB">
              <w:rPr>
                <w:sz w:val="24"/>
                <w:szCs w:val="24"/>
              </w:rPr>
              <w:t>.1</w:t>
            </w:r>
          </w:p>
        </w:tc>
        <w:tc>
          <w:tcPr>
            <w:tcW w:w="8253" w:type="dxa"/>
            <w:tcBorders>
              <w:top w:val="dotted" w:sz="4" w:space="0" w:color="auto"/>
              <w:bottom w:val="dotted" w:sz="4" w:space="0" w:color="auto"/>
            </w:tcBorders>
          </w:tcPr>
          <w:p w14:paraId="110FEA77" w14:textId="48391A56" w:rsidR="00EC2393" w:rsidRPr="004D4CBB" w:rsidRDefault="00EC2393" w:rsidP="007915D4">
            <w:pPr>
              <w:jc w:val="both"/>
              <w:rPr>
                <w:sz w:val="24"/>
                <w:szCs w:val="24"/>
              </w:rPr>
            </w:pPr>
            <w:r w:rsidRPr="004D4CBB">
              <w:rPr>
                <w:sz w:val="24"/>
                <w:szCs w:val="24"/>
              </w:rPr>
              <w:t>The Report of the Chief Executive was iss</w:t>
            </w:r>
            <w:r>
              <w:rPr>
                <w:sz w:val="24"/>
                <w:szCs w:val="24"/>
              </w:rPr>
              <w:t xml:space="preserve">ued in advance of the meeting. </w:t>
            </w:r>
          </w:p>
        </w:tc>
      </w:tr>
      <w:tr w:rsidR="00EC2393" w:rsidRPr="00DC7CF8" w14:paraId="35D83FA6" w14:textId="77777777" w:rsidTr="001836E2">
        <w:tc>
          <w:tcPr>
            <w:tcW w:w="824" w:type="dxa"/>
            <w:tcBorders>
              <w:top w:val="dotted" w:sz="4" w:space="0" w:color="auto"/>
              <w:bottom w:val="dotted" w:sz="4" w:space="0" w:color="auto"/>
            </w:tcBorders>
          </w:tcPr>
          <w:p w14:paraId="0BC71786" w14:textId="65206219" w:rsidR="00EC2393" w:rsidRPr="00DC7CF8" w:rsidRDefault="001836E2" w:rsidP="00EC2393">
            <w:pPr>
              <w:rPr>
                <w:b/>
                <w:sz w:val="24"/>
                <w:szCs w:val="24"/>
              </w:rPr>
            </w:pPr>
            <w:r>
              <w:rPr>
                <w:b/>
                <w:sz w:val="24"/>
                <w:szCs w:val="24"/>
              </w:rPr>
              <w:t>9</w:t>
            </w:r>
          </w:p>
        </w:tc>
        <w:tc>
          <w:tcPr>
            <w:tcW w:w="8253" w:type="dxa"/>
            <w:tcBorders>
              <w:top w:val="dotted" w:sz="4" w:space="0" w:color="auto"/>
              <w:bottom w:val="dotted" w:sz="4" w:space="0" w:color="auto"/>
            </w:tcBorders>
          </w:tcPr>
          <w:p w14:paraId="6FDE14FE" w14:textId="75838234" w:rsidR="00EC2393" w:rsidRPr="00DC7CF8" w:rsidRDefault="00DC6ECD" w:rsidP="007915D4">
            <w:pPr>
              <w:jc w:val="both"/>
              <w:rPr>
                <w:b/>
                <w:sz w:val="24"/>
                <w:szCs w:val="24"/>
              </w:rPr>
            </w:pPr>
            <w:r>
              <w:rPr>
                <w:b/>
                <w:sz w:val="24"/>
                <w:szCs w:val="24"/>
              </w:rPr>
              <w:t>HR m</w:t>
            </w:r>
            <w:r w:rsidR="00EC2393" w:rsidRPr="00DC7CF8">
              <w:rPr>
                <w:b/>
                <w:sz w:val="24"/>
                <w:szCs w:val="24"/>
              </w:rPr>
              <w:t>atters</w:t>
            </w:r>
          </w:p>
        </w:tc>
      </w:tr>
      <w:tr w:rsidR="004A3335" w:rsidRPr="00DD39EE" w14:paraId="0D49D3FC" w14:textId="77777777" w:rsidTr="001836E2">
        <w:tc>
          <w:tcPr>
            <w:tcW w:w="824" w:type="dxa"/>
            <w:tcBorders>
              <w:top w:val="dotted" w:sz="4" w:space="0" w:color="auto"/>
              <w:bottom w:val="dotted" w:sz="4" w:space="0" w:color="auto"/>
            </w:tcBorders>
          </w:tcPr>
          <w:p w14:paraId="5ED606D4" w14:textId="3D17FAF0" w:rsidR="004A3335" w:rsidRDefault="001836E2" w:rsidP="00EC2393">
            <w:pPr>
              <w:rPr>
                <w:sz w:val="24"/>
                <w:szCs w:val="24"/>
              </w:rPr>
            </w:pPr>
            <w:r>
              <w:rPr>
                <w:sz w:val="24"/>
                <w:szCs w:val="24"/>
              </w:rPr>
              <w:t>9</w:t>
            </w:r>
            <w:r w:rsidR="008336F4">
              <w:rPr>
                <w:sz w:val="24"/>
                <w:szCs w:val="24"/>
              </w:rPr>
              <w:t>.1</w:t>
            </w:r>
          </w:p>
        </w:tc>
        <w:tc>
          <w:tcPr>
            <w:tcW w:w="8253" w:type="dxa"/>
            <w:tcBorders>
              <w:top w:val="dotted" w:sz="4" w:space="0" w:color="auto"/>
              <w:bottom w:val="dotted" w:sz="4" w:space="0" w:color="auto"/>
            </w:tcBorders>
          </w:tcPr>
          <w:p w14:paraId="53D0D35F" w14:textId="3810B17C" w:rsidR="004A3335" w:rsidRPr="008336F4" w:rsidRDefault="004A3335" w:rsidP="007915D4">
            <w:pPr>
              <w:jc w:val="both"/>
              <w:rPr>
                <w:sz w:val="24"/>
                <w:szCs w:val="24"/>
                <w:u w:val="single"/>
              </w:rPr>
            </w:pPr>
            <w:r w:rsidRPr="008336F4">
              <w:rPr>
                <w:sz w:val="24"/>
                <w:szCs w:val="24"/>
                <w:u w:val="single"/>
              </w:rPr>
              <w:t>Update on Staffing Matters</w:t>
            </w:r>
          </w:p>
        </w:tc>
      </w:tr>
      <w:tr w:rsidR="00EC2393" w:rsidRPr="00DD39EE" w14:paraId="548ACB60" w14:textId="77777777" w:rsidTr="001836E2">
        <w:tc>
          <w:tcPr>
            <w:tcW w:w="824" w:type="dxa"/>
            <w:tcBorders>
              <w:top w:val="dotted" w:sz="4" w:space="0" w:color="auto"/>
              <w:bottom w:val="dotted" w:sz="4" w:space="0" w:color="auto"/>
            </w:tcBorders>
          </w:tcPr>
          <w:p w14:paraId="51EBE0C4" w14:textId="334FF3D9" w:rsidR="00EC2393" w:rsidRDefault="001836E2" w:rsidP="00EC2393">
            <w:pPr>
              <w:rPr>
                <w:sz w:val="24"/>
                <w:szCs w:val="24"/>
              </w:rPr>
            </w:pPr>
            <w:r>
              <w:rPr>
                <w:sz w:val="24"/>
                <w:szCs w:val="24"/>
              </w:rPr>
              <w:t>9</w:t>
            </w:r>
            <w:r w:rsidR="00EC2393">
              <w:rPr>
                <w:sz w:val="24"/>
                <w:szCs w:val="24"/>
              </w:rPr>
              <w:t>.1</w:t>
            </w:r>
            <w:r w:rsidR="008336F4">
              <w:rPr>
                <w:sz w:val="24"/>
                <w:szCs w:val="24"/>
              </w:rPr>
              <w:t>.1</w:t>
            </w:r>
          </w:p>
        </w:tc>
        <w:tc>
          <w:tcPr>
            <w:tcW w:w="8253" w:type="dxa"/>
            <w:tcBorders>
              <w:top w:val="dotted" w:sz="4" w:space="0" w:color="auto"/>
              <w:bottom w:val="dotted" w:sz="4" w:space="0" w:color="auto"/>
            </w:tcBorders>
          </w:tcPr>
          <w:p w14:paraId="611A99CA" w14:textId="4CCAD68E" w:rsidR="00EC2393" w:rsidRPr="007A164E" w:rsidRDefault="004A3335" w:rsidP="007915D4">
            <w:pPr>
              <w:jc w:val="both"/>
              <w:rPr>
                <w:sz w:val="24"/>
                <w:szCs w:val="24"/>
              </w:rPr>
            </w:pPr>
            <w:r>
              <w:rPr>
                <w:sz w:val="24"/>
                <w:szCs w:val="24"/>
              </w:rPr>
              <w:t xml:space="preserve">A request to the DEASP for a Data Protection Officer </w:t>
            </w:r>
            <w:r w:rsidR="00AF7512">
              <w:rPr>
                <w:sz w:val="24"/>
                <w:szCs w:val="24"/>
              </w:rPr>
              <w:t xml:space="preserve">post </w:t>
            </w:r>
            <w:r>
              <w:rPr>
                <w:sz w:val="24"/>
                <w:szCs w:val="24"/>
              </w:rPr>
              <w:t>for CIB has not been granted yet – a temporary post is being considered.</w:t>
            </w:r>
            <w:r w:rsidR="00EC2393" w:rsidRPr="007A164E">
              <w:rPr>
                <w:sz w:val="24"/>
                <w:szCs w:val="24"/>
              </w:rPr>
              <w:t xml:space="preserve"> </w:t>
            </w:r>
            <w:r w:rsidR="00AF7512">
              <w:rPr>
                <w:sz w:val="24"/>
                <w:szCs w:val="24"/>
              </w:rPr>
              <w:t>There is also no update in relation to a request for an additional 7 Executive Officer (EO) posts.</w:t>
            </w:r>
          </w:p>
        </w:tc>
      </w:tr>
      <w:tr w:rsidR="00EC2393" w:rsidRPr="00FF1F00" w14:paraId="047AEDD9" w14:textId="77777777" w:rsidTr="001836E2">
        <w:tc>
          <w:tcPr>
            <w:tcW w:w="824" w:type="dxa"/>
            <w:tcBorders>
              <w:top w:val="dotted" w:sz="4" w:space="0" w:color="auto"/>
              <w:bottom w:val="dotted" w:sz="4" w:space="0" w:color="auto"/>
            </w:tcBorders>
          </w:tcPr>
          <w:p w14:paraId="64FF6715" w14:textId="56FFADE1" w:rsidR="00EC2393" w:rsidRPr="00FF1F00" w:rsidRDefault="00EC2393" w:rsidP="00EC2393">
            <w:pPr>
              <w:rPr>
                <w:b/>
                <w:sz w:val="24"/>
                <w:szCs w:val="24"/>
              </w:rPr>
            </w:pPr>
            <w:r>
              <w:rPr>
                <w:b/>
                <w:sz w:val="24"/>
                <w:szCs w:val="24"/>
              </w:rPr>
              <w:lastRenderedPageBreak/>
              <w:t>10</w:t>
            </w:r>
          </w:p>
        </w:tc>
        <w:tc>
          <w:tcPr>
            <w:tcW w:w="8253" w:type="dxa"/>
            <w:tcBorders>
              <w:top w:val="dotted" w:sz="4" w:space="0" w:color="auto"/>
              <w:bottom w:val="dotted" w:sz="4" w:space="0" w:color="auto"/>
            </w:tcBorders>
          </w:tcPr>
          <w:p w14:paraId="35226B4B" w14:textId="0BA18950" w:rsidR="00EC2393" w:rsidRPr="00AA2BF2" w:rsidRDefault="00DC6ECD" w:rsidP="00EC2393">
            <w:pPr>
              <w:rPr>
                <w:b/>
                <w:sz w:val="24"/>
                <w:szCs w:val="24"/>
              </w:rPr>
            </w:pPr>
            <w:r>
              <w:rPr>
                <w:b/>
                <w:sz w:val="24"/>
                <w:szCs w:val="24"/>
              </w:rPr>
              <w:t>Date of the next m</w:t>
            </w:r>
            <w:r w:rsidR="00EC2393" w:rsidRPr="00AA2BF2">
              <w:rPr>
                <w:b/>
                <w:sz w:val="24"/>
                <w:szCs w:val="24"/>
              </w:rPr>
              <w:t xml:space="preserve">eeting </w:t>
            </w:r>
          </w:p>
        </w:tc>
      </w:tr>
      <w:tr w:rsidR="00EC2393" w:rsidRPr="00DD39EE" w14:paraId="6E2CC3CC" w14:textId="77777777" w:rsidTr="001836E2">
        <w:tc>
          <w:tcPr>
            <w:tcW w:w="824" w:type="dxa"/>
            <w:tcBorders>
              <w:top w:val="dotted" w:sz="4" w:space="0" w:color="auto"/>
              <w:bottom w:val="dotted" w:sz="4" w:space="0" w:color="auto"/>
            </w:tcBorders>
          </w:tcPr>
          <w:p w14:paraId="7B0349E3" w14:textId="0B81051E" w:rsidR="00EC2393" w:rsidRPr="00DD39EE" w:rsidRDefault="00EC2393" w:rsidP="00EC2393">
            <w:pPr>
              <w:rPr>
                <w:sz w:val="24"/>
                <w:szCs w:val="24"/>
              </w:rPr>
            </w:pPr>
            <w:r>
              <w:rPr>
                <w:sz w:val="24"/>
                <w:szCs w:val="24"/>
              </w:rPr>
              <w:t>10.1</w:t>
            </w:r>
          </w:p>
        </w:tc>
        <w:tc>
          <w:tcPr>
            <w:tcW w:w="8253" w:type="dxa"/>
            <w:tcBorders>
              <w:top w:val="dotted" w:sz="4" w:space="0" w:color="auto"/>
              <w:bottom w:val="dotted" w:sz="4" w:space="0" w:color="auto"/>
            </w:tcBorders>
          </w:tcPr>
          <w:p w14:paraId="4836822D" w14:textId="24E9A9E6" w:rsidR="00EC2393" w:rsidRPr="00AA2BF2" w:rsidRDefault="00EC2393" w:rsidP="007915D4">
            <w:pPr>
              <w:jc w:val="both"/>
              <w:rPr>
                <w:sz w:val="24"/>
                <w:szCs w:val="24"/>
              </w:rPr>
            </w:pPr>
            <w:r w:rsidRPr="00AA2BF2">
              <w:rPr>
                <w:sz w:val="24"/>
                <w:szCs w:val="24"/>
              </w:rPr>
              <w:t>The next meeting of the Board will take place on Wednesday</w:t>
            </w:r>
            <w:r>
              <w:rPr>
                <w:sz w:val="24"/>
                <w:szCs w:val="24"/>
              </w:rPr>
              <w:t>,</w:t>
            </w:r>
            <w:r w:rsidRPr="00AA2BF2">
              <w:rPr>
                <w:sz w:val="24"/>
                <w:szCs w:val="24"/>
              </w:rPr>
              <w:t xml:space="preserve"> </w:t>
            </w:r>
            <w:r w:rsidR="001836E2">
              <w:rPr>
                <w:sz w:val="24"/>
                <w:szCs w:val="24"/>
              </w:rPr>
              <w:t>25 July</w:t>
            </w:r>
            <w:r>
              <w:rPr>
                <w:sz w:val="24"/>
                <w:szCs w:val="24"/>
              </w:rPr>
              <w:t xml:space="preserve"> 2018</w:t>
            </w:r>
            <w:r w:rsidRPr="00AA2BF2">
              <w:rPr>
                <w:sz w:val="24"/>
                <w:szCs w:val="24"/>
              </w:rPr>
              <w:t xml:space="preserve"> at 1.30pm.  </w:t>
            </w:r>
          </w:p>
        </w:tc>
      </w:tr>
    </w:tbl>
    <w:p w14:paraId="466065F1" w14:textId="77777777" w:rsidR="00682CD3" w:rsidRDefault="00682CD3" w:rsidP="00770B98">
      <w:pPr>
        <w:rPr>
          <w:sz w:val="24"/>
          <w:szCs w:val="24"/>
        </w:rPr>
      </w:pPr>
    </w:p>
    <w:p w14:paraId="54912108" w14:textId="77777777" w:rsidR="00FE338C" w:rsidRDefault="00FE338C" w:rsidP="00770B98">
      <w:pPr>
        <w:rPr>
          <w:sz w:val="24"/>
          <w:szCs w:val="24"/>
        </w:rPr>
      </w:pPr>
      <w:bookmarkStart w:id="0" w:name="_GoBack"/>
      <w:bookmarkEnd w:id="0"/>
    </w:p>
    <w:sectPr w:rsidR="00FE338C" w:rsidSect="000F19E9">
      <w:footerReference w:type="default" r:id="rId8"/>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EE46" w14:textId="77777777" w:rsidR="00F25245" w:rsidRDefault="00F25245" w:rsidP="00253E0A">
      <w:r>
        <w:separator/>
      </w:r>
    </w:p>
  </w:endnote>
  <w:endnote w:type="continuationSeparator" w:id="0">
    <w:p w14:paraId="30235B46" w14:textId="77777777" w:rsidR="00F25245" w:rsidRDefault="00F25245"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33C3C987" w:rsidR="007915D4" w:rsidRDefault="007915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46C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46CA">
              <w:rPr>
                <w:b/>
                <w:bCs/>
                <w:noProof/>
              </w:rPr>
              <w:t>3</w:t>
            </w:r>
            <w:r>
              <w:rPr>
                <w:b/>
                <w:bCs/>
                <w:sz w:val="24"/>
                <w:szCs w:val="24"/>
              </w:rPr>
              <w:fldChar w:fldCharType="end"/>
            </w:r>
          </w:p>
        </w:sdtContent>
      </w:sdt>
    </w:sdtContent>
  </w:sdt>
  <w:p w14:paraId="3D3D4F98" w14:textId="77777777" w:rsidR="00F25245" w:rsidRDefault="00F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13E6" w14:textId="77777777" w:rsidR="00F25245" w:rsidRDefault="00F25245" w:rsidP="00253E0A">
      <w:r>
        <w:separator/>
      </w:r>
    </w:p>
  </w:footnote>
  <w:footnote w:type="continuationSeparator" w:id="0">
    <w:p w14:paraId="18CF58E5" w14:textId="77777777" w:rsidR="00F25245" w:rsidRDefault="00F25245" w:rsidP="00253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169B"/>
    <w:rsid w:val="000021C2"/>
    <w:rsid w:val="0000433C"/>
    <w:rsid w:val="000110C7"/>
    <w:rsid w:val="0001388E"/>
    <w:rsid w:val="00013AE9"/>
    <w:rsid w:val="00016236"/>
    <w:rsid w:val="00021266"/>
    <w:rsid w:val="000214EF"/>
    <w:rsid w:val="000269CA"/>
    <w:rsid w:val="00027C12"/>
    <w:rsid w:val="00031A49"/>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D0C"/>
    <w:rsid w:val="0008789A"/>
    <w:rsid w:val="000908D9"/>
    <w:rsid w:val="0009151B"/>
    <w:rsid w:val="0009318E"/>
    <w:rsid w:val="000A6C42"/>
    <w:rsid w:val="000B26A0"/>
    <w:rsid w:val="000B5541"/>
    <w:rsid w:val="000B7621"/>
    <w:rsid w:val="000C137C"/>
    <w:rsid w:val="000D276D"/>
    <w:rsid w:val="000D35CE"/>
    <w:rsid w:val="000D4F5F"/>
    <w:rsid w:val="000D6A6C"/>
    <w:rsid w:val="000D6E84"/>
    <w:rsid w:val="000E1FD9"/>
    <w:rsid w:val="000E2DA3"/>
    <w:rsid w:val="000E71A5"/>
    <w:rsid w:val="000E7D48"/>
    <w:rsid w:val="000F19E9"/>
    <w:rsid w:val="000F3431"/>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36D45"/>
    <w:rsid w:val="00163EB6"/>
    <w:rsid w:val="00167268"/>
    <w:rsid w:val="001734D5"/>
    <w:rsid w:val="00177D62"/>
    <w:rsid w:val="001819A4"/>
    <w:rsid w:val="001836E2"/>
    <w:rsid w:val="00184481"/>
    <w:rsid w:val="0018555D"/>
    <w:rsid w:val="001972B7"/>
    <w:rsid w:val="001A072F"/>
    <w:rsid w:val="001A2E70"/>
    <w:rsid w:val="001A5D74"/>
    <w:rsid w:val="001B5436"/>
    <w:rsid w:val="001C25EE"/>
    <w:rsid w:val="001C4D9E"/>
    <w:rsid w:val="001D1A84"/>
    <w:rsid w:val="001E128C"/>
    <w:rsid w:val="001F2DE7"/>
    <w:rsid w:val="001F5D91"/>
    <w:rsid w:val="002030F9"/>
    <w:rsid w:val="00206A7E"/>
    <w:rsid w:val="00207853"/>
    <w:rsid w:val="00210FFB"/>
    <w:rsid w:val="00222EA3"/>
    <w:rsid w:val="00223310"/>
    <w:rsid w:val="0023121B"/>
    <w:rsid w:val="00235143"/>
    <w:rsid w:val="0024260C"/>
    <w:rsid w:val="002437A6"/>
    <w:rsid w:val="002452FE"/>
    <w:rsid w:val="00253E0A"/>
    <w:rsid w:val="00256381"/>
    <w:rsid w:val="00262852"/>
    <w:rsid w:val="002668AB"/>
    <w:rsid w:val="00274184"/>
    <w:rsid w:val="00275F87"/>
    <w:rsid w:val="00280B69"/>
    <w:rsid w:val="002867AF"/>
    <w:rsid w:val="0028711A"/>
    <w:rsid w:val="002B470B"/>
    <w:rsid w:val="002B6F1A"/>
    <w:rsid w:val="002C3FF5"/>
    <w:rsid w:val="002D2D5E"/>
    <w:rsid w:val="002D2F5B"/>
    <w:rsid w:val="002E2F27"/>
    <w:rsid w:val="002E4A8E"/>
    <w:rsid w:val="002F1665"/>
    <w:rsid w:val="002F304C"/>
    <w:rsid w:val="002F3BBF"/>
    <w:rsid w:val="002F3E91"/>
    <w:rsid w:val="002F4AFA"/>
    <w:rsid w:val="002F5210"/>
    <w:rsid w:val="002F7526"/>
    <w:rsid w:val="002F7F48"/>
    <w:rsid w:val="003025C7"/>
    <w:rsid w:val="00305E2A"/>
    <w:rsid w:val="003161EB"/>
    <w:rsid w:val="00316449"/>
    <w:rsid w:val="00317429"/>
    <w:rsid w:val="00317989"/>
    <w:rsid w:val="003214E0"/>
    <w:rsid w:val="003226A1"/>
    <w:rsid w:val="00340314"/>
    <w:rsid w:val="00344369"/>
    <w:rsid w:val="003560D3"/>
    <w:rsid w:val="003567FB"/>
    <w:rsid w:val="00362740"/>
    <w:rsid w:val="003717AE"/>
    <w:rsid w:val="0037191C"/>
    <w:rsid w:val="003747AD"/>
    <w:rsid w:val="003809E1"/>
    <w:rsid w:val="00380F83"/>
    <w:rsid w:val="00380FB1"/>
    <w:rsid w:val="00384525"/>
    <w:rsid w:val="0038694F"/>
    <w:rsid w:val="003919E8"/>
    <w:rsid w:val="00393B40"/>
    <w:rsid w:val="003A1153"/>
    <w:rsid w:val="003A5A19"/>
    <w:rsid w:val="003A78BC"/>
    <w:rsid w:val="003A7F61"/>
    <w:rsid w:val="003B0825"/>
    <w:rsid w:val="003B3D3C"/>
    <w:rsid w:val="003B4371"/>
    <w:rsid w:val="003C0EB2"/>
    <w:rsid w:val="003C20AD"/>
    <w:rsid w:val="003D3BA3"/>
    <w:rsid w:val="003E0975"/>
    <w:rsid w:val="003E1B20"/>
    <w:rsid w:val="003E2EFA"/>
    <w:rsid w:val="003E52F7"/>
    <w:rsid w:val="003E683A"/>
    <w:rsid w:val="003E7002"/>
    <w:rsid w:val="003F2FCC"/>
    <w:rsid w:val="003F6140"/>
    <w:rsid w:val="004016DD"/>
    <w:rsid w:val="00413A19"/>
    <w:rsid w:val="0041495A"/>
    <w:rsid w:val="004169B0"/>
    <w:rsid w:val="00434A64"/>
    <w:rsid w:val="00436F67"/>
    <w:rsid w:val="00437116"/>
    <w:rsid w:val="00441F46"/>
    <w:rsid w:val="0044287F"/>
    <w:rsid w:val="00446426"/>
    <w:rsid w:val="00453032"/>
    <w:rsid w:val="00456740"/>
    <w:rsid w:val="0046025E"/>
    <w:rsid w:val="00465639"/>
    <w:rsid w:val="00473D3A"/>
    <w:rsid w:val="0047699A"/>
    <w:rsid w:val="00481E1A"/>
    <w:rsid w:val="004842DA"/>
    <w:rsid w:val="00491B95"/>
    <w:rsid w:val="004A3335"/>
    <w:rsid w:val="004A3489"/>
    <w:rsid w:val="004A3C55"/>
    <w:rsid w:val="004A6C7E"/>
    <w:rsid w:val="004B0CBA"/>
    <w:rsid w:val="004B2CAC"/>
    <w:rsid w:val="004B308E"/>
    <w:rsid w:val="004B681F"/>
    <w:rsid w:val="004B7694"/>
    <w:rsid w:val="004D48EE"/>
    <w:rsid w:val="004D4CBB"/>
    <w:rsid w:val="004D4D17"/>
    <w:rsid w:val="004D4D2A"/>
    <w:rsid w:val="004E096B"/>
    <w:rsid w:val="004E4844"/>
    <w:rsid w:val="004E689D"/>
    <w:rsid w:val="004E6A28"/>
    <w:rsid w:val="004F1454"/>
    <w:rsid w:val="004F1AFD"/>
    <w:rsid w:val="004F2E5A"/>
    <w:rsid w:val="004F30CD"/>
    <w:rsid w:val="004F31AF"/>
    <w:rsid w:val="004F446E"/>
    <w:rsid w:val="00502368"/>
    <w:rsid w:val="00504FF1"/>
    <w:rsid w:val="00512D4A"/>
    <w:rsid w:val="00514CE1"/>
    <w:rsid w:val="005215DA"/>
    <w:rsid w:val="005249F3"/>
    <w:rsid w:val="00531374"/>
    <w:rsid w:val="00531F77"/>
    <w:rsid w:val="00533536"/>
    <w:rsid w:val="00535086"/>
    <w:rsid w:val="00541834"/>
    <w:rsid w:val="0055047A"/>
    <w:rsid w:val="00557A94"/>
    <w:rsid w:val="00561652"/>
    <w:rsid w:val="00561F9F"/>
    <w:rsid w:val="00570FD6"/>
    <w:rsid w:val="00573B66"/>
    <w:rsid w:val="00573E9A"/>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5E0F12"/>
    <w:rsid w:val="006139F4"/>
    <w:rsid w:val="00624E95"/>
    <w:rsid w:val="006263C8"/>
    <w:rsid w:val="00631438"/>
    <w:rsid w:val="006347F0"/>
    <w:rsid w:val="006359E9"/>
    <w:rsid w:val="0063668D"/>
    <w:rsid w:val="0064020E"/>
    <w:rsid w:val="00645BBC"/>
    <w:rsid w:val="00651FC3"/>
    <w:rsid w:val="0065415B"/>
    <w:rsid w:val="006544F1"/>
    <w:rsid w:val="0065511E"/>
    <w:rsid w:val="0065628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2A1"/>
    <w:rsid w:val="006B4DD5"/>
    <w:rsid w:val="006B6DE7"/>
    <w:rsid w:val="006C316D"/>
    <w:rsid w:val="006C62E8"/>
    <w:rsid w:val="006D5BB3"/>
    <w:rsid w:val="006E2AD6"/>
    <w:rsid w:val="006E6347"/>
    <w:rsid w:val="006F3A83"/>
    <w:rsid w:val="00701D27"/>
    <w:rsid w:val="0070567D"/>
    <w:rsid w:val="00713187"/>
    <w:rsid w:val="00715E0B"/>
    <w:rsid w:val="00724614"/>
    <w:rsid w:val="007251DB"/>
    <w:rsid w:val="007340D6"/>
    <w:rsid w:val="0073549F"/>
    <w:rsid w:val="0074366F"/>
    <w:rsid w:val="00744DFB"/>
    <w:rsid w:val="007479CD"/>
    <w:rsid w:val="007502B9"/>
    <w:rsid w:val="00750C10"/>
    <w:rsid w:val="007514EC"/>
    <w:rsid w:val="007541C7"/>
    <w:rsid w:val="007565DD"/>
    <w:rsid w:val="007640E4"/>
    <w:rsid w:val="00765B46"/>
    <w:rsid w:val="00767570"/>
    <w:rsid w:val="00770B98"/>
    <w:rsid w:val="007732B2"/>
    <w:rsid w:val="007738DA"/>
    <w:rsid w:val="007753D5"/>
    <w:rsid w:val="00776E24"/>
    <w:rsid w:val="007807AA"/>
    <w:rsid w:val="00781496"/>
    <w:rsid w:val="00782077"/>
    <w:rsid w:val="007827CF"/>
    <w:rsid w:val="00784D82"/>
    <w:rsid w:val="0079096B"/>
    <w:rsid w:val="0079099F"/>
    <w:rsid w:val="007915D4"/>
    <w:rsid w:val="0079346D"/>
    <w:rsid w:val="007956A0"/>
    <w:rsid w:val="007A11CF"/>
    <w:rsid w:val="007A164E"/>
    <w:rsid w:val="007A6D4E"/>
    <w:rsid w:val="007B028B"/>
    <w:rsid w:val="007B18E8"/>
    <w:rsid w:val="007B6178"/>
    <w:rsid w:val="007D29BC"/>
    <w:rsid w:val="007D77D8"/>
    <w:rsid w:val="007E6D19"/>
    <w:rsid w:val="007F1270"/>
    <w:rsid w:val="007F5362"/>
    <w:rsid w:val="00802E74"/>
    <w:rsid w:val="00816D65"/>
    <w:rsid w:val="008230F9"/>
    <w:rsid w:val="00826B01"/>
    <w:rsid w:val="008310C6"/>
    <w:rsid w:val="008336F4"/>
    <w:rsid w:val="00833D2A"/>
    <w:rsid w:val="0083570C"/>
    <w:rsid w:val="00835872"/>
    <w:rsid w:val="00835FC7"/>
    <w:rsid w:val="008413BF"/>
    <w:rsid w:val="008421E1"/>
    <w:rsid w:val="00843506"/>
    <w:rsid w:val="008451A6"/>
    <w:rsid w:val="0084699B"/>
    <w:rsid w:val="00851FEA"/>
    <w:rsid w:val="00853A67"/>
    <w:rsid w:val="00867189"/>
    <w:rsid w:val="00870A6E"/>
    <w:rsid w:val="008711C9"/>
    <w:rsid w:val="00874C19"/>
    <w:rsid w:val="00882BDB"/>
    <w:rsid w:val="00882F77"/>
    <w:rsid w:val="00885958"/>
    <w:rsid w:val="00885CCE"/>
    <w:rsid w:val="0089053A"/>
    <w:rsid w:val="008922C3"/>
    <w:rsid w:val="0089268B"/>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5F0"/>
    <w:rsid w:val="008C483C"/>
    <w:rsid w:val="008C66C2"/>
    <w:rsid w:val="008D2F90"/>
    <w:rsid w:val="008E0894"/>
    <w:rsid w:val="008E31D9"/>
    <w:rsid w:val="008E40E5"/>
    <w:rsid w:val="008F1725"/>
    <w:rsid w:val="008F1AD3"/>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617"/>
    <w:rsid w:val="00992395"/>
    <w:rsid w:val="00997CC1"/>
    <w:rsid w:val="009A7017"/>
    <w:rsid w:val="009B2969"/>
    <w:rsid w:val="009C0653"/>
    <w:rsid w:val="009C3476"/>
    <w:rsid w:val="009C6F6C"/>
    <w:rsid w:val="009E113F"/>
    <w:rsid w:val="009F03FF"/>
    <w:rsid w:val="009F4A56"/>
    <w:rsid w:val="00A10617"/>
    <w:rsid w:val="00A221E1"/>
    <w:rsid w:val="00A25066"/>
    <w:rsid w:val="00A308EB"/>
    <w:rsid w:val="00A31715"/>
    <w:rsid w:val="00A328CD"/>
    <w:rsid w:val="00A36414"/>
    <w:rsid w:val="00A37231"/>
    <w:rsid w:val="00A37706"/>
    <w:rsid w:val="00A4417C"/>
    <w:rsid w:val="00A45BBC"/>
    <w:rsid w:val="00A50008"/>
    <w:rsid w:val="00A530A4"/>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F7512"/>
    <w:rsid w:val="00AF7967"/>
    <w:rsid w:val="00B0025C"/>
    <w:rsid w:val="00B0206D"/>
    <w:rsid w:val="00B044BC"/>
    <w:rsid w:val="00B17842"/>
    <w:rsid w:val="00B207FB"/>
    <w:rsid w:val="00B23108"/>
    <w:rsid w:val="00B265FF"/>
    <w:rsid w:val="00B27790"/>
    <w:rsid w:val="00B363F0"/>
    <w:rsid w:val="00B40EEA"/>
    <w:rsid w:val="00B4216E"/>
    <w:rsid w:val="00B45A0A"/>
    <w:rsid w:val="00B4626F"/>
    <w:rsid w:val="00B4728E"/>
    <w:rsid w:val="00B51AD9"/>
    <w:rsid w:val="00B52129"/>
    <w:rsid w:val="00B55550"/>
    <w:rsid w:val="00B6244D"/>
    <w:rsid w:val="00B624BE"/>
    <w:rsid w:val="00B628B5"/>
    <w:rsid w:val="00B62BED"/>
    <w:rsid w:val="00B63D7E"/>
    <w:rsid w:val="00B82E1E"/>
    <w:rsid w:val="00B85FA4"/>
    <w:rsid w:val="00B86B36"/>
    <w:rsid w:val="00B86F8A"/>
    <w:rsid w:val="00B8735D"/>
    <w:rsid w:val="00B87489"/>
    <w:rsid w:val="00B94410"/>
    <w:rsid w:val="00BA2368"/>
    <w:rsid w:val="00BA3BCF"/>
    <w:rsid w:val="00BA5194"/>
    <w:rsid w:val="00BA7401"/>
    <w:rsid w:val="00BB0054"/>
    <w:rsid w:val="00BB7BC6"/>
    <w:rsid w:val="00BC5F58"/>
    <w:rsid w:val="00BD03F5"/>
    <w:rsid w:val="00BD614A"/>
    <w:rsid w:val="00BE1868"/>
    <w:rsid w:val="00BE28D3"/>
    <w:rsid w:val="00BE35D5"/>
    <w:rsid w:val="00BE5E31"/>
    <w:rsid w:val="00BE6DEA"/>
    <w:rsid w:val="00BE7799"/>
    <w:rsid w:val="00BF363A"/>
    <w:rsid w:val="00BF6C39"/>
    <w:rsid w:val="00C02A1B"/>
    <w:rsid w:val="00C06DBF"/>
    <w:rsid w:val="00C1136E"/>
    <w:rsid w:val="00C12ABB"/>
    <w:rsid w:val="00C13C15"/>
    <w:rsid w:val="00C1535D"/>
    <w:rsid w:val="00C22C53"/>
    <w:rsid w:val="00C24E1B"/>
    <w:rsid w:val="00C33BC5"/>
    <w:rsid w:val="00C3747C"/>
    <w:rsid w:val="00C46512"/>
    <w:rsid w:val="00C50EA4"/>
    <w:rsid w:val="00C54139"/>
    <w:rsid w:val="00C54CB5"/>
    <w:rsid w:val="00C607DB"/>
    <w:rsid w:val="00C61A92"/>
    <w:rsid w:val="00C63798"/>
    <w:rsid w:val="00C63A9E"/>
    <w:rsid w:val="00C70D47"/>
    <w:rsid w:val="00C75A9F"/>
    <w:rsid w:val="00C86D14"/>
    <w:rsid w:val="00C920FC"/>
    <w:rsid w:val="00C92972"/>
    <w:rsid w:val="00C96A47"/>
    <w:rsid w:val="00CA2AE1"/>
    <w:rsid w:val="00CB6561"/>
    <w:rsid w:val="00CB66D0"/>
    <w:rsid w:val="00CC0A04"/>
    <w:rsid w:val="00CC0E8F"/>
    <w:rsid w:val="00CC74D0"/>
    <w:rsid w:val="00CD3134"/>
    <w:rsid w:val="00CD5BAC"/>
    <w:rsid w:val="00CE0887"/>
    <w:rsid w:val="00CE6DD5"/>
    <w:rsid w:val="00CF5C95"/>
    <w:rsid w:val="00D02670"/>
    <w:rsid w:val="00D06BC6"/>
    <w:rsid w:val="00D14786"/>
    <w:rsid w:val="00D16749"/>
    <w:rsid w:val="00D1740C"/>
    <w:rsid w:val="00D21DFF"/>
    <w:rsid w:val="00D222B9"/>
    <w:rsid w:val="00D30862"/>
    <w:rsid w:val="00D30A26"/>
    <w:rsid w:val="00D36185"/>
    <w:rsid w:val="00D36A83"/>
    <w:rsid w:val="00D375F0"/>
    <w:rsid w:val="00D400AB"/>
    <w:rsid w:val="00D428F1"/>
    <w:rsid w:val="00D4578C"/>
    <w:rsid w:val="00D4638F"/>
    <w:rsid w:val="00D53E6C"/>
    <w:rsid w:val="00D5440E"/>
    <w:rsid w:val="00D565B8"/>
    <w:rsid w:val="00D5755E"/>
    <w:rsid w:val="00D614E8"/>
    <w:rsid w:val="00D63FDA"/>
    <w:rsid w:val="00D742CA"/>
    <w:rsid w:val="00D92AC3"/>
    <w:rsid w:val="00D97609"/>
    <w:rsid w:val="00DA0CEE"/>
    <w:rsid w:val="00DA5D19"/>
    <w:rsid w:val="00DB0923"/>
    <w:rsid w:val="00DB18B6"/>
    <w:rsid w:val="00DC3368"/>
    <w:rsid w:val="00DC6ECD"/>
    <w:rsid w:val="00DC7CF8"/>
    <w:rsid w:val="00DD0A21"/>
    <w:rsid w:val="00DD39EE"/>
    <w:rsid w:val="00DD3EA3"/>
    <w:rsid w:val="00DD708B"/>
    <w:rsid w:val="00DE2F25"/>
    <w:rsid w:val="00DF0D58"/>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2666"/>
    <w:rsid w:val="00E7402B"/>
    <w:rsid w:val="00E767AF"/>
    <w:rsid w:val="00E8035E"/>
    <w:rsid w:val="00E82214"/>
    <w:rsid w:val="00E96423"/>
    <w:rsid w:val="00EA2E08"/>
    <w:rsid w:val="00EA37DF"/>
    <w:rsid w:val="00EA3C20"/>
    <w:rsid w:val="00EA400B"/>
    <w:rsid w:val="00EA4EAD"/>
    <w:rsid w:val="00EA53ED"/>
    <w:rsid w:val="00EB22D9"/>
    <w:rsid w:val="00EB42BE"/>
    <w:rsid w:val="00EC2393"/>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4482"/>
    <w:rsid w:val="00F21BD9"/>
    <w:rsid w:val="00F23CAD"/>
    <w:rsid w:val="00F24226"/>
    <w:rsid w:val="00F25245"/>
    <w:rsid w:val="00F27F25"/>
    <w:rsid w:val="00F42206"/>
    <w:rsid w:val="00F460F9"/>
    <w:rsid w:val="00F46DFB"/>
    <w:rsid w:val="00F53AB9"/>
    <w:rsid w:val="00F55892"/>
    <w:rsid w:val="00F635B4"/>
    <w:rsid w:val="00F67FA5"/>
    <w:rsid w:val="00F77FC5"/>
    <w:rsid w:val="00F816DE"/>
    <w:rsid w:val="00F842B5"/>
    <w:rsid w:val="00F85824"/>
    <w:rsid w:val="00F8585A"/>
    <w:rsid w:val="00F90E45"/>
    <w:rsid w:val="00F92579"/>
    <w:rsid w:val="00F93099"/>
    <w:rsid w:val="00FA68FF"/>
    <w:rsid w:val="00FA773C"/>
    <w:rsid w:val="00FB33DF"/>
    <w:rsid w:val="00FC0444"/>
    <w:rsid w:val="00FC0BCF"/>
    <w:rsid w:val="00FC46CA"/>
    <w:rsid w:val="00FD1596"/>
    <w:rsid w:val="00FD34AA"/>
    <w:rsid w:val="00FD440A"/>
    <w:rsid w:val="00FD5ACB"/>
    <w:rsid w:val="00FE1830"/>
    <w:rsid w:val="00FE338C"/>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9977-EBFE-48BC-ACA7-4F524584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2018-08-05T17:35:00Z</dcterms:created>
  <dcterms:modified xsi:type="dcterms:W3CDTF">2018-08-05T17:35:00Z</dcterms:modified>
</cp:coreProperties>
</file>