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3B3D7370" w:rsidR="00167268" w:rsidRPr="00BC5F58" w:rsidRDefault="00305E2A" w:rsidP="00167268">
      <w:pPr>
        <w:jc w:val="center"/>
        <w:rPr>
          <w:b/>
          <w:sz w:val="24"/>
          <w:szCs w:val="24"/>
        </w:rPr>
      </w:pPr>
      <w:r>
        <w:rPr>
          <w:b/>
          <w:sz w:val="24"/>
          <w:szCs w:val="24"/>
        </w:rPr>
        <w:t xml:space="preserve">Board Meeting </w:t>
      </w:r>
      <w:r w:rsidR="0037191C">
        <w:rPr>
          <w:b/>
          <w:sz w:val="24"/>
          <w:szCs w:val="24"/>
        </w:rPr>
        <w:t>1</w:t>
      </w:r>
      <w:r w:rsidR="00E76A1E">
        <w:rPr>
          <w:b/>
          <w:sz w:val="24"/>
          <w:szCs w:val="24"/>
        </w:rPr>
        <w:t>4</w:t>
      </w:r>
      <w:r w:rsidR="00F46DFB">
        <w:rPr>
          <w:b/>
          <w:sz w:val="24"/>
          <w:szCs w:val="24"/>
        </w:rPr>
        <w:t xml:space="preserve"> </w:t>
      </w:r>
      <w:r w:rsidR="00E76A1E">
        <w:rPr>
          <w:b/>
          <w:sz w:val="24"/>
          <w:szCs w:val="24"/>
        </w:rPr>
        <w:t xml:space="preserve">February </w:t>
      </w:r>
      <w:r w:rsidR="009C0653">
        <w:rPr>
          <w:b/>
          <w:sz w:val="24"/>
          <w:szCs w:val="24"/>
        </w:rPr>
        <w:t>2</w:t>
      </w:r>
      <w:r w:rsidR="00E76A1E">
        <w:rPr>
          <w:b/>
          <w:sz w:val="24"/>
          <w:szCs w:val="24"/>
        </w:rPr>
        <w:t>018</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6F52422C" w14:textId="1416CF3C" w:rsidR="00167268" w:rsidRPr="00DD39EE" w:rsidRDefault="00167268" w:rsidP="00F46DFB">
      <w:pPr>
        <w:rPr>
          <w:sz w:val="24"/>
          <w:szCs w:val="24"/>
        </w:rPr>
      </w:pPr>
      <w:r w:rsidRPr="00DD39EE">
        <w:rPr>
          <w:b/>
          <w:sz w:val="24"/>
          <w:szCs w:val="24"/>
        </w:rPr>
        <w:t>Present:</w:t>
      </w:r>
      <w:r w:rsidRPr="00DD39EE">
        <w:rPr>
          <w:sz w:val="24"/>
          <w:szCs w:val="24"/>
        </w:rPr>
        <w:tab/>
      </w:r>
      <w:r w:rsidR="00F46DFB" w:rsidRPr="00DD39EE">
        <w:rPr>
          <w:sz w:val="24"/>
          <w:szCs w:val="24"/>
        </w:rPr>
        <w:t xml:space="preserve">Ita Mangan </w:t>
      </w:r>
      <w:r w:rsidR="00F46DFB">
        <w:rPr>
          <w:sz w:val="24"/>
          <w:szCs w:val="24"/>
        </w:rPr>
        <w:t>(Chairperson), James Clarke,</w:t>
      </w:r>
      <w:r w:rsidR="004842DA">
        <w:rPr>
          <w:sz w:val="24"/>
          <w:szCs w:val="24"/>
        </w:rPr>
        <w:t xml:space="preserve"> Tim Duggan</w:t>
      </w:r>
      <w:r w:rsidR="00F46DFB">
        <w:rPr>
          <w:sz w:val="24"/>
          <w:szCs w:val="24"/>
        </w:rPr>
        <w:t>,</w:t>
      </w:r>
      <w:r w:rsidRPr="00DD39EE">
        <w:rPr>
          <w:sz w:val="24"/>
          <w:szCs w:val="24"/>
        </w:rPr>
        <w:t xml:space="preserve"> Se</w:t>
      </w:r>
      <w:r w:rsidR="003F6140">
        <w:rPr>
          <w:sz w:val="24"/>
          <w:szCs w:val="24"/>
        </w:rPr>
        <w:t>á</w:t>
      </w:r>
      <w:r w:rsidRPr="00DD39EE">
        <w:rPr>
          <w:sz w:val="24"/>
          <w:szCs w:val="24"/>
        </w:rPr>
        <w:t>n Sheridan</w:t>
      </w:r>
      <w:r w:rsidR="00305E2A">
        <w:rPr>
          <w:sz w:val="24"/>
          <w:szCs w:val="24"/>
        </w:rPr>
        <w:t>,</w:t>
      </w:r>
      <w:r w:rsidR="00051F67">
        <w:rPr>
          <w:sz w:val="24"/>
          <w:szCs w:val="24"/>
        </w:rPr>
        <w:t xml:space="preserve"> Nicola Walshe,</w:t>
      </w:r>
      <w:r w:rsidR="00051F67" w:rsidRPr="00051F67">
        <w:rPr>
          <w:sz w:val="24"/>
          <w:szCs w:val="24"/>
        </w:rPr>
        <w:t xml:space="preserve"> </w:t>
      </w:r>
      <w:r w:rsidR="00F46DFB">
        <w:rPr>
          <w:sz w:val="24"/>
          <w:szCs w:val="24"/>
        </w:rPr>
        <w:t>Joanne McCarthy</w:t>
      </w:r>
      <w:r w:rsidR="009C0653">
        <w:rPr>
          <w:sz w:val="24"/>
          <w:szCs w:val="24"/>
        </w:rPr>
        <w:t>,</w:t>
      </w:r>
      <w:r w:rsidR="00F46DFB" w:rsidRPr="00F46DFB">
        <w:rPr>
          <w:sz w:val="24"/>
          <w:szCs w:val="24"/>
        </w:rPr>
        <w:t xml:space="preserve"> </w:t>
      </w:r>
      <w:r w:rsidR="00F46DFB" w:rsidRPr="00DD39EE">
        <w:rPr>
          <w:sz w:val="24"/>
          <w:szCs w:val="24"/>
        </w:rPr>
        <w:t>Ian Power</w:t>
      </w:r>
      <w:r w:rsidR="00F46DFB">
        <w:rPr>
          <w:sz w:val="24"/>
          <w:szCs w:val="24"/>
        </w:rPr>
        <w:t>,</w:t>
      </w:r>
      <w:r w:rsidR="00F46DFB" w:rsidRPr="00F46DFB">
        <w:rPr>
          <w:sz w:val="24"/>
          <w:szCs w:val="24"/>
        </w:rPr>
        <w:t xml:space="preserve"> </w:t>
      </w:r>
      <w:r w:rsidR="0037191C">
        <w:rPr>
          <w:sz w:val="24"/>
          <w:szCs w:val="24"/>
        </w:rPr>
        <w:t>Cearbhall O’Meadhra,</w:t>
      </w:r>
      <w:r w:rsidR="0037191C" w:rsidRPr="0037191C">
        <w:rPr>
          <w:sz w:val="24"/>
          <w:szCs w:val="24"/>
        </w:rPr>
        <w:t xml:space="preserve"> </w:t>
      </w:r>
      <w:r w:rsidR="0037191C" w:rsidRPr="00DD39EE">
        <w:rPr>
          <w:sz w:val="24"/>
          <w:szCs w:val="24"/>
        </w:rPr>
        <w:t>Noeline Blackwell</w:t>
      </w:r>
      <w:r w:rsidR="00E76A1E">
        <w:rPr>
          <w:sz w:val="24"/>
          <w:szCs w:val="24"/>
        </w:rPr>
        <w:t xml:space="preserve">, </w:t>
      </w:r>
      <w:r w:rsidR="00E76A1E" w:rsidRPr="0037191C">
        <w:rPr>
          <w:sz w:val="24"/>
          <w:szCs w:val="24"/>
        </w:rPr>
        <w:t xml:space="preserve">Tina </w:t>
      </w:r>
      <w:bookmarkStart w:id="0" w:name="_GoBack"/>
      <w:bookmarkEnd w:id="0"/>
      <w:r w:rsidR="00E76A1E" w:rsidRPr="0037191C">
        <w:rPr>
          <w:sz w:val="24"/>
          <w:szCs w:val="24"/>
        </w:rPr>
        <w:t>Leonard</w:t>
      </w:r>
      <w:r w:rsidR="00E76A1E">
        <w:rPr>
          <w:sz w:val="24"/>
          <w:szCs w:val="24"/>
        </w:rPr>
        <w:t xml:space="preserve">, </w:t>
      </w:r>
      <w:r w:rsidR="00E76A1E" w:rsidRPr="0037191C">
        <w:rPr>
          <w:sz w:val="24"/>
          <w:szCs w:val="24"/>
        </w:rPr>
        <w:t>John Saunders</w:t>
      </w:r>
    </w:p>
    <w:p w14:paraId="41C187D9" w14:textId="77777777" w:rsidR="00167268" w:rsidRDefault="00167268">
      <w:pPr>
        <w:rPr>
          <w:sz w:val="24"/>
          <w:szCs w:val="24"/>
        </w:rPr>
      </w:pPr>
    </w:p>
    <w:p w14:paraId="38855F08" w14:textId="3BABD88E" w:rsidR="00BC5F58" w:rsidRPr="0037191C" w:rsidRDefault="00BC5F58" w:rsidP="009C0653">
      <w:pPr>
        <w:rPr>
          <w:sz w:val="24"/>
          <w:szCs w:val="24"/>
        </w:rPr>
      </w:pPr>
      <w:r w:rsidRPr="00BC5F58">
        <w:rPr>
          <w:b/>
          <w:sz w:val="24"/>
          <w:szCs w:val="24"/>
        </w:rPr>
        <w:t>Apologies:</w:t>
      </w:r>
      <w:r w:rsidR="00F46DFB">
        <w:rPr>
          <w:b/>
          <w:sz w:val="24"/>
          <w:szCs w:val="24"/>
        </w:rPr>
        <w:tab/>
      </w:r>
      <w:r w:rsidR="00F46DFB" w:rsidRPr="0037191C">
        <w:rPr>
          <w:sz w:val="24"/>
          <w:szCs w:val="24"/>
        </w:rPr>
        <w:t xml:space="preserve">Josephine Henry, Eugene McErlean, </w:t>
      </w:r>
      <w:r w:rsidR="009C0653" w:rsidRPr="0037191C">
        <w:rPr>
          <w:sz w:val="24"/>
          <w:szCs w:val="24"/>
        </w:rPr>
        <w:t>Mary Higgins</w:t>
      </w:r>
      <w:r w:rsidR="0037191C" w:rsidRPr="0037191C">
        <w:rPr>
          <w:sz w:val="24"/>
          <w:szCs w:val="24"/>
        </w:rPr>
        <w:t>, Niall Mulligan</w:t>
      </w:r>
    </w:p>
    <w:p w14:paraId="6F9B8F85" w14:textId="77777777" w:rsidR="00BC5F58" w:rsidRDefault="00BC5F58">
      <w:pPr>
        <w:rPr>
          <w:sz w:val="24"/>
          <w:szCs w:val="24"/>
        </w:rPr>
      </w:pPr>
    </w:p>
    <w:p w14:paraId="3DDDC472" w14:textId="23749F40" w:rsidR="00167268" w:rsidRPr="008421E1" w:rsidRDefault="00167268" w:rsidP="00D14786">
      <w:pPr>
        <w:spacing w:after="360"/>
        <w:rPr>
          <w:i/>
          <w:sz w:val="24"/>
          <w:szCs w:val="24"/>
        </w:rPr>
      </w:pPr>
      <w:r w:rsidRPr="00DD39EE">
        <w:rPr>
          <w:b/>
          <w:sz w:val="24"/>
          <w:szCs w:val="24"/>
        </w:rPr>
        <w:t>In attendance:</w:t>
      </w:r>
      <w:r w:rsidRPr="00DD39EE">
        <w:rPr>
          <w:sz w:val="24"/>
          <w:szCs w:val="24"/>
        </w:rPr>
        <w:tab/>
        <w:t xml:space="preserve">Angela Black, Chief Executive; Graham Long, Senior Manager, Support Services; </w:t>
      </w:r>
      <w:r w:rsidR="00BC5F58">
        <w:rPr>
          <w:sz w:val="24"/>
          <w:szCs w:val="24"/>
        </w:rPr>
        <w:t xml:space="preserve">Fiona Coyne, Senior Manager, Service Delivery; </w:t>
      </w:r>
      <w:r w:rsidR="00940D59">
        <w:rPr>
          <w:sz w:val="24"/>
          <w:szCs w:val="24"/>
        </w:rPr>
        <w:t xml:space="preserve">Gary </w:t>
      </w:r>
      <w:r w:rsidR="00AF7967">
        <w:rPr>
          <w:sz w:val="24"/>
          <w:szCs w:val="24"/>
        </w:rPr>
        <w:t xml:space="preserve">Watters, Finance and Administration Manager; </w:t>
      </w:r>
      <w:r w:rsidR="00940D59">
        <w:rPr>
          <w:sz w:val="24"/>
          <w:szCs w:val="24"/>
        </w:rPr>
        <w:t>Stephen</w:t>
      </w:r>
      <w:r w:rsidR="00AF7967">
        <w:rPr>
          <w:sz w:val="24"/>
          <w:szCs w:val="24"/>
        </w:rPr>
        <w:t xml:space="preserve"> Valentine, HR &amp; Governance Manager; </w:t>
      </w:r>
      <w:r w:rsidR="0093159A">
        <w:rPr>
          <w:sz w:val="24"/>
          <w:szCs w:val="24"/>
        </w:rPr>
        <w:t>Shona Geraghty (minutes)</w:t>
      </w:r>
      <w:r w:rsidR="001F777F">
        <w:rPr>
          <w:sz w:val="24"/>
          <w:szCs w:val="24"/>
        </w:rPr>
        <w:t>; Aidan Horan, IPA (item 5.2)</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Look w:val="04A0" w:firstRow="1" w:lastRow="0" w:firstColumn="1" w:lastColumn="0" w:noHBand="0" w:noVBand="1"/>
        <w:tblCaption w:val="Table Heading"/>
        <w:tblDescription w:val="Table Heading for the minutes and contains item number and the agenda description for the minutes."/>
      </w:tblPr>
      <w:tblGrid>
        <w:gridCol w:w="763"/>
        <w:gridCol w:w="8253"/>
      </w:tblGrid>
      <w:tr w:rsidR="00AB3160" w:rsidRPr="00BA3BCF" w14:paraId="2B62CB24" w14:textId="77777777" w:rsidTr="002C4F1C">
        <w:trPr>
          <w:tblHeader/>
        </w:trPr>
        <w:tc>
          <w:tcPr>
            <w:tcW w:w="763" w:type="dxa"/>
          </w:tcPr>
          <w:p w14:paraId="4AFC8C88" w14:textId="77777777" w:rsidR="00AB3160" w:rsidRPr="00BA3BCF" w:rsidRDefault="00AB3160" w:rsidP="003C5D1C">
            <w:pPr>
              <w:rPr>
                <w:b/>
                <w:sz w:val="24"/>
                <w:szCs w:val="24"/>
              </w:rPr>
            </w:pPr>
            <w:r w:rsidRPr="00BA3BCF">
              <w:rPr>
                <w:b/>
                <w:sz w:val="24"/>
                <w:szCs w:val="24"/>
              </w:rPr>
              <w:t>Item</w:t>
            </w:r>
          </w:p>
        </w:tc>
        <w:tc>
          <w:tcPr>
            <w:tcW w:w="8253" w:type="dxa"/>
          </w:tcPr>
          <w:p w14:paraId="55A80F60" w14:textId="77777777" w:rsidR="00AB3160" w:rsidRPr="00AA2BF2" w:rsidRDefault="00AB3160" w:rsidP="003C5D1C">
            <w:pPr>
              <w:rPr>
                <w:b/>
                <w:sz w:val="24"/>
                <w:szCs w:val="24"/>
              </w:rPr>
            </w:pPr>
            <w:r w:rsidRPr="00AA2BF2">
              <w:rPr>
                <w:b/>
                <w:sz w:val="24"/>
                <w:szCs w:val="24"/>
              </w:rPr>
              <w:t>Agenda Description</w:t>
            </w:r>
          </w:p>
        </w:tc>
      </w:tr>
      <w:tr w:rsidR="0037191C" w:rsidRPr="00DD39EE" w14:paraId="576D4A49" w14:textId="77777777" w:rsidTr="002C4F1C">
        <w:tc>
          <w:tcPr>
            <w:tcW w:w="763" w:type="dxa"/>
          </w:tcPr>
          <w:p w14:paraId="45F6D640" w14:textId="0181F4C0" w:rsidR="0037191C" w:rsidRPr="003809E1" w:rsidRDefault="0037191C" w:rsidP="00770B98">
            <w:pPr>
              <w:rPr>
                <w:b/>
                <w:sz w:val="24"/>
                <w:szCs w:val="24"/>
              </w:rPr>
            </w:pPr>
            <w:r>
              <w:rPr>
                <w:b/>
                <w:sz w:val="24"/>
                <w:szCs w:val="24"/>
              </w:rPr>
              <w:t>0.</w:t>
            </w:r>
          </w:p>
        </w:tc>
        <w:tc>
          <w:tcPr>
            <w:tcW w:w="8253" w:type="dxa"/>
          </w:tcPr>
          <w:p w14:paraId="5F954A53" w14:textId="77777777" w:rsidR="006F4886" w:rsidRDefault="0037191C" w:rsidP="00E76A1E">
            <w:r>
              <w:rPr>
                <w:b/>
                <w:sz w:val="24"/>
                <w:szCs w:val="24"/>
              </w:rPr>
              <w:t>Closed Session</w:t>
            </w:r>
            <w:r w:rsidR="00592D01">
              <w:rPr>
                <w:b/>
                <w:sz w:val="24"/>
                <w:szCs w:val="24"/>
              </w:rPr>
              <w:t xml:space="preserve"> </w:t>
            </w:r>
            <w:r w:rsidR="00592D01" w:rsidRPr="00F816DE">
              <w:rPr>
                <w:i/>
                <w:sz w:val="24"/>
                <w:szCs w:val="24"/>
              </w:rPr>
              <w:t>(</w:t>
            </w:r>
            <w:r w:rsidR="00592D01" w:rsidRPr="00592D01">
              <w:rPr>
                <w:i/>
                <w:sz w:val="24"/>
                <w:szCs w:val="24"/>
              </w:rPr>
              <w:t>Board members</w:t>
            </w:r>
            <w:r w:rsidR="00E76A1E">
              <w:rPr>
                <w:i/>
                <w:sz w:val="24"/>
                <w:szCs w:val="24"/>
              </w:rPr>
              <w:t>, Chief Executive</w:t>
            </w:r>
            <w:r w:rsidR="00592D01" w:rsidRPr="00592D01">
              <w:rPr>
                <w:i/>
                <w:sz w:val="24"/>
                <w:szCs w:val="24"/>
              </w:rPr>
              <w:t xml:space="preserve"> and Secretary to the Board present</w:t>
            </w:r>
            <w:r w:rsidR="00592D01" w:rsidRPr="00E76A1E">
              <w:rPr>
                <w:sz w:val="24"/>
                <w:szCs w:val="24"/>
              </w:rPr>
              <w:t>)</w:t>
            </w:r>
            <w:r w:rsidR="00E76A1E" w:rsidRPr="00E76A1E">
              <w:rPr>
                <w:sz w:val="24"/>
                <w:szCs w:val="24"/>
              </w:rPr>
              <w:t>. F</w:t>
            </w:r>
            <w:r>
              <w:rPr>
                <w:sz w:val="24"/>
                <w:szCs w:val="24"/>
              </w:rPr>
              <w:t xml:space="preserve">ollowing an </w:t>
            </w:r>
            <w:r w:rsidR="00E76A1E">
              <w:rPr>
                <w:sz w:val="24"/>
                <w:szCs w:val="24"/>
              </w:rPr>
              <w:t>external</w:t>
            </w:r>
            <w:r>
              <w:rPr>
                <w:sz w:val="24"/>
                <w:szCs w:val="24"/>
              </w:rPr>
              <w:t xml:space="preserve"> competition </w:t>
            </w:r>
            <w:r w:rsidR="00592D01">
              <w:t>to</w:t>
            </w:r>
            <w:r w:rsidR="00E76A1E">
              <w:t xml:space="preserve"> appoint a </w:t>
            </w:r>
            <w:r w:rsidR="00592D01">
              <w:t>Senior Manager (Principal Officer)</w:t>
            </w:r>
            <w:r w:rsidR="00E76A1E">
              <w:t xml:space="preserve"> Corporate Services, G</w:t>
            </w:r>
            <w:r w:rsidR="00592D01">
              <w:t xml:space="preserve">raham Long was the </w:t>
            </w:r>
            <w:r w:rsidR="00E76A1E">
              <w:t xml:space="preserve">successful candidate </w:t>
            </w:r>
            <w:r w:rsidR="00592D01">
              <w:t xml:space="preserve">and is recommended to the Board for approval.  </w:t>
            </w:r>
            <w:r w:rsidR="00D030D0">
              <w:t>This was agreed unanimously.</w:t>
            </w:r>
            <w:r w:rsidR="00E76A1E">
              <w:t xml:space="preserve">  A competition will get underway to backfill the contract position of Senior Manager, CIS, Advocacy and Social Policy.  </w:t>
            </w:r>
          </w:p>
          <w:p w14:paraId="19CC8DEC" w14:textId="361979F3" w:rsidR="00DA4441" w:rsidRPr="00592D01" w:rsidRDefault="00DA4441" w:rsidP="00E76A1E"/>
        </w:tc>
      </w:tr>
      <w:tr w:rsidR="00167268" w:rsidRPr="00DD39EE" w14:paraId="34EC4D27" w14:textId="77777777" w:rsidTr="002C4F1C">
        <w:tc>
          <w:tcPr>
            <w:tcW w:w="763" w:type="dxa"/>
          </w:tcPr>
          <w:p w14:paraId="0817E1D3" w14:textId="09A8F337" w:rsidR="00167268" w:rsidRPr="003809E1" w:rsidRDefault="00167268" w:rsidP="00770B98">
            <w:pPr>
              <w:rPr>
                <w:b/>
                <w:sz w:val="24"/>
                <w:szCs w:val="24"/>
              </w:rPr>
            </w:pPr>
            <w:r w:rsidRPr="003809E1">
              <w:rPr>
                <w:b/>
                <w:sz w:val="24"/>
                <w:szCs w:val="24"/>
              </w:rPr>
              <w:t>1</w:t>
            </w:r>
          </w:p>
        </w:tc>
        <w:tc>
          <w:tcPr>
            <w:tcW w:w="8253" w:type="dxa"/>
          </w:tcPr>
          <w:p w14:paraId="173F028B" w14:textId="77777777" w:rsidR="00167268" w:rsidRPr="00AA2BF2" w:rsidRDefault="00167268" w:rsidP="00770B98">
            <w:pPr>
              <w:rPr>
                <w:b/>
                <w:sz w:val="24"/>
                <w:szCs w:val="24"/>
              </w:rPr>
            </w:pPr>
            <w:r w:rsidRPr="00AA2BF2">
              <w:rPr>
                <w:b/>
                <w:sz w:val="24"/>
                <w:szCs w:val="24"/>
              </w:rPr>
              <w:t xml:space="preserve">Minutes of previous meeting </w:t>
            </w:r>
          </w:p>
          <w:p w14:paraId="67514C63" w14:textId="6CC69D47" w:rsidR="003226A1" w:rsidRPr="00AA2BF2" w:rsidRDefault="00167268" w:rsidP="00A6444B">
            <w:pPr>
              <w:rPr>
                <w:i/>
                <w:sz w:val="24"/>
                <w:szCs w:val="24"/>
              </w:rPr>
            </w:pPr>
            <w:r w:rsidRPr="00AA2BF2">
              <w:rPr>
                <w:i/>
                <w:sz w:val="24"/>
                <w:szCs w:val="24"/>
              </w:rPr>
              <w:t>(The minute</w:t>
            </w:r>
            <w:r w:rsidR="003B4371" w:rsidRPr="00AA2BF2">
              <w:rPr>
                <w:i/>
                <w:sz w:val="24"/>
                <w:szCs w:val="24"/>
              </w:rPr>
              <w:t>s</w:t>
            </w:r>
            <w:r w:rsidR="00592D01">
              <w:rPr>
                <w:i/>
                <w:sz w:val="24"/>
                <w:szCs w:val="24"/>
              </w:rPr>
              <w:t xml:space="preserve"> of the Board meeting held on 1</w:t>
            </w:r>
            <w:r w:rsidR="00E76A1E">
              <w:rPr>
                <w:i/>
                <w:sz w:val="24"/>
                <w:szCs w:val="24"/>
              </w:rPr>
              <w:t xml:space="preserve">3 December </w:t>
            </w:r>
            <w:r w:rsidR="009C0653" w:rsidRPr="00AA2BF2">
              <w:rPr>
                <w:i/>
                <w:sz w:val="24"/>
                <w:szCs w:val="24"/>
              </w:rPr>
              <w:t>2</w:t>
            </w:r>
            <w:r w:rsidR="00E76A1E">
              <w:rPr>
                <w:i/>
                <w:sz w:val="24"/>
                <w:szCs w:val="24"/>
              </w:rPr>
              <w:t>01</w:t>
            </w:r>
            <w:r w:rsidR="00A6444B">
              <w:rPr>
                <w:i/>
                <w:sz w:val="24"/>
                <w:szCs w:val="24"/>
              </w:rPr>
              <w:t>7</w:t>
            </w:r>
            <w:r w:rsidR="00E76A1E">
              <w:rPr>
                <w:i/>
                <w:sz w:val="24"/>
                <w:szCs w:val="24"/>
              </w:rPr>
              <w:t xml:space="preserve"> </w:t>
            </w:r>
            <w:r w:rsidR="004842DA" w:rsidRPr="00AA2BF2">
              <w:rPr>
                <w:i/>
                <w:sz w:val="24"/>
                <w:szCs w:val="24"/>
              </w:rPr>
              <w:t>w</w:t>
            </w:r>
            <w:r w:rsidR="003B4371" w:rsidRPr="00AA2BF2">
              <w:rPr>
                <w:i/>
                <w:sz w:val="24"/>
                <w:szCs w:val="24"/>
              </w:rPr>
              <w:t>ere</w:t>
            </w:r>
            <w:r w:rsidRPr="00AA2BF2">
              <w:rPr>
                <w:i/>
                <w:sz w:val="24"/>
                <w:szCs w:val="24"/>
              </w:rPr>
              <w:t xml:space="preserve"> circulated in advance of the meeting</w:t>
            </w:r>
            <w:r w:rsidR="004D4D2A" w:rsidRPr="00AA2BF2">
              <w:rPr>
                <w:i/>
                <w:sz w:val="24"/>
                <w:szCs w:val="24"/>
              </w:rPr>
              <w:t>.</w:t>
            </w:r>
            <w:r w:rsidRPr="00AA2BF2">
              <w:rPr>
                <w:i/>
                <w:sz w:val="24"/>
                <w:szCs w:val="24"/>
              </w:rPr>
              <w:t>)</w:t>
            </w:r>
          </w:p>
        </w:tc>
      </w:tr>
      <w:tr w:rsidR="00167268" w:rsidRPr="00DD39EE" w14:paraId="582B4A46" w14:textId="77777777" w:rsidTr="002C4F1C">
        <w:tc>
          <w:tcPr>
            <w:tcW w:w="763" w:type="dxa"/>
          </w:tcPr>
          <w:p w14:paraId="6858AD2E" w14:textId="77777777" w:rsidR="00167268" w:rsidRPr="00DD39EE" w:rsidRDefault="00167268" w:rsidP="00770B98">
            <w:pPr>
              <w:rPr>
                <w:sz w:val="24"/>
                <w:szCs w:val="24"/>
              </w:rPr>
            </w:pPr>
            <w:r w:rsidRPr="00DD39EE">
              <w:rPr>
                <w:sz w:val="24"/>
                <w:szCs w:val="24"/>
              </w:rPr>
              <w:t>1.1</w:t>
            </w:r>
          </w:p>
        </w:tc>
        <w:tc>
          <w:tcPr>
            <w:tcW w:w="8253" w:type="dxa"/>
          </w:tcPr>
          <w:p w14:paraId="31FF5FA3" w14:textId="5D0D4DF3" w:rsidR="006F4886" w:rsidRDefault="00072AB6" w:rsidP="00770B98">
            <w:pPr>
              <w:rPr>
                <w:sz w:val="24"/>
                <w:szCs w:val="24"/>
              </w:rPr>
            </w:pPr>
            <w:r>
              <w:rPr>
                <w:sz w:val="24"/>
                <w:szCs w:val="24"/>
              </w:rPr>
              <w:t xml:space="preserve">The minutes were proposed by </w:t>
            </w:r>
            <w:r w:rsidR="00E76A1E">
              <w:rPr>
                <w:sz w:val="24"/>
                <w:szCs w:val="24"/>
              </w:rPr>
              <w:t xml:space="preserve">Noeline Blackwell </w:t>
            </w:r>
            <w:r>
              <w:rPr>
                <w:sz w:val="24"/>
                <w:szCs w:val="24"/>
              </w:rPr>
              <w:t xml:space="preserve">and seconded by </w:t>
            </w:r>
            <w:r w:rsidR="00E76A1E">
              <w:rPr>
                <w:sz w:val="24"/>
                <w:szCs w:val="24"/>
              </w:rPr>
              <w:t xml:space="preserve">Tina Leonard. </w:t>
            </w:r>
          </w:p>
          <w:p w14:paraId="2CF899A6" w14:textId="124C2E9A" w:rsidR="00E76A1E" w:rsidRPr="00AA2BF2" w:rsidRDefault="00E76A1E" w:rsidP="00770B98">
            <w:pPr>
              <w:rPr>
                <w:sz w:val="24"/>
                <w:szCs w:val="24"/>
              </w:rPr>
            </w:pPr>
          </w:p>
        </w:tc>
      </w:tr>
      <w:tr w:rsidR="00167268" w:rsidRPr="00DD39EE" w14:paraId="05F95226" w14:textId="77777777" w:rsidTr="002C4F1C">
        <w:tc>
          <w:tcPr>
            <w:tcW w:w="763" w:type="dxa"/>
          </w:tcPr>
          <w:p w14:paraId="0FCD3886" w14:textId="77777777" w:rsidR="00167268" w:rsidRPr="003809E1" w:rsidRDefault="00EF19B4" w:rsidP="00770B98">
            <w:pPr>
              <w:rPr>
                <w:b/>
                <w:sz w:val="24"/>
                <w:szCs w:val="24"/>
              </w:rPr>
            </w:pPr>
            <w:r w:rsidRPr="003809E1">
              <w:rPr>
                <w:b/>
                <w:sz w:val="24"/>
                <w:szCs w:val="24"/>
              </w:rPr>
              <w:t>2</w:t>
            </w:r>
          </w:p>
        </w:tc>
        <w:tc>
          <w:tcPr>
            <w:tcW w:w="8253" w:type="dxa"/>
          </w:tcPr>
          <w:p w14:paraId="4EFE1F08" w14:textId="77777777" w:rsidR="00167268" w:rsidRPr="00AA2BF2" w:rsidRDefault="00167268" w:rsidP="00770B98">
            <w:pPr>
              <w:rPr>
                <w:b/>
                <w:sz w:val="24"/>
                <w:szCs w:val="24"/>
              </w:rPr>
            </w:pPr>
            <w:r w:rsidRPr="00AA2BF2">
              <w:rPr>
                <w:b/>
                <w:sz w:val="24"/>
                <w:szCs w:val="24"/>
              </w:rPr>
              <w:t>Matters arising</w:t>
            </w:r>
          </w:p>
        </w:tc>
      </w:tr>
      <w:tr w:rsidR="00EE33CF" w:rsidRPr="00DD39EE" w14:paraId="525008D1" w14:textId="77777777" w:rsidTr="002C4F1C">
        <w:tc>
          <w:tcPr>
            <w:tcW w:w="763" w:type="dxa"/>
          </w:tcPr>
          <w:p w14:paraId="48D11FEB" w14:textId="77777777" w:rsidR="00EE33CF" w:rsidRPr="00DD39EE" w:rsidRDefault="00B044BC" w:rsidP="00770B98">
            <w:pPr>
              <w:rPr>
                <w:sz w:val="24"/>
                <w:szCs w:val="24"/>
              </w:rPr>
            </w:pPr>
            <w:r>
              <w:rPr>
                <w:sz w:val="24"/>
                <w:szCs w:val="24"/>
              </w:rPr>
              <w:t>2.1</w:t>
            </w:r>
          </w:p>
        </w:tc>
        <w:tc>
          <w:tcPr>
            <w:tcW w:w="8253" w:type="dxa"/>
          </w:tcPr>
          <w:p w14:paraId="35BC55EA" w14:textId="77777777" w:rsidR="00A308EB" w:rsidRDefault="00027C12" w:rsidP="00770B98">
            <w:pPr>
              <w:rPr>
                <w:sz w:val="24"/>
                <w:szCs w:val="24"/>
              </w:rPr>
            </w:pPr>
            <w:r>
              <w:rPr>
                <w:sz w:val="24"/>
                <w:szCs w:val="24"/>
              </w:rPr>
              <w:t>There were no matters arising.</w:t>
            </w:r>
          </w:p>
          <w:p w14:paraId="19C26958" w14:textId="25722767" w:rsidR="006F4886" w:rsidRPr="00AA2BF2" w:rsidRDefault="006F4886" w:rsidP="00770B98">
            <w:pPr>
              <w:rPr>
                <w:sz w:val="24"/>
                <w:szCs w:val="24"/>
              </w:rPr>
            </w:pPr>
          </w:p>
        </w:tc>
      </w:tr>
      <w:tr w:rsidR="00465639" w:rsidRPr="00DD39EE" w14:paraId="56CA06D7" w14:textId="77777777" w:rsidTr="002C4F1C">
        <w:tc>
          <w:tcPr>
            <w:tcW w:w="763" w:type="dxa"/>
          </w:tcPr>
          <w:p w14:paraId="636F2E70" w14:textId="77777777" w:rsidR="00465639" w:rsidRPr="003809E1" w:rsidRDefault="007541C7" w:rsidP="00770B98">
            <w:pPr>
              <w:rPr>
                <w:b/>
                <w:sz w:val="24"/>
                <w:szCs w:val="24"/>
              </w:rPr>
            </w:pPr>
            <w:r>
              <w:rPr>
                <w:b/>
                <w:sz w:val="24"/>
                <w:szCs w:val="24"/>
              </w:rPr>
              <w:t>3</w:t>
            </w:r>
          </w:p>
        </w:tc>
        <w:tc>
          <w:tcPr>
            <w:tcW w:w="8253" w:type="dxa"/>
          </w:tcPr>
          <w:p w14:paraId="3B5569D6" w14:textId="5C8A7641" w:rsidR="0070567D" w:rsidRPr="00AA2BF2" w:rsidRDefault="00072AB6" w:rsidP="00770B98">
            <w:pPr>
              <w:rPr>
                <w:b/>
                <w:sz w:val="24"/>
                <w:szCs w:val="24"/>
              </w:rPr>
            </w:pPr>
            <w:r>
              <w:rPr>
                <w:b/>
                <w:sz w:val="24"/>
                <w:szCs w:val="24"/>
              </w:rPr>
              <w:t>Board Matters</w:t>
            </w:r>
          </w:p>
        </w:tc>
      </w:tr>
      <w:tr w:rsidR="00465639" w:rsidRPr="00DD39EE" w14:paraId="5F223C26" w14:textId="77777777" w:rsidTr="002C4F1C">
        <w:tc>
          <w:tcPr>
            <w:tcW w:w="763" w:type="dxa"/>
          </w:tcPr>
          <w:p w14:paraId="1F75469E" w14:textId="77777777" w:rsidR="00465639" w:rsidRPr="00DD39EE" w:rsidRDefault="00BC5F58" w:rsidP="00770B98">
            <w:pPr>
              <w:rPr>
                <w:sz w:val="24"/>
                <w:szCs w:val="24"/>
              </w:rPr>
            </w:pPr>
            <w:r>
              <w:rPr>
                <w:sz w:val="24"/>
                <w:szCs w:val="24"/>
              </w:rPr>
              <w:t>3</w:t>
            </w:r>
            <w:r w:rsidR="00465639" w:rsidRPr="00DD39EE">
              <w:rPr>
                <w:sz w:val="24"/>
                <w:szCs w:val="24"/>
              </w:rPr>
              <w:t>.1</w:t>
            </w:r>
          </w:p>
        </w:tc>
        <w:tc>
          <w:tcPr>
            <w:tcW w:w="8253" w:type="dxa"/>
          </w:tcPr>
          <w:p w14:paraId="7122CD13" w14:textId="2DDC7C80" w:rsidR="00896D9A" w:rsidRPr="00E76A1E" w:rsidRDefault="00072AB6" w:rsidP="00E76A1E">
            <w:pPr>
              <w:rPr>
                <w:sz w:val="24"/>
                <w:szCs w:val="24"/>
                <w:u w:val="single"/>
              </w:rPr>
            </w:pPr>
            <w:r>
              <w:rPr>
                <w:sz w:val="24"/>
                <w:szCs w:val="24"/>
                <w:u w:val="single"/>
              </w:rPr>
              <w:t>Move towards a paperless Board</w:t>
            </w:r>
          </w:p>
        </w:tc>
      </w:tr>
      <w:tr w:rsidR="00F90E45" w:rsidRPr="00DD39EE" w14:paraId="0873F681" w14:textId="77777777" w:rsidTr="002C4F1C">
        <w:tc>
          <w:tcPr>
            <w:tcW w:w="763" w:type="dxa"/>
          </w:tcPr>
          <w:p w14:paraId="3F6A6D86" w14:textId="77777777" w:rsidR="00F90E45" w:rsidRDefault="00F90E45" w:rsidP="00770B98">
            <w:pPr>
              <w:rPr>
                <w:sz w:val="24"/>
                <w:szCs w:val="24"/>
              </w:rPr>
            </w:pPr>
            <w:r>
              <w:rPr>
                <w:sz w:val="24"/>
                <w:szCs w:val="24"/>
              </w:rPr>
              <w:t>3.1.1</w:t>
            </w:r>
          </w:p>
        </w:tc>
        <w:tc>
          <w:tcPr>
            <w:tcW w:w="8253" w:type="dxa"/>
          </w:tcPr>
          <w:p w14:paraId="06EB5010" w14:textId="1652A03C" w:rsidR="006F4886" w:rsidRDefault="001F777F" w:rsidP="00E76A1E">
            <w:pPr>
              <w:rPr>
                <w:sz w:val="24"/>
                <w:szCs w:val="24"/>
              </w:rPr>
            </w:pPr>
            <w:r>
              <w:rPr>
                <w:sz w:val="24"/>
                <w:szCs w:val="24"/>
              </w:rPr>
              <w:t xml:space="preserve">A demonstration of the proposed solution is being organised with two Board members.  Following this demo a proposal will issue to the Board.  A recall of hard copy Board papers </w:t>
            </w:r>
            <w:r w:rsidR="005A2830">
              <w:rPr>
                <w:sz w:val="24"/>
                <w:szCs w:val="24"/>
              </w:rPr>
              <w:t xml:space="preserve">for destruction </w:t>
            </w:r>
            <w:r>
              <w:rPr>
                <w:sz w:val="24"/>
                <w:szCs w:val="24"/>
              </w:rPr>
              <w:t>will be requested.</w:t>
            </w:r>
          </w:p>
          <w:p w14:paraId="70F880D9" w14:textId="43F54DFB" w:rsidR="004932EC" w:rsidRPr="00AA2BF2" w:rsidRDefault="004932EC" w:rsidP="00E76A1E">
            <w:pPr>
              <w:rPr>
                <w:sz w:val="24"/>
                <w:szCs w:val="24"/>
              </w:rPr>
            </w:pPr>
          </w:p>
        </w:tc>
      </w:tr>
      <w:tr w:rsidR="00F90E45" w:rsidRPr="00E767AF" w14:paraId="64E85B78" w14:textId="77777777" w:rsidTr="002C4F1C">
        <w:tc>
          <w:tcPr>
            <w:tcW w:w="763" w:type="dxa"/>
          </w:tcPr>
          <w:p w14:paraId="48227B1F" w14:textId="77777777" w:rsidR="00F90E45" w:rsidRPr="00E767AF" w:rsidRDefault="00F90E45" w:rsidP="00770B98">
            <w:pPr>
              <w:rPr>
                <w:b/>
                <w:sz w:val="24"/>
                <w:szCs w:val="24"/>
              </w:rPr>
            </w:pPr>
            <w:r w:rsidRPr="00E767AF">
              <w:rPr>
                <w:b/>
                <w:sz w:val="24"/>
                <w:szCs w:val="24"/>
              </w:rPr>
              <w:t>4</w:t>
            </w:r>
          </w:p>
        </w:tc>
        <w:tc>
          <w:tcPr>
            <w:tcW w:w="8253" w:type="dxa"/>
          </w:tcPr>
          <w:p w14:paraId="6DDA25C8" w14:textId="280C9436" w:rsidR="00F90E45" w:rsidRPr="00AA2BF2" w:rsidRDefault="00072AB6" w:rsidP="0084098B">
            <w:pPr>
              <w:tabs>
                <w:tab w:val="left" w:pos="2822"/>
              </w:tabs>
              <w:rPr>
                <w:b/>
                <w:sz w:val="24"/>
                <w:szCs w:val="24"/>
              </w:rPr>
            </w:pPr>
            <w:r>
              <w:rPr>
                <w:b/>
                <w:sz w:val="24"/>
                <w:szCs w:val="24"/>
              </w:rPr>
              <w:t>Restructuring Update</w:t>
            </w:r>
            <w:r w:rsidR="0084098B">
              <w:rPr>
                <w:b/>
                <w:sz w:val="24"/>
                <w:szCs w:val="24"/>
              </w:rPr>
              <w:t xml:space="preserve"> </w:t>
            </w:r>
            <w:r w:rsidR="0084098B" w:rsidRPr="0084098B">
              <w:rPr>
                <w:i/>
                <w:sz w:val="24"/>
                <w:szCs w:val="24"/>
              </w:rPr>
              <w:t xml:space="preserve">(Two papers </w:t>
            </w:r>
            <w:r w:rsidR="00A6444B">
              <w:rPr>
                <w:i/>
                <w:sz w:val="24"/>
                <w:szCs w:val="24"/>
              </w:rPr>
              <w:t>en</w:t>
            </w:r>
            <w:r w:rsidR="0084098B" w:rsidRPr="0084098B">
              <w:rPr>
                <w:i/>
                <w:sz w:val="24"/>
                <w:szCs w:val="24"/>
              </w:rPr>
              <w:t>titled ‘CIB Reorganisation – Phase One Update Report, KPMG</w:t>
            </w:r>
            <w:r w:rsidR="0084098B">
              <w:rPr>
                <w:i/>
                <w:sz w:val="24"/>
                <w:szCs w:val="24"/>
              </w:rPr>
              <w:t>’</w:t>
            </w:r>
            <w:r w:rsidR="0084098B" w:rsidRPr="0084098B">
              <w:rPr>
                <w:i/>
                <w:sz w:val="24"/>
                <w:szCs w:val="24"/>
              </w:rPr>
              <w:t xml:space="preserve"> and </w:t>
            </w:r>
            <w:r w:rsidR="0084098B">
              <w:rPr>
                <w:i/>
                <w:sz w:val="24"/>
                <w:szCs w:val="24"/>
              </w:rPr>
              <w:t>‘R</w:t>
            </w:r>
            <w:r w:rsidR="0084098B" w:rsidRPr="0084098B">
              <w:rPr>
                <w:i/>
                <w:sz w:val="24"/>
                <w:szCs w:val="24"/>
              </w:rPr>
              <w:t>estructuring Update Implementation Plan Phase 1, CIB</w:t>
            </w:r>
            <w:r w:rsidR="0084098B">
              <w:rPr>
                <w:i/>
                <w:sz w:val="24"/>
                <w:szCs w:val="24"/>
              </w:rPr>
              <w:t>’</w:t>
            </w:r>
            <w:r w:rsidR="0084098B" w:rsidRPr="0084098B">
              <w:rPr>
                <w:i/>
                <w:sz w:val="24"/>
                <w:szCs w:val="24"/>
              </w:rPr>
              <w:t xml:space="preserve"> were circulated at the meeting.)</w:t>
            </w:r>
          </w:p>
        </w:tc>
      </w:tr>
      <w:tr w:rsidR="00F90E45" w:rsidRPr="00DD39EE" w14:paraId="66C96FDB" w14:textId="77777777" w:rsidTr="002C4F1C">
        <w:tc>
          <w:tcPr>
            <w:tcW w:w="763" w:type="dxa"/>
          </w:tcPr>
          <w:p w14:paraId="410A0780" w14:textId="77777777" w:rsidR="00F90E45" w:rsidRDefault="00F90E45" w:rsidP="00770B98">
            <w:pPr>
              <w:rPr>
                <w:sz w:val="24"/>
                <w:szCs w:val="24"/>
              </w:rPr>
            </w:pPr>
            <w:r>
              <w:rPr>
                <w:sz w:val="24"/>
                <w:szCs w:val="24"/>
              </w:rPr>
              <w:t>4.1</w:t>
            </w:r>
          </w:p>
        </w:tc>
        <w:tc>
          <w:tcPr>
            <w:tcW w:w="8253" w:type="dxa"/>
          </w:tcPr>
          <w:p w14:paraId="38CE8B79" w14:textId="65111179" w:rsidR="00F90E45" w:rsidRPr="00AA2BF2" w:rsidRDefault="00231B7D" w:rsidP="00573875">
            <w:pPr>
              <w:tabs>
                <w:tab w:val="left" w:pos="2822"/>
              </w:tabs>
              <w:rPr>
                <w:sz w:val="24"/>
                <w:szCs w:val="24"/>
              </w:rPr>
            </w:pPr>
            <w:r>
              <w:rPr>
                <w:sz w:val="24"/>
                <w:szCs w:val="24"/>
              </w:rPr>
              <w:t xml:space="preserve">Advertisement for the recruitment of Chairpersons and Board Members for the first new Regional </w:t>
            </w:r>
            <w:r w:rsidR="00573875">
              <w:rPr>
                <w:sz w:val="24"/>
                <w:szCs w:val="24"/>
              </w:rPr>
              <w:t xml:space="preserve">CIS and </w:t>
            </w:r>
            <w:r>
              <w:rPr>
                <w:sz w:val="24"/>
                <w:szCs w:val="24"/>
              </w:rPr>
              <w:t xml:space="preserve">MABS companies is live on CIB website and Activelink.  </w:t>
            </w:r>
          </w:p>
        </w:tc>
      </w:tr>
      <w:tr w:rsidR="00231B7D" w:rsidRPr="00DD39EE" w14:paraId="53E4614F" w14:textId="77777777" w:rsidTr="002C4F1C">
        <w:tc>
          <w:tcPr>
            <w:tcW w:w="763" w:type="dxa"/>
          </w:tcPr>
          <w:p w14:paraId="536CCFA5" w14:textId="23994403" w:rsidR="00231B7D" w:rsidRDefault="00231B7D" w:rsidP="00770B98">
            <w:pPr>
              <w:rPr>
                <w:sz w:val="24"/>
                <w:szCs w:val="24"/>
              </w:rPr>
            </w:pPr>
            <w:r>
              <w:rPr>
                <w:sz w:val="24"/>
                <w:szCs w:val="24"/>
              </w:rPr>
              <w:t>4.2</w:t>
            </w:r>
          </w:p>
        </w:tc>
        <w:tc>
          <w:tcPr>
            <w:tcW w:w="8253" w:type="dxa"/>
          </w:tcPr>
          <w:p w14:paraId="1066D41F" w14:textId="3C249F73" w:rsidR="0084098B" w:rsidRPr="0084098B" w:rsidRDefault="00231B7D" w:rsidP="0084098B">
            <w:pPr>
              <w:tabs>
                <w:tab w:val="left" w:pos="2822"/>
              </w:tabs>
              <w:rPr>
                <w:sz w:val="24"/>
                <w:szCs w:val="24"/>
              </w:rPr>
            </w:pPr>
            <w:r>
              <w:rPr>
                <w:sz w:val="24"/>
                <w:szCs w:val="24"/>
              </w:rPr>
              <w:t>An update report from KPMG was presented at the meeting.</w:t>
            </w:r>
            <w:r w:rsidR="0084098B">
              <w:rPr>
                <w:sz w:val="24"/>
                <w:szCs w:val="24"/>
              </w:rPr>
              <w:t xml:space="preserve"> The report outlined </w:t>
            </w:r>
            <w:r w:rsidR="0084098B">
              <w:rPr>
                <w:sz w:val="24"/>
                <w:szCs w:val="24"/>
              </w:rPr>
              <w:lastRenderedPageBreak/>
              <w:t xml:space="preserve">the progress in the key areas. </w:t>
            </w:r>
            <w:r w:rsidR="0084098B" w:rsidRPr="0084098B">
              <w:rPr>
                <w:sz w:val="24"/>
                <w:szCs w:val="24"/>
                <w:u w:val="single"/>
              </w:rPr>
              <w:t>Information Gathering</w:t>
            </w:r>
            <w:r w:rsidR="0084098B" w:rsidRPr="0084098B">
              <w:rPr>
                <w:sz w:val="24"/>
                <w:szCs w:val="24"/>
              </w:rPr>
              <w:t xml:space="preserve"> – 15 out of 18 CIS companies </w:t>
            </w:r>
            <w:r w:rsidR="0084098B">
              <w:rPr>
                <w:sz w:val="24"/>
                <w:szCs w:val="24"/>
              </w:rPr>
              <w:t xml:space="preserve">and 4 out of 20 MABS companies have returned requested information to KPMG.  A response has been received by the Data Protection Commissioner in response to some concerns and this clarification will be provided to companies.  It is expected that once this clarification is issued the remaining companies will send in the requested information. </w:t>
            </w:r>
            <w:r w:rsidR="0084098B" w:rsidRPr="00C86C5D">
              <w:rPr>
                <w:sz w:val="24"/>
                <w:szCs w:val="24"/>
                <w:u w:val="single"/>
              </w:rPr>
              <w:t>Consultation Sessions</w:t>
            </w:r>
            <w:r w:rsidR="0084098B">
              <w:rPr>
                <w:sz w:val="24"/>
                <w:szCs w:val="24"/>
              </w:rPr>
              <w:t xml:space="preserve"> – further sessions with CIS DMs and MACs took place during February. KPMG, RDJ and Hayes Solicitors presented the Risk Mitigation and Implementation Plan at these sessions. </w:t>
            </w:r>
            <w:r w:rsidR="0084098B" w:rsidRPr="00C86C5D">
              <w:rPr>
                <w:sz w:val="24"/>
                <w:szCs w:val="24"/>
                <w:u w:val="single"/>
              </w:rPr>
              <w:t xml:space="preserve"> Incorporation of Newcos</w:t>
            </w:r>
            <w:r w:rsidR="0084098B">
              <w:rPr>
                <w:sz w:val="24"/>
                <w:szCs w:val="24"/>
              </w:rPr>
              <w:t xml:space="preserve"> – The applications for the new companies have been submitted to the CRO and it is expected that these will be incorporated in the next couple of days.   Completion of Transfers to the Newcos – it is still planned for the transfers to be completed in April 2018. </w:t>
            </w:r>
          </w:p>
        </w:tc>
      </w:tr>
      <w:tr w:rsidR="00231B7D" w:rsidRPr="00DD39EE" w14:paraId="0E7FFC7E" w14:textId="77777777" w:rsidTr="002C4F1C">
        <w:tc>
          <w:tcPr>
            <w:tcW w:w="763" w:type="dxa"/>
          </w:tcPr>
          <w:p w14:paraId="12DD86DA" w14:textId="20A7C975" w:rsidR="00231B7D" w:rsidRDefault="00C86C5D" w:rsidP="00770B98">
            <w:pPr>
              <w:rPr>
                <w:sz w:val="24"/>
                <w:szCs w:val="24"/>
              </w:rPr>
            </w:pPr>
            <w:r>
              <w:rPr>
                <w:sz w:val="24"/>
                <w:szCs w:val="24"/>
              </w:rPr>
              <w:lastRenderedPageBreak/>
              <w:t>4.3</w:t>
            </w:r>
          </w:p>
        </w:tc>
        <w:tc>
          <w:tcPr>
            <w:tcW w:w="8253" w:type="dxa"/>
          </w:tcPr>
          <w:p w14:paraId="578B1A62" w14:textId="02698A36" w:rsidR="00231B7D" w:rsidRDefault="00C86C5D" w:rsidP="00770B98">
            <w:pPr>
              <w:tabs>
                <w:tab w:val="left" w:pos="2822"/>
              </w:tabs>
              <w:rPr>
                <w:sz w:val="24"/>
                <w:szCs w:val="24"/>
              </w:rPr>
            </w:pPr>
            <w:r>
              <w:rPr>
                <w:sz w:val="24"/>
                <w:szCs w:val="24"/>
              </w:rPr>
              <w:t>Following the consultation sessions the FAQs will be updated, issued to all companies and sent to CIB Board Members</w:t>
            </w:r>
          </w:p>
        </w:tc>
      </w:tr>
      <w:tr w:rsidR="00231B7D" w:rsidRPr="00DD39EE" w14:paraId="51E1258D" w14:textId="77777777" w:rsidTr="002C4F1C">
        <w:tc>
          <w:tcPr>
            <w:tcW w:w="763" w:type="dxa"/>
          </w:tcPr>
          <w:p w14:paraId="31A83CE0" w14:textId="49EF7A79" w:rsidR="00231B7D" w:rsidRDefault="00C86C5D" w:rsidP="00770B98">
            <w:pPr>
              <w:rPr>
                <w:sz w:val="24"/>
                <w:szCs w:val="24"/>
              </w:rPr>
            </w:pPr>
            <w:r>
              <w:rPr>
                <w:sz w:val="24"/>
                <w:szCs w:val="24"/>
              </w:rPr>
              <w:t>4.4</w:t>
            </w:r>
          </w:p>
        </w:tc>
        <w:tc>
          <w:tcPr>
            <w:tcW w:w="8253" w:type="dxa"/>
          </w:tcPr>
          <w:p w14:paraId="3B2EE927" w14:textId="77777777" w:rsidR="00231B7D" w:rsidRDefault="00C86C5D" w:rsidP="00770B98">
            <w:pPr>
              <w:tabs>
                <w:tab w:val="left" w:pos="2822"/>
              </w:tabs>
              <w:rPr>
                <w:sz w:val="24"/>
                <w:szCs w:val="24"/>
              </w:rPr>
            </w:pPr>
            <w:r>
              <w:rPr>
                <w:sz w:val="24"/>
                <w:szCs w:val="24"/>
              </w:rPr>
              <w:t xml:space="preserve">It was agreed that </w:t>
            </w:r>
            <w:r w:rsidR="00205211">
              <w:rPr>
                <w:sz w:val="24"/>
                <w:szCs w:val="24"/>
              </w:rPr>
              <w:t>the process to recruit the Regional Managers will be put in place now to ensure that these roles are in situ immediately.</w:t>
            </w:r>
          </w:p>
          <w:p w14:paraId="1E3427A2" w14:textId="08F37B52" w:rsidR="004932EC" w:rsidRDefault="004932EC" w:rsidP="00770B98">
            <w:pPr>
              <w:tabs>
                <w:tab w:val="left" w:pos="2822"/>
              </w:tabs>
              <w:rPr>
                <w:sz w:val="24"/>
                <w:szCs w:val="24"/>
              </w:rPr>
            </w:pPr>
          </w:p>
        </w:tc>
      </w:tr>
      <w:tr w:rsidR="00D67C53" w:rsidRPr="001F32C7" w14:paraId="0B7EA922" w14:textId="77777777" w:rsidTr="002C4F1C">
        <w:tc>
          <w:tcPr>
            <w:tcW w:w="763" w:type="dxa"/>
          </w:tcPr>
          <w:p w14:paraId="10A91506" w14:textId="417D111A" w:rsidR="00D67C53" w:rsidRPr="001F32C7" w:rsidRDefault="00D67C53" w:rsidP="00770B98">
            <w:pPr>
              <w:rPr>
                <w:b/>
                <w:sz w:val="24"/>
                <w:szCs w:val="24"/>
              </w:rPr>
            </w:pPr>
            <w:r w:rsidRPr="001F32C7">
              <w:rPr>
                <w:b/>
                <w:sz w:val="24"/>
                <w:szCs w:val="24"/>
              </w:rPr>
              <w:t>5</w:t>
            </w:r>
          </w:p>
        </w:tc>
        <w:tc>
          <w:tcPr>
            <w:tcW w:w="8253" w:type="dxa"/>
          </w:tcPr>
          <w:p w14:paraId="41985195" w14:textId="058FA26B" w:rsidR="00D67C53" w:rsidRPr="001F32C7" w:rsidRDefault="00D67C53" w:rsidP="00E76A1E">
            <w:pPr>
              <w:rPr>
                <w:b/>
                <w:sz w:val="24"/>
                <w:szCs w:val="24"/>
              </w:rPr>
            </w:pPr>
            <w:r w:rsidRPr="001F32C7">
              <w:rPr>
                <w:b/>
                <w:sz w:val="24"/>
                <w:szCs w:val="24"/>
              </w:rPr>
              <w:t>Finance Matters</w:t>
            </w:r>
          </w:p>
        </w:tc>
      </w:tr>
      <w:tr w:rsidR="00D67C53" w:rsidRPr="00DD39EE" w14:paraId="51517B90" w14:textId="77777777" w:rsidTr="002C4F1C">
        <w:tc>
          <w:tcPr>
            <w:tcW w:w="763" w:type="dxa"/>
          </w:tcPr>
          <w:p w14:paraId="27BCD5F3" w14:textId="2EA242BC" w:rsidR="00D67C53" w:rsidRDefault="00D67C53" w:rsidP="00770B98">
            <w:pPr>
              <w:rPr>
                <w:sz w:val="24"/>
                <w:szCs w:val="24"/>
              </w:rPr>
            </w:pPr>
            <w:r>
              <w:rPr>
                <w:sz w:val="24"/>
                <w:szCs w:val="24"/>
              </w:rPr>
              <w:t>5.1</w:t>
            </w:r>
          </w:p>
        </w:tc>
        <w:tc>
          <w:tcPr>
            <w:tcW w:w="8253" w:type="dxa"/>
          </w:tcPr>
          <w:p w14:paraId="1268960F" w14:textId="2DBBA5E1" w:rsidR="00D67C53" w:rsidRDefault="00D67C53" w:rsidP="00E76A1E">
            <w:pPr>
              <w:rPr>
                <w:sz w:val="24"/>
                <w:szCs w:val="24"/>
              </w:rPr>
            </w:pPr>
            <w:r>
              <w:rPr>
                <w:sz w:val="24"/>
                <w:szCs w:val="24"/>
              </w:rPr>
              <w:t>Budget Monitoring Report December / Period 12</w:t>
            </w:r>
            <w:r w:rsidR="00BB1C95">
              <w:rPr>
                <w:sz w:val="24"/>
                <w:szCs w:val="24"/>
              </w:rPr>
              <w:t xml:space="preserve"> </w:t>
            </w:r>
            <w:r w:rsidR="00BB1C95" w:rsidRPr="00BB1C95">
              <w:rPr>
                <w:i/>
                <w:sz w:val="24"/>
                <w:szCs w:val="24"/>
              </w:rPr>
              <w:t>(report was circulated in advance of the meeting.)</w:t>
            </w:r>
          </w:p>
        </w:tc>
      </w:tr>
      <w:tr w:rsidR="00D67C53" w:rsidRPr="00DD39EE" w14:paraId="09AC11C7" w14:textId="77777777" w:rsidTr="002C4F1C">
        <w:tc>
          <w:tcPr>
            <w:tcW w:w="763" w:type="dxa"/>
          </w:tcPr>
          <w:p w14:paraId="59CC3E76" w14:textId="119FB2FE" w:rsidR="00D67C53" w:rsidRDefault="00D67C53" w:rsidP="00D67C53">
            <w:pPr>
              <w:rPr>
                <w:sz w:val="24"/>
                <w:szCs w:val="24"/>
              </w:rPr>
            </w:pPr>
            <w:r>
              <w:rPr>
                <w:sz w:val="24"/>
                <w:szCs w:val="24"/>
              </w:rPr>
              <w:t>5.1.1</w:t>
            </w:r>
          </w:p>
        </w:tc>
        <w:tc>
          <w:tcPr>
            <w:tcW w:w="8253" w:type="dxa"/>
          </w:tcPr>
          <w:p w14:paraId="0B8508B7" w14:textId="1C0F0C25" w:rsidR="00D67C53" w:rsidRDefault="00766A27" w:rsidP="00E83BC1">
            <w:pPr>
              <w:rPr>
                <w:sz w:val="24"/>
                <w:szCs w:val="24"/>
              </w:rPr>
            </w:pPr>
            <w:r>
              <w:rPr>
                <w:sz w:val="24"/>
                <w:szCs w:val="24"/>
              </w:rPr>
              <w:t xml:space="preserve">The overall excess of expenditure over income for the year to December 2017 was €284,694.  The budget has profiled an excess of </w:t>
            </w:r>
            <w:r w:rsidR="00E83BC1">
              <w:rPr>
                <w:sz w:val="24"/>
                <w:szCs w:val="24"/>
              </w:rPr>
              <w:t xml:space="preserve">income over expenditure of </w:t>
            </w:r>
            <w:r>
              <w:rPr>
                <w:sz w:val="24"/>
                <w:szCs w:val="24"/>
              </w:rPr>
              <w:t xml:space="preserve">€152,108, the variance between this and the actual </w:t>
            </w:r>
            <w:r w:rsidR="00E83BC1">
              <w:rPr>
                <w:sz w:val="24"/>
                <w:szCs w:val="24"/>
              </w:rPr>
              <w:t xml:space="preserve">situation </w:t>
            </w:r>
            <w:r>
              <w:rPr>
                <w:sz w:val="24"/>
                <w:szCs w:val="24"/>
              </w:rPr>
              <w:t xml:space="preserve">is €436,802 and is due to several variances on the profiled budget for the </w:t>
            </w:r>
            <w:r w:rsidR="004932EC">
              <w:rPr>
                <w:sz w:val="24"/>
                <w:szCs w:val="24"/>
              </w:rPr>
              <w:t>year to date.</w:t>
            </w:r>
          </w:p>
        </w:tc>
      </w:tr>
      <w:tr w:rsidR="00D67C53" w:rsidRPr="00DD39EE" w14:paraId="6FD166FB" w14:textId="77777777" w:rsidTr="002C4F1C">
        <w:tc>
          <w:tcPr>
            <w:tcW w:w="763" w:type="dxa"/>
          </w:tcPr>
          <w:p w14:paraId="62FBCF01" w14:textId="163523FE" w:rsidR="00D67C53" w:rsidRDefault="00D67C53" w:rsidP="00770B98">
            <w:pPr>
              <w:rPr>
                <w:sz w:val="24"/>
                <w:szCs w:val="24"/>
              </w:rPr>
            </w:pPr>
            <w:r>
              <w:rPr>
                <w:sz w:val="24"/>
                <w:szCs w:val="24"/>
              </w:rPr>
              <w:t>5.1.2</w:t>
            </w:r>
          </w:p>
        </w:tc>
        <w:tc>
          <w:tcPr>
            <w:tcW w:w="8253" w:type="dxa"/>
          </w:tcPr>
          <w:p w14:paraId="714143C2" w14:textId="319F52C3" w:rsidR="00D67C53" w:rsidRDefault="004932EC" w:rsidP="00E76A1E">
            <w:pPr>
              <w:rPr>
                <w:sz w:val="24"/>
                <w:szCs w:val="24"/>
              </w:rPr>
            </w:pPr>
            <w:r>
              <w:rPr>
                <w:sz w:val="24"/>
                <w:szCs w:val="24"/>
              </w:rPr>
              <w:t>CIS variance of €51,278 due to contingency budget not used and meetings/projects under budget.</w:t>
            </w:r>
          </w:p>
        </w:tc>
      </w:tr>
      <w:tr w:rsidR="004932EC" w:rsidRPr="00DD39EE" w14:paraId="61037413" w14:textId="77777777" w:rsidTr="002C4F1C">
        <w:tc>
          <w:tcPr>
            <w:tcW w:w="763" w:type="dxa"/>
          </w:tcPr>
          <w:p w14:paraId="11179E3B" w14:textId="7FDFDBA7" w:rsidR="004932EC" w:rsidRDefault="004932EC" w:rsidP="00770B98">
            <w:pPr>
              <w:rPr>
                <w:sz w:val="24"/>
                <w:szCs w:val="24"/>
              </w:rPr>
            </w:pPr>
            <w:r>
              <w:rPr>
                <w:sz w:val="24"/>
                <w:szCs w:val="24"/>
              </w:rPr>
              <w:t>5.1.3</w:t>
            </w:r>
          </w:p>
        </w:tc>
        <w:tc>
          <w:tcPr>
            <w:tcW w:w="8253" w:type="dxa"/>
          </w:tcPr>
          <w:p w14:paraId="521DEC6A" w14:textId="4CA37CC5" w:rsidR="004932EC" w:rsidRDefault="004932EC" w:rsidP="00E76A1E">
            <w:pPr>
              <w:rPr>
                <w:sz w:val="24"/>
                <w:szCs w:val="24"/>
              </w:rPr>
            </w:pPr>
            <w:r>
              <w:rPr>
                <w:sz w:val="24"/>
                <w:szCs w:val="24"/>
              </w:rPr>
              <w:t xml:space="preserve">MABS variance of €52,208 due to contingency budget not used and MA Relief T&amp;S under budget.  </w:t>
            </w:r>
          </w:p>
        </w:tc>
      </w:tr>
      <w:tr w:rsidR="004932EC" w:rsidRPr="00DD39EE" w14:paraId="7FB9FA63" w14:textId="77777777" w:rsidTr="002C4F1C">
        <w:tc>
          <w:tcPr>
            <w:tcW w:w="763" w:type="dxa"/>
          </w:tcPr>
          <w:p w14:paraId="29BFADD6" w14:textId="653D6B4C" w:rsidR="004932EC" w:rsidRDefault="004932EC" w:rsidP="00770B98">
            <w:pPr>
              <w:rPr>
                <w:sz w:val="24"/>
                <w:szCs w:val="24"/>
              </w:rPr>
            </w:pPr>
            <w:r>
              <w:rPr>
                <w:sz w:val="24"/>
                <w:szCs w:val="24"/>
              </w:rPr>
              <w:t>5.1.4</w:t>
            </w:r>
          </w:p>
        </w:tc>
        <w:tc>
          <w:tcPr>
            <w:tcW w:w="8253" w:type="dxa"/>
          </w:tcPr>
          <w:p w14:paraId="397CB1B3" w14:textId="7E4B0254" w:rsidR="004932EC" w:rsidRDefault="004932EC" w:rsidP="00E76A1E">
            <w:pPr>
              <w:rPr>
                <w:sz w:val="24"/>
                <w:szCs w:val="24"/>
              </w:rPr>
            </w:pPr>
            <w:r>
              <w:rPr>
                <w:sz w:val="24"/>
                <w:szCs w:val="24"/>
              </w:rPr>
              <w:t>DMA MABS variance of €24,121 due to Q3 and Q4 grants for Limerick MABS withheld as the DMA Advisor had left.</w:t>
            </w:r>
          </w:p>
        </w:tc>
      </w:tr>
      <w:tr w:rsidR="004932EC" w:rsidRPr="00DD39EE" w14:paraId="435BF18D" w14:textId="77777777" w:rsidTr="002C4F1C">
        <w:tc>
          <w:tcPr>
            <w:tcW w:w="763" w:type="dxa"/>
          </w:tcPr>
          <w:p w14:paraId="1F7C98D7" w14:textId="47CFB8A4" w:rsidR="004932EC" w:rsidRDefault="004932EC" w:rsidP="00770B98">
            <w:pPr>
              <w:rPr>
                <w:sz w:val="24"/>
                <w:szCs w:val="24"/>
              </w:rPr>
            </w:pPr>
            <w:r>
              <w:rPr>
                <w:sz w:val="24"/>
                <w:szCs w:val="24"/>
              </w:rPr>
              <w:t>5.1.5</w:t>
            </w:r>
          </w:p>
        </w:tc>
        <w:tc>
          <w:tcPr>
            <w:tcW w:w="8253" w:type="dxa"/>
          </w:tcPr>
          <w:p w14:paraId="0A002A1B" w14:textId="4D7ACB2C" w:rsidR="004932EC" w:rsidRPr="004932EC" w:rsidRDefault="004932EC" w:rsidP="004932EC">
            <w:pPr>
              <w:rPr>
                <w:sz w:val="24"/>
                <w:szCs w:val="24"/>
              </w:rPr>
            </w:pPr>
            <w:r w:rsidRPr="004932EC">
              <w:rPr>
                <w:sz w:val="24"/>
                <w:szCs w:val="24"/>
              </w:rPr>
              <w:t xml:space="preserve">Abhaile variance €293,094 - </w:t>
            </w:r>
            <w:r w:rsidRPr="004932EC">
              <w:rPr>
                <w:rFonts w:cs="Times New Roman"/>
                <w:sz w:val="24"/>
                <w:szCs w:val="24"/>
              </w:rPr>
              <w:t>In December 2017 the Abhaile budget line was increased by €657,939 using DMA funds that were not drawn down during the year. This was to provide for the estimated increase in voucher costs during the last 5 months of 2017. The increase was based on a projected encashment of vouchers of €400k - €420k per month. The average over this period was €350k per month, therefore leaving a variance as at 31 December.</w:t>
            </w:r>
          </w:p>
        </w:tc>
      </w:tr>
      <w:tr w:rsidR="004932EC" w:rsidRPr="00DD39EE" w14:paraId="0B5FC2ED" w14:textId="77777777" w:rsidTr="002C4F1C">
        <w:tc>
          <w:tcPr>
            <w:tcW w:w="763" w:type="dxa"/>
          </w:tcPr>
          <w:p w14:paraId="6481EB18" w14:textId="06FB6FA6" w:rsidR="004932EC" w:rsidRDefault="004932EC" w:rsidP="00770B98">
            <w:pPr>
              <w:rPr>
                <w:sz w:val="24"/>
                <w:szCs w:val="24"/>
              </w:rPr>
            </w:pPr>
            <w:r>
              <w:rPr>
                <w:sz w:val="24"/>
                <w:szCs w:val="24"/>
              </w:rPr>
              <w:t>5.1.6</w:t>
            </w:r>
          </w:p>
        </w:tc>
        <w:tc>
          <w:tcPr>
            <w:tcW w:w="8253" w:type="dxa"/>
          </w:tcPr>
          <w:p w14:paraId="6724D72D" w14:textId="526B2501" w:rsidR="004932EC" w:rsidRDefault="004932EC" w:rsidP="00E76A1E">
            <w:pPr>
              <w:rPr>
                <w:sz w:val="24"/>
                <w:szCs w:val="24"/>
              </w:rPr>
            </w:pPr>
            <w:r>
              <w:rPr>
                <w:sz w:val="24"/>
                <w:szCs w:val="24"/>
              </w:rPr>
              <w:t>Overheads variance of €33,188 due to the fact that a new vendor was appointed and the billing arrangements will not be replicated.  The previous vendor issued an annual invoice and the new vendor will be billing CIB on a monthly basis.</w:t>
            </w:r>
          </w:p>
        </w:tc>
      </w:tr>
      <w:tr w:rsidR="004932EC" w:rsidRPr="00DD39EE" w14:paraId="5607AD90" w14:textId="77777777" w:rsidTr="002C4F1C">
        <w:tc>
          <w:tcPr>
            <w:tcW w:w="763" w:type="dxa"/>
          </w:tcPr>
          <w:p w14:paraId="3B55F7B9" w14:textId="38E06697" w:rsidR="004932EC" w:rsidRDefault="004A49D9" w:rsidP="00770B98">
            <w:pPr>
              <w:rPr>
                <w:sz w:val="24"/>
                <w:szCs w:val="24"/>
              </w:rPr>
            </w:pPr>
            <w:r>
              <w:rPr>
                <w:sz w:val="24"/>
                <w:szCs w:val="24"/>
              </w:rPr>
              <w:t>5.1.7</w:t>
            </w:r>
          </w:p>
        </w:tc>
        <w:tc>
          <w:tcPr>
            <w:tcW w:w="8253" w:type="dxa"/>
          </w:tcPr>
          <w:p w14:paraId="6C0D51CA" w14:textId="18181F80" w:rsidR="004932EC" w:rsidRPr="004A49D9" w:rsidRDefault="004A49D9" w:rsidP="00E76A1E">
            <w:r>
              <w:rPr>
                <w:sz w:val="24"/>
                <w:szCs w:val="24"/>
              </w:rPr>
              <w:t>Salaries and Board Members Fees variance of €238,472 due to CIB under the ECF for all of 2017 to date and pension lump sums paid during 2017 which were not budgeted for during the estimates process.</w:t>
            </w:r>
          </w:p>
        </w:tc>
      </w:tr>
      <w:tr w:rsidR="00D67C53" w:rsidRPr="00DD39EE" w14:paraId="54B561E4" w14:textId="77777777" w:rsidTr="002C4F1C">
        <w:tc>
          <w:tcPr>
            <w:tcW w:w="763" w:type="dxa"/>
          </w:tcPr>
          <w:p w14:paraId="5F19A539" w14:textId="3523EA39" w:rsidR="00D67C53" w:rsidRDefault="00D67C53" w:rsidP="00770B98">
            <w:pPr>
              <w:rPr>
                <w:sz w:val="24"/>
                <w:szCs w:val="24"/>
              </w:rPr>
            </w:pPr>
            <w:r>
              <w:rPr>
                <w:sz w:val="24"/>
                <w:szCs w:val="24"/>
              </w:rPr>
              <w:t>5.2</w:t>
            </w:r>
          </w:p>
        </w:tc>
        <w:tc>
          <w:tcPr>
            <w:tcW w:w="8253" w:type="dxa"/>
          </w:tcPr>
          <w:p w14:paraId="75E45C49" w14:textId="0203DB02" w:rsidR="00D67C53" w:rsidRPr="005E6E5D" w:rsidRDefault="00D67C53" w:rsidP="00E76A1E">
            <w:pPr>
              <w:rPr>
                <w:sz w:val="24"/>
                <w:szCs w:val="24"/>
                <w:u w:val="single"/>
              </w:rPr>
            </w:pPr>
            <w:r w:rsidRPr="005E6E5D">
              <w:rPr>
                <w:sz w:val="24"/>
                <w:szCs w:val="24"/>
                <w:u w:val="single"/>
              </w:rPr>
              <w:t>Risk Appetite</w:t>
            </w:r>
          </w:p>
        </w:tc>
      </w:tr>
      <w:tr w:rsidR="00D67C53" w:rsidRPr="00DD39EE" w14:paraId="1CD82454" w14:textId="77777777" w:rsidTr="002C4F1C">
        <w:tc>
          <w:tcPr>
            <w:tcW w:w="763" w:type="dxa"/>
          </w:tcPr>
          <w:p w14:paraId="12998CAC" w14:textId="21F83A65" w:rsidR="00D67C53" w:rsidRDefault="00D67C53" w:rsidP="00770B98">
            <w:pPr>
              <w:rPr>
                <w:sz w:val="24"/>
                <w:szCs w:val="24"/>
              </w:rPr>
            </w:pPr>
            <w:r>
              <w:rPr>
                <w:sz w:val="24"/>
                <w:szCs w:val="24"/>
              </w:rPr>
              <w:t>5.2.1</w:t>
            </w:r>
          </w:p>
        </w:tc>
        <w:tc>
          <w:tcPr>
            <w:tcW w:w="8253" w:type="dxa"/>
          </w:tcPr>
          <w:p w14:paraId="5DC413BC" w14:textId="77777777" w:rsidR="005E6E5D" w:rsidRDefault="00735AB4" w:rsidP="005E6E5D">
            <w:pPr>
              <w:rPr>
                <w:sz w:val="24"/>
                <w:szCs w:val="24"/>
              </w:rPr>
            </w:pPr>
            <w:r>
              <w:rPr>
                <w:sz w:val="24"/>
                <w:szCs w:val="24"/>
              </w:rPr>
              <w:t xml:space="preserve">Aidan Horan, IPA outlined the key areas he will </w:t>
            </w:r>
            <w:r w:rsidR="00231B7D">
              <w:rPr>
                <w:sz w:val="24"/>
                <w:szCs w:val="24"/>
              </w:rPr>
              <w:t>concentrate</w:t>
            </w:r>
            <w:r>
              <w:rPr>
                <w:sz w:val="24"/>
                <w:szCs w:val="24"/>
              </w:rPr>
              <w:t xml:space="preserve"> on for the workshop with Board members in developing risk appetite</w:t>
            </w:r>
            <w:r w:rsidR="00231B7D">
              <w:rPr>
                <w:sz w:val="24"/>
                <w:szCs w:val="24"/>
              </w:rPr>
              <w:t xml:space="preserve"> statement</w:t>
            </w:r>
            <w:r w:rsidR="00E83BC1">
              <w:rPr>
                <w:sz w:val="24"/>
                <w:szCs w:val="24"/>
              </w:rPr>
              <w:t xml:space="preserve">, i.e. </w:t>
            </w:r>
            <w:r w:rsidR="00AE131D">
              <w:rPr>
                <w:sz w:val="24"/>
                <w:szCs w:val="24"/>
              </w:rPr>
              <w:t xml:space="preserve"> the </w:t>
            </w:r>
            <w:r w:rsidR="00E83BC1">
              <w:rPr>
                <w:sz w:val="24"/>
                <w:szCs w:val="24"/>
              </w:rPr>
              <w:t xml:space="preserve">existing versus the ideal </w:t>
            </w:r>
            <w:r w:rsidR="00AE131D">
              <w:rPr>
                <w:sz w:val="24"/>
                <w:szCs w:val="24"/>
              </w:rPr>
              <w:t>appetite for risk.  It will also look at the level</w:t>
            </w:r>
            <w:r w:rsidR="00E83BC1">
              <w:rPr>
                <w:sz w:val="24"/>
                <w:szCs w:val="24"/>
              </w:rPr>
              <w:t xml:space="preserve"> at which</w:t>
            </w:r>
            <w:r w:rsidR="00AE131D">
              <w:rPr>
                <w:sz w:val="24"/>
                <w:szCs w:val="24"/>
              </w:rPr>
              <w:t xml:space="preserve"> the Board </w:t>
            </w:r>
            <w:r w:rsidR="00AE131D">
              <w:rPr>
                <w:sz w:val="24"/>
                <w:szCs w:val="24"/>
              </w:rPr>
              <w:lastRenderedPageBreak/>
              <w:t>are willing to take a risk and willing to pursue a challenge.  The workshop will take place on 21</w:t>
            </w:r>
            <w:r w:rsidR="00AE131D">
              <w:rPr>
                <w:sz w:val="24"/>
                <w:szCs w:val="24"/>
                <w:vertAlign w:val="superscript"/>
              </w:rPr>
              <w:t xml:space="preserve"> </w:t>
            </w:r>
            <w:r w:rsidR="00AE131D">
              <w:rPr>
                <w:sz w:val="24"/>
                <w:szCs w:val="24"/>
              </w:rPr>
              <w:t>March.</w:t>
            </w:r>
            <w:r w:rsidR="005E6E5D">
              <w:rPr>
                <w:sz w:val="24"/>
                <w:szCs w:val="24"/>
              </w:rPr>
              <w:t xml:space="preserve">  A workshop will also be arranged for CIB senior management. </w:t>
            </w:r>
          </w:p>
          <w:p w14:paraId="27B66F4A" w14:textId="3EB2926F" w:rsidR="007941A6" w:rsidRDefault="007941A6" w:rsidP="005E6E5D">
            <w:pPr>
              <w:rPr>
                <w:sz w:val="24"/>
                <w:szCs w:val="24"/>
              </w:rPr>
            </w:pPr>
          </w:p>
        </w:tc>
      </w:tr>
      <w:tr w:rsidR="00F90E45" w:rsidRPr="00E767AF" w14:paraId="6FF90365" w14:textId="77777777" w:rsidTr="002C4F1C">
        <w:tc>
          <w:tcPr>
            <w:tcW w:w="763" w:type="dxa"/>
          </w:tcPr>
          <w:p w14:paraId="32FECF86" w14:textId="4A76B0ED" w:rsidR="00F90E45" w:rsidRPr="00E767AF" w:rsidRDefault="00D67C53" w:rsidP="00770B98">
            <w:pPr>
              <w:rPr>
                <w:b/>
                <w:sz w:val="24"/>
                <w:szCs w:val="24"/>
              </w:rPr>
            </w:pPr>
            <w:r>
              <w:rPr>
                <w:b/>
                <w:sz w:val="24"/>
                <w:szCs w:val="24"/>
              </w:rPr>
              <w:lastRenderedPageBreak/>
              <w:t>6</w:t>
            </w:r>
          </w:p>
        </w:tc>
        <w:tc>
          <w:tcPr>
            <w:tcW w:w="8253" w:type="dxa"/>
          </w:tcPr>
          <w:p w14:paraId="746C0B43" w14:textId="7455E2BE" w:rsidR="00F90E45" w:rsidRPr="00AA2BF2" w:rsidRDefault="00072AB6" w:rsidP="00770B98">
            <w:pPr>
              <w:tabs>
                <w:tab w:val="left" w:pos="2822"/>
              </w:tabs>
              <w:rPr>
                <w:b/>
                <w:sz w:val="24"/>
                <w:szCs w:val="24"/>
              </w:rPr>
            </w:pPr>
            <w:r>
              <w:rPr>
                <w:b/>
                <w:sz w:val="24"/>
                <w:szCs w:val="24"/>
              </w:rPr>
              <w:t xml:space="preserve">Committee Meetings </w:t>
            </w:r>
            <w:r w:rsidR="001E128C">
              <w:rPr>
                <w:b/>
                <w:sz w:val="24"/>
                <w:szCs w:val="24"/>
              </w:rPr>
              <w:t>–</w:t>
            </w:r>
            <w:r>
              <w:rPr>
                <w:b/>
                <w:sz w:val="24"/>
                <w:szCs w:val="24"/>
              </w:rPr>
              <w:t xml:space="preserve"> Update</w:t>
            </w:r>
          </w:p>
        </w:tc>
      </w:tr>
      <w:tr w:rsidR="00F90E45" w:rsidRPr="00DD39EE" w14:paraId="56E79C73" w14:textId="77777777" w:rsidTr="002C4F1C">
        <w:tc>
          <w:tcPr>
            <w:tcW w:w="763" w:type="dxa"/>
          </w:tcPr>
          <w:p w14:paraId="3F0435D9" w14:textId="094C8E29" w:rsidR="00F90E45" w:rsidRDefault="00D67C53" w:rsidP="00770B98">
            <w:pPr>
              <w:rPr>
                <w:sz w:val="24"/>
                <w:szCs w:val="24"/>
              </w:rPr>
            </w:pPr>
            <w:r>
              <w:rPr>
                <w:sz w:val="24"/>
                <w:szCs w:val="24"/>
              </w:rPr>
              <w:t>6</w:t>
            </w:r>
            <w:r w:rsidR="00F90E45">
              <w:rPr>
                <w:sz w:val="24"/>
                <w:szCs w:val="24"/>
              </w:rPr>
              <w:t>.1</w:t>
            </w:r>
          </w:p>
        </w:tc>
        <w:tc>
          <w:tcPr>
            <w:tcW w:w="8253" w:type="dxa"/>
          </w:tcPr>
          <w:p w14:paraId="1F929EED" w14:textId="0A07204A" w:rsidR="006829E2" w:rsidRPr="00AA2BF2" w:rsidRDefault="00E76A1E" w:rsidP="00770B98">
            <w:pPr>
              <w:tabs>
                <w:tab w:val="left" w:pos="2822"/>
              </w:tabs>
              <w:rPr>
                <w:sz w:val="24"/>
                <w:szCs w:val="24"/>
              </w:rPr>
            </w:pPr>
            <w:r>
              <w:rPr>
                <w:sz w:val="24"/>
                <w:szCs w:val="24"/>
                <w:u w:val="single"/>
              </w:rPr>
              <w:t>Audit &amp; Risk Committee</w:t>
            </w:r>
            <w:r w:rsidR="006829E2" w:rsidRPr="00AA2BF2">
              <w:rPr>
                <w:sz w:val="24"/>
                <w:szCs w:val="24"/>
              </w:rPr>
              <w:t xml:space="preserve">  </w:t>
            </w:r>
          </w:p>
        </w:tc>
      </w:tr>
      <w:tr w:rsidR="00072473" w:rsidRPr="00DD39EE" w14:paraId="0E7E746F" w14:textId="77777777" w:rsidTr="002C4F1C">
        <w:tc>
          <w:tcPr>
            <w:tcW w:w="763" w:type="dxa"/>
          </w:tcPr>
          <w:p w14:paraId="0E69C404" w14:textId="55E7C8B4" w:rsidR="00072473" w:rsidRDefault="00D67C53" w:rsidP="00770B98">
            <w:pPr>
              <w:rPr>
                <w:sz w:val="24"/>
                <w:szCs w:val="24"/>
              </w:rPr>
            </w:pPr>
            <w:r>
              <w:rPr>
                <w:sz w:val="24"/>
                <w:szCs w:val="24"/>
              </w:rPr>
              <w:t>6</w:t>
            </w:r>
            <w:r w:rsidR="00072AB6">
              <w:rPr>
                <w:sz w:val="24"/>
                <w:szCs w:val="24"/>
              </w:rPr>
              <w:t>.1.1</w:t>
            </w:r>
          </w:p>
        </w:tc>
        <w:tc>
          <w:tcPr>
            <w:tcW w:w="8253" w:type="dxa"/>
          </w:tcPr>
          <w:p w14:paraId="0A9197EF" w14:textId="59759130" w:rsidR="00072473" w:rsidRPr="00AA2BF2" w:rsidRDefault="005E6E5D" w:rsidP="00770B98">
            <w:pPr>
              <w:tabs>
                <w:tab w:val="left" w:pos="2822"/>
              </w:tabs>
              <w:rPr>
                <w:sz w:val="24"/>
                <w:szCs w:val="24"/>
              </w:rPr>
            </w:pPr>
            <w:r>
              <w:rPr>
                <w:sz w:val="24"/>
                <w:szCs w:val="24"/>
              </w:rPr>
              <w:t>Deloitte presented the results of the draft report Review of Internal Financial Controls report for CIB.</w:t>
            </w:r>
          </w:p>
        </w:tc>
      </w:tr>
      <w:tr w:rsidR="00072473" w:rsidRPr="00DD39EE" w14:paraId="23A09949" w14:textId="77777777" w:rsidTr="002C4F1C">
        <w:tc>
          <w:tcPr>
            <w:tcW w:w="763" w:type="dxa"/>
          </w:tcPr>
          <w:p w14:paraId="24457A2D" w14:textId="0BD1A554" w:rsidR="00072473" w:rsidRDefault="00D67C53" w:rsidP="00770B98">
            <w:pPr>
              <w:rPr>
                <w:sz w:val="24"/>
                <w:szCs w:val="24"/>
              </w:rPr>
            </w:pPr>
            <w:r>
              <w:rPr>
                <w:sz w:val="24"/>
                <w:szCs w:val="24"/>
              </w:rPr>
              <w:t>6</w:t>
            </w:r>
            <w:r w:rsidR="004B7694">
              <w:rPr>
                <w:sz w:val="24"/>
                <w:szCs w:val="24"/>
              </w:rPr>
              <w:t>.1.2</w:t>
            </w:r>
          </w:p>
        </w:tc>
        <w:tc>
          <w:tcPr>
            <w:tcW w:w="8253" w:type="dxa"/>
          </w:tcPr>
          <w:p w14:paraId="186CDE80" w14:textId="40CAAF08" w:rsidR="00072473" w:rsidRPr="00AA2BF2" w:rsidRDefault="005E6E5D" w:rsidP="004B7694">
            <w:pPr>
              <w:tabs>
                <w:tab w:val="left" w:pos="2822"/>
              </w:tabs>
              <w:rPr>
                <w:sz w:val="24"/>
                <w:szCs w:val="24"/>
              </w:rPr>
            </w:pPr>
            <w:r>
              <w:rPr>
                <w:sz w:val="24"/>
                <w:szCs w:val="24"/>
              </w:rPr>
              <w:t>Six S</w:t>
            </w:r>
            <w:r w:rsidR="00E83BC1">
              <w:rPr>
                <w:sz w:val="24"/>
                <w:szCs w:val="24"/>
              </w:rPr>
              <w:t xml:space="preserve">ervice </w:t>
            </w:r>
            <w:r>
              <w:rPr>
                <w:sz w:val="24"/>
                <w:szCs w:val="24"/>
              </w:rPr>
              <w:t>D</w:t>
            </w:r>
            <w:r w:rsidR="00E83BC1">
              <w:rPr>
                <w:sz w:val="24"/>
                <w:szCs w:val="24"/>
              </w:rPr>
              <w:t xml:space="preserve">elivery </w:t>
            </w:r>
            <w:r>
              <w:rPr>
                <w:sz w:val="24"/>
                <w:szCs w:val="24"/>
              </w:rPr>
              <w:t>C</w:t>
            </w:r>
            <w:r w:rsidR="00E83BC1">
              <w:rPr>
                <w:sz w:val="24"/>
                <w:szCs w:val="24"/>
              </w:rPr>
              <w:t>ompany</w:t>
            </w:r>
            <w:r>
              <w:rPr>
                <w:sz w:val="24"/>
                <w:szCs w:val="24"/>
              </w:rPr>
              <w:t xml:space="preserve"> reviews are taking place currently and the ICT review will commence in April. </w:t>
            </w:r>
          </w:p>
        </w:tc>
      </w:tr>
      <w:tr w:rsidR="00072473" w:rsidRPr="00DD39EE" w14:paraId="37759253" w14:textId="77777777" w:rsidTr="002C4F1C">
        <w:tc>
          <w:tcPr>
            <w:tcW w:w="763" w:type="dxa"/>
          </w:tcPr>
          <w:p w14:paraId="6325559E" w14:textId="7CF88E20" w:rsidR="00072473" w:rsidRDefault="00D67C53" w:rsidP="00770B98">
            <w:pPr>
              <w:rPr>
                <w:sz w:val="24"/>
                <w:szCs w:val="24"/>
              </w:rPr>
            </w:pPr>
            <w:r>
              <w:rPr>
                <w:sz w:val="24"/>
                <w:szCs w:val="24"/>
              </w:rPr>
              <w:t>6</w:t>
            </w:r>
            <w:r w:rsidR="004B7694">
              <w:rPr>
                <w:sz w:val="24"/>
                <w:szCs w:val="24"/>
              </w:rPr>
              <w:t>.1.3</w:t>
            </w:r>
          </w:p>
        </w:tc>
        <w:tc>
          <w:tcPr>
            <w:tcW w:w="8253" w:type="dxa"/>
          </w:tcPr>
          <w:p w14:paraId="2A526EE8" w14:textId="574E4E5B" w:rsidR="00072473" w:rsidRPr="00AA2BF2" w:rsidRDefault="005E6E5D" w:rsidP="005E6E5D">
            <w:pPr>
              <w:tabs>
                <w:tab w:val="left" w:pos="2822"/>
              </w:tabs>
              <w:rPr>
                <w:sz w:val="24"/>
                <w:szCs w:val="24"/>
              </w:rPr>
            </w:pPr>
            <w:r>
              <w:rPr>
                <w:sz w:val="24"/>
                <w:szCs w:val="24"/>
              </w:rPr>
              <w:t xml:space="preserve">A GDPR gap analysis report was presented to the Committee.  </w:t>
            </w:r>
          </w:p>
        </w:tc>
      </w:tr>
      <w:tr w:rsidR="00072473" w:rsidRPr="00DD39EE" w14:paraId="0196D358" w14:textId="77777777" w:rsidTr="002C4F1C">
        <w:tc>
          <w:tcPr>
            <w:tcW w:w="763" w:type="dxa"/>
          </w:tcPr>
          <w:p w14:paraId="347B3E0A" w14:textId="41ED1EE1" w:rsidR="00072473" w:rsidRDefault="00D67C53" w:rsidP="00770B98">
            <w:pPr>
              <w:rPr>
                <w:sz w:val="24"/>
                <w:szCs w:val="24"/>
              </w:rPr>
            </w:pPr>
            <w:r>
              <w:rPr>
                <w:sz w:val="24"/>
                <w:szCs w:val="24"/>
              </w:rPr>
              <w:t>6</w:t>
            </w:r>
            <w:r w:rsidR="004B7694">
              <w:rPr>
                <w:sz w:val="24"/>
                <w:szCs w:val="24"/>
              </w:rPr>
              <w:t>.1.4</w:t>
            </w:r>
          </w:p>
        </w:tc>
        <w:tc>
          <w:tcPr>
            <w:tcW w:w="8253" w:type="dxa"/>
          </w:tcPr>
          <w:p w14:paraId="7707CED6" w14:textId="19118A1B" w:rsidR="00072473" w:rsidRPr="00AA2BF2" w:rsidRDefault="005E6E5D" w:rsidP="006A6B88">
            <w:pPr>
              <w:tabs>
                <w:tab w:val="left" w:pos="2822"/>
              </w:tabs>
              <w:rPr>
                <w:sz w:val="24"/>
                <w:szCs w:val="24"/>
              </w:rPr>
            </w:pPr>
            <w:r>
              <w:rPr>
                <w:sz w:val="24"/>
                <w:szCs w:val="24"/>
              </w:rPr>
              <w:t xml:space="preserve">The Letter of Engagement from the C&amp;AG was received.  The audit will be undertaken </w:t>
            </w:r>
            <w:r w:rsidR="00E83BC1">
              <w:rPr>
                <w:sz w:val="24"/>
                <w:szCs w:val="24"/>
              </w:rPr>
              <w:t xml:space="preserve">on behalf of the C&amp;AG </w:t>
            </w:r>
            <w:r>
              <w:rPr>
                <w:sz w:val="24"/>
                <w:szCs w:val="24"/>
              </w:rPr>
              <w:t>by an outsourced agency.</w:t>
            </w:r>
          </w:p>
        </w:tc>
      </w:tr>
      <w:tr w:rsidR="00F90E45" w:rsidRPr="00DD39EE" w14:paraId="02D9307A" w14:textId="77777777" w:rsidTr="002C4F1C">
        <w:tc>
          <w:tcPr>
            <w:tcW w:w="763" w:type="dxa"/>
          </w:tcPr>
          <w:p w14:paraId="2E0BEAFB" w14:textId="6CF4CC60" w:rsidR="00F90E45" w:rsidRDefault="00D67C53" w:rsidP="00770B98">
            <w:pPr>
              <w:rPr>
                <w:sz w:val="24"/>
                <w:szCs w:val="24"/>
              </w:rPr>
            </w:pPr>
            <w:r>
              <w:rPr>
                <w:sz w:val="24"/>
                <w:szCs w:val="24"/>
              </w:rPr>
              <w:t>6</w:t>
            </w:r>
            <w:r w:rsidR="00F90E45">
              <w:rPr>
                <w:sz w:val="24"/>
                <w:szCs w:val="24"/>
              </w:rPr>
              <w:t>.2</w:t>
            </w:r>
          </w:p>
        </w:tc>
        <w:tc>
          <w:tcPr>
            <w:tcW w:w="8253" w:type="dxa"/>
          </w:tcPr>
          <w:p w14:paraId="1A4276ED" w14:textId="14CD5924" w:rsidR="00F90E45" w:rsidRPr="00AA2BF2" w:rsidRDefault="00E76A1E" w:rsidP="00770B98">
            <w:pPr>
              <w:tabs>
                <w:tab w:val="left" w:pos="2822"/>
              </w:tabs>
              <w:rPr>
                <w:sz w:val="24"/>
                <w:szCs w:val="24"/>
              </w:rPr>
            </w:pPr>
            <w:r>
              <w:rPr>
                <w:sz w:val="24"/>
                <w:szCs w:val="24"/>
                <w:u w:val="single"/>
              </w:rPr>
              <w:t>GDPR</w:t>
            </w:r>
            <w:r w:rsidR="006A1E9A" w:rsidRPr="00AA2BF2">
              <w:rPr>
                <w:sz w:val="24"/>
                <w:szCs w:val="24"/>
              </w:rPr>
              <w:t xml:space="preserve"> </w:t>
            </w:r>
            <w:r w:rsidR="00BB1C95" w:rsidRPr="00BB1C95">
              <w:rPr>
                <w:i/>
                <w:sz w:val="24"/>
                <w:szCs w:val="24"/>
              </w:rPr>
              <w:t>(A document titled ‘General Data Protection Regulation: Gap Analysis, draft 1’ was circulated in advance of the meeting.)</w:t>
            </w:r>
          </w:p>
        </w:tc>
      </w:tr>
      <w:tr w:rsidR="00FE34C8" w:rsidRPr="00DD39EE" w14:paraId="6F299E33" w14:textId="77777777" w:rsidTr="002C4F1C">
        <w:tc>
          <w:tcPr>
            <w:tcW w:w="763" w:type="dxa"/>
          </w:tcPr>
          <w:p w14:paraId="6CFF3988" w14:textId="358E9DBC" w:rsidR="00FE34C8" w:rsidRDefault="00D67C53" w:rsidP="00770B98">
            <w:pPr>
              <w:rPr>
                <w:sz w:val="24"/>
                <w:szCs w:val="24"/>
              </w:rPr>
            </w:pPr>
            <w:r>
              <w:rPr>
                <w:sz w:val="24"/>
                <w:szCs w:val="24"/>
              </w:rPr>
              <w:t>6</w:t>
            </w:r>
            <w:r w:rsidR="00FE34C8">
              <w:rPr>
                <w:sz w:val="24"/>
                <w:szCs w:val="24"/>
              </w:rPr>
              <w:t>.2.1</w:t>
            </w:r>
          </w:p>
        </w:tc>
        <w:tc>
          <w:tcPr>
            <w:tcW w:w="8253" w:type="dxa"/>
          </w:tcPr>
          <w:p w14:paraId="164EFC16" w14:textId="6250A1FA" w:rsidR="006F4886" w:rsidRPr="00F842B5" w:rsidRDefault="00BB1C95" w:rsidP="00E83BC1">
            <w:pPr>
              <w:tabs>
                <w:tab w:val="left" w:pos="2822"/>
              </w:tabs>
              <w:rPr>
                <w:sz w:val="24"/>
                <w:szCs w:val="24"/>
              </w:rPr>
            </w:pPr>
            <w:r>
              <w:rPr>
                <w:sz w:val="24"/>
                <w:szCs w:val="24"/>
              </w:rPr>
              <w:t xml:space="preserve">Graham Long presented an overview for the meeting.  The General Data Protection Regulation comes into effect on 25 May 2018.  CIB has a number of datasets that relate to its own activities.  It also holds data that relates to the </w:t>
            </w:r>
            <w:r w:rsidR="00E83BC1">
              <w:rPr>
                <w:sz w:val="24"/>
                <w:szCs w:val="24"/>
              </w:rPr>
              <w:t xml:space="preserve">service </w:t>
            </w:r>
            <w:r>
              <w:rPr>
                <w:sz w:val="24"/>
                <w:szCs w:val="24"/>
              </w:rPr>
              <w:t xml:space="preserve">delivery companies, as well as acting as a data processor for those companies.  </w:t>
            </w:r>
            <w:r w:rsidR="004E13F0">
              <w:rPr>
                <w:sz w:val="24"/>
                <w:szCs w:val="24"/>
              </w:rPr>
              <w:t>The document sets out the draft gap analysis as of 23 January 2018 of datasets held by CIB, policies and data processing arrangements in place in CIB, CIB’s data processing activities, awareness of GDPR and measures to improve this and the situation with regard to delivery services and their compliance with the GDPR.  CIB has procured consultancy services in relation to data protection and the GDPR and have had initial meetings with these consultants and this will inform further iterations of this gap analysis.</w:t>
            </w:r>
            <w:r>
              <w:rPr>
                <w:sz w:val="24"/>
                <w:szCs w:val="24"/>
              </w:rPr>
              <w:t xml:space="preserve"> </w:t>
            </w:r>
          </w:p>
        </w:tc>
      </w:tr>
      <w:tr w:rsidR="00E76A1E" w:rsidRPr="00DD39EE" w14:paraId="7F66E18C" w14:textId="77777777" w:rsidTr="002C4F1C">
        <w:tc>
          <w:tcPr>
            <w:tcW w:w="763" w:type="dxa"/>
          </w:tcPr>
          <w:p w14:paraId="32CB9D25" w14:textId="3AEA324F" w:rsidR="00E76A1E" w:rsidRDefault="00D67C53" w:rsidP="00770B98">
            <w:pPr>
              <w:rPr>
                <w:sz w:val="24"/>
                <w:szCs w:val="24"/>
              </w:rPr>
            </w:pPr>
            <w:r>
              <w:rPr>
                <w:sz w:val="24"/>
                <w:szCs w:val="24"/>
              </w:rPr>
              <w:t>6</w:t>
            </w:r>
            <w:r w:rsidR="00E76A1E">
              <w:rPr>
                <w:sz w:val="24"/>
                <w:szCs w:val="24"/>
              </w:rPr>
              <w:t>.3</w:t>
            </w:r>
          </w:p>
        </w:tc>
        <w:tc>
          <w:tcPr>
            <w:tcW w:w="8253" w:type="dxa"/>
          </w:tcPr>
          <w:p w14:paraId="485852A2" w14:textId="05618625" w:rsidR="00E76A1E" w:rsidRPr="00D67C53" w:rsidRDefault="00E76A1E" w:rsidP="00E76A1E">
            <w:pPr>
              <w:tabs>
                <w:tab w:val="left" w:pos="2822"/>
              </w:tabs>
              <w:rPr>
                <w:sz w:val="24"/>
                <w:szCs w:val="24"/>
                <w:u w:val="single"/>
              </w:rPr>
            </w:pPr>
            <w:r w:rsidRPr="00D67C53">
              <w:rPr>
                <w:sz w:val="24"/>
                <w:szCs w:val="24"/>
                <w:u w:val="single"/>
              </w:rPr>
              <w:t>Social Policy Committee</w:t>
            </w:r>
          </w:p>
        </w:tc>
      </w:tr>
      <w:tr w:rsidR="00E76A1E" w:rsidRPr="00DD39EE" w14:paraId="5EA70A15" w14:textId="77777777" w:rsidTr="002C4F1C">
        <w:tc>
          <w:tcPr>
            <w:tcW w:w="763" w:type="dxa"/>
          </w:tcPr>
          <w:p w14:paraId="032F754D" w14:textId="23C23EA6" w:rsidR="00E76A1E" w:rsidRDefault="00D67C53" w:rsidP="00770B98">
            <w:pPr>
              <w:rPr>
                <w:sz w:val="24"/>
                <w:szCs w:val="24"/>
              </w:rPr>
            </w:pPr>
            <w:r>
              <w:rPr>
                <w:sz w:val="24"/>
                <w:szCs w:val="24"/>
              </w:rPr>
              <w:t>6.3.1</w:t>
            </w:r>
          </w:p>
        </w:tc>
        <w:tc>
          <w:tcPr>
            <w:tcW w:w="8253" w:type="dxa"/>
          </w:tcPr>
          <w:p w14:paraId="4EB3B156" w14:textId="1EC764D5" w:rsidR="00E76A1E" w:rsidRPr="00F842B5" w:rsidRDefault="005F62E8" w:rsidP="00E76A1E">
            <w:pPr>
              <w:tabs>
                <w:tab w:val="left" w:pos="2822"/>
              </w:tabs>
              <w:rPr>
                <w:sz w:val="24"/>
                <w:szCs w:val="24"/>
              </w:rPr>
            </w:pPr>
            <w:r>
              <w:rPr>
                <w:sz w:val="24"/>
                <w:szCs w:val="24"/>
              </w:rPr>
              <w:t>The Board was updated on the submissions and reports that have issued.</w:t>
            </w:r>
          </w:p>
        </w:tc>
      </w:tr>
      <w:tr w:rsidR="005F62E8" w:rsidRPr="005F62E8" w14:paraId="6D7FE9D6" w14:textId="77777777" w:rsidTr="002C4F1C">
        <w:tc>
          <w:tcPr>
            <w:tcW w:w="763" w:type="dxa"/>
          </w:tcPr>
          <w:p w14:paraId="7749DE37" w14:textId="483947FB" w:rsidR="005F62E8" w:rsidRPr="005F62E8" w:rsidRDefault="005F62E8" w:rsidP="00770B98">
            <w:pPr>
              <w:rPr>
                <w:sz w:val="24"/>
                <w:szCs w:val="24"/>
              </w:rPr>
            </w:pPr>
            <w:r w:rsidRPr="005F62E8">
              <w:rPr>
                <w:sz w:val="24"/>
                <w:szCs w:val="24"/>
              </w:rPr>
              <w:t>6.3.2</w:t>
            </w:r>
          </w:p>
        </w:tc>
        <w:tc>
          <w:tcPr>
            <w:tcW w:w="8253" w:type="dxa"/>
          </w:tcPr>
          <w:p w14:paraId="783E18C7" w14:textId="3157D9BB" w:rsidR="005F62E8" w:rsidRDefault="005F62E8" w:rsidP="005F62E8">
            <w:pPr>
              <w:rPr>
                <w:sz w:val="24"/>
                <w:szCs w:val="24"/>
              </w:rPr>
            </w:pPr>
            <w:r w:rsidRPr="005F62E8">
              <w:rPr>
                <w:sz w:val="24"/>
                <w:szCs w:val="24"/>
              </w:rPr>
              <w:t xml:space="preserve">Factors in </w:t>
            </w:r>
            <w:r w:rsidR="00E83BC1">
              <w:rPr>
                <w:sz w:val="24"/>
                <w:szCs w:val="24"/>
              </w:rPr>
              <w:t>s</w:t>
            </w:r>
            <w:r w:rsidRPr="005F62E8">
              <w:rPr>
                <w:sz w:val="24"/>
                <w:szCs w:val="24"/>
              </w:rPr>
              <w:t xml:space="preserve">electing Social Policy and Research Topics was discussed at the last meeting, as well as social policy and research priorities for CIB. </w:t>
            </w:r>
          </w:p>
          <w:p w14:paraId="67DEE83A" w14:textId="2CDCAC49" w:rsidR="00411197" w:rsidRPr="005F62E8" w:rsidRDefault="00411197" w:rsidP="005F62E8">
            <w:pPr>
              <w:rPr>
                <w:sz w:val="24"/>
                <w:szCs w:val="24"/>
              </w:rPr>
            </w:pPr>
          </w:p>
        </w:tc>
      </w:tr>
      <w:tr w:rsidR="00F90E45" w:rsidRPr="00DD39EE" w14:paraId="2D93AAC0" w14:textId="77777777" w:rsidTr="002C4F1C">
        <w:tc>
          <w:tcPr>
            <w:tcW w:w="763" w:type="dxa"/>
          </w:tcPr>
          <w:p w14:paraId="6E675E09" w14:textId="77777777" w:rsidR="00F90E45" w:rsidRPr="003809E1" w:rsidRDefault="00F90E45" w:rsidP="00770B98">
            <w:pPr>
              <w:rPr>
                <w:b/>
                <w:sz w:val="24"/>
                <w:szCs w:val="24"/>
              </w:rPr>
            </w:pPr>
            <w:r>
              <w:rPr>
                <w:b/>
                <w:sz w:val="24"/>
                <w:szCs w:val="24"/>
              </w:rPr>
              <w:t>7</w:t>
            </w:r>
          </w:p>
        </w:tc>
        <w:tc>
          <w:tcPr>
            <w:tcW w:w="8253" w:type="dxa"/>
          </w:tcPr>
          <w:p w14:paraId="0E8F6147" w14:textId="259183BA" w:rsidR="00F90E45" w:rsidRPr="00AA2BF2" w:rsidRDefault="00FE34C8" w:rsidP="00770B98">
            <w:pPr>
              <w:rPr>
                <w:b/>
                <w:sz w:val="24"/>
                <w:szCs w:val="24"/>
              </w:rPr>
            </w:pPr>
            <w:r>
              <w:rPr>
                <w:b/>
                <w:sz w:val="24"/>
                <w:szCs w:val="24"/>
              </w:rPr>
              <w:t>Report of the Chief Executive</w:t>
            </w:r>
            <w:r w:rsidR="00411197">
              <w:rPr>
                <w:b/>
                <w:sz w:val="24"/>
                <w:szCs w:val="24"/>
              </w:rPr>
              <w:t xml:space="preserve"> </w:t>
            </w:r>
            <w:r w:rsidR="00411197" w:rsidRPr="00411197">
              <w:rPr>
                <w:i/>
                <w:sz w:val="24"/>
                <w:szCs w:val="24"/>
              </w:rPr>
              <w:t>(The Report of the Chief Executive was issued in advance of the meeting.)</w:t>
            </w:r>
          </w:p>
        </w:tc>
      </w:tr>
      <w:tr w:rsidR="004D4CBB" w:rsidRPr="004D4CBB" w14:paraId="2AA286D0" w14:textId="77777777" w:rsidTr="002C4F1C">
        <w:tc>
          <w:tcPr>
            <w:tcW w:w="763" w:type="dxa"/>
          </w:tcPr>
          <w:p w14:paraId="135DD062" w14:textId="1B2C2F54" w:rsidR="004D4CBB" w:rsidRPr="004D4CBB" w:rsidRDefault="004D4CBB" w:rsidP="00770B98">
            <w:pPr>
              <w:rPr>
                <w:sz w:val="24"/>
                <w:szCs w:val="24"/>
              </w:rPr>
            </w:pPr>
            <w:r w:rsidRPr="004D4CBB">
              <w:rPr>
                <w:sz w:val="24"/>
                <w:szCs w:val="24"/>
              </w:rPr>
              <w:t>7.1</w:t>
            </w:r>
          </w:p>
        </w:tc>
        <w:tc>
          <w:tcPr>
            <w:tcW w:w="8253" w:type="dxa"/>
          </w:tcPr>
          <w:p w14:paraId="110FEA77" w14:textId="70F66C73" w:rsidR="006F4886" w:rsidRPr="004D4CBB" w:rsidRDefault="007A738B" w:rsidP="00E83BC1">
            <w:pPr>
              <w:rPr>
                <w:sz w:val="24"/>
                <w:szCs w:val="24"/>
              </w:rPr>
            </w:pPr>
            <w:r>
              <w:rPr>
                <w:sz w:val="24"/>
                <w:szCs w:val="24"/>
              </w:rPr>
              <w:t>Citizensinformation.ie recorded 19.</w:t>
            </w:r>
            <w:r w:rsidR="00E83BC1">
              <w:rPr>
                <w:sz w:val="24"/>
                <w:szCs w:val="24"/>
              </w:rPr>
              <w:t>8</w:t>
            </w:r>
            <w:r>
              <w:rPr>
                <w:sz w:val="24"/>
                <w:szCs w:val="24"/>
              </w:rPr>
              <w:t xml:space="preserve">m visits in 2017 an increase of 420,000 visits </w:t>
            </w:r>
            <w:r w:rsidR="00E83BC1">
              <w:rPr>
                <w:sz w:val="24"/>
                <w:szCs w:val="24"/>
              </w:rPr>
              <w:t>(</w:t>
            </w:r>
            <w:r>
              <w:rPr>
                <w:sz w:val="24"/>
                <w:szCs w:val="24"/>
              </w:rPr>
              <w:t>2.2%) on 2016.</w:t>
            </w:r>
          </w:p>
        </w:tc>
      </w:tr>
      <w:tr w:rsidR="00411197" w:rsidRPr="004D4CBB" w14:paraId="77DFEB55" w14:textId="77777777" w:rsidTr="002C4F1C">
        <w:tc>
          <w:tcPr>
            <w:tcW w:w="763" w:type="dxa"/>
          </w:tcPr>
          <w:p w14:paraId="7E7F468A" w14:textId="0881C3DA" w:rsidR="00411197" w:rsidRPr="004D4CBB" w:rsidRDefault="00C6089A" w:rsidP="00770B98">
            <w:pPr>
              <w:rPr>
                <w:sz w:val="24"/>
                <w:szCs w:val="24"/>
              </w:rPr>
            </w:pPr>
            <w:r>
              <w:rPr>
                <w:sz w:val="24"/>
                <w:szCs w:val="24"/>
              </w:rPr>
              <w:t>7.2</w:t>
            </w:r>
          </w:p>
        </w:tc>
        <w:tc>
          <w:tcPr>
            <w:tcW w:w="8253" w:type="dxa"/>
          </w:tcPr>
          <w:p w14:paraId="73C21657" w14:textId="03E18E73" w:rsidR="00411197" w:rsidRPr="004D4CBB" w:rsidRDefault="00C6089A" w:rsidP="00E83BC1">
            <w:pPr>
              <w:rPr>
                <w:sz w:val="24"/>
                <w:szCs w:val="24"/>
              </w:rPr>
            </w:pPr>
            <w:r w:rsidRPr="00C6089A">
              <w:rPr>
                <w:sz w:val="24"/>
                <w:szCs w:val="24"/>
              </w:rPr>
              <w:t>In a recent EU Commission progress report, Abhaile was</w:t>
            </w:r>
            <w:r w:rsidR="00E83BC1">
              <w:rPr>
                <w:sz w:val="24"/>
                <w:szCs w:val="24"/>
              </w:rPr>
              <w:t xml:space="preserve"> referred to</w:t>
            </w:r>
            <w:r w:rsidRPr="00C6089A">
              <w:rPr>
                <w:sz w:val="24"/>
                <w:szCs w:val="24"/>
              </w:rPr>
              <w:t xml:space="preserve"> as a key factor in the positive non-performing loans (NPL’s) statistics.</w:t>
            </w:r>
          </w:p>
        </w:tc>
      </w:tr>
      <w:tr w:rsidR="00411197" w:rsidRPr="004D4CBB" w14:paraId="43E41387" w14:textId="77777777" w:rsidTr="002C4F1C">
        <w:tc>
          <w:tcPr>
            <w:tcW w:w="763" w:type="dxa"/>
          </w:tcPr>
          <w:p w14:paraId="686D94E3" w14:textId="225EC79C" w:rsidR="00411197" w:rsidRPr="004D4CBB" w:rsidRDefault="00C6089A" w:rsidP="00770B98">
            <w:pPr>
              <w:rPr>
                <w:sz w:val="24"/>
                <w:szCs w:val="24"/>
              </w:rPr>
            </w:pPr>
            <w:r>
              <w:rPr>
                <w:sz w:val="24"/>
                <w:szCs w:val="24"/>
              </w:rPr>
              <w:t>7.3</w:t>
            </w:r>
          </w:p>
        </w:tc>
        <w:tc>
          <w:tcPr>
            <w:tcW w:w="8253" w:type="dxa"/>
          </w:tcPr>
          <w:p w14:paraId="47B1CE12" w14:textId="0B2E95B4" w:rsidR="00411197" w:rsidRDefault="00C6089A" w:rsidP="00C6089A">
            <w:pPr>
              <w:rPr>
                <w:sz w:val="24"/>
                <w:szCs w:val="24"/>
              </w:rPr>
            </w:pPr>
            <w:r>
              <w:rPr>
                <w:sz w:val="24"/>
                <w:szCs w:val="24"/>
              </w:rPr>
              <w:t xml:space="preserve">A paper prepared by the CIS Staffing Strategy Project Group recommending 10 </w:t>
            </w:r>
            <w:r w:rsidR="00FF7698">
              <w:rPr>
                <w:sz w:val="24"/>
                <w:szCs w:val="24"/>
              </w:rPr>
              <w:t xml:space="preserve">additional </w:t>
            </w:r>
            <w:r>
              <w:rPr>
                <w:sz w:val="24"/>
                <w:szCs w:val="24"/>
              </w:rPr>
              <w:t xml:space="preserve">half-time Information Officer positions in CISs was presented to the meeting.  This paper outlined the 10 services for these posts.  The Board unanimously approved CIB to seek sanction from the DEASP for the </w:t>
            </w:r>
            <w:r w:rsidR="00FF7698">
              <w:rPr>
                <w:sz w:val="24"/>
                <w:szCs w:val="24"/>
              </w:rPr>
              <w:t>posts</w:t>
            </w:r>
            <w:r>
              <w:rPr>
                <w:sz w:val="24"/>
                <w:szCs w:val="24"/>
              </w:rPr>
              <w:t xml:space="preserve">. </w:t>
            </w:r>
          </w:p>
          <w:p w14:paraId="4EF5B9C1" w14:textId="0634BEAE" w:rsidR="002C4F1C" w:rsidRPr="004D4CBB" w:rsidRDefault="002C4F1C" w:rsidP="00C6089A">
            <w:pPr>
              <w:rPr>
                <w:sz w:val="24"/>
                <w:szCs w:val="24"/>
              </w:rPr>
            </w:pPr>
          </w:p>
        </w:tc>
      </w:tr>
      <w:tr w:rsidR="00FE34C8" w:rsidRPr="00DC7CF8" w14:paraId="35D83FA6" w14:textId="77777777" w:rsidTr="002C4F1C">
        <w:tc>
          <w:tcPr>
            <w:tcW w:w="763" w:type="dxa"/>
          </w:tcPr>
          <w:p w14:paraId="0BC71786" w14:textId="72DA152A" w:rsidR="00FE34C8" w:rsidRPr="00DC7CF8" w:rsidRDefault="00FE34C8" w:rsidP="00770B98">
            <w:pPr>
              <w:rPr>
                <w:b/>
                <w:sz w:val="24"/>
                <w:szCs w:val="24"/>
              </w:rPr>
            </w:pPr>
            <w:r w:rsidRPr="00DC7CF8">
              <w:rPr>
                <w:b/>
                <w:sz w:val="24"/>
                <w:szCs w:val="24"/>
              </w:rPr>
              <w:t>8</w:t>
            </w:r>
          </w:p>
        </w:tc>
        <w:tc>
          <w:tcPr>
            <w:tcW w:w="8253" w:type="dxa"/>
          </w:tcPr>
          <w:p w14:paraId="6FDE14FE" w14:textId="423D1E8B" w:rsidR="006F4886" w:rsidRPr="00DC7CF8" w:rsidRDefault="00FE34C8" w:rsidP="00770B98">
            <w:pPr>
              <w:rPr>
                <w:b/>
                <w:sz w:val="24"/>
                <w:szCs w:val="24"/>
              </w:rPr>
            </w:pPr>
            <w:r w:rsidRPr="00DC7CF8">
              <w:rPr>
                <w:b/>
                <w:sz w:val="24"/>
                <w:szCs w:val="24"/>
              </w:rPr>
              <w:t>HR Matters</w:t>
            </w:r>
          </w:p>
        </w:tc>
      </w:tr>
      <w:tr w:rsidR="00FE34C8" w:rsidRPr="00DD39EE" w14:paraId="548ACB60" w14:textId="77777777" w:rsidTr="002C4F1C">
        <w:tc>
          <w:tcPr>
            <w:tcW w:w="763" w:type="dxa"/>
          </w:tcPr>
          <w:p w14:paraId="51EBE0C4" w14:textId="10B6266D" w:rsidR="00FE34C8" w:rsidRDefault="00FE34C8" w:rsidP="00770B98">
            <w:pPr>
              <w:rPr>
                <w:sz w:val="24"/>
                <w:szCs w:val="24"/>
              </w:rPr>
            </w:pPr>
            <w:r>
              <w:rPr>
                <w:sz w:val="24"/>
                <w:szCs w:val="24"/>
              </w:rPr>
              <w:t>8.1</w:t>
            </w:r>
          </w:p>
        </w:tc>
        <w:tc>
          <w:tcPr>
            <w:tcW w:w="8253" w:type="dxa"/>
          </w:tcPr>
          <w:p w14:paraId="35F6C8F0" w14:textId="35538109" w:rsidR="006F4886" w:rsidRDefault="00284A1A" w:rsidP="00284A1A">
            <w:pPr>
              <w:rPr>
                <w:sz w:val="24"/>
                <w:szCs w:val="24"/>
              </w:rPr>
            </w:pPr>
            <w:r>
              <w:rPr>
                <w:sz w:val="24"/>
                <w:szCs w:val="24"/>
              </w:rPr>
              <w:t>CIB are continuing to seek the r</w:t>
            </w:r>
            <w:r w:rsidR="00FE34C8" w:rsidRPr="007A164E">
              <w:rPr>
                <w:sz w:val="24"/>
                <w:szCs w:val="24"/>
              </w:rPr>
              <w:t xml:space="preserve">emoval of </w:t>
            </w:r>
            <w:r w:rsidR="007A164E">
              <w:rPr>
                <w:sz w:val="24"/>
                <w:szCs w:val="24"/>
              </w:rPr>
              <w:t xml:space="preserve">the </w:t>
            </w:r>
            <w:r w:rsidR="00FE34C8" w:rsidRPr="007A164E">
              <w:rPr>
                <w:sz w:val="24"/>
                <w:szCs w:val="24"/>
              </w:rPr>
              <w:t>E</w:t>
            </w:r>
            <w:r w:rsidR="007A164E">
              <w:rPr>
                <w:sz w:val="24"/>
                <w:szCs w:val="24"/>
              </w:rPr>
              <w:t xml:space="preserve">mployment </w:t>
            </w:r>
            <w:r w:rsidR="00FE34C8" w:rsidRPr="007A164E">
              <w:rPr>
                <w:sz w:val="24"/>
                <w:szCs w:val="24"/>
              </w:rPr>
              <w:t>C</w:t>
            </w:r>
            <w:r w:rsidR="007A164E">
              <w:rPr>
                <w:sz w:val="24"/>
                <w:szCs w:val="24"/>
              </w:rPr>
              <w:t xml:space="preserve">ontrol </w:t>
            </w:r>
            <w:r w:rsidR="00FE34C8" w:rsidRPr="007A164E">
              <w:rPr>
                <w:sz w:val="24"/>
                <w:szCs w:val="24"/>
              </w:rPr>
              <w:t>F</w:t>
            </w:r>
            <w:r w:rsidR="007A164E">
              <w:rPr>
                <w:sz w:val="24"/>
                <w:szCs w:val="24"/>
              </w:rPr>
              <w:t>ramework (ECF)</w:t>
            </w:r>
            <w:r w:rsidR="00FE34C8" w:rsidRPr="007A164E">
              <w:rPr>
                <w:sz w:val="24"/>
                <w:szCs w:val="24"/>
              </w:rPr>
              <w:t xml:space="preserve"> </w:t>
            </w:r>
            <w:r w:rsidR="00D67C53">
              <w:rPr>
                <w:sz w:val="24"/>
                <w:szCs w:val="24"/>
              </w:rPr>
              <w:t>cap to manage staffing in 2018</w:t>
            </w:r>
            <w:r w:rsidR="00FF7698">
              <w:rPr>
                <w:sz w:val="24"/>
                <w:szCs w:val="24"/>
              </w:rPr>
              <w:t xml:space="preserve">. </w:t>
            </w:r>
            <w:r>
              <w:rPr>
                <w:sz w:val="24"/>
                <w:szCs w:val="24"/>
              </w:rPr>
              <w:t xml:space="preserve">In order to deliver on a performance agreement, the Chief Executive and Executive require resources in place.  If the performance agreement </w:t>
            </w:r>
            <w:r w:rsidR="00FF7698">
              <w:rPr>
                <w:sz w:val="24"/>
                <w:szCs w:val="24"/>
              </w:rPr>
              <w:t xml:space="preserve">requirements </w:t>
            </w:r>
            <w:r>
              <w:rPr>
                <w:sz w:val="24"/>
                <w:szCs w:val="24"/>
              </w:rPr>
              <w:t>can</w:t>
            </w:r>
            <w:r w:rsidR="00FF7698">
              <w:rPr>
                <w:sz w:val="24"/>
                <w:szCs w:val="24"/>
              </w:rPr>
              <w:t>not</w:t>
            </w:r>
            <w:r>
              <w:rPr>
                <w:sz w:val="24"/>
                <w:szCs w:val="24"/>
              </w:rPr>
              <w:t xml:space="preserve"> be </w:t>
            </w:r>
            <w:r w:rsidR="00FF7698">
              <w:rPr>
                <w:sz w:val="24"/>
                <w:szCs w:val="24"/>
              </w:rPr>
              <w:t>achieved</w:t>
            </w:r>
            <w:r>
              <w:rPr>
                <w:sz w:val="24"/>
                <w:szCs w:val="24"/>
              </w:rPr>
              <w:t xml:space="preserve">, a note should issue to </w:t>
            </w:r>
            <w:r>
              <w:rPr>
                <w:sz w:val="24"/>
                <w:szCs w:val="24"/>
              </w:rPr>
              <w:lastRenderedPageBreak/>
              <w:t>the next Board meeting for the record.</w:t>
            </w:r>
          </w:p>
          <w:p w14:paraId="611A99CA" w14:textId="4B53BAC6" w:rsidR="002C4F1C" w:rsidRPr="007A164E" w:rsidRDefault="002C4F1C" w:rsidP="00284A1A">
            <w:pPr>
              <w:rPr>
                <w:sz w:val="24"/>
                <w:szCs w:val="24"/>
              </w:rPr>
            </w:pPr>
          </w:p>
        </w:tc>
      </w:tr>
      <w:tr w:rsidR="00FE34C8" w:rsidRPr="00362740" w14:paraId="29297B91" w14:textId="77777777" w:rsidTr="002C4F1C">
        <w:tc>
          <w:tcPr>
            <w:tcW w:w="763" w:type="dxa"/>
          </w:tcPr>
          <w:p w14:paraId="15AA48F0" w14:textId="1B54E5FB" w:rsidR="00FE34C8" w:rsidRPr="00362740" w:rsidRDefault="00362740" w:rsidP="00770B98">
            <w:pPr>
              <w:rPr>
                <w:b/>
                <w:sz w:val="24"/>
                <w:szCs w:val="24"/>
              </w:rPr>
            </w:pPr>
            <w:r w:rsidRPr="00362740">
              <w:rPr>
                <w:b/>
                <w:sz w:val="24"/>
                <w:szCs w:val="24"/>
              </w:rPr>
              <w:lastRenderedPageBreak/>
              <w:t>9</w:t>
            </w:r>
          </w:p>
        </w:tc>
        <w:tc>
          <w:tcPr>
            <w:tcW w:w="8253" w:type="dxa"/>
          </w:tcPr>
          <w:p w14:paraId="40BCE1A6" w14:textId="360967AC" w:rsidR="00FE34C8" w:rsidRPr="00362740" w:rsidRDefault="00362740" w:rsidP="00770B98">
            <w:pPr>
              <w:rPr>
                <w:b/>
                <w:sz w:val="24"/>
                <w:szCs w:val="24"/>
              </w:rPr>
            </w:pPr>
            <w:r w:rsidRPr="00362740">
              <w:rPr>
                <w:b/>
                <w:sz w:val="24"/>
                <w:szCs w:val="24"/>
              </w:rPr>
              <w:t>CIB Strategic Plan</w:t>
            </w:r>
            <w:r w:rsidR="00C733D4">
              <w:rPr>
                <w:b/>
                <w:sz w:val="24"/>
                <w:szCs w:val="24"/>
              </w:rPr>
              <w:t xml:space="preserve"> </w:t>
            </w:r>
            <w:r w:rsidR="00C733D4" w:rsidRPr="00C733D4">
              <w:rPr>
                <w:i/>
                <w:sz w:val="24"/>
                <w:szCs w:val="24"/>
              </w:rPr>
              <w:t>(A document titled ‘Board Strategy Working Group – Discussion Document: Strategic Plan 2018-2020’ was circulated in advance of the meeting.</w:t>
            </w:r>
            <w:r w:rsidR="00C733D4">
              <w:rPr>
                <w:b/>
                <w:sz w:val="24"/>
                <w:szCs w:val="24"/>
              </w:rPr>
              <w:t xml:space="preserve"> </w:t>
            </w:r>
          </w:p>
        </w:tc>
      </w:tr>
      <w:tr w:rsidR="00FE34C8" w:rsidRPr="00DD39EE" w14:paraId="06D06FC3" w14:textId="77777777" w:rsidTr="002C4F1C">
        <w:tc>
          <w:tcPr>
            <w:tcW w:w="763" w:type="dxa"/>
          </w:tcPr>
          <w:p w14:paraId="28FF55E2" w14:textId="52AB49A3" w:rsidR="00FE34C8" w:rsidRDefault="00362740" w:rsidP="00770B98">
            <w:pPr>
              <w:rPr>
                <w:sz w:val="24"/>
                <w:szCs w:val="24"/>
              </w:rPr>
            </w:pPr>
            <w:r>
              <w:rPr>
                <w:sz w:val="24"/>
                <w:szCs w:val="24"/>
              </w:rPr>
              <w:t>9.1</w:t>
            </w:r>
          </w:p>
        </w:tc>
        <w:tc>
          <w:tcPr>
            <w:tcW w:w="8253" w:type="dxa"/>
          </w:tcPr>
          <w:p w14:paraId="161AA074" w14:textId="77777777" w:rsidR="006F4886" w:rsidRDefault="00C733D4" w:rsidP="00C733D4">
            <w:pPr>
              <w:rPr>
                <w:sz w:val="24"/>
                <w:szCs w:val="24"/>
              </w:rPr>
            </w:pPr>
            <w:r>
              <w:rPr>
                <w:sz w:val="24"/>
                <w:szCs w:val="24"/>
              </w:rPr>
              <w:t>The sub-committee of the Board met in January.  The broad thrust of the plan was approved and the Group will arrange to discuss with the Executive and draw up a plan for further development and consultation with relevant stakeholders.</w:t>
            </w:r>
          </w:p>
          <w:p w14:paraId="668E93FE" w14:textId="231605A4" w:rsidR="002C4F1C" w:rsidRPr="00AA2BF2" w:rsidRDefault="002C4F1C" w:rsidP="00C733D4">
            <w:pPr>
              <w:rPr>
                <w:sz w:val="24"/>
                <w:szCs w:val="24"/>
              </w:rPr>
            </w:pPr>
          </w:p>
        </w:tc>
      </w:tr>
      <w:tr w:rsidR="00F90E45" w:rsidRPr="00FF1F00" w14:paraId="047AEDD9" w14:textId="77777777" w:rsidTr="002C4F1C">
        <w:tc>
          <w:tcPr>
            <w:tcW w:w="763" w:type="dxa"/>
          </w:tcPr>
          <w:p w14:paraId="64FF6715" w14:textId="56FFADE1" w:rsidR="00F90E45" w:rsidRPr="00FF1F00" w:rsidRDefault="00362740" w:rsidP="00770B98">
            <w:pPr>
              <w:rPr>
                <w:b/>
                <w:sz w:val="24"/>
                <w:szCs w:val="24"/>
              </w:rPr>
            </w:pPr>
            <w:r>
              <w:rPr>
                <w:b/>
                <w:sz w:val="24"/>
                <w:szCs w:val="24"/>
              </w:rPr>
              <w:t>10</w:t>
            </w:r>
          </w:p>
        </w:tc>
        <w:tc>
          <w:tcPr>
            <w:tcW w:w="8253" w:type="dxa"/>
          </w:tcPr>
          <w:p w14:paraId="35226B4B" w14:textId="77777777" w:rsidR="00F90E45" w:rsidRPr="00AA2BF2" w:rsidRDefault="00F90E45" w:rsidP="00770B98">
            <w:pPr>
              <w:rPr>
                <w:b/>
                <w:sz w:val="24"/>
                <w:szCs w:val="24"/>
              </w:rPr>
            </w:pPr>
            <w:r w:rsidRPr="00AA2BF2">
              <w:rPr>
                <w:b/>
                <w:sz w:val="24"/>
                <w:szCs w:val="24"/>
              </w:rPr>
              <w:t xml:space="preserve">Date of the next Meeting </w:t>
            </w:r>
          </w:p>
        </w:tc>
      </w:tr>
      <w:tr w:rsidR="00F90E45" w:rsidRPr="00DD39EE" w14:paraId="6E2CC3CC" w14:textId="77777777" w:rsidTr="002C4F1C">
        <w:tc>
          <w:tcPr>
            <w:tcW w:w="763" w:type="dxa"/>
          </w:tcPr>
          <w:p w14:paraId="7B0349E3" w14:textId="0B81051E" w:rsidR="00F90E45" w:rsidRPr="00DD39EE" w:rsidRDefault="00362740" w:rsidP="00770B98">
            <w:pPr>
              <w:rPr>
                <w:sz w:val="24"/>
                <w:szCs w:val="24"/>
              </w:rPr>
            </w:pPr>
            <w:r>
              <w:rPr>
                <w:sz w:val="24"/>
                <w:szCs w:val="24"/>
              </w:rPr>
              <w:t>10</w:t>
            </w:r>
            <w:r w:rsidR="00F90E45">
              <w:rPr>
                <w:sz w:val="24"/>
                <w:szCs w:val="24"/>
              </w:rPr>
              <w:t>.1</w:t>
            </w:r>
          </w:p>
        </w:tc>
        <w:tc>
          <w:tcPr>
            <w:tcW w:w="8253" w:type="dxa"/>
          </w:tcPr>
          <w:p w14:paraId="4836822D" w14:textId="230B1A3D" w:rsidR="00F90E45" w:rsidRPr="00AA2BF2" w:rsidRDefault="00F90E45" w:rsidP="00D67C53">
            <w:pPr>
              <w:rPr>
                <w:sz w:val="24"/>
                <w:szCs w:val="24"/>
              </w:rPr>
            </w:pPr>
            <w:r w:rsidRPr="00AA2BF2">
              <w:rPr>
                <w:sz w:val="24"/>
                <w:szCs w:val="24"/>
              </w:rPr>
              <w:t xml:space="preserve">The next meeting of the Board will take place on </w:t>
            </w:r>
            <w:r w:rsidR="005B23B8" w:rsidRPr="00AA2BF2">
              <w:rPr>
                <w:sz w:val="24"/>
                <w:szCs w:val="24"/>
              </w:rPr>
              <w:t xml:space="preserve">Wednesday </w:t>
            </w:r>
            <w:r w:rsidR="00D67C53">
              <w:rPr>
                <w:sz w:val="24"/>
                <w:szCs w:val="24"/>
              </w:rPr>
              <w:t xml:space="preserve">21 March </w:t>
            </w:r>
            <w:r w:rsidR="002867AF">
              <w:rPr>
                <w:sz w:val="24"/>
                <w:szCs w:val="24"/>
              </w:rPr>
              <w:t>201</w:t>
            </w:r>
            <w:r w:rsidR="00362740">
              <w:rPr>
                <w:sz w:val="24"/>
                <w:szCs w:val="24"/>
              </w:rPr>
              <w:t>8</w:t>
            </w:r>
            <w:r w:rsidRPr="00AA2BF2">
              <w:rPr>
                <w:sz w:val="24"/>
                <w:szCs w:val="24"/>
              </w:rPr>
              <w:t xml:space="preserve"> at 1.30pm.  </w:t>
            </w:r>
          </w:p>
        </w:tc>
      </w:tr>
    </w:tbl>
    <w:p w14:paraId="466065F1" w14:textId="77777777" w:rsidR="00682CD3" w:rsidRDefault="00682CD3" w:rsidP="00770B98">
      <w:pPr>
        <w:rPr>
          <w:sz w:val="24"/>
          <w:szCs w:val="24"/>
        </w:rPr>
      </w:pPr>
    </w:p>
    <w:p w14:paraId="1BDD4698" w14:textId="77777777" w:rsidR="00036650" w:rsidRDefault="00036650" w:rsidP="00770B98">
      <w:pPr>
        <w:rPr>
          <w:sz w:val="24"/>
          <w:szCs w:val="24"/>
        </w:rPr>
      </w:pPr>
    </w:p>
    <w:p w14:paraId="2D0C3CFF" w14:textId="77777777" w:rsidR="00036650" w:rsidRDefault="00036650" w:rsidP="00770B98">
      <w:pPr>
        <w:rPr>
          <w:sz w:val="24"/>
          <w:szCs w:val="24"/>
        </w:rPr>
      </w:pPr>
    </w:p>
    <w:p w14:paraId="498CDE93" w14:textId="77777777" w:rsidR="00036650" w:rsidRDefault="00036650" w:rsidP="00770B98">
      <w:pPr>
        <w:rPr>
          <w:sz w:val="24"/>
          <w:szCs w:val="24"/>
        </w:rPr>
      </w:pPr>
    </w:p>
    <w:sectPr w:rsidR="00036650" w:rsidSect="000F19E9">
      <w:headerReference w:type="even" r:id="rId8"/>
      <w:headerReference w:type="default" r:id="rId9"/>
      <w:footerReference w:type="default" r:id="rId10"/>
      <w:headerReference w:type="first" r:id="rId11"/>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5FD27" w14:textId="77777777" w:rsidR="00B32D51" w:rsidRDefault="00B32D51" w:rsidP="00253E0A">
      <w:r>
        <w:separator/>
      </w:r>
    </w:p>
  </w:endnote>
  <w:endnote w:type="continuationSeparator" w:id="0">
    <w:p w14:paraId="5750FE95" w14:textId="77777777" w:rsidR="00B32D51" w:rsidRDefault="00B32D5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400811"/>
      <w:docPartObj>
        <w:docPartGallery w:val="Page Numbers (Bottom of Page)"/>
        <w:docPartUnique/>
      </w:docPartObj>
    </w:sdtPr>
    <w:sdtEndPr/>
    <w:sdtContent>
      <w:sdt>
        <w:sdtPr>
          <w:id w:val="1728636285"/>
          <w:docPartObj>
            <w:docPartGallery w:val="Page Numbers (Top of Page)"/>
            <w:docPartUnique/>
          </w:docPartObj>
        </w:sdtPr>
        <w:sdtEndPr/>
        <w:sdtContent>
          <w:p w14:paraId="418E0D9D" w14:textId="67D2230A" w:rsidR="00897830" w:rsidRDefault="008978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0E2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0E24">
              <w:rPr>
                <w:b/>
                <w:bCs/>
                <w:noProof/>
              </w:rPr>
              <w:t>4</w:t>
            </w:r>
            <w:r>
              <w:rPr>
                <w:b/>
                <w:bCs/>
                <w:sz w:val="24"/>
                <w:szCs w:val="24"/>
              </w:rPr>
              <w:fldChar w:fldCharType="end"/>
            </w:r>
          </w:p>
        </w:sdtContent>
      </w:sdt>
    </w:sdtContent>
  </w:sdt>
  <w:p w14:paraId="3D3D4F98" w14:textId="77777777" w:rsidR="00253E0A" w:rsidRPr="00DA4441" w:rsidRDefault="00253E0A" w:rsidP="00DA4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5A1C9" w14:textId="77777777" w:rsidR="00B32D51" w:rsidRDefault="00B32D51" w:rsidP="00253E0A">
      <w:r>
        <w:separator/>
      </w:r>
    </w:p>
  </w:footnote>
  <w:footnote w:type="continuationSeparator" w:id="0">
    <w:p w14:paraId="463EA7E1" w14:textId="77777777" w:rsidR="00B32D51" w:rsidRDefault="00B32D51" w:rsidP="0025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B00F5" w14:textId="0381E9EE" w:rsidR="00DA4441" w:rsidRDefault="00DA4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6F88" w14:textId="29F7F3F4" w:rsidR="00DA4441" w:rsidRPr="00ED169D" w:rsidRDefault="00DA4441" w:rsidP="00ED169D">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931C" w14:textId="4C58BE1B" w:rsidR="00DA4441" w:rsidRDefault="00DA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E76"/>
    <w:multiLevelType w:val="multilevel"/>
    <w:tmpl w:val="7CD2251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643E59"/>
    <w:multiLevelType w:val="hybridMultilevel"/>
    <w:tmpl w:val="207C7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8B481D"/>
    <w:multiLevelType w:val="hybridMultilevel"/>
    <w:tmpl w:val="A5206F0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110C7"/>
    <w:rsid w:val="0001388E"/>
    <w:rsid w:val="00013AE9"/>
    <w:rsid w:val="00016236"/>
    <w:rsid w:val="00021266"/>
    <w:rsid w:val="000214EF"/>
    <w:rsid w:val="000269CA"/>
    <w:rsid w:val="00027C12"/>
    <w:rsid w:val="00031A49"/>
    <w:rsid w:val="0003557A"/>
    <w:rsid w:val="0003580A"/>
    <w:rsid w:val="00036650"/>
    <w:rsid w:val="00036DE3"/>
    <w:rsid w:val="00043916"/>
    <w:rsid w:val="00051F67"/>
    <w:rsid w:val="00054924"/>
    <w:rsid w:val="000550DD"/>
    <w:rsid w:val="000553A0"/>
    <w:rsid w:val="00056150"/>
    <w:rsid w:val="00060D52"/>
    <w:rsid w:val="000646B0"/>
    <w:rsid w:val="00065D25"/>
    <w:rsid w:val="00072473"/>
    <w:rsid w:val="00072AB6"/>
    <w:rsid w:val="00073232"/>
    <w:rsid w:val="000738BC"/>
    <w:rsid w:val="0007405C"/>
    <w:rsid w:val="00082ED4"/>
    <w:rsid w:val="00083132"/>
    <w:rsid w:val="00086D0C"/>
    <w:rsid w:val="0008789A"/>
    <w:rsid w:val="000908D9"/>
    <w:rsid w:val="0009318E"/>
    <w:rsid w:val="000B7621"/>
    <w:rsid w:val="000C137C"/>
    <w:rsid w:val="000D276D"/>
    <w:rsid w:val="000D35CE"/>
    <w:rsid w:val="000D4F5F"/>
    <w:rsid w:val="000D6A6C"/>
    <w:rsid w:val="000E1FD9"/>
    <w:rsid w:val="000E2DA3"/>
    <w:rsid w:val="000E71A5"/>
    <w:rsid w:val="000F19E9"/>
    <w:rsid w:val="000F3431"/>
    <w:rsid w:val="000F44CC"/>
    <w:rsid w:val="000F4961"/>
    <w:rsid w:val="00101E8E"/>
    <w:rsid w:val="00110523"/>
    <w:rsid w:val="00116CA1"/>
    <w:rsid w:val="00117242"/>
    <w:rsid w:val="00120677"/>
    <w:rsid w:val="001211AD"/>
    <w:rsid w:val="001247D8"/>
    <w:rsid w:val="00127E24"/>
    <w:rsid w:val="001305A9"/>
    <w:rsid w:val="00133FB8"/>
    <w:rsid w:val="00163EB6"/>
    <w:rsid w:val="00167268"/>
    <w:rsid w:val="001734D5"/>
    <w:rsid w:val="00177D62"/>
    <w:rsid w:val="00184481"/>
    <w:rsid w:val="0018555D"/>
    <w:rsid w:val="001972B7"/>
    <w:rsid w:val="001A072F"/>
    <w:rsid w:val="001A2E70"/>
    <w:rsid w:val="001B5436"/>
    <w:rsid w:val="001C4D9E"/>
    <w:rsid w:val="001D1A84"/>
    <w:rsid w:val="001E128C"/>
    <w:rsid w:val="001F2DE7"/>
    <w:rsid w:val="001F32C7"/>
    <w:rsid w:val="001F777F"/>
    <w:rsid w:val="002030F9"/>
    <w:rsid w:val="00205211"/>
    <w:rsid w:val="00206A7E"/>
    <w:rsid w:val="00207853"/>
    <w:rsid w:val="00210FFB"/>
    <w:rsid w:val="00222EA3"/>
    <w:rsid w:val="00223310"/>
    <w:rsid w:val="00225180"/>
    <w:rsid w:val="0023121B"/>
    <w:rsid w:val="00231B7D"/>
    <w:rsid w:val="0024260C"/>
    <w:rsid w:val="002437A6"/>
    <w:rsid w:val="002452FE"/>
    <w:rsid w:val="00253E0A"/>
    <w:rsid w:val="00256381"/>
    <w:rsid w:val="00262E9F"/>
    <w:rsid w:val="002668AB"/>
    <w:rsid w:val="00274184"/>
    <w:rsid w:val="00275F87"/>
    <w:rsid w:val="00284A1A"/>
    <w:rsid w:val="002867AF"/>
    <w:rsid w:val="0028711A"/>
    <w:rsid w:val="002B6F1A"/>
    <w:rsid w:val="002C3FF5"/>
    <w:rsid w:val="002C4F1C"/>
    <w:rsid w:val="002D2F5B"/>
    <w:rsid w:val="002E0189"/>
    <w:rsid w:val="002E2F27"/>
    <w:rsid w:val="002E4A8E"/>
    <w:rsid w:val="002F1665"/>
    <w:rsid w:val="002F304C"/>
    <w:rsid w:val="002F3BBF"/>
    <w:rsid w:val="002F3E91"/>
    <w:rsid w:val="002F4AFA"/>
    <w:rsid w:val="002F7526"/>
    <w:rsid w:val="002F7F48"/>
    <w:rsid w:val="003025C7"/>
    <w:rsid w:val="00305E2A"/>
    <w:rsid w:val="003161EB"/>
    <w:rsid w:val="00316449"/>
    <w:rsid w:val="00317989"/>
    <w:rsid w:val="003214E0"/>
    <w:rsid w:val="003226A1"/>
    <w:rsid w:val="00340314"/>
    <w:rsid w:val="00344369"/>
    <w:rsid w:val="003560D3"/>
    <w:rsid w:val="00362740"/>
    <w:rsid w:val="0037191C"/>
    <w:rsid w:val="003809E1"/>
    <w:rsid w:val="00380C43"/>
    <w:rsid w:val="00380F83"/>
    <w:rsid w:val="00380FB1"/>
    <w:rsid w:val="003919E8"/>
    <w:rsid w:val="00393B40"/>
    <w:rsid w:val="003A1153"/>
    <w:rsid w:val="003A5A19"/>
    <w:rsid w:val="003A78BC"/>
    <w:rsid w:val="003A7F61"/>
    <w:rsid w:val="003B0825"/>
    <w:rsid w:val="003B3D3C"/>
    <w:rsid w:val="003B4371"/>
    <w:rsid w:val="003C0EB2"/>
    <w:rsid w:val="003C20AD"/>
    <w:rsid w:val="003D3BA3"/>
    <w:rsid w:val="003E0975"/>
    <w:rsid w:val="003E52F7"/>
    <w:rsid w:val="003E7002"/>
    <w:rsid w:val="003F2FCC"/>
    <w:rsid w:val="003F6140"/>
    <w:rsid w:val="004016DD"/>
    <w:rsid w:val="00411197"/>
    <w:rsid w:val="0041495A"/>
    <w:rsid w:val="004169B0"/>
    <w:rsid w:val="00434A64"/>
    <w:rsid w:val="00441F46"/>
    <w:rsid w:val="0044287F"/>
    <w:rsid w:val="00446426"/>
    <w:rsid w:val="00453032"/>
    <w:rsid w:val="00456740"/>
    <w:rsid w:val="0046025E"/>
    <w:rsid w:val="00465639"/>
    <w:rsid w:val="00473D3A"/>
    <w:rsid w:val="0047699A"/>
    <w:rsid w:val="00481E1A"/>
    <w:rsid w:val="004842DA"/>
    <w:rsid w:val="00491B95"/>
    <w:rsid w:val="004932EC"/>
    <w:rsid w:val="004A3489"/>
    <w:rsid w:val="004A3C55"/>
    <w:rsid w:val="004A49D9"/>
    <w:rsid w:val="004A6C7E"/>
    <w:rsid w:val="004B2CAC"/>
    <w:rsid w:val="004B681F"/>
    <w:rsid w:val="004B7694"/>
    <w:rsid w:val="004D48EE"/>
    <w:rsid w:val="004D4CBB"/>
    <w:rsid w:val="004D4D17"/>
    <w:rsid w:val="004D4D2A"/>
    <w:rsid w:val="004E096B"/>
    <w:rsid w:val="004E13F0"/>
    <w:rsid w:val="004E689D"/>
    <w:rsid w:val="004E6A28"/>
    <w:rsid w:val="004F1454"/>
    <w:rsid w:val="004F1AFD"/>
    <w:rsid w:val="004F30CD"/>
    <w:rsid w:val="004F31AF"/>
    <w:rsid w:val="004F446E"/>
    <w:rsid w:val="00504FF1"/>
    <w:rsid w:val="00514CE1"/>
    <w:rsid w:val="005215DA"/>
    <w:rsid w:val="005249F3"/>
    <w:rsid w:val="00531374"/>
    <w:rsid w:val="00533536"/>
    <w:rsid w:val="00535086"/>
    <w:rsid w:val="00541834"/>
    <w:rsid w:val="00557A94"/>
    <w:rsid w:val="00561652"/>
    <w:rsid w:val="00561F9F"/>
    <w:rsid w:val="00570FD6"/>
    <w:rsid w:val="00573875"/>
    <w:rsid w:val="00573B66"/>
    <w:rsid w:val="00573E9A"/>
    <w:rsid w:val="00592D01"/>
    <w:rsid w:val="00593953"/>
    <w:rsid w:val="00595AE5"/>
    <w:rsid w:val="00596012"/>
    <w:rsid w:val="0059619A"/>
    <w:rsid w:val="005A081A"/>
    <w:rsid w:val="005A2830"/>
    <w:rsid w:val="005A3F47"/>
    <w:rsid w:val="005A6535"/>
    <w:rsid w:val="005B23B8"/>
    <w:rsid w:val="005B381C"/>
    <w:rsid w:val="005B4E20"/>
    <w:rsid w:val="005C486C"/>
    <w:rsid w:val="005C7ADA"/>
    <w:rsid w:val="005D063F"/>
    <w:rsid w:val="005E6E5D"/>
    <w:rsid w:val="005F62E8"/>
    <w:rsid w:val="006139F4"/>
    <w:rsid w:val="006263C8"/>
    <w:rsid w:val="00631438"/>
    <w:rsid w:val="006359E9"/>
    <w:rsid w:val="0063668D"/>
    <w:rsid w:val="0064020E"/>
    <w:rsid w:val="00645BBC"/>
    <w:rsid w:val="00651FC3"/>
    <w:rsid w:val="0065511E"/>
    <w:rsid w:val="0065628B"/>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DD5"/>
    <w:rsid w:val="006B6DE7"/>
    <w:rsid w:val="006C316D"/>
    <w:rsid w:val="006C62E8"/>
    <w:rsid w:val="006D5BB3"/>
    <w:rsid w:val="006F3A83"/>
    <w:rsid w:val="006F4886"/>
    <w:rsid w:val="00701D27"/>
    <w:rsid w:val="0070567D"/>
    <w:rsid w:val="00715E0B"/>
    <w:rsid w:val="00724614"/>
    <w:rsid w:val="007251DB"/>
    <w:rsid w:val="007340D6"/>
    <w:rsid w:val="0073549F"/>
    <w:rsid w:val="00735AB4"/>
    <w:rsid w:val="0074366F"/>
    <w:rsid w:val="00744DFB"/>
    <w:rsid w:val="007479CD"/>
    <w:rsid w:val="007514EC"/>
    <w:rsid w:val="007541C7"/>
    <w:rsid w:val="007640E4"/>
    <w:rsid w:val="00765B46"/>
    <w:rsid w:val="00766A27"/>
    <w:rsid w:val="00767570"/>
    <w:rsid w:val="00770B98"/>
    <w:rsid w:val="007732B2"/>
    <w:rsid w:val="007753D5"/>
    <w:rsid w:val="00776E24"/>
    <w:rsid w:val="007807AA"/>
    <w:rsid w:val="00781496"/>
    <w:rsid w:val="007827CF"/>
    <w:rsid w:val="0079096B"/>
    <w:rsid w:val="0079099F"/>
    <w:rsid w:val="007941A6"/>
    <w:rsid w:val="007956A0"/>
    <w:rsid w:val="007A11CF"/>
    <w:rsid w:val="007A164E"/>
    <w:rsid w:val="007A6D4E"/>
    <w:rsid w:val="007A738B"/>
    <w:rsid w:val="007B028B"/>
    <w:rsid w:val="007B18E8"/>
    <w:rsid w:val="007D29BC"/>
    <w:rsid w:val="007D77D8"/>
    <w:rsid w:val="007E6D19"/>
    <w:rsid w:val="007F1270"/>
    <w:rsid w:val="00802E74"/>
    <w:rsid w:val="00816D65"/>
    <w:rsid w:val="00826B01"/>
    <w:rsid w:val="008310C6"/>
    <w:rsid w:val="00833D2A"/>
    <w:rsid w:val="00835FC7"/>
    <w:rsid w:val="0084098B"/>
    <w:rsid w:val="008413BF"/>
    <w:rsid w:val="008421E1"/>
    <w:rsid w:val="00843506"/>
    <w:rsid w:val="008451A6"/>
    <w:rsid w:val="0084699B"/>
    <w:rsid w:val="00851FEA"/>
    <w:rsid w:val="00853A67"/>
    <w:rsid w:val="00867189"/>
    <w:rsid w:val="00870A6E"/>
    <w:rsid w:val="008711C9"/>
    <w:rsid w:val="00874C19"/>
    <w:rsid w:val="00882BDB"/>
    <w:rsid w:val="00882F77"/>
    <w:rsid w:val="00885958"/>
    <w:rsid w:val="00885CCE"/>
    <w:rsid w:val="0089053A"/>
    <w:rsid w:val="00893FF9"/>
    <w:rsid w:val="00895F79"/>
    <w:rsid w:val="008960FA"/>
    <w:rsid w:val="00896D9A"/>
    <w:rsid w:val="00897830"/>
    <w:rsid w:val="00897AA7"/>
    <w:rsid w:val="008A26CE"/>
    <w:rsid w:val="008A3A08"/>
    <w:rsid w:val="008B0F8B"/>
    <w:rsid w:val="008B19AF"/>
    <w:rsid w:val="008C328F"/>
    <w:rsid w:val="008C483C"/>
    <w:rsid w:val="008C66C2"/>
    <w:rsid w:val="008D2F90"/>
    <w:rsid w:val="008E0894"/>
    <w:rsid w:val="008E40E5"/>
    <w:rsid w:val="008F1725"/>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0E1A"/>
    <w:rsid w:val="00992395"/>
    <w:rsid w:val="00997CC1"/>
    <w:rsid w:val="009A7017"/>
    <w:rsid w:val="009B2969"/>
    <w:rsid w:val="009C0653"/>
    <w:rsid w:val="009C3476"/>
    <w:rsid w:val="009C6F6C"/>
    <w:rsid w:val="009F03FF"/>
    <w:rsid w:val="009F4A56"/>
    <w:rsid w:val="00A10617"/>
    <w:rsid w:val="00A308EB"/>
    <w:rsid w:val="00A31715"/>
    <w:rsid w:val="00A328CD"/>
    <w:rsid w:val="00A36414"/>
    <w:rsid w:val="00A37706"/>
    <w:rsid w:val="00A4417C"/>
    <w:rsid w:val="00A45BBC"/>
    <w:rsid w:val="00A53270"/>
    <w:rsid w:val="00A6444B"/>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12AE"/>
    <w:rsid w:val="00AD4160"/>
    <w:rsid w:val="00AD57EE"/>
    <w:rsid w:val="00AE131D"/>
    <w:rsid w:val="00AF7967"/>
    <w:rsid w:val="00B0025C"/>
    <w:rsid w:val="00B0206D"/>
    <w:rsid w:val="00B044BC"/>
    <w:rsid w:val="00B207FB"/>
    <w:rsid w:val="00B23108"/>
    <w:rsid w:val="00B265FF"/>
    <w:rsid w:val="00B32D51"/>
    <w:rsid w:val="00B363F0"/>
    <w:rsid w:val="00B40EEA"/>
    <w:rsid w:val="00B4216E"/>
    <w:rsid w:val="00B45A0A"/>
    <w:rsid w:val="00B4728E"/>
    <w:rsid w:val="00B51AD9"/>
    <w:rsid w:val="00B55550"/>
    <w:rsid w:val="00B6244D"/>
    <w:rsid w:val="00B624BE"/>
    <w:rsid w:val="00B62BED"/>
    <w:rsid w:val="00B63D7E"/>
    <w:rsid w:val="00B85FA4"/>
    <w:rsid w:val="00B86B36"/>
    <w:rsid w:val="00B86F8A"/>
    <w:rsid w:val="00B8735D"/>
    <w:rsid w:val="00B87489"/>
    <w:rsid w:val="00B94410"/>
    <w:rsid w:val="00BA2368"/>
    <w:rsid w:val="00BA3BCF"/>
    <w:rsid w:val="00BA5194"/>
    <w:rsid w:val="00BA7401"/>
    <w:rsid w:val="00BB0054"/>
    <w:rsid w:val="00BB1C95"/>
    <w:rsid w:val="00BC5F58"/>
    <w:rsid w:val="00BD03F5"/>
    <w:rsid w:val="00BD614A"/>
    <w:rsid w:val="00BE28D3"/>
    <w:rsid w:val="00BE35D5"/>
    <w:rsid w:val="00BE5E31"/>
    <w:rsid w:val="00BE6DEA"/>
    <w:rsid w:val="00BF363A"/>
    <w:rsid w:val="00BF6C39"/>
    <w:rsid w:val="00C02A1B"/>
    <w:rsid w:val="00C06DBF"/>
    <w:rsid w:val="00C1136E"/>
    <w:rsid w:val="00C13C15"/>
    <w:rsid w:val="00C1535D"/>
    <w:rsid w:val="00C22C53"/>
    <w:rsid w:val="00C24E1B"/>
    <w:rsid w:val="00C33BC5"/>
    <w:rsid w:val="00C3747C"/>
    <w:rsid w:val="00C46512"/>
    <w:rsid w:val="00C50E24"/>
    <w:rsid w:val="00C50EA4"/>
    <w:rsid w:val="00C54CB5"/>
    <w:rsid w:val="00C607DB"/>
    <w:rsid w:val="00C6089A"/>
    <w:rsid w:val="00C61A92"/>
    <w:rsid w:val="00C63798"/>
    <w:rsid w:val="00C63A9E"/>
    <w:rsid w:val="00C733D4"/>
    <w:rsid w:val="00C75A9F"/>
    <w:rsid w:val="00C86C5D"/>
    <w:rsid w:val="00C86D14"/>
    <w:rsid w:val="00C920FC"/>
    <w:rsid w:val="00C92972"/>
    <w:rsid w:val="00C96A47"/>
    <w:rsid w:val="00CB6561"/>
    <w:rsid w:val="00CB66D0"/>
    <w:rsid w:val="00CC0A04"/>
    <w:rsid w:val="00CC4206"/>
    <w:rsid w:val="00CD3134"/>
    <w:rsid w:val="00CD5BAC"/>
    <w:rsid w:val="00CE0887"/>
    <w:rsid w:val="00CE6DD5"/>
    <w:rsid w:val="00CF5C95"/>
    <w:rsid w:val="00D02670"/>
    <w:rsid w:val="00D030D0"/>
    <w:rsid w:val="00D06BC6"/>
    <w:rsid w:val="00D14786"/>
    <w:rsid w:val="00D16749"/>
    <w:rsid w:val="00D1740C"/>
    <w:rsid w:val="00D21DFF"/>
    <w:rsid w:val="00D222B9"/>
    <w:rsid w:val="00D30862"/>
    <w:rsid w:val="00D30A26"/>
    <w:rsid w:val="00D375F0"/>
    <w:rsid w:val="00D400AB"/>
    <w:rsid w:val="00D428F1"/>
    <w:rsid w:val="00D4578C"/>
    <w:rsid w:val="00D4638F"/>
    <w:rsid w:val="00D53E6C"/>
    <w:rsid w:val="00D5440E"/>
    <w:rsid w:val="00D565B8"/>
    <w:rsid w:val="00D5755E"/>
    <w:rsid w:val="00D614E8"/>
    <w:rsid w:val="00D67C53"/>
    <w:rsid w:val="00D742CA"/>
    <w:rsid w:val="00D92AC3"/>
    <w:rsid w:val="00DA0CEE"/>
    <w:rsid w:val="00DA4441"/>
    <w:rsid w:val="00DB0923"/>
    <w:rsid w:val="00DB18B6"/>
    <w:rsid w:val="00DC3368"/>
    <w:rsid w:val="00DC7CF8"/>
    <w:rsid w:val="00DD0A21"/>
    <w:rsid w:val="00DD39EE"/>
    <w:rsid w:val="00DD3EA3"/>
    <w:rsid w:val="00DD708B"/>
    <w:rsid w:val="00DE2F25"/>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402B"/>
    <w:rsid w:val="00E767AF"/>
    <w:rsid w:val="00E76A1E"/>
    <w:rsid w:val="00E8035E"/>
    <w:rsid w:val="00E82214"/>
    <w:rsid w:val="00E83BC1"/>
    <w:rsid w:val="00E96423"/>
    <w:rsid w:val="00EA2E08"/>
    <w:rsid w:val="00EA4EAD"/>
    <w:rsid w:val="00EB22D9"/>
    <w:rsid w:val="00EB42BE"/>
    <w:rsid w:val="00EC492F"/>
    <w:rsid w:val="00ED169D"/>
    <w:rsid w:val="00ED5CD0"/>
    <w:rsid w:val="00ED6FEA"/>
    <w:rsid w:val="00EE040A"/>
    <w:rsid w:val="00EE33CF"/>
    <w:rsid w:val="00EE50FC"/>
    <w:rsid w:val="00EE7720"/>
    <w:rsid w:val="00EF181E"/>
    <w:rsid w:val="00EF19B4"/>
    <w:rsid w:val="00EF2DE2"/>
    <w:rsid w:val="00EF699E"/>
    <w:rsid w:val="00EF6D39"/>
    <w:rsid w:val="00F011F4"/>
    <w:rsid w:val="00F04750"/>
    <w:rsid w:val="00F1029B"/>
    <w:rsid w:val="00F11C92"/>
    <w:rsid w:val="00F14482"/>
    <w:rsid w:val="00F21BD9"/>
    <w:rsid w:val="00F23CAD"/>
    <w:rsid w:val="00F23F17"/>
    <w:rsid w:val="00F460F9"/>
    <w:rsid w:val="00F46DFB"/>
    <w:rsid w:val="00F47F2D"/>
    <w:rsid w:val="00F53AB9"/>
    <w:rsid w:val="00F55892"/>
    <w:rsid w:val="00F635B4"/>
    <w:rsid w:val="00F77FC5"/>
    <w:rsid w:val="00F816DE"/>
    <w:rsid w:val="00F842B5"/>
    <w:rsid w:val="00F85824"/>
    <w:rsid w:val="00F90E45"/>
    <w:rsid w:val="00F92579"/>
    <w:rsid w:val="00F93099"/>
    <w:rsid w:val="00FA68FF"/>
    <w:rsid w:val="00FB33DF"/>
    <w:rsid w:val="00FB7513"/>
    <w:rsid w:val="00FC0444"/>
    <w:rsid w:val="00FC0BCF"/>
    <w:rsid w:val="00FD1596"/>
    <w:rsid w:val="00FD34AA"/>
    <w:rsid w:val="00FD440A"/>
    <w:rsid w:val="00FE1830"/>
    <w:rsid w:val="00FE34C8"/>
    <w:rsid w:val="00FE7E87"/>
    <w:rsid w:val="00FE7FE5"/>
    <w:rsid w:val="00FF1F00"/>
    <w:rsid w:val="00FF54B8"/>
    <w:rsid w:val="00FF5FB4"/>
    <w:rsid w:val="00FF6E5D"/>
    <w:rsid w:val="00FF76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EC3D-D9AA-483A-B69F-D466637F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2018-04-26T08:55:00Z</dcterms:created>
  <dcterms:modified xsi:type="dcterms:W3CDTF">2018-04-26T08:55:00Z</dcterms:modified>
</cp:coreProperties>
</file>