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6C" w:rsidRPr="00BC5F58" w:rsidRDefault="00167268" w:rsidP="00167268">
      <w:pPr>
        <w:jc w:val="center"/>
        <w:rPr>
          <w:b/>
          <w:sz w:val="32"/>
          <w:szCs w:val="24"/>
        </w:rPr>
      </w:pPr>
      <w:r w:rsidRPr="00BC5F58">
        <w:rPr>
          <w:b/>
          <w:sz w:val="32"/>
          <w:szCs w:val="24"/>
        </w:rPr>
        <w:t>Citizens Information Board</w:t>
      </w:r>
    </w:p>
    <w:p w:rsidR="00167268" w:rsidRDefault="00167268" w:rsidP="00167268">
      <w:pPr>
        <w:jc w:val="center"/>
      </w:pPr>
    </w:p>
    <w:p w:rsidR="00167268" w:rsidRPr="00BC5F58" w:rsidRDefault="00305E2A" w:rsidP="001672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Meeting </w:t>
      </w:r>
      <w:r w:rsidR="005D063F">
        <w:rPr>
          <w:b/>
          <w:sz w:val="24"/>
          <w:szCs w:val="24"/>
        </w:rPr>
        <w:t>20</w:t>
      </w:r>
      <w:r w:rsidR="009C0653">
        <w:rPr>
          <w:b/>
          <w:sz w:val="24"/>
          <w:szCs w:val="24"/>
        </w:rPr>
        <w:t xml:space="preserve"> September 2</w:t>
      </w:r>
      <w:r w:rsidR="00BC5F58" w:rsidRPr="00BC5F58">
        <w:rPr>
          <w:b/>
          <w:sz w:val="24"/>
          <w:szCs w:val="24"/>
        </w:rPr>
        <w:t>017</w:t>
      </w:r>
    </w:p>
    <w:p w:rsidR="00167268" w:rsidRPr="00BC5F58" w:rsidRDefault="003E0975" w:rsidP="001672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CIB, George’s Quay House, 43 </w:t>
      </w:r>
      <w:r w:rsidR="00167268" w:rsidRPr="00BC5F58">
        <w:rPr>
          <w:sz w:val="24"/>
          <w:szCs w:val="24"/>
        </w:rPr>
        <w:t>Townsend Street</w:t>
      </w:r>
      <w:r w:rsidR="00DC3368" w:rsidRPr="00BC5F58">
        <w:rPr>
          <w:sz w:val="24"/>
          <w:szCs w:val="24"/>
        </w:rPr>
        <w:t>, Dublin 2</w:t>
      </w:r>
    </w:p>
    <w:p w:rsidR="00167268" w:rsidRPr="00BC5F58" w:rsidRDefault="00167268">
      <w:pPr>
        <w:rPr>
          <w:sz w:val="24"/>
          <w:szCs w:val="24"/>
        </w:rPr>
      </w:pPr>
    </w:p>
    <w:p w:rsidR="00167268" w:rsidRPr="00DD39EE" w:rsidRDefault="00167268">
      <w:pPr>
        <w:rPr>
          <w:sz w:val="24"/>
          <w:szCs w:val="24"/>
        </w:rPr>
      </w:pPr>
    </w:p>
    <w:p w:rsidR="00167268" w:rsidRPr="00DD39EE" w:rsidRDefault="00167268">
      <w:pPr>
        <w:rPr>
          <w:sz w:val="24"/>
          <w:szCs w:val="24"/>
        </w:rPr>
      </w:pPr>
      <w:r w:rsidRPr="00DD39EE">
        <w:rPr>
          <w:b/>
          <w:sz w:val="24"/>
          <w:szCs w:val="24"/>
        </w:rPr>
        <w:t>Present:</w:t>
      </w:r>
      <w:r w:rsidRPr="00DD39EE">
        <w:rPr>
          <w:sz w:val="24"/>
          <w:szCs w:val="24"/>
        </w:rPr>
        <w:tab/>
      </w:r>
      <w:r w:rsidR="009C0653" w:rsidRPr="00DD39EE">
        <w:rPr>
          <w:sz w:val="24"/>
          <w:szCs w:val="24"/>
        </w:rPr>
        <w:t>John Saunders</w:t>
      </w:r>
      <w:r w:rsidRPr="00DD39EE">
        <w:rPr>
          <w:sz w:val="24"/>
          <w:szCs w:val="24"/>
        </w:rPr>
        <w:t>, Chairperson;</w:t>
      </w:r>
      <w:r w:rsidR="004842DA">
        <w:rPr>
          <w:sz w:val="24"/>
          <w:szCs w:val="24"/>
        </w:rPr>
        <w:t xml:space="preserve"> James Clarke; Tim Duggan</w:t>
      </w:r>
      <w:r w:rsidRPr="00DD39EE">
        <w:rPr>
          <w:sz w:val="24"/>
          <w:szCs w:val="24"/>
        </w:rPr>
        <w:t>; Se</w:t>
      </w:r>
      <w:r w:rsidR="003F6140">
        <w:rPr>
          <w:sz w:val="24"/>
          <w:szCs w:val="24"/>
        </w:rPr>
        <w:t>á</w:t>
      </w:r>
      <w:r w:rsidRPr="00DD39EE">
        <w:rPr>
          <w:sz w:val="24"/>
          <w:szCs w:val="24"/>
        </w:rPr>
        <w:t>n Sheridan</w:t>
      </w:r>
      <w:r w:rsidR="00305E2A">
        <w:rPr>
          <w:sz w:val="24"/>
          <w:szCs w:val="24"/>
        </w:rPr>
        <w:t>,</w:t>
      </w:r>
      <w:r w:rsidR="00051F67">
        <w:rPr>
          <w:sz w:val="24"/>
          <w:szCs w:val="24"/>
        </w:rPr>
        <w:t xml:space="preserve"> Nicola Walshe,</w:t>
      </w:r>
      <w:r w:rsidR="00051F67" w:rsidRPr="00051F67">
        <w:rPr>
          <w:sz w:val="24"/>
          <w:szCs w:val="24"/>
        </w:rPr>
        <w:t xml:space="preserve"> </w:t>
      </w:r>
      <w:r w:rsidR="009C0653">
        <w:rPr>
          <w:sz w:val="24"/>
          <w:szCs w:val="24"/>
        </w:rPr>
        <w:t xml:space="preserve">Joanne McCarthy; Josephine Henry, Eugene McErlean, </w:t>
      </w:r>
      <w:r w:rsidR="009C0653" w:rsidRPr="00DD39EE">
        <w:rPr>
          <w:sz w:val="24"/>
          <w:szCs w:val="24"/>
        </w:rPr>
        <w:t>Tina Leonard</w:t>
      </w:r>
      <w:r w:rsidR="009C0653">
        <w:rPr>
          <w:sz w:val="24"/>
          <w:szCs w:val="24"/>
        </w:rPr>
        <w:t xml:space="preserve">, </w:t>
      </w:r>
      <w:r w:rsidR="009C0653" w:rsidRPr="00DD39EE">
        <w:rPr>
          <w:sz w:val="24"/>
          <w:szCs w:val="24"/>
        </w:rPr>
        <w:t>Noeline Blackwell</w:t>
      </w:r>
      <w:r w:rsidR="009C0653">
        <w:rPr>
          <w:sz w:val="24"/>
          <w:szCs w:val="24"/>
        </w:rPr>
        <w:t>.</w:t>
      </w:r>
    </w:p>
    <w:p w:rsidR="00167268" w:rsidRDefault="00167268">
      <w:pPr>
        <w:rPr>
          <w:sz w:val="24"/>
          <w:szCs w:val="24"/>
        </w:rPr>
      </w:pPr>
    </w:p>
    <w:p w:rsidR="00BC5F58" w:rsidRDefault="00BC5F58" w:rsidP="009C0653">
      <w:pPr>
        <w:rPr>
          <w:sz w:val="24"/>
          <w:szCs w:val="24"/>
        </w:rPr>
      </w:pPr>
      <w:r w:rsidRPr="00BC5F58">
        <w:rPr>
          <w:b/>
          <w:sz w:val="24"/>
          <w:szCs w:val="24"/>
        </w:rPr>
        <w:t>Apologies:</w:t>
      </w:r>
      <w:r>
        <w:rPr>
          <w:sz w:val="24"/>
          <w:szCs w:val="24"/>
        </w:rPr>
        <w:tab/>
      </w:r>
      <w:r w:rsidR="009C0653" w:rsidRPr="00DD39EE">
        <w:rPr>
          <w:sz w:val="24"/>
          <w:szCs w:val="24"/>
        </w:rPr>
        <w:t>Ita Mangan</w:t>
      </w:r>
      <w:r w:rsidR="009C0653">
        <w:rPr>
          <w:sz w:val="24"/>
          <w:szCs w:val="24"/>
        </w:rPr>
        <w:t xml:space="preserve">, </w:t>
      </w:r>
      <w:r w:rsidR="009C0653" w:rsidRPr="00DD39EE">
        <w:rPr>
          <w:sz w:val="24"/>
          <w:szCs w:val="24"/>
        </w:rPr>
        <w:t>Ian Power;</w:t>
      </w:r>
      <w:r w:rsidR="009C0653" w:rsidRPr="009C0653">
        <w:rPr>
          <w:sz w:val="24"/>
          <w:szCs w:val="24"/>
        </w:rPr>
        <w:t xml:space="preserve"> </w:t>
      </w:r>
      <w:r w:rsidR="007A6D4E">
        <w:rPr>
          <w:sz w:val="24"/>
          <w:szCs w:val="24"/>
        </w:rPr>
        <w:t>Cearbhall O’</w:t>
      </w:r>
      <w:r w:rsidR="009C0653" w:rsidRPr="00DD39EE">
        <w:rPr>
          <w:sz w:val="24"/>
          <w:szCs w:val="24"/>
        </w:rPr>
        <w:t>Meadhra;</w:t>
      </w:r>
      <w:r w:rsidR="009C0653" w:rsidRPr="009C0653">
        <w:rPr>
          <w:sz w:val="24"/>
          <w:szCs w:val="24"/>
        </w:rPr>
        <w:t xml:space="preserve"> </w:t>
      </w:r>
      <w:r w:rsidR="009C0653" w:rsidRPr="00DD39EE">
        <w:rPr>
          <w:sz w:val="24"/>
          <w:szCs w:val="24"/>
        </w:rPr>
        <w:t>Niall Mulligan</w:t>
      </w:r>
      <w:r w:rsidR="009C0653">
        <w:rPr>
          <w:sz w:val="24"/>
          <w:szCs w:val="24"/>
        </w:rPr>
        <w:t>,</w:t>
      </w:r>
      <w:r w:rsidR="009C0653" w:rsidRPr="009C0653">
        <w:rPr>
          <w:sz w:val="24"/>
          <w:szCs w:val="24"/>
        </w:rPr>
        <w:t xml:space="preserve"> </w:t>
      </w:r>
      <w:r w:rsidR="009C0653" w:rsidRPr="00DD39EE">
        <w:rPr>
          <w:sz w:val="24"/>
          <w:szCs w:val="24"/>
        </w:rPr>
        <w:t>Mary Higgins</w:t>
      </w:r>
      <w:r w:rsidR="009C0653">
        <w:rPr>
          <w:sz w:val="24"/>
          <w:szCs w:val="24"/>
        </w:rPr>
        <w:t>,</w:t>
      </w:r>
    </w:p>
    <w:p w:rsidR="00BC5F58" w:rsidRPr="00DD39EE" w:rsidRDefault="00BC5F58">
      <w:pPr>
        <w:rPr>
          <w:sz w:val="24"/>
          <w:szCs w:val="24"/>
        </w:rPr>
      </w:pPr>
    </w:p>
    <w:p w:rsidR="00167268" w:rsidRDefault="00167268" w:rsidP="00D14786">
      <w:pPr>
        <w:spacing w:after="360"/>
        <w:rPr>
          <w:sz w:val="24"/>
          <w:szCs w:val="24"/>
        </w:rPr>
      </w:pPr>
      <w:r w:rsidRPr="00DD39EE">
        <w:rPr>
          <w:b/>
          <w:sz w:val="24"/>
          <w:szCs w:val="24"/>
        </w:rPr>
        <w:t>In attendance:</w:t>
      </w:r>
      <w:r w:rsidRPr="00DD39EE">
        <w:rPr>
          <w:sz w:val="24"/>
          <w:szCs w:val="24"/>
        </w:rPr>
        <w:tab/>
        <w:t xml:space="preserve">Angela Black, Chief Executive; Graham Long, Senior Manager, Support Services; </w:t>
      </w:r>
      <w:r w:rsidR="00BC5F58">
        <w:rPr>
          <w:sz w:val="24"/>
          <w:szCs w:val="24"/>
        </w:rPr>
        <w:t xml:space="preserve">Fiona Coyne, Senior Manager, Service Delivery; </w:t>
      </w:r>
      <w:r w:rsidR="00940D59">
        <w:rPr>
          <w:sz w:val="24"/>
          <w:szCs w:val="24"/>
        </w:rPr>
        <w:t xml:space="preserve">Gary </w:t>
      </w:r>
      <w:r w:rsidR="00AF7967">
        <w:rPr>
          <w:sz w:val="24"/>
          <w:szCs w:val="24"/>
        </w:rPr>
        <w:t xml:space="preserve">Watters, Finance and Administration Manager; </w:t>
      </w:r>
      <w:r w:rsidR="00940D59">
        <w:rPr>
          <w:sz w:val="24"/>
          <w:szCs w:val="24"/>
        </w:rPr>
        <w:t>Stephen</w:t>
      </w:r>
      <w:r w:rsidR="00AF7967">
        <w:rPr>
          <w:sz w:val="24"/>
          <w:szCs w:val="24"/>
        </w:rPr>
        <w:t xml:space="preserve"> Valentine, HR &amp; Governance Manager; </w:t>
      </w:r>
      <w:r w:rsidR="0093159A">
        <w:rPr>
          <w:sz w:val="24"/>
          <w:szCs w:val="24"/>
        </w:rPr>
        <w:t>Shona Geraghty (minutes)</w:t>
      </w:r>
      <w:r w:rsidR="007A6D4E">
        <w:rPr>
          <w:sz w:val="24"/>
          <w:szCs w:val="24"/>
        </w:rPr>
        <w:t>.</w:t>
      </w:r>
    </w:p>
    <w:p w:rsidR="00167268" w:rsidRPr="00DD39EE" w:rsidRDefault="00167268" w:rsidP="00167268">
      <w:pPr>
        <w:jc w:val="center"/>
        <w:rPr>
          <w:b/>
          <w:sz w:val="24"/>
          <w:szCs w:val="24"/>
        </w:rPr>
      </w:pPr>
      <w:r w:rsidRPr="00DD39EE">
        <w:rPr>
          <w:b/>
          <w:sz w:val="24"/>
          <w:szCs w:val="24"/>
        </w:rPr>
        <w:t>Minutes</w:t>
      </w:r>
    </w:p>
    <w:p w:rsidR="00920F0A" w:rsidRDefault="00920F0A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Table Heading"/>
        <w:tblDescription w:val="Table Heading for the minutes and contains item number and the agenda description for the minutes."/>
      </w:tblPr>
      <w:tblGrid>
        <w:gridCol w:w="763"/>
        <w:gridCol w:w="8253"/>
      </w:tblGrid>
      <w:tr w:rsidR="00AB3160" w:rsidRPr="00BA3BCF" w:rsidTr="00896D9A">
        <w:trPr>
          <w:tblHeader/>
        </w:trPr>
        <w:tc>
          <w:tcPr>
            <w:tcW w:w="763" w:type="dxa"/>
            <w:tcBorders>
              <w:bottom w:val="dotted" w:sz="4" w:space="0" w:color="auto"/>
            </w:tcBorders>
          </w:tcPr>
          <w:p w:rsidR="00AB3160" w:rsidRPr="00BA3BCF" w:rsidRDefault="00AB3160" w:rsidP="003C5D1C">
            <w:pPr>
              <w:rPr>
                <w:b/>
                <w:sz w:val="24"/>
                <w:szCs w:val="24"/>
              </w:rPr>
            </w:pPr>
            <w:r w:rsidRPr="00BA3BCF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8263" w:type="dxa"/>
            <w:tcBorders>
              <w:bottom w:val="dotted" w:sz="4" w:space="0" w:color="auto"/>
            </w:tcBorders>
          </w:tcPr>
          <w:p w:rsidR="00AB3160" w:rsidRPr="00BA3BCF" w:rsidRDefault="00AB3160" w:rsidP="003C5D1C">
            <w:pPr>
              <w:rPr>
                <w:b/>
                <w:sz w:val="24"/>
                <w:szCs w:val="24"/>
              </w:rPr>
            </w:pPr>
            <w:r w:rsidRPr="00BA3BCF">
              <w:rPr>
                <w:b/>
                <w:sz w:val="24"/>
                <w:szCs w:val="24"/>
              </w:rPr>
              <w:t>Agenda Description</w:t>
            </w:r>
          </w:p>
        </w:tc>
      </w:tr>
      <w:tr w:rsidR="00167268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167268" w:rsidRPr="003809E1" w:rsidRDefault="00167268">
            <w:pPr>
              <w:rPr>
                <w:b/>
                <w:sz w:val="24"/>
                <w:szCs w:val="24"/>
              </w:rPr>
            </w:pPr>
            <w:r w:rsidRPr="003809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167268" w:rsidRPr="00DD39EE" w:rsidRDefault="00167268">
            <w:pPr>
              <w:rPr>
                <w:b/>
                <w:sz w:val="24"/>
                <w:szCs w:val="24"/>
              </w:rPr>
            </w:pPr>
            <w:r w:rsidRPr="00DD39EE">
              <w:rPr>
                <w:b/>
                <w:sz w:val="24"/>
                <w:szCs w:val="24"/>
              </w:rPr>
              <w:t xml:space="preserve">Minutes of previous meeting </w:t>
            </w:r>
          </w:p>
          <w:p w:rsidR="003226A1" w:rsidRPr="00DD39EE" w:rsidRDefault="00167268" w:rsidP="009C0653">
            <w:pPr>
              <w:rPr>
                <w:i/>
                <w:sz w:val="24"/>
                <w:szCs w:val="24"/>
              </w:rPr>
            </w:pPr>
            <w:r w:rsidRPr="00DD39EE">
              <w:rPr>
                <w:i/>
                <w:sz w:val="24"/>
                <w:szCs w:val="24"/>
              </w:rPr>
              <w:t>(The minute</w:t>
            </w:r>
            <w:r w:rsidR="003B4371">
              <w:rPr>
                <w:i/>
                <w:sz w:val="24"/>
                <w:szCs w:val="24"/>
              </w:rPr>
              <w:t>s</w:t>
            </w:r>
            <w:r w:rsidR="009C0653">
              <w:rPr>
                <w:i/>
                <w:sz w:val="24"/>
                <w:szCs w:val="24"/>
              </w:rPr>
              <w:t xml:space="preserve"> of the Board meeting held on 26</w:t>
            </w:r>
            <w:r w:rsidR="009C0653" w:rsidRPr="009C0653">
              <w:rPr>
                <w:i/>
                <w:sz w:val="24"/>
                <w:szCs w:val="24"/>
                <w:vertAlign w:val="superscript"/>
              </w:rPr>
              <w:t>th</w:t>
            </w:r>
            <w:r w:rsidR="009C0653">
              <w:rPr>
                <w:i/>
                <w:sz w:val="24"/>
                <w:szCs w:val="24"/>
              </w:rPr>
              <w:t xml:space="preserve"> </w:t>
            </w:r>
            <w:r w:rsidR="004842DA">
              <w:rPr>
                <w:i/>
                <w:sz w:val="24"/>
                <w:szCs w:val="24"/>
              </w:rPr>
              <w:t>Ju</w:t>
            </w:r>
            <w:r w:rsidR="009C0653">
              <w:rPr>
                <w:i/>
                <w:sz w:val="24"/>
                <w:szCs w:val="24"/>
              </w:rPr>
              <w:t>ly 2</w:t>
            </w:r>
            <w:r w:rsidR="004842DA">
              <w:rPr>
                <w:i/>
                <w:sz w:val="24"/>
                <w:szCs w:val="24"/>
              </w:rPr>
              <w:t>017</w:t>
            </w:r>
            <w:r w:rsidR="0093159A">
              <w:rPr>
                <w:i/>
                <w:sz w:val="24"/>
                <w:szCs w:val="24"/>
              </w:rPr>
              <w:t xml:space="preserve"> </w:t>
            </w:r>
            <w:r w:rsidR="004842DA">
              <w:rPr>
                <w:i/>
                <w:sz w:val="24"/>
                <w:szCs w:val="24"/>
              </w:rPr>
              <w:t>w</w:t>
            </w:r>
            <w:r w:rsidR="003B4371">
              <w:rPr>
                <w:i/>
                <w:sz w:val="24"/>
                <w:szCs w:val="24"/>
              </w:rPr>
              <w:t>ere</w:t>
            </w:r>
            <w:r w:rsidRPr="00DD39EE">
              <w:rPr>
                <w:i/>
                <w:sz w:val="24"/>
                <w:szCs w:val="24"/>
              </w:rPr>
              <w:t xml:space="preserve"> circulated in advance of the meeting</w:t>
            </w:r>
            <w:r w:rsidR="004D4D2A">
              <w:rPr>
                <w:i/>
                <w:sz w:val="24"/>
                <w:szCs w:val="24"/>
              </w:rPr>
              <w:t>.</w:t>
            </w:r>
            <w:r w:rsidRPr="00DD39EE">
              <w:rPr>
                <w:i/>
                <w:sz w:val="24"/>
                <w:szCs w:val="24"/>
              </w:rPr>
              <w:t>)</w:t>
            </w:r>
          </w:p>
        </w:tc>
      </w:tr>
      <w:tr w:rsidR="00167268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167268" w:rsidRPr="00DD39EE" w:rsidRDefault="00167268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1.1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2437A6" w:rsidRPr="00DD39EE" w:rsidRDefault="00FA68FF" w:rsidP="003F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Correction: Tim Duggan chairs the Steering Group for the Abhaile service and is the Departmental representative at the Senior Official Group </w:t>
            </w:r>
            <w:r w:rsidR="003F6140">
              <w:rPr>
                <w:sz w:val="24"/>
                <w:szCs w:val="24"/>
              </w:rPr>
              <w:t>to the</w:t>
            </w:r>
            <w:r>
              <w:rPr>
                <w:sz w:val="24"/>
                <w:szCs w:val="24"/>
              </w:rPr>
              <w:t xml:space="preserve"> Cabinet Committee on Housing and Mortgage Arrear</w:t>
            </w:r>
            <w:r w:rsidR="003F614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FA68FF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FA68FF" w:rsidRPr="00DD39EE" w:rsidRDefault="00FA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FA68FF" w:rsidRDefault="00FA68FF" w:rsidP="003F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the amendment above, t</w:t>
            </w:r>
            <w:r w:rsidRPr="00DD39EE">
              <w:rPr>
                <w:sz w:val="24"/>
                <w:szCs w:val="24"/>
              </w:rPr>
              <w:t xml:space="preserve">he minutes were proposed by </w:t>
            </w:r>
            <w:r>
              <w:rPr>
                <w:sz w:val="24"/>
                <w:szCs w:val="24"/>
              </w:rPr>
              <w:t>Se</w:t>
            </w:r>
            <w:r w:rsidR="003F6140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 Sheridan and s</w:t>
            </w:r>
            <w:r w:rsidRPr="00DD39EE">
              <w:rPr>
                <w:sz w:val="24"/>
                <w:szCs w:val="24"/>
              </w:rPr>
              <w:t xml:space="preserve">econded by </w:t>
            </w:r>
            <w:r>
              <w:rPr>
                <w:sz w:val="24"/>
                <w:szCs w:val="24"/>
              </w:rPr>
              <w:t>Nicola Walshe.</w:t>
            </w:r>
          </w:p>
          <w:p w:rsidR="00A308EB" w:rsidRPr="00DD39EE" w:rsidRDefault="00A308EB" w:rsidP="003F6140">
            <w:pPr>
              <w:rPr>
                <w:sz w:val="24"/>
                <w:szCs w:val="24"/>
              </w:rPr>
            </w:pPr>
          </w:p>
        </w:tc>
      </w:tr>
      <w:tr w:rsidR="00167268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167268" w:rsidRPr="003809E1" w:rsidRDefault="00EF19B4">
            <w:pPr>
              <w:rPr>
                <w:b/>
                <w:sz w:val="24"/>
                <w:szCs w:val="24"/>
              </w:rPr>
            </w:pPr>
            <w:r w:rsidRPr="003809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167268" w:rsidRPr="00DD39EE" w:rsidRDefault="00167268">
            <w:pPr>
              <w:rPr>
                <w:b/>
                <w:sz w:val="24"/>
                <w:szCs w:val="24"/>
              </w:rPr>
            </w:pPr>
            <w:r w:rsidRPr="00DD39EE">
              <w:rPr>
                <w:b/>
                <w:sz w:val="24"/>
                <w:szCs w:val="24"/>
              </w:rPr>
              <w:t>Matters arising</w:t>
            </w:r>
          </w:p>
        </w:tc>
      </w:tr>
      <w:tr w:rsidR="00EE33CF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EE33CF" w:rsidRPr="00DD39EE" w:rsidRDefault="00B0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682CD3" w:rsidRDefault="00380F83" w:rsidP="008C6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Item </w:t>
            </w:r>
            <w:r w:rsidR="002030F9">
              <w:rPr>
                <w:sz w:val="24"/>
                <w:szCs w:val="24"/>
              </w:rPr>
              <w:t>4.2.3</w:t>
            </w:r>
            <w:r w:rsidR="00573E9A">
              <w:rPr>
                <w:sz w:val="24"/>
                <w:szCs w:val="24"/>
              </w:rPr>
              <w:t>-</w:t>
            </w:r>
            <w:r w:rsidR="002030F9">
              <w:rPr>
                <w:sz w:val="24"/>
                <w:szCs w:val="24"/>
              </w:rPr>
              <w:t xml:space="preserve"> </w:t>
            </w:r>
            <w:r w:rsidR="003F6140">
              <w:rPr>
                <w:sz w:val="24"/>
                <w:szCs w:val="24"/>
              </w:rPr>
              <w:t>A Board member wished to have t</w:t>
            </w:r>
            <w:r>
              <w:rPr>
                <w:sz w:val="24"/>
                <w:szCs w:val="24"/>
              </w:rPr>
              <w:t xml:space="preserve">he letter of representation </w:t>
            </w:r>
            <w:r w:rsidR="003F6140">
              <w:rPr>
                <w:sz w:val="24"/>
                <w:szCs w:val="24"/>
              </w:rPr>
              <w:t>amended</w:t>
            </w:r>
            <w:r>
              <w:rPr>
                <w:sz w:val="24"/>
                <w:szCs w:val="24"/>
              </w:rPr>
              <w:t xml:space="preserve"> in relation to information security.  </w:t>
            </w:r>
            <w:r w:rsidR="008C328F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the end of 2018 a comprehensive IT Audit will be undertaken and will incorporate some of the issues raised by </w:t>
            </w:r>
            <w:r w:rsidR="008C66C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="003F6140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oard member. </w:t>
            </w:r>
            <w:r w:rsidR="008C66C2">
              <w:rPr>
                <w:sz w:val="24"/>
                <w:szCs w:val="24"/>
              </w:rPr>
              <w:t xml:space="preserve"> This, as well as the Internal Audit Pla</w:t>
            </w:r>
            <w:r w:rsidR="00A308EB">
              <w:rPr>
                <w:sz w:val="24"/>
                <w:szCs w:val="24"/>
              </w:rPr>
              <w:t>n, will be discussed at the nex</w:t>
            </w:r>
            <w:r w:rsidR="008C66C2">
              <w:rPr>
                <w:sz w:val="24"/>
                <w:szCs w:val="24"/>
              </w:rPr>
              <w:t>t A&amp;R Committee meeting.</w:t>
            </w:r>
          </w:p>
          <w:p w:rsidR="00A308EB" w:rsidRDefault="00A308EB" w:rsidP="008C66C2">
            <w:pPr>
              <w:rPr>
                <w:sz w:val="24"/>
                <w:szCs w:val="24"/>
              </w:rPr>
            </w:pPr>
          </w:p>
        </w:tc>
      </w:tr>
      <w:tr w:rsidR="00465639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465639" w:rsidRPr="003809E1" w:rsidRDefault="00754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70567D" w:rsidRPr="009C0653" w:rsidRDefault="009C0653" w:rsidP="00453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 Matters</w:t>
            </w:r>
          </w:p>
        </w:tc>
      </w:tr>
      <w:tr w:rsidR="00465639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465639" w:rsidRPr="00DD39EE" w:rsidRDefault="00BC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5639" w:rsidRPr="00DD39EE">
              <w:rPr>
                <w:sz w:val="24"/>
                <w:szCs w:val="24"/>
              </w:rPr>
              <w:t>.1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896D9A" w:rsidRPr="00CD5BAC" w:rsidRDefault="00380F83" w:rsidP="00A36414">
            <w:pPr>
              <w:rPr>
                <w:sz w:val="24"/>
                <w:szCs w:val="24"/>
              </w:rPr>
            </w:pPr>
            <w:r w:rsidRPr="00F011F4">
              <w:rPr>
                <w:sz w:val="24"/>
                <w:szCs w:val="24"/>
                <w:u w:val="single"/>
              </w:rPr>
              <w:t xml:space="preserve">Reduction of </w:t>
            </w:r>
            <w:r w:rsidR="00954190" w:rsidRPr="00F011F4">
              <w:rPr>
                <w:sz w:val="24"/>
                <w:szCs w:val="24"/>
                <w:u w:val="single"/>
              </w:rPr>
              <w:t>Quorum</w:t>
            </w:r>
            <w:r w:rsidR="0095419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Following low attendance at a recent Board meeting, a reduction of the quorum may be required in the future</w:t>
            </w:r>
            <w:r w:rsidR="003F6140">
              <w:rPr>
                <w:sz w:val="24"/>
                <w:szCs w:val="24"/>
              </w:rPr>
              <w:t>, possibly during the summer</w:t>
            </w:r>
            <w:r>
              <w:rPr>
                <w:sz w:val="24"/>
                <w:szCs w:val="24"/>
              </w:rPr>
              <w:t xml:space="preserve">.  It was agreed not to reduce the </w:t>
            </w:r>
            <w:r w:rsidR="00F011F4">
              <w:rPr>
                <w:sz w:val="24"/>
                <w:szCs w:val="24"/>
              </w:rPr>
              <w:t xml:space="preserve">quorum and revisit as required. </w:t>
            </w:r>
          </w:p>
        </w:tc>
      </w:tr>
      <w:tr w:rsidR="002F1665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2F1665" w:rsidRDefault="002F1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2F1665" w:rsidRPr="00F011F4" w:rsidRDefault="002F1665" w:rsidP="00F011F4">
            <w:pPr>
              <w:rPr>
                <w:sz w:val="24"/>
                <w:szCs w:val="24"/>
                <w:u w:val="single"/>
              </w:rPr>
            </w:pPr>
            <w:r w:rsidRPr="002F1665">
              <w:rPr>
                <w:sz w:val="24"/>
                <w:szCs w:val="24"/>
                <w:u w:val="single"/>
              </w:rPr>
              <w:t>Move towards a paperless Board:</w:t>
            </w:r>
            <w:r>
              <w:rPr>
                <w:sz w:val="24"/>
                <w:szCs w:val="24"/>
              </w:rPr>
              <w:t xml:space="preserve">  A paper with options for </w:t>
            </w:r>
            <w:r w:rsidR="00A36414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electronic issue of documentation to all Board members will be presented at the November meeting.</w:t>
            </w:r>
          </w:p>
        </w:tc>
      </w:tr>
      <w:tr w:rsidR="002F1665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2F1665" w:rsidRDefault="002F1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2F1665" w:rsidRPr="002F1665" w:rsidRDefault="002F1665" w:rsidP="00F011F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Tim Duggan and Nicola Walshe have been reappointed to the Board.</w:t>
            </w:r>
          </w:p>
        </w:tc>
      </w:tr>
      <w:tr w:rsidR="009C0653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9C0653" w:rsidRDefault="009C0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A31715" w:rsidRDefault="002F1665" w:rsidP="003F6140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  <w:r w:rsidRPr="00A36414">
              <w:rPr>
                <w:sz w:val="24"/>
                <w:szCs w:val="24"/>
                <w:u w:val="single"/>
              </w:rPr>
              <w:t>CIB Strategic Plan 2018 – 2020:</w:t>
            </w:r>
            <w:r>
              <w:rPr>
                <w:sz w:val="24"/>
                <w:szCs w:val="24"/>
              </w:rPr>
              <w:t xml:space="preserve"> A sub-group of the Board has been established </w:t>
            </w:r>
            <w:r w:rsidR="00A36414">
              <w:rPr>
                <w:sz w:val="24"/>
                <w:szCs w:val="24"/>
              </w:rPr>
              <w:t xml:space="preserve">to support the CIB Executive </w:t>
            </w:r>
            <w:r>
              <w:rPr>
                <w:sz w:val="24"/>
                <w:szCs w:val="24"/>
              </w:rPr>
              <w:t>in the develop</w:t>
            </w:r>
            <w:r w:rsidR="00A36414">
              <w:rPr>
                <w:sz w:val="24"/>
                <w:szCs w:val="24"/>
              </w:rPr>
              <w:t>ment of the next strategic plan.</w:t>
            </w:r>
            <w:r>
              <w:rPr>
                <w:sz w:val="24"/>
                <w:szCs w:val="24"/>
              </w:rPr>
              <w:t xml:space="preserve">  A staff day is scheduled </w:t>
            </w:r>
            <w:r w:rsidR="00A36414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early October and the </w:t>
            </w:r>
            <w:r w:rsidR="003B3D3C">
              <w:rPr>
                <w:sz w:val="24"/>
                <w:szCs w:val="24"/>
              </w:rPr>
              <w:t>outcome</w:t>
            </w:r>
            <w:r>
              <w:rPr>
                <w:sz w:val="24"/>
                <w:szCs w:val="24"/>
              </w:rPr>
              <w:t xml:space="preserve"> from a workshop will issue to the </w:t>
            </w:r>
            <w:r w:rsidR="003F6140">
              <w:rPr>
                <w:sz w:val="24"/>
                <w:szCs w:val="24"/>
              </w:rPr>
              <w:lastRenderedPageBreak/>
              <w:t>B</w:t>
            </w:r>
            <w:r>
              <w:rPr>
                <w:sz w:val="24"/>
                <w:szCs w:val="24"/>
              </w:rPr>
              <w:t>oard sub-group</w:t>
            </w:r>
            <w:r w:rsidR="00A36414">
              <w:rPr>
                <w:sz w:val="24"/>
                <w:szCs w:val="24"/>
              </w:rPr>
              <w:t>.  The next strategy will be discussed at the November Board meeting.</w:t>
            </w:r>
          </w:p>
          <w:p w:rsidR="00A308EB" w:rsidRDefault="00A308EB" w:rsidP="003F6140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</w:p>
          <w:p w:rsidR="00A308EB" w:rsidRDefault="00A308EB" w:rsidP="003F6140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</w:p>
        </w:tc>
      </w:tr>
      <w:tr w:rsidR="000110C7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0110C7" w:rsidRPr="003809E1" w:rsidRDefault="00453032">
            <w:pPr>
              <w:rPr>
                <w:b/>
                <w:sz w:val="24"/>
                <w:szCs w:val="24"/>
              </w:rPr>
            </w:pPr>
            <w:r w:rsidRPr="003809E1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C63A9E" w:rsidRPr="006D5BB3" w:rsidRDefault="007541C7" w:rsidP="00051F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Committee Meeting Updates</w:t>
            </w:r>
          </w:p>
        </w:tc>
      </w:tr>
      <w:tr w:rsidR="00EF19B4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EF19B4" w:rsidRPr="00DD39EE" w:rsidRDefault="00380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C0653">
              <w:rPr>
                <w:sz w:val="24"/>
                <w:szCs w:val="24"/>
              </w:rPr>
              <w:t>.1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916D8F" w:rsidRPr="000553A0" w:rsidRDefault="00A45BBC" w:rsidP="0093159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Audit &amp; Risk Committee</w:t>
            </w:r>
          </w:p>
        </w:tc>
      </w:tr>
      <w:tr w:rsidR="00C63A9E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C63A9E" w:rsidRDefault="00055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="007541C7">
              <w:rPr>
                <w:sz w:val="24"/>
                <w:szCs w:val="24"/>
              </w:rPr>
              <w:t>.1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C13C15" w:rsidRPr="00C13C15" w:rsidRDefault="001247D8" w:rsidP="003F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Board w</w:t>
            </w:r>
            <w:r w:rsidR="003F6140">
              <w:rPr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 xml:space="preserve"> updated on three </w:t>
            </w:r>
            <w:r w:rsidR="0089053A">
              <w:rPr>
                <w:sz w:val="24"/>
                <w:szCs w:val="24"/>
              </w:rPr>
              <w:t xml:space="preserve">Service Delivery Company </w:t>
            </w:r>
            <w:r>
              <w:rPr>
                <w:sz w:val="24"/>
                <w:szCs w:val="24"/>
              </w:rPr>
              <w:t xml:space="preserve">internal audit reports undertaken by Deloitte.  One report was </w:t>
            </w:r>
            <w:r w:rsidR="003F6140">
              <w:rPr>
                <w:sz w:val="24"/>
                <w:szCs w:val="24"/>
              </w:rPr>
              <w:t>4 important and 3 minor findings</w:t>
            </w:r>
            <w:r>
              <w:rPr>
                <w:sz w:val="24"/>
                <w:szCs w:val="24"/>
              </w:rPr>
              <w:t xml:space="preserve"> and </w:t>
            </w:r>
            <w:r w:rsidR="003F6140">
              <w:rPr>
                <w:sz w:val="24"/>
                <w:szCs w:val="24"/>
              </w:rPr>
              <w:t xml:space="preserve">this </w:t>
            </w:r>
            <w:r>
              <w:rPr>
                <w:sz w:val="24"/>
                <w:szCs w:val="24"/>
              </w:rPr>
              <w:t>is being addressed by CIB Executive.</w:t>
            </w:r>
            <w:r w:rsidR="0089053A">
              <w:rPr>
                <w:sz w:val="24"/>
                <w:szCs w:val="24"/>
              </w:rPr>
              <w:t xml:space="preserve">  In future, Internal Audit Reports will issue to all Board members once presented to the Audit &amp; Risk Committee.</w:t>
            </w:r>
          </w:p>
        </w:tc>
      </w:tr>
      <w:tr w:rsidR="00C46512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C46512" w:rsidRDefault="00C46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C46512" w:rsidRDefault="00C46512" w:rsidP="00C46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latest (twice yearly) ICT disaster recovery testing was successful with two minor fails that rectified within five minutes.  The Committee were assured that there is a robust disaster recovery system in place and a protective system to avoid data breakdown is in progress.</w:t>
            </w:r>
          </w:p>
        </w:tc>
      </w:tr>
      <w:tr w:rsidR="00082ED4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082ED4" w:rsidRDefault="00082ED4">
            <w:pPr>
              <w:rPr>
                <w:sz w:val="24"/>
                <w:szCs w:val="24"/>
              </w:rPr>
            </w:pP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682CD3" w:rsidRPr="000553A0" w:rsidRDefault="009C0653" w:rsidP="007541C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Social Policy Committee</w:t>
            </w:r>
          </w:p>
        </w:tc>
      </w:tr>
      <w:tr w:rsidR="007541C7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7541C7" w:rsidRDefault="007541C7" w:rsidP="009C0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C065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7541C7" w:rsidRDefault="00163EB6" w:rsidP="00754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meeting did not take place.</w:t>
            </w:r>
          </w:p>
          <w:p w:rsidR="00A308EB" w:rsidRDefault="00A308EB" w:rsidP="007541C7">
            <w:pPr>
              <w:rPr>
                <w:sz w:val="24"/>
                <w:szCs w:val="24"/>
              </w:rPr>
            </w:pPr>
          </w:p>
        </w:tc>
      </w:tr>
      <w:tr w:rsidR="00D5755E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D5755E" w:rsidRPr="00E673EC" w:rsidRDefault="003809E1">
            <w:pPr>
              <w:rPr>
                <w:b/>
                <w:sz w:val="24"/>
                <w:szCs w:val="24"/>
              </w:rPr>
            </w:pPr>
            <w:r w:rsidRPr="00E673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D5755E" w:rsidRDefault="007541C7" w:rsidP="000F19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Finance</w:t>
            </w:r>
          </w:p>
          <w:p w:rsidR="00051F67" w:rsidRPr="00016236" w:rsidRDefault="008E0894" w:rsidP="004E689D">
            <w:pPr>
              <w:rPr>
                <w:b/>
                <w:sz w:val="24"/>
                <w:szCs w:val="24"/>
              </w:rPr>
            </w:pPr>
            <w:r w:rsidRPr="00DD708B">
              <w:rPr>
                <w:i/>
                <w:sz w:val="24"/>
                <w:szCs w:val="24"/>
              </w:rPr>
              <w:t>(</w:t>
            </w:r>
            <w:r w:rsidR="004E689D">
              <w:rPr>
                <w:i/>
                <w:sz w:val="24"/>
                <w:szCs w:val="24"/>
              </w:rPr>
              <w:t>Budget Monitoring Report August 2017 Period 8 was circulated in advance of the meeting.</w:t>
            </w:r>
            <w:r w:rsidR="009C0653">
              <w:rPr>
                <w:i/>
                <w:sz w:val="24"/>
                <w:szCs w:val="24"/>
              </w:rPr>
              <w:t>)</w:t>
            </w:r>
          </w:p>
        </w:tc>
      </w:tr>
      <w:tr w:rsidR="00D5755E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D5755E" w:rsidRPr="00DD39EE" w:rsidRDefault="000F1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D5755E" w:rsidRPr="00D565B8" w:rsidRDefault="00D565B8" w:rsidP="009C0653">
            <w:pPr>
              <w:rPr>
                <w:sz w:val="24"/>
                <w:szCs w:val="24"/>
                <w:u w:val="single"/>
              </w:rPr>
            </w:pPr>
            <w:r w:rsidRPr="00D565B8">
              <w:rPr>
                <w:sz w:val="24"/>
                <w:szCs w:val="24"/>
                <w:u w:val="single"/>
              </w:rPr>
              <w:t xml:space="preserve">Budgeting Monitoring </w:t>
            </w:r>
            <w:r w:rsidR="009C0653">
              <w:rPr>
                <w:sz w:val="24"/>
                <w:szCs w:val="24"/>
                <w:u w:val="single"/>
              </w:rPr>
              <w:t>August 2017</w:t>
            </w:r>
          </w:p>
        </w:tc>
      </w:tr>
      <w:tr w:rsidR="00D565B8" w:rsidRPr="00C34223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D565B8" w:rsidRPr="00C34223" w:rsidRDefault="00D565B8" w:rsidP="0071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D375F0" w:rsidRPr="00C34223" w:rsidRDefault="004E689D" w:rsidP="0071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overall excess of expenditure over income for the year to August 2017 was €849,676.</w:t>
            </w:r>
          </w:p>
        </w:tc>
      </w:tr>
      <w:tr w:rsidR="00D565B8" w:rsidRPr="00C34223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D565B8" w:rsidRPr="00C34223" w:rsidRDefault="00D565B8" w:rsidP="0071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D565B8" w:rsidRPr="00C34223" w:rsidRDefault="004E689D" w:rsidP="0071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DMA MABS variance of €10,867 – the Q3 grant for Limerick was withheld as the </w:t>
            </w:r>
            <w:r w:rsidR="00AA5FA5">
              <w:rPr>
                <w:sz w:val="24"/>
                <w:szCs w:val="24"/>
              </w:rPr>
              <w:t>pending the recruitment of a new DMA Advisor.</w:t>
            </w:r>
          </w:p>
        </w:tc>
      </w:tr>
      <w:tr w:rsidR="004E689D" w:rsidRPr="00C34223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4E689D" w:rsidRDefault="00AA5FA5" w:rsidP="0071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5.1.3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4E689D" w:rsidRPr="00C34223" w:rsidRDefault="00AA5FA5" w:rsidP="00AA5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Abhaile variance of €46,508 due to the difficulty in determining the timing and/or volume of the vouchers cashed by citizens.</w:t>
            </w:r>
          </w:p>
        </w:tc>
      </w:tr>
      <w:tr w:rsidR="004E689D" w:rsidRPr="00C34223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4E689D" w:rsidRDefault="00AA5FA5" w:rsidP="0071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5.1.4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4E689D" w:rsidRPr="00C34223" w:rsidRDefault="00AA5FA5" w:rsidP="0071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variance of €104,461 due to Telecommunications, ICT projects and ICT security all under budget.</w:t>
            </w:r>
          </w:p>
        </w:tc>
      </w:tr>
      <w:tr w:rsidR="004E689D" w:rsidRPr="00C34223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4E689D" w:rsidRDefault="00AA5FA5" w:rsidP="0071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5.1.5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4E689D" w:rsidRPr="00C34223" w:rsidRDefault="00C46512" w:rsidP="0071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variance €7,976 due to a higher than anticipated spend on training supports to CISs in July and a number of other smaller overspends on eLearning.</w:t>
            </w:r>
          </w:p>
        </w:tc>
      </w:tr>
      <w:tr w:rsidR="00E96423" w:rsidRPr="00C34223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E96423" w:rsidRDefault="00E96423" w:rsidP="0071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E96423" w:rsidRPr="00E96423" w:rsidRDefault="00E96423" w:rsidP="00714764">
            <w:pPr>
              <w:rPr>
                <w:sz w:val="24"/>
                <w:szCs w:val="24"/>
                <w:u w:val="single"/>
              </w:rPr>
            </w:pPr>
            <w:r w:rsidRPr="00E96423">
              <w:rPr>
                <w:sz w:val="24"/>
                <w:szCs w:val="24"/>
                <w:u w:val="single"/>
              </w:rPr>
              <w:t>Budget Estimates 2018 Update</w:t>
            </w:r>
          </w:p>
        </w:tc>
      </w:tr>
      <w:tr w:rsidR="00C46512" w:rsidRPr="00C34223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C46512" w:rsidRDefault="00C46512" w:rsidP="00E96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E96423">
              <w:rPr>
                <w:sz w:val="24"/>
                <w:szCs w:val="24"/>
              </w:rPr>
              <w:t>2.1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C46512" w:rsidRDefault="00C46512" w:rsidP="00036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no indicat</w:t>
            </w:r>
            <w:r w:rsidR="00036DE3">
              <w:rPr>
                <w:sz w:val="24"/>
                <w:szCs w:val="24"/>
              </w:rPr>
              <w:t>ion</w:t>
            </w:r>
            <w:r>
              <w:rPr>
                <w:sz w:val="24"/>
                <w:szCs w:val="24"/>
              </w:rPr>
              <w:t xml:space="preserve"> from DEASP as to the expected budget allocation for 2018.</w:t>
            </w:r>
            <w:r w:rsidR="00036DE3">
              <w:rPr>
                <w:sz w:val="24"/>
                <w:szCs w:val="24"/>
              </w:rPr>
              <w:t xml:space="preserve">  CIB’s budget allocation will be known on Budget day, 10</w:t>
            </w:r>
            <w:r w:rsidR="00036DE3" w:rsidRPr="00036DE3">
              <w:rPr>
                <w:sz w:val="24"/>
                <w:szCs w:val="24"/>
                <w:vertAlign w:val="superscript"/>
              </w:rPr>
              <w:t>th</w:t>
            </w:r>
            <w:r w:rsidR="00036DE3">
              <w:rPr>
                <w:sz w:val="24"/>
                <w:szCs w:val="24"/>
              </w:rPr>
              <w:t xml:space="preserve"> October 2017. </w:t>
            </w:r>
          </w:p>
        </w:tc>
      </w:tr>
      <w:tr w:rsidR="00DD0A21" w:rsidRPr="00C34223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DD0A21" w:rsidRDefault="00DD0A21" w:rsidP="0071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DD0A21" w:rsidRPr="00DD0A21" w:rsidRDefault="00DD0A21" w:rsidP="00714764">
            <w:pPr>
              <w:rPr>
                <w:sz w:val="24"/>
                <w:szCs w:val="24"/>
                <w:u w:val="single"/>
              </w:rPr>
            </w:pPr>
            <w:r w:rsidRPr="00DD0A21">
              <w:rPr>
                <w:sz w:val="24"/>
                <w:szCs w:val="24"/>
                <w:u w:val="single"/>
              </w:rPr>
              <w:t>Premises</w:t>
            </w:r>
          </w:p>
        </w:tc>
      </w:tr>
      <w:tr w:rsidR="00C46512" w:rsidRPr="00C34223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C46512" w:rsidRDefault="00C46512" w:rsidP="00DD0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D0A21">
              <w:rPr>
                <w:sz w:val="24"/>
                <w:szCs w:val="24"/>
              </w:rPr>
              <w:t>2.1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C46512" w:rsidRDefault="00C46512" w:rsidP="00C46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Board approved CIB Executive to sign a one-year licence agreement between Pobal and CIB for premises in Sligo.  </w:t>
            </w:r>
          </w:p>
        </w:tc>
      </w:tr>
      <w:tr w:rsidR="00DD0A21" w:rsidRPr="00C34223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DD0A21" w:rsidRDefault="00DD0A21" w:rsidP="00DD0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DD0A21" w:rsidRPr="00DD0A21" w:rsidRDefault="00DD0A21" w:rsidP="00C46512">
            <w:pPr>
              <w:rPr>
                <w:sz w:val="24"/>
                <w:szCs w:val="24"/>
                <w:u w:val="single"/>
              </w:rPr>
            </w:pPr>
            <w:r w:rsidRPr="00DD0A21">
              <w:rPr>
                <w:sz w:val="24"/>
                <w:szCs w:val="24"/>
                <w:u w:val="single"/>
              </w:rPr>
              <w:t>Risk Management</w:t>
            </w:r>
          </w:p>
        </w:tc>
      </w:tr>
      <w:tr w:rsidR="00895F79" w:rsidRPr="00C34223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895F79" w:rsidRDefault="00895F79" w:rsidP="00DD0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D0A21">
              <w:rPr>
                <w:sz w:val="24"/>
                <w:szCs w:val="24"/>
              </w:rPr>
              <w:t>3.1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895F79" w:rsidRDefault="00895F79" w:rsidP="007A6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Board approved the Risk Framework previously issued </w:t>
            </w:r>
            <w:r w:rsidR="000908D9">
              <w:rPr>
                <w:sz w:val="24"/>
                <w:szCs w:val="24"/>
              </w:rPr>
              <w:t xml:space="preserve">and discussed at the June meeting.  All suggested amendments have been incorporated.  </w:t>
            </w:r>
            <w:r>
              <w:rPr>
                <w:sz w:val="24"/>
                <w:szCs w:val="24"/>
              </w:rPr>
              <w:t xml:space="preserve">A Risk Appetite statement will be included by CIB Executive. </w:t>
            </w:r>
          </w:p>
          <w:p w:rsidR="00A308EB" w:rsidRDefault="00A308EB" w:rsidP="007A6D4E">
            <w:pPr>
              <w:rPr>
                <w:sz w:val="24"/>
                <w:szCs w:val="24"/>
              </w:rPr>
            </w:pPr>
          </w:p>
        </w:tc>
      </w:tr>
      <w:tr w:rsidR="00D565B8" w:rsidRPr="009302EA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D565B8" w:rsidRPr="009302EA" w:rsidRDefault="009302EA" w:rsidP="00D565B8">
            <w:pPr>
              <w:rPr>
                <w:b/>
                <w:sz w:val="24"/>
                <w:szCs w:val="24"/>
              </w:rPr>
            </w:pPr>
            <w:r w:rsidRPr="009302E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D565B8" w:rsidRPr="009302EA" w:rsidRDefault="009302EA" w:rsidP="00D565B8">
            <w:pPr>
              <w:rPr>
                <w:b/>
                <w:sz w:val="24"/>
                <w:szCs w:val="24"/>
              </w:rPr>
            </w:pPr>
            <w:r w:rsidRPr="009302EA">
              <w:rPr>
                <w:b/>
                <w:sz w:val="24"/>
                <w:szCs w:val="24"/>
              </w:rPr>
              <w:t>Report of the Chief Executive</w:t>
            </w:r>
          </w:p>
        </w:tc>
      </w:tr>
      <w:tr w:rsidR="00D565B8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D565B8" w:rsidRDefault="009302EA" w:rsidP="00D5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2C3FF5" w:rsidRDefault="0079096B" w:rsidP="00D5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redesigned citizensinformation.ie website is now live.</w:t>
            </w:r>
          </w:p>
        </w:tc>
      </w:tr>
      <w:tr w:rsidR="0079096B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79096B" w:rsidRDefault="0079096B" w:rsidP="00D5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79096B" w:rsidRDefault="0079096B" w:rsidP="00D5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CIB has been liaising with Citizens Advice NI, Border People and Law Centre NI to develop a shared approach to Brexit information.</w:t>
            </w:r>
          </w:p>
        </w:tc>
      </w:tr>
      <w:tr w:rsidR="0079096B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79096B" w:rsidRDefault="0079096B" w:rsidP="00D5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79096B" w:rsidRDefault="0079096B" w:rsidP="00896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of 8</w:t>
            </w:r>
            <w:r w:rsidRPr="0079096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September, the DMAs have processed a total </w:t>
            </w:r>
            <w:r w:rsidRPr="008960FA">
              <w:rPr>
                <w:sz w:val="24"/>
                <w:szCs w:val="24"/>
              </w:rPr>
              <w:t>of 4,238</w:t>
            </w:r>
            <w:r w:rsidR="008960FA">
              <w:rPr>
                <w:sz w:val="24"/>
                <w:szCs w:val="24"/>
              </w:rPr>
              <w:t xml:space="preserve"> Mortgage Arrears cases.  </w:t>
            </w:r>
            <w:r>
              <w:rPr>
                <w:sz w:val="24"/>
                <w:szCs w:val="24"/>
              </w:rPr>
              <w:t>8,657 vouchers have been issued since the scheme went live in July 2016.</w:t>
            </w:r>
          </w:p>
        </w:tc>
      </w:tr>
      <w:tr w:rsidR="0079096B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79096B" w:rsidRDefault="0079096B" w:rsidP="00D5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79096B" w:rsidRDefault="0079096B" w:rsidP="00D5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NAS are finalising their first Strategy for the period 2018-2020.</w:t>
            </w:r>
          </w:p>
          <w:p w:rsidR="00A308EB" w:rsidRDefault="00A308EB" w:rsidP="00D565B8">
            <w:pPr>
              <w:rPr>
                <w:sz w:val="24"/>
                <w:szCs w:val="24"/>
              </w:rPr>
            </w:pPr>
          </w:p>
        </w:tc>
      </w:tr>
      <w:tr w:rsidR="00D565B8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D565B8" w:rsidRPr="00DD39EE" w:rsidRDefault="00D565B8" w:rsidP="00D565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D565B8" w:rsidRPr="00DD708B" w:rsidRDefault="009C0653" w:rsidP="009C0653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of Restructuring</w:t>
            </w:r>
          </w:p>
        </w:tc>
      </w:tr>
      <w:tr w:rsidR="00D565B8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D565B8" w:rsidRPr="00E673EC" w:rsidRDefault="00D565B8" w:rsidP="003A78BC">
            <w:pPr>
              <w:rPr>
                <w:sz w:val="24"/>
                <w:szCs w:val="24"/>
              </w:rPr>
            </w:pPr>
            <w:r w:rsidRPr="00E673EC">
              <w:rPr>
                <w:sz w:val="24"/>
                <w:szCs w:val="24"/>
              </w:rPr>
              <w:t>7.1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893FF9" w:rsidRPr="004E096B" w:rsidRDefault="00802E74" w:rsidP="008C6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series of themed focus groups were held during August to focus on Service Delivery Strategy, Boards links to Advisory Committees, Regional Manager roles and roles of </w:t>
            </w:r>
            <w:r w:rsidR="008C66C2">
              <w:rPr>
                <w:sz w:val="24"/>
                <w:szCs w:val="24"/>
              </w:rPr>
              <w:t>A</w:t>
            </w:r>
            <w:r w:rsidR="00434A64">
              <w:rPr>
                <w:sz w:val="24"/>
                <w:szCs w:val="24"/>
              </w:rPr>
              <w:t>dministrators with overall positive feedback from these focus groups.</w:t>
            </w:r>
          </w:p>
        </w:tc>
      </w:tr>
      <w:tr w:rsidR="00802E74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802E74" w:rsidRPr="00E673EC" w:rsidRDefault="00802E74" w:rsidP="003A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802E74" w:rsidRDefault="00802E74" w:rsidP="00573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Draft job role description for the new Regional Manager posts </w:t>
            </w:r>
            <w:r w:rsidR="00573B66">
              <w:rPr>
                <w:sz w:val="24"/>
                <w:szCs w:val="24"/>
              </w:rPr>
              <w:t>are in development</w:t>
            </w:r>
            <w:r>
              <w:rPr>
                <w:sz w:val="24"/>
                <w:szCs w:val="24"/>
              </w:rPr>
              <w:t xml:space="preserve"> following the focus groups.</w:t>
            </w:r>
          </w:p>
        </w:tc>
      </w:tr>
      <w:tr w:rsidR="00802E74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802E74" w:rsidRPr="00E673EC" w:rsidRDefault="00802E74" w:rsidP="003A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802E74" w:rsidRDefault="00802E74" w:rsidP="00802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CIS Union/Employer sub-group will meet again late September.  The MABS NMF and Unite Trade Union have agreed to set up a MABS Union/Employer group following a meeting with the Workplace Relations Commission.</w:t>
            </w:r>
          </w:p>
        </w:tc>
      </w:tr>
      <w:tr w:rsidR="00802E74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802E74" w:rsidRPr="00E673EC" w:rsidRDefault="00802E74" w:rsidP="003A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802E74" w:rsidRDefault="00802E74" w:rsidP="00802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CIB has sent responses to follow-up queries from the DEASP in relation to the business case previously submitted.</w:t>
            </w:r>
          </w:p>
        </w:tc>
      </w:tr>
      <w:tr w:rsidR="00B6244D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B6244D" w:rsidRDefault="00B6244D" w:rsidP="003A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B6244D" w:rsidRDefault="00B6244D" w:rsidP="00B62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Board requested that the </w:t>
            </w:r>
            <w:r w:rsidR="00036DE3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Time Line for Preparation for Reorganisation of CIS and MABS Companies Update</w:t>
            </w:r>
            <w:r w:rsidR="00036DE3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 document presented in June 2017 be updated and issued with Board papers for each Board meeting dur</w:t>
            </w:r>
            <w:r w:rsidR="00434A64">
              <w:rPr>
                <w:sz w:val="24"/>
                <w:szCs w:val="24"/>
              </w:rPr>
              <w:t>ing the lifetime of the project in order to provide the Board with a live update.</w:t>
            </w:r>
          </w:p>
        </w:tc>
      </w:tr>
      <w:tr w:rsidR="00434A64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434A64" w:rsidRDefault="00434A64" w:rsidP="003A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434A64" w:rsidRDefault="00434A64" w:rsidP="0043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response to a query in relation to planning, resourcing and funding for the project, it was reported that while CIB await confirmation of allocation of dedicated resources for the project from D/PER via the DEASP a lot of the work currently underway is preliminary and preparatory and CIB will continue to prepare for the restructuring.</w:t>
            </w:r>
          </w:p>
        </w:tc>
      </w:tr>
      <w:tr w:rsidR="009420BA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9420BA" w:rsidRDefault="009420BA" w:rsidP="003A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9420BA" w:rsidRDefault="009420BA" w:rsidP="009420BA">
            <w:pPr>
              <w:rPr>
                <w:sz w:val="24"/>
                <w:szCs w:val="24"/>
              </w:rPr>
            </w:pPr>
            <w:r w:rsidRPr="009420BA">
              <w:rPr>
                <w:sz w:val="24"/>
                <w:szCs w:val="24"/>
              </w:rPr>
              <w:t xml:space="preserve">Following a tender process, a contract is being awarded for Management Consulting and Advisory Services for the restructuring project.  </w:t>
            </w:r>
            <w:r>
              <w:rPr>
                <w:sz w:val="24"/>
                <w:szCs w:val="24"/>
              </w:rPr>
              <w:t>The Management Consultants will be in place during October to commence on the project.</w:t>
            </w:r>
          </w:p>
          <w:p w:rsidR="00A308EB" w:rsidRPr="009420BA" w:rsidRDefault="00A308EB" w:rsidP="009420BA">
            <w:pPr>
              <w:rPr>
                <w:sz w:val="24"/>
                <w:szCs w:val="24"/>
              </w:rPr>
            </w:pPr>
          </w:p>
        </w:tc>
      </w:tr>
      <w:tr w:rsidR="00D565B8" w:rsidRPr="007541C7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D565B8" w:rsidRPr="007541C7" w:rsidRDefault="00D565B8" w:rsidP="00D565B8">
            <w:pPr>
              <w:rPr>
                <w:b/>
                <w:sz w:val="24"/>
                <w:szCs w:val="24"/>
              </w:rPr>
            </w:pPr>
            <w:r w:rsidRPr="007541C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D565B8" w:rsidRDefault="009C0653" w:rsidP="00D565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Reports</w:t>
            </w:r>
            <w:r w:rsidR="000908D9">
              <w:rPr>
                <w:b/>
                <w:sz w:val="24"/>
                <w:szCs w:val="24"/>
              </w:rPr>
              <w:t xml:space="preserve"> – Cost Benefit Analysis</w:t>
            </w:r>
          </w:p>
          <w:p w:rsidR="001C4D9E" w:rsidRPr="007541C7" w:rsidRDefault="001C4D9E" w:rsidP="000908D9">
            <w:pPr>
              <w:rPr>
                <w:b/>
                <w:sz w:val="24"/>
                <w:szCs w:val="24"/>
              </w:rPr>
            </w:pPr>
            <w:r w:rsidRPr="00031A49">
              <w:rPr>
                <w:i/>
                <w:sz w:val="24"/>
                <w:szCs w:val="24"/>
              </w:rPr>
              <w:t>(</w:t>
            </w:r>
            <w:r w:rsidR="00C06DBF">
              <w:rPr>
                <w:i/>
                <w:sz w:val="24"/>
                <w:szCs w:val="24"/>
              </w:rPr>
              <w:t>A document titled ‘</w:t>
            </w:r>
            <w:r w:rsidR="009C0653">
              <w:rPr>
                <w:i/>
                <w:sz w:val="24"/>
                <w:szCs w:val="24"/>
              </w:rPr>
              <w:t xml:space="preserve">Costs </w:t>
            </w:r>
            <w:r w:rsidR="00C06DBF">
              <w:rPr>
                <w:i/>
                <w:sz w:val="24"/>
                <w:szCs w:val="24"/>
              </w:rPr>
              <w:t>Benefits Analysis of the Proposed Regional Reorganisation of the CIS and MABS Network’ was circulated in advance of the meeting.)</w:t>
            </w:r>
          </w:p>
        </w:tc>
      </w:tr>
      <w:tr w:rsidR="00D565B8" w:rsidRPr="004E096B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D565B8" w:rsidRDefault="00D565B8" w:rsidP="00D5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7514EC" w:rsidRDefault="009B2969" w:rsidP="009B2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C06DBF">
              <w:rPr>
                <w:sz w:val="24"/>
                <w:szCs w:val="24"/>
              </w:rPr>
              <w:t xml:space="preserve">he Joint Committee on </w:t>
            </w:r>
            <w:r>
              <w:rPr>
                <w:sz w:val="24"/>
                <w:szCs w:val="24"/>
              </w:rPr>
              <w:t>Social Protection requested CIB Executive to provide a</w:t>
            </w:r>
            <w:r w:rsidR="00C06DBF">
              <w:rPr>
                <w:sz w:val="24"/>
                <w:szCs w:val="24"/>
              </w:rPr>
              <w:t xml:space="preserve"> cost benefit analysis</w:t>
            </w:r>
            <w:r>
              <w:rPr>
                <w:sz w:val="24"/>
                <w:szCs w:val="24"/>
              </w:rPr>
              <w:t xml:space="preserve"> to the Committee and this report </w:t>
            </w:r>
            <w:r w:rsidR="00C06DBF">
              <w:rPr>
                <w:sz w:val="24"/>
                <w:szCs w:val="24"/>
              </w:rPr>
              <w:t xml:space="preserve">was commissioned by </w:t>
            </w:r>
            <w:r>
              <w:rPr>
                <w:sz w:val="24"/>
                <w:szCs w:val="24"/>
              </w:rPr>
              <w:t xml:space="preserve">CIB. </w:t>
            </w:r>
            <w:r w:rsidR="00C06DBF">
              <w:rPr>
                <w:sz w:val="24"/>
                <w:szCs w:val="24"/>
              </w:rPr>
              <w:t xml:space="preserve"> </w:t>
            </w:r>
          </w:p>
        </w:tc>
      </w:tr>
      <w:tr w:rsidR="00C06DBF" w:rsidRPr="004E096B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C06DBF" w:rsidRDefault="00C06DBF" w:rsidP="00D5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C06DBF" w:rsidRDefault="00184481" w:rsidP="009B2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report will be submitted to the DEASP, Joint Oireachta</w:t>
            </w:r>
            <w:r w:rsidR="009B2969">
              <w:rPr>
                <w:sz w:val="24"/>
                <w:szCs w:val="24"/>
              </w:rPr>
              <w:t xml:space="preserve">s Committee and </w:t>
            </w:r>
            <w:r w:rsidR="00036DE3">
              <w:rPr>
                <w:sz w:val="24"/>
                <w:szCs w:val="24"/>
              </w:rPr>
              <w:t xml:space="preserve">uploaded to </w:t>
            </w:r>
            <w:r w:rsidR="009B2969">
              <w:rPr>
                <w:sz w:val="24"/>
                <w:szCs w:val="24"/>
              </w:rPr>
              <w:t>the CIB website.</w:t>
            </w:r>
          </w:p>
        </w:tc>
      </w:tr>
      <w:tr w:rsidR="00C06DBF" w:rsidRPr="004E096B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C06DBF" w:rsidRDefault="00184481" w:rsidP="00D5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C06DBF" w:rsidRDefault="00184481" w:rsidP="00184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Board requested a list of submissions and papers made available to the Consultants and papers that were made available to the Consultants for their information.  </w:t>
            </w:r>
          </w:p>
        </w:tc>
      </w:tr>
      <w:tr w:rsidR="00C06DBF" w:rsidRPr="004E096B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C06DBF" w:rsidRDefault="00CF5C95" w:rsidP="00D5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C06DBF" w:rsidRPr="00CF5C95" w:rsidRDefault="00CF5C95" w:rsidP="00CF5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Following a discussion, a </w:t>
            </w:r>
            <w:r w:rsidRPr="00CF5C95">
              <w:rPr>
                <w:sz w:val="24"/>
                <w:szCs w:val="24"/>
              </w:rPr>
              <w:t xml:space="preserve">Board member was invited to submit any comments to </w:t>
            </w:r>
            <w:r>
              <w:rPr>
                <w:sz w:val="24"/>
                <w:szCs w:val="24"/>
              </w:rPr>
              <w:t>support</w:t>
            </w:r>
            <w:r w:rsidRPr="00CF5C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claims of </w:t>
            </w:r>
            <w:r w:rsidRPr="00CF5C95">
              <w:rPr>
                <w:sz w:val="24"/>
                <w:szCs w:val="24"/>
              </w:rPr>
              <w:t xml:space="preserve">any factual errors in the report.   </w:t>
            </w:r>
          </w:p>
        </w:tc>
      </w:tr>
      <w:tr w:rsidR="00CF5C95" w:rsidRPr="004E096B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CF5C95" w:rsidRDefault="00CF5C95" w:rsidP="00D5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CF5C95" w:rsidRDefault="00CF5C95" w:rsidP="00CF5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Clarity is required around what type of decisions are for the Board and CIB Executive (operational) to make and to keep at an appropriate level.</w:t>
            </w:r>
          </w:p>
        </w:tc>
      </w:tr>
      <w:tr w:rsidR="00D565B8" w:rsidRPr="00FF1F00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D565B8" w:rsidRPr="00FF1F00" w:rsidRDefault="00D565B8" w:rsidP="00D565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D565B8" w:rsidRPr="00FF1F00" w:rsidRDefault="00D565B8" w:rsidP="00D565B8">
            <w:pPr>
              <w:rPr>
                <w:b/>
                <w:sz w:val="24"/>
                <w:szCs w:val="24"/>
              </w:rPr>
            </w:pPr>
            <w:r w:rsidRPr="00FF1F00">
              <w:rPr>
                <w:b/>
                <w:sz w:val="24"/>
                <w:szCs w:val="24"/>
              </w:rPr>
              <w:t xml:space="preserve">Date of the next Meeting </w:t>
            </w:r>
          </w:p>
        </w:tc>
      </w:tr>
      <w:tr w:rsidR="00D565B8" w:rsidRPr="00DD39EE" w:rsidTr="00896D9A"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:rsidR="00D565B8" w:rsidRPr="00DD39EE" w:rsidRDefault="00D565B8" w:rsidP="00D5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8263" w:type="dxa"/>
            <w:tcBorders>
              <w:top w:val="dotted" w:sz="4" w:space="0" w:color="auto"/>
              <w:bottom w:val="dotted" w:sz="4" w:space="0" w:color="auto"/>
            </w:tcBorders>
          </w:tcPr>
          <w:p w:rsidR="00D565B8" w:rsidRPr="00DD39EE" w:rsidRDefault="00D565B8" w:rsidP="007A6D4E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The next meeting o</w:t>
            </w:r>
            <w:r>
              <w:rPr>
                <w:sz w:val="24"/>
                <w:szCs w:val="24"/>
              </w:rPr>
              <w:t>f the Board</w:t>
            </w:r>
            <w:r w:rsidR="005D063F">
              <w:rPr>
                <w:sz w:val="24"/>
                <w:szCs w:val="24"/>
              </w:rPr>
              <w:t xml:space="preserve"> will take place on Wednesday </w:t>
            </w:r>
            <w:r w:rsidR="007A6D4E">
              <w:rPr>
                <w:sz w:val="24"/>
                <w:szCs w:val="24"/>
              </w:rPr>
              <w:t>15</w:t>
            </w:r>
            <w:r w:rsidR="007A6D4E" w:rsidRPr="007A6D4E">
              <w:rPr>
                <w:sz w:val="24"/>
                <w:szCs w:val="24"/>
                <w:vertAlign w:val="superscript"/>
              </w:rPr>
              <w:t>th</w:t>
            </w:r>
            <w:r w:rsidR="007A6D4E">
              <w:rPr>
                <w:sz w:val="24"/>
                <w:szCs w:val="24"/>
              </w:rPr>
              <w:t xml:space="preserve"> November </w:t>
            </w:r>
            <w:r>
              <w:rPr>
                <w:sz w:val="24"/>
                <w:szCs w:val="24"/>
              </w:rPr>
              <w:t xml:space="preserve">2017 at 1.30pm.  </w:t>
            </w:r>
          </w:p>
        </w:tc>
      </w:tr>
    </w:tbl>
    <w:p w:rsidR="00682CD3" w:rsidRDefault="00682CD3" w:rsidP="0047699A">
      <w:pPr>
        <w:rPr>
          <w:sz w:val="24"/>
          <w:szCs w:val="24"/>
        </w:rPr>
      </w:pPr>
    </w:p>
    <w:p w:rsidR="00043916" w:rsidRDefault="00043916" w:rsidP="0047699A">
      <w:pPr>
        <w:rPr>
          <w:sz w:val="24"/>
          <w:szCs w:val="24"/>
        </w:rPr>
      </w:pPr>
    </w:p>
    <w:p w:rsidR="00043916" w:rsidRDefault="00043916" w:rsidP="0047699A">
      <w:pPr>
        <w:rPr>
          <w:sz w:val="24"/>
          <w:szCs w:val="24"/>
        </w:rPr>
      </w:pPr>
    </w:p>
    <w:p w:rsidR="00043916" w:rsidRDefault="00043916" w:rsidP="0047699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Signed: _____________________________</w:t>
      </w:r>
      <w:r>
        <w:rPr>
          <w:sz w:val="24"/>
          <w:szCs w:val="24"/>
        </w:rPr>
        <w:tab/>
        <w:t>Date: ____________________________</w:t>
      </w:r>
    </w:p>
    <w:sectPr w:rsidR="00043916" w:rsidSect="000F19E9">
      <w:headerReference w:type="default" r:id="rId8"/>
      <w:footerReference w:type="default" r:id="rId9"/>
      <w:pgSz w:w="11906" w:h="16838"/>
      <w:pgMar w:top="156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38" w:rsidRDefault="00631438" w:rsidP="00253E0A">
      <w:r>
        <w:separator/>
      </w:r>
    </w:p>
  </w:endnote>
  <w:endnote w:type="continuationSeparator" w:id="0">
    <w:p w:rsidR="00631438" w:rsidRDefault="00631438" w:rsidP="002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Black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9612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A445C" w:rsidRDefault="006A445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9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91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3E0A" w:rsidRDefault="00253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38" w:rsidRDefault="00631438" w:rsidP="00253E0A">
      <w:r>
        <w:separator/>
      </w:r>
    </w:p>
  </w:footnote>
  <w:footnote w:type="continuationSeparator" w:id="0">
    <w:p w:rsidR="00631438" w:rsidRDefault="00631438" w:rsidP="0025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FC7" w:rsidRDefault="00835FC7" w:rsidP="00835FC7">
    <w:pPr>
      <w:jc w:val="center"/>
      <w:rPr>
        <w:i/>
      </w:rPr>
    </w:pPr>
    <w:r>
      <w:rPr>
        <w:i/>
      </w:rPr>
      <w:t>Agenda item 1 | Board Meeting 15</w:t>
    </w:r>
    <w:r w:rsidRPr="00835FC7">
      <w:rPr>
        <w:i/>
        <w:vertAlign w:val="superscript"/>
      </w:rPr>
      <w:t>th</w:t>
    </w:r>
    <w:r>
      <w:rPr>
        <w:i/>
      </w:rPr>
      <w:t xml:space="preserve"> November 2017</w:t>
    </w:r>
  </w:p>
  <w:p w:rsidR="0047699A" w:rsidRDefault="004769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61BB9"/>
    <w:multiLevelType w:val="multilevel"/>
    <w:tmpl w:val="7018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16976"/>
    <w:multiLevelType w:val="hybridMultilevel"/>
    <w:tmpl w:val="292AA4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507C0"/>
    <w:multiLevelType w:val="hybridMultilevel"/>
    <w:tmpl w:val="9EA48846"/>
    <w:lvl w:ilvl="0" w:tplc="51ACC1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68"/>
    <w:rsid w:val="000110C7"/>
    <w:rsid w:val="0001388E"/>
    <w:rsid w:val="00013AE9"/>
    <w:rsid w:val="00016236"/>
    <w:rsid w:val="00021266"/>
    <w:rsid w:val="000214EF"/>
    <w:rsid w:val="000269CA"/>
    <w:rsid w:val="00031A49"/>
    <w:rsid w:val="0003557A"/>
    <w:rsid w:val="0003580A"/>
    <w:rsid w:val="00036DE3"/>
    <w:rsid w:val="00043916"/>
    <w:rsid w:val="00051F67"/>
    <w:rsid w:val="00054924"/>
    <w:rsid w:val="000550DD"/>
    <w:rsid w:val="000553A0"/>
    <w:rsid w:val="00056150"/>
    <w:rsid w:val="00060D52"/>
    <w:rsid w:val="00073232"/>
    <w:rsid w:val="000738BC"/>
    <w:rsid w:val="0007405C"/>
    <w:rsid w:val="00082ED4"/>
    <w:rsid w:val="00083132"/>
    <w:rsid w:val="00086D0C"/>
    <w:rsid w:val="0008789A"/>
    <w:rsid w:val="000908D9"/>
    <w:rsid w:val="0009318E"/>
    <w:rsid w:val="000C137C"/>
    <w:rsid w:val="000D35CE"/>
    <w:rsid w:val="000D4F5F"/>
    <w:rsid w:val="000D6A6C"/>
    <w:rsid w:val="000E1FD9"/>
    <w:rsid w:val="000E2DA3"/>
    <w:rsid w:val="000E71A5"/>
    <w:rsid w:val="000F19E9"/>
    <w:rsid w:val="000F3431"/>
    <w:rsid w:val="000F44CC"/>
    <w:rsid w:val="00101E8E"/>
    <w:rsid w:val="00110523"/>
    <w:rsid w:val="00116CA1"/>
    <w:rsid w:val="00117242"/>
    <w:rsid w:val="00120677"/>
    <w:rsid w:val="001211AD"/>
    <w:rsid w:val="001247D8"/>
    <w:rsid w:val="001305A9"/>
    <w:rsid w:val="00163EB6"/>
    <w:rsid w:val="00167268"/>
    <w:rsid w:val="001734D5"/>
    <w:rsid w:val="00184481"/>
    <w:rsid w:val="0018555D"/>
    <w:rsid w:val="001972B7"/>
    <w:rsid w:val="001A072F"/>
    <w:rsid w:val="001A2E70"/>
    <w:rsid w:val="001B5436"/>
    <w:rsid w:val="001C4D9E"/>
    <w:rsid w:val="001D1A84"/>
    <w:rsid w:val="001F2DE7"/>
    <w:rsid w:val="002030F9"/>
    <w:rsid w:val="00206A7E"/>
    <w:rsid w:val="00207853"/>
    <w:rsid w:val="00210FFB"/>
    <w:rsid w:val="00222EA3"/>
    <w:rsid w:val="00223310"/>
    <w:rsid w:val="0024260C"/>
    <w:rsid w:val="002437A6"/>
    <w:rsid w:val="002452FE"/>
    <w:rsid w:val="00253E0A"/>
    <w:rsid w:val="002668AB"/>
    <w:rsid w:val="00274184"/>
    <w:rsid w:val="0028711A"/>
    <w:rsid w:val="002B6F1A"/>
    <w:rsid w:val="002C3FF5"/>
    <w:rsid w:val="002D2F5B"/>
    <w:rsid w:val="002E2F27"/>
    <w:rsid w:val="002E4A8E"/>
    <w:rsid w:val="002F1665"/>
    <w:rsid w:val="002F304C"/>
    <w:rsid w:val="002F4AFA"/>
    <w:rsid w:val="002F7526"/>
    <w:rsid w:val="002F7F48"/>
    <w:rsid w:val="00305E2A"/>
    <w:rsid w:val="00316449"/>
    <w:rsid w:val="003214E0"/>
    <w:rsid w:val="003226A1"/>
    <w:rsid w:val="00340314"/>
    <w:rsid w:val="00344369"/>
    <w:rsid w:val="003809E1"/>
    <w:rsid w:val="00380F83"/>
    <w:rsid w:val="00380FB1"/>
    <w:rsid w:val="003919E8"/>
    <w:rsid w:val="00393B40"/>
    <w:rsid w:val="003A1153"/>
    <w:rsid w:val="003A5A19"/>
    <w:rsid w:val="003A78BC"/>
    <w:rsid w:val="003A7F61"/>
    <w:rsid w:val="003B0825"/>
    <w:rsid w:val="003B3D3C"/>
    <w:rsid w:val="003B4371"/>
    <w:rsid w:val="003C0EB2"/>
    <w:rsid w:val="003C20AD"/>
    <w:rsid w:val="003D3BA3"/>
    <w:rsid w:val="003E0975"/>
    <w:rsid w:val="003E52F7"/>
    <w:rsid w:val="003F2FCC"/>
    <w:rsid w:val="003F6140"/>
    <w:rsid w:val="004016DD"/>
    <w:rsid w:val="0041495A"/>
    <w:rsid w:val="004169B0"/>
    <w:rsid w:val="00434A64"/>
    <w:rsid w:val="00441F46"/>
    <w:rsid w:val="0044287F"/>
    <w:rsid w:val="00446426"/>
    <w:rsid w:val="00453032"/>
    <w:rsid w:val="00456740"/>
    <w:rsid w:val="0046025E"/>
    <w:rsid w:val="00465639"/>
    <w:rsid w:val="00473D3A"/>
    <w:rsid w:val="0047699A"/>
    <w:rsid w:val="00481E1A"/>
    <w:rsid w:val="004842DA"/>
    <w:rsid w:val="00491B95"/>
    <w:rsid w:val="004A3489"/>
    <w:rsid w:val="004A3C55"/>
    <w:rsid w:val="004A6C7E"/>
    <w:rsid w:val="004B2CAC"/>
    <w:rsid w:val="004B681F"/>
    <w:rsid w:val="004D4D2A"/>
    <w:rsid w:val="004E096B"/>
    <w:rsid w:val="004E689D"/>
    <w:rsid w:val="004F1454"/>
    <w:rsid w:val="004F1AFD"/>
    <w:rsid w:val="004F30CD"/>
    <w:rsid w:val="004F31AF"/>
    <w:rsid w:val="005249F3"/>
    <w:rsid w:val="00531374"/>
    <w:rsid w:val="00533536"/>
    <w:rsid w:val="00535086"/>
    <w:rsid w:val="00541834"/>
    <w:rsid w:val="00557A94"/>
    <w:rsid w:val="00561652"/>
    <w:rsid w:val="00561F9F"/>
    <w:rsid w:val="00573B66"/>
    <w:rsid w:val="00573E9A"/>
    <w:rsid w:val="00593953"/>
    <w:rsid w:val="00595AE5"/>
    <w:rsid w:val="00596012"/>
    <w:rsid w:val="0059619A"/>
    <w:rsid w:val="005A081A"/>
    <w:rsid w:val="005A3F47"/>
    <w:rsid w:val="005A6535"/>
    <w:rsid w:val="005B381C"/>
    <w:rsid w:val="005B4E20"/>
    <w:rsid w:val="005C486C"/>
    <w:rsid w:val="005C7ADA"/>
    <w:rsid w:val="005D063F"/>
    <w:rsid w:val="006139F4"/>
    <w:rsid w:val="00631438"/>
    <w:rsid w:val="006359E9"/>
    <w:rsid w:val="0063668D"/>
    <w:rsid w:val="00645BBC"/>
    <w:rsid w:val="00651FC3"/>
    <w:rsid w:val="0065511E"/>
    <w:rsid w:val="00672840"/>
    <w:rsid w:val="0067376C"/>
    <w:rsid w:val="006777C6"/>
    <w:rsid w:val="00682CD3"/>
    <w:rsid w:val="0069267E"/>
    <w:rsid w:val="00694352"/>
    <w:rsid w:val="00695583"/>
    <w:rsid w:val="006A19C7"/>
    <w:rsid w:val="006A445C"/>
    <w:rsid w:val="006A764B"/>
    <w:rsid w:val="006B4DD5"/>
    <w:rsid w:val="006B6DE7"/>
    <w:rsid w:val="006C316D"/>
    <w:rsid w:val="006C62E8"/>
    <w:rsid w:val="006D5BB3"/>
    <w:rsid w:val="006F3A83"/>
    <w:rsid w:val="00701D27"/>
    <w:rsid w:val="0070567D"/>
    <w:rsid w:val="00715E0B"/>
    <w:rsid w:val="00724614"/>
    <w:rsid w:val="007251DB"/>
    <w:rsid w:val="007340D6"/>
    <w:rsid w:val="0073549F"/>
    <w:rsid w:val="0074366F"/>
    <w:rsid w:val="00744DFB"/>
    <w:rsid w:val="007479CD"/>
    <w:rsid w:val="007514EC"/>
    <w:rsid w:val="007541C7"/>
    <w:rsid w:val="007640E4"/>
    <w:rsid w:val="00765B46"/>
    <w:rsid w:val="00767570"/>
    <w:rsid w:val="007732B2"/>
    <w:rsid w:val="00781496"/>
    <w:rsid w:val="007827CF"/>
    <w:rsid w:val="0079096B"/>
    <w:rsid w:val="0079099F"/>
    <w:rsid w:val="007956A0"/>
    <w:rsid w:val="007A11CF"/>
    <w:rsid w:val="007A6D4E"/>
    <w:rsid w:val="007B028B"/>
    <w:rsid w:val="007B18E8"/>
    <w:rsid w:val="007D29BC"/>
    <w:rsid w:val="007D77D8"/>
    <w:rsid w:val="007E6D19"/>
    <w:rsid w:val="007F1270"/>
    <w:rsid w:val="00802E74"/>
    <w:rsid w:val="00816D65"/>
    <w:rsid w:val="00826B01"/>
    <w:rsid w:val="008310C6"/>
    <w:rsid w:val="00833D2A"/>
    <w:rsid w:val="00835FC7"/>
    <w:rsid w:val="008413BF"/>
    <w:rsid w:val="0084699B"/>
    <w:rsid w:val="00851FEA"/>
    <w:rsid w:val="00853A67"/>
    <w:rsid w:val="00870A6E"/>
    <w:rsid w:val="008711C9"/>
    <w:rsid w:val="00874C19"/>
    <w:rsid w:val="00882BDB"/>
    <w:rsid w:val="00882F77"/>
    <w:rsid w:val="00885958"/>
    <w:rsid w:val="0089053A"/>
    <w:rsid w:val="00893FF9"/>
    <w:rsid w:val="00895F79"/>
    <w:rsid w:val="008960FA"/>
    <w:rsid w:val="00896D9A"/>
    <w:rsid w:val="00897AA7"/>
    <w:rsid w:val="008A3A08"/>
    <w:rsid w:val="008B0F8B"/>
    <w:rsid w:val="008B19AF"/>
    <w:rsid w:val="008C328F"/>
    <w:rsid w:val="008C483C"/>
    <w:rsid w:val="008C66C2"/>
    <w:rsid w:val="008D2F90"/>
    <w:rsid w:val="008E0894"/>
    <w:rsid w:val="008E40E5"/>
    <w:rsid w:val="008F1725"/>
    <w:rsid w:val="008F3B26"/>
    <w:rsid w:val="008F5BA5"/>
    <w:rsid w:val="00913CEB"/>
    <w:rsid w:val="0091532B"/>
    <w:rsid w:val="00916D8F"/>
    <w:rsid w:val="00920F0A"/>
    <w:rsid w:val="009302EA"/>
    <w:rsid w:val="0093159A"/>
    <w:rsid w:val="00940D59"/>
    <w:rsid w:val="009420BA"/>
    <w:rsid w:val="00946395"/>
    <w:rsid w:val="00954190"/>
    <w:rsid w:val="00961DA5"/>
    <w:rsid w:val="009677CB"/>
    <w:rsid w:val="009813DA"/>
    <w:rsid w:val="009B2969"/>
    <w:rsid w:val="009C0653"/>
    <w:rsid w:val="009C3476"/>
    <w:rsid w:val="009C6F6C"/>
    <w:rsid w:val="009F03FF"/>
    <w:rsid w:val="009F4A56"/>
    <w:rsid w:val="00A10617"/>
    <w:rsid w:val="00A308EB"/>
    <w:rsid w:val="00A31715"/>
    <w:rsid w:val="00A328CD"/>
    <w:rsid w:val="00A36414"/>
    <w:rsid w:val="00A4417C"/>
    <w:rsid w:val="00A45BBC"/>
    <w:rsid w:val="00A53270"/>
    <w:rsid w:val="00A64D6C"/>
    <w:rsid w:val="00A7376F"/>
    <w:rsid w:val="00A74FEC"/>
    <w:rsid w:val="00A868BA"/>
    <w:rsid w:val="00A86B7C"/>
    <w:rsid w:val="00A9519D"/>
    <w:rsid w:val="00A96269"/>
    <w:rsid w:val="00AA1A07"/>
    <w:rsid w:val="00AA2AD8"/>
    <w:rsid w:val="00AA2E22"/>
    <w:rsid w:val="00AA5FA5"/>
    <w:rsid w:val="00AA715B"/>
    <w:rsid w:val="00AB0C42"/>
    <w:rsid w:val="00AB3160"/>
    <w:rsid w:val="00AC2752"/>
    <w:rsid w:val="00AD12AE"/>
    <w:rsid w:val="00AD4160"/>
    <w:rsid w:val="00AD57EE"/>
    <w:rsid w:val="00AF7967"/>
    <w:rsid w:val="00B0025C"/>
    <w:rsid w:val="00B044BC"/>
    <w:rsid w:val="00B207FB"/>
    <w:rsid w:val="00B23108"/>
    <w:rsid w:val="00B363F0"/>
    <w:rsid w:val="00B40EEA"/>
    <w:rsid w:val="00B4216E"/>
    <w:rsid w:val="00B45A0A"/>
    <w:rsid w:val="00B51AD9"/>
    <w:rsid w:val="00B6244D"/>
    <w:rsid w:val="00B624BE"/>
    <w:rsid w:val="00B62BED"/>
    <w:rsid w:val="00B63D7E"/>
    <w:rsid w:val="00B85FA4"/>
    <w:rsid w:val="00B86B36"/>
    <w:rsid w:val="00B86F8A"/>
    <w:rsid w:val="00B8735D"/>
    <w:rsid w:val="00B87489"/>
    <w:rsid w:val="00B94410"/>
    <w:rsid w:val="00BA3BCF"/>
    <w:rsid w:val="00BA7401"/>
    <w:rsid w:val="00BB0054"/>
    <w:rsid w:val="00BC5F58"/>
    <w:rsid w:val="00BD03F5"/>
    <w:rsid w:val="00BD614A"/>
    <w:rsid w:val="00BE28D3"/>
    <w:rsid w:val="00BE6DEA"/>
    <w:rsid w:val="00BF363A"/>
    <w:rsid w:val="00BF6C39"/>
    <w:rsid w:val="00C02A1B"/>
    <w:rsid w:val="00C06DBF"/>
    <w:rsid w:val="00C1136E"/>
    <w:rsid w:val="00C13C15"/>
    <w:rsid w:val="00C1535D"/>
    <w:rsid w:val="00C22C53"/>
    <w:rsid w:val="00C24E1B"/>
    <w:rsid w:val="00C3747C"/>
    <w:rsid w:val="00C46512"/>
    <w:rsid w:val="00C50EA4"/>
    <w:rsid w:val="00C607DB"/>
    <w:rsid w:val="00C61A92"/>
    <w:rsid w:val="00C63A9E"/>
    <w:rsid w:val="00C75A9F"/>
    <w:rsid w:val="00C920FC"/>
    <w:rsid w:val="00C96A47"/>
    <w:rsid w:val="00CB66D0"/>
    <w:rsid w:val="00CC0A04"/>
    <w:rsid w:val="00CD3134"/>
    <w:rsid w:val="00CD5BAC"/>
    <w:rsid w:val="00CE0887"/>
    <w:rsid w:val="00CE6DD5"/>
    <w:rsid w:val="00CF5C95"/>
    <w:rsid w:val="00D02670"/>
    <w:rsid w:val="00D06BC6"/>
    <w:rsid w:val="00D14786"/>
    <w:rsid w:val="00D16749"/>
    <w:rsid w:val="00D1740C"/>
    <w:rsid w:val="00D21DFF"/>
    <w:rsid w:val="00D222B9"/>
    <w:rsid w:val="00D30862"/>
    <w:rsid w:val="00D30A26"/>
    <w:rsid w:val="00D375F0"/>
    <w:rsid w:val="00D400AB"/>
    <w:rsid w:val="00D428F1"/>
    <w:rsid w:val="00D4578C"/>
    <w:rsid w:val="00D4638F"/>
    <w:rsid w:val="00D53E6C"/>
    <w:rsid w:val="00D5440E"/>
    <w:rsid w:val="00D565B8"/>
    <w:rsid w:val="00D5755E"/>
    <w:rsid w:val="00D614E8"/>
    <w:rsid w:val="00D92AC3"/>
    <w:rsid w:val="00DA0CEE"/>
    <w:rsid w:val="00DB0923"/>
    <w:rsid w:val="00DB18B6"/>
    <w:rsid w:val="00DC3368"/>
    <w:rsid w:val="00DD0A21"/>
    <w:rsid w:val="00DD39EE"/>
    <w:rsid w:val="00DD3EA3"/>
    <w:rsid w:val="00DD708B"/>
    <w:rsid w:val="00DE2F25"/>
    <w:rsid w:val="00DF2C74"/>
    <w:rsid w:val="00DF7C2A"/>
    <w:rsid w:val="00E12010"/>
    <w:rsid w:val="00E15D4E"/>
    <w:rsid w:val="00E17B43"/>
    <w:rsid w:val="00E22F81"/>
    <w:rsid w:val="00E23641"/>
    <w:rsid w:val="00E24AC2"/>
    <w:rsid w:val="00E2753F"/>
    <w:rsid w:val="00E32EB3"/>
    <w:rsid w:val="00E37170"/>
    <w:rsid w:val="00E43BE3"/>
    <w:rsid w:val="00E4437D"/>
    <w:rsid w:val="00E45C55"/>
    <w:rsid w:val="00E467CD"/>
    <w:rsid w:val="00E57453"/>
    <w:rsid w:val="00E673EC"/>
    <w:rsid w:val="00E71364"/>
    <w:rsid w:val="00E7402B"/>
    <w:rsid w:val="00E8035E"/>
    <w:rsid w:val="00E82214"/>
    <w:rsid w:val="00E96423"/>
    <w:rsid w:val="00EA2E08"/>
    <w:rsid w:val="00EB22D9"/>
    <w:rsid w:val="00EB42BE"/>
    <w:rsid w:val="00EC492F"/>
    <w:rsid w:val="00ED5CD0"/>
    <w:rsid w:val="00ED6FEA"/>
    <w:rsid w:val="00EE040A"/>
    <w:rsid w:val="00EE33CF"/>
    <w:rsid w:val="00EE7720"/>
    <w:rsid w:val="00EF19B4"/>
    <w:rsid w:val="00EF2DE2"/>
    <w:rsid w:val="00EF699E"/>
    <w:rsid w:val="00EF6D39"/>
    <w:rsid w:val="00F011F4"/>
    <w:rsid w:val="00F04750"/>
    <w:rsid w:val="00F1029B"/>
    <w:rsid w:val="00F11C92"/>
    <w:rsid w:val="00F14482"/>
    <w:rsid w:val="00F21BD9"/>
    <w:rsid w:val="00F23CAD"/>
    <w:rsid w:val="00F460F9"/>
    <w:rsid w:val="00F53AB9"/>
    <w:rsid w:val="00F635B4"/>
    <w:rsid w:val="00F77FC5"/>
    <w:rsid w:val="00F85824"/>
    <w:rsid w:val="00F92579"/>
    <w:rsid w:val="00F93099"/>
    <w:rsid w:val="00FA68FF"/>
    <w:rsid w:val="00FB33DF"/>
    <w:rsid w:val="00FC0444"/>
    <w:rsid w:val="00FC0BCF"/>
    <w:rsid w:val="00FD34AA"/>
    <w:rsid w:val="00FD440A"/>
    <w:rsid w:val="00FE1830"/>
    <w:rsid w:val="00FE7E87"/>
    <w:rsid w:val="00FF1F00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6A19C7"/>
    <w:pPr>
      <w:widowControl w:val="0"/>
      <w:suppressAutoHyphens/>
      <w:autoSpaceDE w:val="0"/>
      <w:autoSpaceDN w:val="0"/>
      <w:adjustRightInd w:val="0"/>
      <w:spacing w:line="288" w:lineRule="auto"/>
      <w:jc w:val="center"/>
      <w:outlineLvl w:val="0"/>
    </w:pPr>
    <w:rPr>
      <w:rFonts w:ascii="Century Gothic" w:eastAsia="Times New Roman" w:hAnsi="Century Gothic" w:cs="MyriadPro-BlackCond"/>
      <w:b/>
      <w:bCs/>
      <w:color w:val="24408E"/>
      <w:spacing w:val="-14"/>
      <w:sz w:val="44"/>
      <w:szCs w:val="4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E0A"/>
  </w:style>
  <w:style w:type="paragraph" w:styleId="Footer">
    <w:name w:val="footer"/>
    <w:basedOn w:val="Normal"/>
    <w:link w:val="Foot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E0A"/>
  </w:style>
  <w:style w:type="paragraph" w:styleId="BalloonText">
    <w:name w:val="Balloon Text"/>
    <w:basedOn w:val="Normal"/>
    <w:link w:val="BalloonTextChar"/>
    <w:uiPriority w:val="99"/>
    <w:semiHidden/>
    <w:unhideWhenUsed/>
    <w:rsid w:val="0094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A19C7"/>
    <w:rPr>
      <w:rFonts w:ascii="Century Gothic" w:eastAsia="Times New Roman" w:hAnsi="Century Gothic" w:cs="MyriadPro-BlackCond"/>
      <w:b/>
      <w:bCs/>
      <w:color w:val="24408E"/>
      <w:spacing w:val="-14"/>
      <w:sz w:val="44"/>
      <w:szCs w:val="44"/>
      <w:lang w:val="en-GB"/>
    </w:rPr>
  </w:style>
  <w:style w:type="paragraph" w:styleId="BodyText">
    <w:name w:val="Body Text"/>
    <w:basedOn w:val="Normal"/>
    <w:link w:val="BodyTextChar"/>
    <w:rsid w:val="00D565B8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565B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86D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00A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363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25D9-0358-49EA-9E69-B5A1F441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2017-10-27T11:03:00Z</dcterms:created>
  <dcterms:modified xsi:type="dcterms:W3CDTF">2017-11-13T14:39:00Z</dcterms:modified>
</cp:coreProperties>
</file>