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6C" w:rsidRPr="00BC5F58" w:rsidRDefault="00167268" w:rsidP="00167268">
      <w:pPr>
        <w:jc w:val="center"/>
        <w:rPr>
          <w:b/>
          <w:sz w:val="32"/>
          <w:szCs w:val="24"/>
        </w:rPr>
      </w:pPr>
      <w:r w:rsidRPr="00BC5F58">
        <w:rPr>
          <w:b/>
          <w:sz w:val="32"/>
          <w:szCs w:val="24"/>
        </w:rPr>
        <w:t>Citizens Information Board</w:t>
      </w:r>
    </w:p>
    <w:p w:rsidR="00167268" w:rsidRDefault="00167268" w:rsidP="00167268">
      <w:pPr>
        <w:jc w:val="center"/>
      </w:pPr>
    </w:p>
    <w:p w:rsidR="00167268" w:rsidRPr="00BC5F58" w:rsidRDefault="00305E2A" w:rsidP="00167268">
      <w:pPr>
        <w:jc w:val="center"/>
        <w:rPr>
          <w:b/>
          <w:sz w:val="24"/>
          <w:szCs w:val="24"/>
        </w:rPr>
      </w:pPr>
      <w:r>
        <w:rPr>
          <w:b/>
          <w:sz w:val="24"/>
          <w:szCs w:val="24"/>
        </w:rPr>
        <w:t xml:space="preserve">Board Meeting </w:t>
      </w:r>
      <w:r w:rsidR="004842DA">
        <w:rPr>
          <w:b/>
          <w:sz w:val="24"/>
          <w:szCs w:val="24"/>
        </w:rPr>
        <w:t>26</w:t>
      </w:r>
      <w:r w:rsidR="004842DA" w:rsidRPr="004842DA">
        <w:rPr>
          <w:b/>
          <w:sz w:val="24"/>
          <w:szCs w:val="24"/>
          <w:vertAlign w:val="superscript"/>
        </w:rPr>
        <w:t>th</w:t>
      </w:r>
      <w:r w:rsidR="004842DA">
        <w:rPr>
          <w:b/>
          <w:sz w:val="24"/>
          <w:szCs w:val="24"/>
        </w:rPr>
        <w:t xml:space="preserve"> July </w:t>
      </w:r>
      <w:r w:rsidR="00BC5F58" w:rsidRPr="00BC5F58">
        <w:rPr>
          <w:b/>
          <w:sz w:val="24"/>
          <w:szCs w:val="24"/>
        </w:rPr>
        <w:t>2017</w:t>
      </w:r>
    </w:p>
    <w:p w:rsidR="00167268" w:rsidRPr="00BC5F58" w:rsidRDefault="00167268" w:rsidP="00167268">
      <w:pPr>
        <w:jc w:val="center"/>
        <w:rPr>
          <w:sz w:val="24"/>
          <w:szCs w:val="24"/>
        </w:rPr>
      </w:pPr>
      <w:r w:rsidRPr="00BC5F58">
        <w:rPr>
          <w:sz w:val="24"/>
          <w:szCs w:val="24"/>
        </w:rPr>
        <w:t>Townsend Street</w:t>
      </w:r>
      <w:r w:rsidR="00DC3368" w:rsidRPr="00BC5F58">
        <w:rPr>
          <w:sz w:val="24"/>
          <w:szCs w:val="24"/>
        </w:rPr>
        <w:t>, Dublin 2</w:t>
      </w:r>
    </w:p>
    <w:p w:rsidR="00167268" w:rsidRPr="00BC5F58" w:rsidRDefault="00167268">
      <w:pPr>
        <w:rPr>
          <w:sz w:val="24"/>
          <w:szCs w:val="24"/>
        </w:rPr>
      </w:pPr>
    </w:p>
    <w:p w:rsidR="00167268" w:rsidRPr="00DD39EE" w:rsidRDefault="00167268">
      <w:pPr>
        <w:rPr>
          <w:sz w:val="24"/>
          <w:szCs w:val="24"/>
        </w:rPr>
      </w:pPr>
    </w:p>
    <w:p w:rsidR="00167268" w:rsidRPr="00DD39EE" w:rsidRDefault="00167268">
      <w:pPr>
        <w:rPr>
          <w:sz w:val="24"/>
          <w:szCs w:val="24"/>
        </w:rPr>
      </w:pPr>
      <w:r w:rsidRPr="00DD39EE">
        <w:rPr>
          <w:b/>
          <w:sz w:val="24"/>
          <w:szCs w:val="24"/>
        </w:rPr>
        <w:t>Present:</w:t>
      </w:r>
      <w:r w:rsidRPr="00DD39EE">
        <w:rPr>
          <w:sz w:val="24"/>
          <w:szCs w:val="24"/>
        </w:rPr>
        <w:tab/>
        <w:t>Ita Mangan, Chairperson;</w:t>
      </w:r>
      <w:r w:rsidR="004842DA">
        <w:rPr>
          <w:sz w:val="24"/>
          <w:szCs w:val="24"/>
        </w:rPr>
        <w:t xml:space="preserve"> James Clarke; Tim Duggan</w:t>
      </w:r>
      <w:r w:rsidRPr="00DD39EE">
        <w:rPr>
          <w:sz w:val="24"/>
          <w:szCs w:val="24"/>
        </w:rPr>
        <w:t>; Cearbhall O Meadhra; Ian Power; Sean Sheridan</w:t>
      </w:r>
      <w:r w:rsidR="00305E2A">
        <w:rPr>
          <w:sz w:val="24"/>
          <w:szCs w:val="24"/>
        </w:rPr>
        <w:t>,</w:t>
      </w:r>
      <w:r w:rsidR="00051F67">
        <w:rPr>
          <w:sz w:val="24"/>
          <w:szCs w:val="24"/>
        </w:rPr>
        <w:t xml:space="preserve"> Nicola Walshe,</w:t>
      </w:r>
      <w:r w:rsidR="00051F67" w:rsidRPr="00051F67">
        <w:rPr>
          <w:sz w:val="24"/>
          <w:szCs w:val="24"/>
        </w:rPr>
        <w:t xml:space="preserve"> </w:t>
      </w:r>
      <w:r w:rsidR="0093159A" w:rsidRPr="00DD39EE">
        <w:rPr>
          <w:sz w:val="24"/>
          <w:szCs w:val="24"/>
        </w:rPr>
        <w:t>Niall Mulligan</w:t>
      </w:r>
      <w:r w:rsidR="0093159A">
        <w:rPr>
          <w:sz w:val="24"/>
          <w:szCs w:val="24"/>
        </w:rPr>
        <w:t xml:space="preserve">, </w:t>
      </w:r>
      <w:r w:rsidR="004842DA" w:rsidRPr="00DD39EE">
        <w:rPr>
          <w:sz w:val="24"/>
          <w:szCs w:val="24"/>
        </w:rPr>
        <w:t>John Saunders</w:t>
      </w:r>
      <w:r w:rsidR="004842DA">
        <w:rPr>
          <w:sz w:val="24"/>
          <w:szCs w:val="24"/>
        </w:rPr>
        <w:t>.</w:t>
      </w:r>
    </w:p>
    <w:p w:rsidR="00167268" w:rsidRDefault="00167268">
      <w:pPr>
        <w:rPr>
          <w:sz w:val="24"/>
          <w:szCs w:val="24"/>
        </w:rPr>
      </w:pPr>
    </w:p>
    <w:p w:rsidR="00BC5F58" w:rsidRDefault="00BC5F58">
      <w:pPr>
        <w:rPr>
          <w:sz w:val="24"/>
          <w:szCs w:val="24"/>
        </w:rPr>
      </w:pPr>
      <w:r w:rsidRPr="00BC5F58">
        <w:rPr>
          <w:b/>
          <w:sz w:val="24"/>
          <w:szCs w:val="24"/>
        </w:rPr>
        <w:t>Apologies:</w:t>
      </w:r>
      <w:r>
        <w:rPr>
          <w:sz w:val="24"/>
          <w:szCs w:val="24"/>
        </w:rPr>
        <w:tab/>
      </w:r>
      <w:r w:rsidR="00051F67">
        <w:rPr>
          <w:sz w:val="24"/>
          <w:szCs w:val="24"/>
        </w:rPr>
        <w:t xml:space="preserve">Joanne McCarthy; </w:t>
      </w:r>
      <w:r w:rsidR="0093159A" w:rsidRPr="00DD39EE">
        <w:rPr>
          <w:sz w:val="24"/>
          <w:szCs w:val="24"/>
        </w:rPr>
        <w:t>Mary Higgins</w:t>
      </w:r>
      <w:r w:rsidR="004842DA">
        <w:rPr>
          <w:sz w:val="24"/>
          <w:szCs w:val="24"/>
        </w:rPr>
        <w:t xml:space="preserve">, Josephine Henry, Eugene McErlean, </w:t>
      </w:r>
      <w:r w:rsidR="004842DA" w:rsidRPr="00DD39EE">
        <w:rPr>
          <w:sz w:val="24"/>
          <w:szCs w:val="24"/>
        </w:rPr>
        <w:t>Tina Leonard</w:t>
      </w:r>
      <w:r w:rsidR="004842DA">
        <w:rPr>
          <w:sz w:val="24"/>
          <w:szCs w:val="24"/>
        </w:rPr>
        <w:t xml:space="preserve">, </w:t>
      </w:r>
      <w:r w:rsidR="004842DA" w:rsidRPr="00DD39EE">
        <w:rPr>
          <w:sz w:val="24"/>
          <w:szCs w:val="24"/>
        </w:rPr>
        <w:t>Noeline Blackwell</w:t>
      </w:r>
      <w:r w:rsidR="004842DA">
        <w:rPr>
          <w:sz w:val="24"/>
          <w:szCs w:val="24"/>
        </w:rPr>
        <w:t>.</w:t>
      </w:r>
    </w:p>
    <w:p w:rsidR="00BC5F58" w:rsidRPr="00DD39EE" w:rsidRDefault="00BC5F58">
      <w:pPr>
        <w:rPr>
          <w:sz w:val="24"/>
          <w:szCs w:val="24"/>
        </w:rPr>
      </w:pPr>
    </w:p>
    <w:p w:rsidR="00167268" w:rsidRDefault="00167268" w:rsidP="00D14786">
      <w:pPr>
        <w:spacing w:after="360"/>
        <w:rPr>
          <w:sz w:val="24"/>
          <w:szCs w:val="24"/>
        </w:rPr>
      </w:pPr>
      <w:r w:rsidRPr="00DD39EE">
        <w:rPr>
          <w:b/>
          <w:sz w:val="24"/>
          <w:szCs w:val="24"/>
        </w:rPr>
        <w:t>In attendance:</w:t>
      </w:r>
      <w:r w:rsidRPr="00DD39EE">
        <w:rPr>
          <w:sz w:val="24"/>
          <w:szCs w:val="24"/>
        </w:rPr>
        <w:tab/>
        <w:t>Angela Black, Chief Executive; Graham Long, Senior Manager, Support Services; Adrian O’Connor, Seni</w:t>
      </w:r>
      <w:r w:rsidR="00BC5F58">
        <w:rPr>
          <w:sz w:val="24"/>
          <w:szCs w:val="24"/>
        </w:rPr>
        <w:t xml:space="preserve">or Manager, Service Development Money Advice; 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93159A">
        <w:rPr>
          <w:sz w:val="24"/>
          <w:szCs w:val="24"/>
        </w:rPr>
        <w:t>Shona Geraghty (minutes)</w:t>
      </w:r>
      <w:r w:rsidR="00882F77">
        <w:rPr>
          <w:sz w:val="24"/>
          <w:szCs w:val="24"/>
        </w:rPr>
        <w:t>; Colette Bennett &amp; Michael Doherty, MABSndl (item 3).</w:t>
      </w:r>
    </w:p>
    <w:p w:rsidR="00167268" w:rsidRPr="00DD39EE" w:rsidRDefault="00167268" w:rsidP="00167268">
      <w:pPr>
        <w:jc w:val="center"/>
        <w:rPr>
          <w:b/>
          <w:sz w:val="24"/>
          <w:szCs w:val="24"/>
        </w:rPr>
      </w:pPr>
      <w:r w:rsidRPr="00DD39EE">
        <w:rPr>
          <w:b/>
          <w:sz w:val="24"/>
          <w:szCs w:val="24"/>
        </w:rPr>
        <w:t>Minutes</w:t>
      </w:r>
    </w:p>
    <w:p w:rsidR="00167268" w:rsidRDefault="00167268">
      <w:pPr>
        <w:rPr>
          <w:sz w:val="24"/>
          <w:szCs w:val="24"/>
        </w:rPr>
      </w:pPr>
    </w:p>
    <w:p w:rsidR="000D4F5F" w:rsidRDefault="0018555D">
      <w:pPr>
        <w:rPr>
          <w:sz w:val="24"/>
          <w:szCs w:val="24"/>
        </w:rPr>
      </w:pPr>
      <w:r>
        <w:rPr>
          <w:sz w:val="24"/>
          <w:szCs w:val="24"/>
        </w:rPr>
        <w:t>The meeting started in closed session.  A general discussion of the role of Board members took place.  It was decided to draw up a new S</w:t>
      </w:r>
      <w:r w:rsidR="00920F0A">
        <w:rPr>
          <w:sz w:val="24"/>
          <w:szCs w:val="24"/>
        </w:rPr>
        <w:t>tr</w:t>
      </w:r>
      <w:r>
        <w:rPr>
          <w:sz w:val="24"/>
          <w:szCs w:val="24"/>
        </w:rPr>
        <w:t>ategic Plan for CIB to be ready in early 2018.</w:t>
      </w:r>
    </w:p>
    <w:p w:rsidR="002437A6" w:rsidRDefault="002437A6">
      <w:pPr>
        <w:rPr>
          <w:sz w:val="24"/>
          <w:szCs w:val="24"/>
        </w:rPr>
      </w:pPr>
    </w:p>
    <w:p w:rsidR="00920F0A" w:rsidRDefault="00920F0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63"/>
        <w:gridCol w:w="8263"/>
      </w:tblGrid>
      <w:tr w:rsidR="00AB3160" w:rsidRPr="00BA3BCF" w:rsidTr="004B2CAC">
        <w:trPr>
          <w:tblHeader/>
        </w:trPr>
        <w:tc>
          <w:tcPr>
            <w:tcW w:w="763" w:type="dxa"/>
          </w:tcPr>
          <w:p w:rsidR="00AB3160" w:rsidRPr="00BA3BCF" w:rsidRDefault="00AB3160" w:rsidP="003C5D1C">
            <w:pPr>
              <w:rPr>
                <w:b/>
                <w:sz w:val="24"/>
                <w:szCs w:val="24"/>
              </w:rPr>
            </w:pPr>
            <w:r w:rsidRPr="00BA3BCF">
              <w:rPr>
                <w:b/>
                <w:sz w:val="24"/>
                <w:szCs w:val="24"/>
              </w:rPr>
              <w:t>Item</w:t>
            </w:r>
          </w:p>
        </w:tc>
        <w:tc>
          <w:tcPr>
            <w:tcW w:w="8263" w:type="dxa"/>
          </w:tcPr>
          <w:p w:rsidR="00AB3160" w:rsidRPr="00BA3BCF" w:rsidRDefault="00AB3160" w:rsidP="003C5D1C">
            <w:pPr>
              <w:rPr>
                <w:b/>
                <w:sz w:val="24"/>
                <w:szCs w:val="24"/>
              </w:rPr>
            </w:pPr>
            <w:r w:rsidRPr="00BA3BCF">
              <w:rPr>
                <w:b/>
                <w:sz w:val="24"/>
                <w:szCs w:val="24"/>
              </w:rPr>
              <w:t>Agenda Description</w:t>
            </w:r>
          </w:p>
        </w:tc>
      </w:tr>
      <w:tr w:rsidR="00167268" w:rsidRPr="00DD39EE" w:rsidTr="004B2CAC">
        <w:tc>
          <w:tcPr>
            <w:tcW w:w="763" w:type="dxa"/>
          </w:tcPr>
          <w:p w:rsidR="00167268" w:rsidRPr="003809E1" w:rsidRDefault="00167268">
            <w:pPr>
              <w:rPr>
                <w:b/>
                <w:sz w:val="24"/>
                <w:szCs w:val="24"/>
              </w:rPr>
            </w:pPr>
            <w:r w:rsidRPr="003809E1">
              <w:rPr>
                <w:b/>
                <w:sz w:val="24"/>
                <w:szCs w:val="24"/>
              </w:rPr>
              <w:t>1</w:t>
            </w:r>
          </w:p>
        </w:tc>
        <w:tc>
          <w:tcPr>
            <w:tcW w:w="8263" w:type="dxa"/>
          </w:tcPr>
          <w:p w:rsidR="00167268" w:rsidRPr="00DD39EE" w:rsidRDefault="00167268">
            <w:pPr>
              <w:rPr>
                <w:b/>
                <w:sz w:val="24"/>
                <w:szCs w:val="24"/>
              </w:rPr>
            </w:pPr>
            <w:r w:rsidRPr="00DD39EE">
              <w:rPr>
                <w:b/>
                <w:sz w:val="24"/>
                <w:szCs w:val="24"/>
              </w:rPr>
              <w:t xml:space="preserve">Minutes of previous meeting </w:t>
            </w:r>
          </w:p>
          <w:p w:rsidR="003226A1" w:rsidRPr="00DD39EE" w:rsidRDefault="00167268" w:rsidP="00305E2A">
            <w:pPr>
              <w:rPr>
                <w:i/>
                <w:sz w:val="24"/>
                <w:szCs w:val="24"/>
              </w:rPr>
            </w:pPr>
            <w:r w:rsidRPr="00DD39EE">
              <w:rPr>
                <w:i/>
                <w:sz w:val="24"/>
                <w:szCs w:val="24"/>
              </w:rPr>
              <w:t>(The minute</w:t>
            </w:r>
            <w:r w:rsidR="003B4371">
              <w:rPr>
                <w:i/>
                <w:sz w:val="24"/>
                <w:szCs w:val="24"/>
              </w:rPr>
              <w:t>s</w:t>
            </w:r>
            <w:r w:rsidR="004842DA">
              <w:rPr>
                <w:i/>
                <w:sz w:val="24"/>
                <w:szCs w:val="24"/>
              </w:rPr>
              <w:t xml:space="preserve"> of the Board meeting held on 14</w:t>
            </w:r>
            <w:r w:rsidR="0093159A" w:rsidRPr="0093159A">
              <w:rPr>
                <w:i/>
                <w:sz w:val="24"/>
                <w:szCs w:val="24"/>
                <w:vertAlign w:val="superscript"/>
              </w:rPr>
              <w:t>th</w:t>
            </w:r>
            <w:r w:rsidR="004842DA">
              <w:rPr>
                <w:i/>
                <w:sz w:val="24"/>
                <w:szCs w:val="24"/>
              </w:rPr>
              <w:t xml:space="preserve"> June 2017</w:t>
            </w:r>
            <w:r w:rsidR="0093159A">
              <w:rPr>
                <w:i/>
                <w:sz w:val="24"/>
                <w:szCs w:val="24"/>
              </w:rPr>
              <w:t xml:space="preserve"> </w:t>
            </w:r>
            <w:r w:rsidR="004842DA">
              <w:rPr>
                <w:i/>
                <w:sz w:val="24"/>
                <w:szCs w:val="24"/>
              </w:rPr>
              <w:t>w</w:t>
            </w:r>
            <w:r w:rsidR="003B4371">
              <w:rPr>
                <w:i/>
                <w:sz w:val="24"/>
                <w:szCs w:val="24"/>
              </w:rPr>
              <w:t>ere</w:t>
            </w:r>
            <w:r w:rsidRPr="00DD39EE">
              <w:rPr>
                <w:i/>
                <w:sz w:val="24"/>
                <w:szCs w:val="24"/>
              </w:rPr>
              <w:t xml:space="preserve"> circulated in advance of the meeting</w:t>
            </w:r>
            <w:r w:rsidR="004D4D2A">
              <w:rPr>
                <w:i/>
                <w:sz w:val="24"/>
                <w:szCs w:val="24"/>
              </w:rPr>
              <w:t>.</w:t>
            </w:r>
            <w:r w:rsidRPr="00DD39EE">
              <w:rPr>
                <w:i/>
                <w:sz w:val="24"/>
                <w:szCs w:val="24"/>
              </w:rPr>
              <w:t>)</w:t>
            </w:r>
          </w:p>
        </w:tc>
      </w:tr>
      <w:tr w:rsidR="00167268" w:rsidRPr="00DD39EE" w:rsidTr="004B2CAC">
        <w:tc>
          <w:tcPr>
            <w:tcW w:w="763" w:type="dxa"/>
          </w:tcPr>
          <w:p w:rsidR="00167268" w:rsidRPr="00DD39EE" w:rsidRDefault="00167268">
            <w:pPr>
              <w:rPr>
                <w:sz w:val="24"/>
                <w:szCs w:val="24"/>
              </w:rPr>
            </w:pPr>
            <w:r w:rsidRPr="00DD39EE">
              <w:rPr>
                <w:sz w:val="24"/>
                <w:szCs w:val="24"/>
              </w:rPr>
              <w:t>1.1</w:t>
            </w:r>
          </w:p>
        </w:tc>
        <w:tc>
          <w:tcPr>
            <w:tcW w:w="8263" w:type="dxa"/>
          </w:tcPr>
          <w:p w:rsidR="00682CD3" w:rsidRDefault="00167268" w:rsidP="00C3747C">
            <w:pPr>
              <w:rPr>
                <w:sz w:val="24"/>
                <w:szCs w:val="24"/>
              </w:rPr>
            </w:pPr>
            <w:r w:rsidRPr="00DD39EE">
              <w:rPr>
                <w:sz w:val="24"/>
                <w:szCs w:val="24"/>
              </w:rPr>
              <w:t xml:space="preserve">The minutes were proposed by </w:t>
            </w:r>
            <w:r w:rsidR="00C3747C">
              <w:rPr>
                <w:sz w:val="24"/>
                <w:szCs w:val="24"/>
              </w:rPr>
              <w:t>Ian Power</w:t>
            </w:r>
            <w:r w:rsidR="00051F67">
              <w:rPr>
                <w:sz w:val="24"/>
                <w:szCs w:val="24"/>
              </w:rPr>
              <w:t xml:space="preserve"> a</w:t>
            </w:r>
            <w:r w:rsidR="00305E2A">
              <w:rPr>
                <w:sz w:val="24"/>
                <w:szCs w:val="24"/>
              </w:rPr>
              <w:t xml:space="preserve">nd </w:t>
            </w:r>
            <w:r w:rsidRPr="00DD39EE">
              <w:rPr>
                <w:sz w:val="24"/>
                <w:szCs w:val="24"/>
              </w:rPr>
              <w:t xml:space="preserve">seconded by </w:t>
            </w:r>
            <w:r w:rsidR="00C3747C">
              <w:rPr>
                <w:sz w:val="24"/>
                <w:szCs w:val="24"/>
              </w:rPr>
              <w:t>Sean Sheridan</w:t>
            </w:r>
            <w:r w:rsidR="0093159A">
              <w:rPr>
                <w:sz w:val="24"/>
                <w:szCs w:val="24"/>
              </w:rPr>
              <w:t>.</w:t>
            </w:r>
          </w:p>
          <w:p w:rsidR="002437A6" w:rsidRPr="00DD39EE" w:rsidRDefault="002437A6" w:rsidP="00C3747C">
            <w:pPr>
              <w:rPr>
                <w:sz w:val="24"/>
                <w:szCs w:val="24"/>
              </w:rPr>
            </w:pPr>
          </w:p>
        </w:tc>
      </w:tr>
      <w:tr w:rsidR="00167268" w:rsidRPr="00DD39EE" w:rsidTr="004B2CAC">
        <w:tc>
          <w:tcPr>
            <w:tcW w:w="763" w:type="dxa"/>
          </w:tcPr>
          <w:p w:rsidR="00167268" w:rsidRPr="003809E1" w:rsidRDefault="00EF19B4">
            <w:pPr>
              <w:rPr>
                <w:b/>
                <w:sz w:val="24"/>
                <w:szCs w:val="24"/>
              </w:rPr>
            </w:pPr>
            <w:r w:rsidRPr="003809E1">
              <w:rPr>
                <w:b/>
                <w:sz w:val="24"/>
                <w:szCs w:val="24"/>
              </w:rPr>
              <w:t>2</w:t>
            </w:r>
          </w:p>
        </w:tc>
        <w:tc>
          <w:tcPr>
            <w:tcW w:w="8263" w:type="dxa"/>
          </w:tcPr>
          <w:p w:rsidR="00167268" w:rsidRPr="00DD39EE" w:rsidRDefault="00167268">
            <w:pPr>
              <w:rPr>
                <w:b/>
                <w:sz w:val="24"/>
                <w:szCs w:val="24"/>
              </w:rPr>
            </w:pPr>
            <w:r w:rsidRPr="00DD39EE">
              <w:rPr>
                <w:b/>
                <w:sz w:val="24"/>
                <w:szCs w:val="24"/>
              </w:rPr>
              <w:t>Matters arising</w:t>
            </w:r>
          </w:p>
        </w:tc>
      </w:tr>
      <w:tr w:rsidR="00EE33CF" w:rsidRPr="00DD39EE" w:rsidTr="004B2CAC">
        <w:tc>
          <w:tcPr>
            <w:tcW w:w="763" w:type="dxa"/>
          </w:tcPr>
          <w:p w:rsidR="00EE33CF" w:rsidRPr="00DD39EE" w:rsidRDefault="00B044BC">
            <w:pPr>
              <w:rPr>
                <w:sz w:val="24"/>
                <w:szCs w:val="24"/>
              </w:rPr>
            </w:pPr>
            <w:r>
              <w:rPr>
                <w:sz w:val="24"/>
                <w:szCs w:val="24"/>
              </w:rPr>
              <w:t>2.1</w:t>
            </w:r>
          </w:p>
        </w:tc>
        <w:tc>
          <w:tcPr>
            <w:tcW w:w="8263" w:type="dxa"/>
          </w:tcPr>
          <w:p w:rsidR="00682CD3" w:rsidRDefault="00E8035E" w:rsidP="00E8035E">
            <w:pPr>
              <w:rPr>
                <w:sz w:val="24"/>
                <w:szCs w:val="24"/>
              </w:rPr>
            </w:pPr>
            <w:r>
              <w:rPr>
                <w:sz w:val="24"/>
                <w:szCs w:val="24"/>
              </w:rPr>
              <w:t xml:space="preserve">Item 2.1 </w:t>
            </w:r>
            <w:r w:rsidR="00316449">
              <w:rPr>
                <w:sz w:val="24"/>
                <w:szCs w:val="24"/>
              </w:rPr>
              <w:t xml:space="preserve">- </w:t>
            </w:r>
            <w:r w:rsidR="00EE33CF">
              <w:rPr>
                <w:sz w:val="24"/>
                <w:szCs w:val="24"/>
              </w:rPr>
              <w:t>Sy</w:t>
            </w:r>
            <w:r w:rsidR="00B044BC">
              <w:rPr>
                <w:sz w:val="24"/>
                <w:szCs w:val="24"/>
              </w:rPr>
              <w:t>stem Penetration T</w:t>
            </w:r>
            <w:r w:rsidR="00EE33CF">
              <w:rPr>
                <w:sz w:val="24"/>
                <w:szCs w:val="24"/>
              </w:rPr>
              <w:t xml:space="preserve">esting </w:t>
            </w:r>
            <w:r w:rsidR="00B044BC">
              <w:rPr>
                <w:sz w:val="24"/>
                <w:szCs w:val="24"/>
              </w:rPr>
              <w:t>will be an agenda item at th</w:t>
            </w:r>
            <w:r>
              <w:rPr>
                <w:sz w:val="24"/>
                <w:szCs w:val="24"/>
              </w:rPr>
              <w:t>e next Audit &amp; Risk Committee 6</w:t>
            </w:r>
            <w:r w:rsidRPr="00E8035E">
              <w:rPr>
                <w:sz w:val="24"/>
                <w:szCs w:val="24"/>
                <w:vertAlign w:val="superscript"/>
              </w:rPr>
              <w:t>th</w:t>
            </w:r>
            <w:r>
              <w:rPr>
                <w:sz w:val="24"/>
                <w:szCs w:val="24"/>
              </w:rPr>
              <w:t xml:space="preserve"> September.</w:t>
            </w:r>
          </w:p>
        </w:tc>
      </w:tr>
      <w:tr w:rsidR="00E8035E" w:rsidRPr="00DD39EE" w:rsidTr="004B2CAC">
        <w:tc>
          <w:tcPr>
            <w:tcW w:w="763" w:type="dxa"/>
          </w:tcPr>
          <w:p w:rsidR="00E8035E" w:rsidRDefault="00E8035E">
            <w:pPr>
              <w:rPr>
                <w:sz w:val="24"/>
                <w:szCs w:val="24"/>
              </w:rPr>
            </w:pPr>
            <w:r>
              <w:rPr>
                <w:sz w:val="24"/>
                <w:szCs w:val="24"/>
              </w:rPr>
              <w:t>2.2</w:t>
            </w:r>
          </w:p>
        </w:tc>
        <w:tc>
          <w:tcPr>
            <w:tcW w:w="8263" w:type="dxa"/>
          </w:tcPr>
          <w:p w:rsidR="00E8035E" w:rsidRDefault="0018555D" w:rsidP="0018555D">
            <w:pPr>
              <w:rPr>
                <w:sz w:val="24"/>
                <w:szCs w:val="24"/>
              </w:rPr>
            </w:pPr>
            <w:r>
              <w:rPr>
                <w:sz w:val="24"/>
                <w:szCs w:val="24"/>
              </w:rPr>
              <w:t>T</w:t>
            </w:r>
            <w:r w:rsidR="00E8035E">
              <w:rPr>
                <w:sz w:val="24"/>
                <w:szCs w:val="24"/>
              </w:rPr>
              <w:t xml:space="preserve">he Board expressed </w:t>
            </w:r>
            <w:r>
              <w:rPr>
                <w:sz w:val="24"/>
                <w:szCs w:val="24"/>
              </w:rPr>
              <w:t xml:space="preserve">its good wished </w:t>
            </w:r>
            <w:r w:rsidR="00E8035E">
              <w:rPr>
                <w:sz w:val="24"/>
                <w:szCs w:val="24"/>
              </w:rPr>
              <w:t>to members who are absent due to illness.</w:t>
            </w:r>
          </w:p>
          <w:p w:rsidR="002437A6" w:rsidRDefault="002437A6" w:rsidP="0018555D">
            <w:pPr>
              <w:rPr>
                <w:sz w:val="24"/>
                <w:szCs w:val="24"/>
              </w:rPr>
            </w:pPr>
          </w:p>
        </w:tc>
      </w:tr>
      <w:tr w:rsidR="00465639" w:rsidRPr="00DD39EE" w:rsidTr="004B2CAC">
        <w:tc>
          <w:tcPr>
            <w:tcW w:w="763" w:type="dxa"/>
          </w:tcPr>
          <w:p w:rsidR="00465639" w:rsidRPr="003809E1" w:rsidRDefault="007541C7">
            <w:pPr>
              <w:rPr>
                <w:b/>
                <w:sz w:val="24"/>
                <w:szCs w:val="24"/>
              </w:rPr>
            </w:pPr>
            <w:r>
              <w:rPr>
                <w:b/>
                <w:sz w:val="24"/>
                <w:szCs w:val="24"/>
              </w:rPr>
              <w:t>3</w:t>
            </w:r>
          </w:p>
        </w:tc>
        <w:tc>
          <w:tcPr>
            <w:tcW w:w="8263" w:type="dxa"/>
          </w:tcPr>
          <w:p w:rsidR="007827CF" w:rsidRDefault="007541C7" w:rsidP="00453032">
            <w:pPr>
              <w:rPr>
                <w:b/>
                <w:sz w:val="24"/>
                <w:szCs w:val="24"/>
              </w:rPr>
            </w:pPr>
            <w:r>
              <w:rPr>
                <w:b/>
                <w:sz w:val="24"/>
                <w:szCs w:val="24"/>
              </w:rPr>
              <w:t>MABSndl</w:t>
            </w:r>
          </w:p>
          <w:p w:rsidR="0070567D" w:rsidRPr="0070567D" w:rsidRDefault="0070567D" w:rsidP="00453032">
            <w:pPr>
              <w:rPr>
                <w:i/>
                <w:sz w:val="24"/>
                <w:szCs w:val="24"/>
              </w:rPr>
            </w:pPr>
            <w:r w:rsidRPr="0070567D">
              <w:rPr>
                <w:i/>
                <w:sz w:val="24"/>
                <w:szCs w:val="24"/>
              </w:rPr>
              <w:t xml:space="preserve">(A paper titled </w:t>
            </w:r>
            <w:r w:rsidR="00870A6E">
              <w:rPr>
                <w:i/>
                <w:sz w:val="24"/>
                <w:szCs w:val="24"/>
              </w:rPr>
              <w:t>‘</w:t>
            </w:r>
            <w:r w:rsidRPr="0070567D">
              <w:rPr>
                <w:i/>
                <w:sz w:val="24"/>
                <w:szCs w:val="24"/>
              </w:rPr>
              <w:t>Data Gathering and Analysis – DMABS Project</w:t>
            </w:r>
            <w:r w:rsidR="00870A6E">
              <w:rPr>
                <w:i/>
                <w:sz w:val="24"/>
                <w:szCs w:val="24"/>
              </w:rPr>
              <w:t>’</w:t>
            </w:r>
            <w:r w:rsidRPr="0070567D">
              <w:rPr>
                <w:i/>
                <w:sz w:val="24"/>
                <w:szCs w:val="24"/>
              </w:rPr>
              <w:t xml:space="preserve"> was circulated in advance of the meeting.)</w:t>
            </w:r>
          </w:p>
        </w:tc>
      </w:tr>
      <w:tr w:rsidR="00465639" w:rsidRPr="00DD39EE" w:rsidTr="004B2CAC">
        <w:tc>
          <w:tcPr>
            <w:tcW w:w="763" w:type="dxa"/>
          </w:tcPr>
          <w:p w:rsidR="00465639" w:rsidRPr="00DD39EE" w:rsidRDefault="00BC5F58">
            <w:pPr>
              <w:rPr>
                <w:sz w:val="24"/>
                <w:szCs w:val="24"/>
              </w:rPr>
            </w:pPr>
            <w:r>
              <w:rPr>
                <w:sz w:val="24"/>
                <w:szCs w:val="24"/>
              </w:rPr>
              <w:t>3</w:t>
            </w:r>
            <w:r w:rsidR="00465639" w:rsidRPr="00DD39EE">
              <w:rPr>
                <w:sz w:val="24"/>
                <w:szCs w:val="24"/>
              </w:rPr>
              <w:t>.1</w:t>
            </w:r>
          </w:p>
        </w:tc>
        <w:tc>
          <w:tcPr>
            <w:tcW w:w="8263" w:type="dxa"/>
          </w:tcPr>
          <w:p w:rsidR="004D4D2A" w:rsidRPr="00CD5BAC" w:rsidRDefault="00CD5BAC" w:rsidP="004D4D2A">
            <w:pPr>
              <w:rPr>
                <w:sz w:val="24"/>
                <w:szCs w:val="24"/>
              </w:rPr>
            </w:pPr>
            <w:r>
              <w:rPr>
                <w:sz w:val="24"/>
                <w:szCs w:val="24"/>
              </w:rPr>
              <w:t xml:space="preserve">At the request of the Board, MABS National Development were invited to present to the meeting on a range of matters, including the MABSIS IT System and DMABS outcomes.  </w:t>
            </w:r>
          </w:p>
        </w:tc>
      </w:tr>
      <w:tr w:rsidR="00453032" w:rsidRPr="00DD39EE" w:rsidTr="004B2CAC">
        <w:tc>
          <w:tcPr>
            <w:tcW w:w="763" w:type="dxa"/>
          </w:tcPr>
          <w:p w:rsidR="00453032" w:rsidRDefault="007340D6">
            <w:pPr>
              <w:rPr>
                <w:sz w:val="24"/>
                <w:szCs w:val="24"/>
              </w:rPr>
            </w:pPr>
            <w:r>
              <w:rPr>
                <w:sz w:val="24"/>
                <w:szCs w:val="24"/>
              </w:rPr>
              <w:t>3.1.1</w:t>
            </w:r>
          </w:p>
        </w:tc>
        <w:tc>
          <w:tcPr>
            <w:tcW w:w="8263" w:type="dxa"/>
          </w:tcPr>
          <w:p w:rsidR="00453032" w:rsidRDefault="00E32EB3" w:rsidP="0018555D">
            <w:pPr>
              <w:rPr>
                <w:sz w:val="24"/>
                <w:szCs w:val="24"/>
              </w:rPr>
            </w:pPr>
            <w:r>
              <w:rPr>
                <w:sz w:val="24"/>
                <w:szCs w:val="24"/>
              </w:rPr>
              <w:t>Colette Bennett and Michael Doherty briefed t</w:t>
            </w:r>
            <w:r w:rsidR="00CD5BAC">
              <w:rPr>
                <w:sz w:val="24"/>
                <w:szCs w:val="24"/>
              </w:rPr>
              <w:t>he Board</w:t>
            </w:r>
            <w:r w:rsidR="00316449">
              <w:rPr>
                <w:sz w:val="24"/>
                <w:szCs w:val="24"/>
              </w:rPr>
              <w:t xml:space="preserve"> on the history of the MABSIS IT S</w:t>
            </w:r>
            <w:r w:rsidR="00CD5BAC">
              <w:rPr>
                <w:sz w:val="24"/>
                <w:szCs w:val="24"/>
              </w:rPr>
              <w:t>ystem dating back to 2004/2005 when it was developed to facilitate payments.  MABSIS is used in every local service and is co-ordinated via the MABSIS Co-Ordinator, staffed in MABSndl. The responsibilities of both the data controllers and data processor w</w:t>
            </w:r>
            <w:r w:rsidR="0018555D">
              <w:rPr>
                <w:sz w:val="24"/>
                <w:szCs w:val="24"/>
              </w:rPr>
              <w:t xml:space="preserve">ere </w:t>
            </w:r>
            <w:r w:rsidR="00CD5BAC">
              <w:rPr>
                <w:sz w:val="24"/>
                <w:szCs w:val="24"/>
              </w:rPr>
              <w:t xml:space="preserve">outlined.   It was noted that MABSIS is not, and was never intended to be, either a case management system, nor a </w:t>
            </w:r>
            <w:r w:rsidR="00CD5BAC">
              <w:rPr>
                <w:sz w:val="24"/>
                <w:szCs w:val="24"/>
              </w:rPr>
              <w:lastRenderedPageBreak/>
              <w:t xml:space="preserve">mechanism for gathering and analysing client date. The new Case Management System being tendered for </w:t>
            </w:r>
            <w:r w:rsidR="0046025E">
              <w:rPr>
                <w:sz w:val="24"/>
                <w:szCs w:val="24"/>
              </w:rPr>
              <w:t xml:space="preserve">by CIB will address the issue of data collection.  </w:t>
            </w:r>
          </w:p>
        </w:tc>
      </w:tr>
      <w:tr w:rsidR="00A9519D" w:rsidRPr="00DD39EE" w:rsidTr="004B2CAC">
        <w:tc>
          <w:tcPr>
            <w:tcW w:w="763" w:type="dxa"/>
          </w:tcPr>
          <w:p w:rsidR="00A9519D" w:rsidRDefault="00535086">
            <w:pPr>
              <w:rPr>
                <w:sz w:val="24"/>
                <w:szCs w:val="24"/>
              </w:rPr>
            </w:pPr>
            <w:r>
              <w:rPr>
                <w:sz w:val="24"/>
                <w:szCs w:val="24"/>
              </w:rPr>
              <w:lastRenderedPageBreak/>
              <w:t>3.1.2</w:t>
            </w:r>
          </w:p>
        </w:tc>
        <w:tc>
          <w:tcPr>
            <w:tcW w:w="8263" w:type="dxa"/>
          </w:tcPr>
          <w:p w:rsidR="00A9519D" w:rsidRDefault="0046025E" w:rsidP="0091532B">
            <w:pPr>
              <w:rPr>
                <w:sz w:val="24"/>
                <w:szCs w:val="24"/>
              </w:rPr>
            </w:pPr>
            <w:r>
              <w:rPr>
                <w:sz w:val="24"/>
                <w:szCs w:val="24"/>
              </w:rPr>
              <w:t xml:space="preserve">The Board was briefed on the progress of DMABS which was established in 2015 with three main objectives; establishing of a DMA MABS across a range of locations; creation of a national network of Court Mentors and a Pilot Public PIP Project.  The project is on course to meet its </w:t>
            </w:r>
            <w:r w:rsidR="00316449">
              <w:rPr>
                <w:sz w:val="24"/>
                <w:szCs w:val="24"/>
              </w:rPr>
              <w:t>target</w:t>
            </w:r>
            <w:r>
              <w:rPr>
                <w:sz w:val="24"/>
                <w:szCs w:val="24"/>
              </w:rPr>
              <w:t xml:space="preserve"> of an additional 17,400 cases over a three-year period, consisting of 5,400 to DMA MABS, and a further 12,000 to mainstream </w:t>
            </w:r>
            <w:r w:rsidR="00C1535D">
              <w:rPr>
                <w:sz w:val="24"/>
                <w:szCs w:val="24"/>
              </w:rPr>
              <w:t>MABS.  The detail of the weekly DMA data reporting was discussed and a breakdown of the outcome/status of all DMA cases up to 7</w:t>
            </w:r>
            <w:r w:rsidR="00C1535D" w:rsidRPr="00C1535D">
              <w:rPr>
                <w:sz w:val="24"/>
                <w:szCs w:val="24"/>
                <w:vertAlign w:val="superscript"/>
              </w:rPr>
              <w:t>th</w:t>
            </w:r>
            <w:r w:rsidR="00C1535D">
              <w:rPr>
                <w:sz w:val="24"/>
                <w:szCs w:val="24"/>
              </w:rPr>
              <w:t xml:space="preserve"> July 2017</w:t>
            </w:r>
            <w:r w:rsidR="00E32EB3">
              <w:rPr>
                <w:sz w:val="24"/>
                <w:szCs w:val="24"/>
              </w:rPr>
              <w:t xml:space="preserve"> outlined.  Discussion also took place on the Court Mentor Service and lender practices.  </w:t>
            </w:r>
          </w:p>
        </w:tc>
      </w:tr>
      <w:tr w:rsidR="004B2CAC" w:rsidRPr="00DD39EE" w:rsidTr="004B2CAC">
        <w:tc>
          <w:tcPr>
            <w:tcW w:w="763" w:type="dxa"/>
          </w:tcPr>
          <w:p w:rsidR="004B2CAC" w:rsidRDefault="004B2CAC" w:rsidP="004B2CAC">
            <w:pPr>
              <w:rPr>
                <w:sz w:val="24"/>
                <w:szCs w:val="24"/>
              </w:rPr>
            </w:pPr>
            <w:r>
              <w:rPr>
                <w:sz w:val="24"/>
                <w:szCs w:val="24"/>
              </w:rPr>
              <w:t>3.1.3</w:t>
            </w:r>
          </w:p>
        </w:tc>
        <w:tc>
          <w:tcPr>
            <w:tcW w:w="8263" w:type="dxa"/>
          </w:tcPr>
          <w:p w:rsidR="004B2CAC" w:rsidRDefault="004B2CAC" w:rsidP="004B2CAC">
            <w:pPr>
              <w:rPr>
                <w:sz w:val="24"/>
                <w:szCs w:val="24"/>
              </w:rPr>
            </w:pPr>
            <w:r>
              <w:rPr>
                <w:sz w:val="24"/>
                <w:szCs w:val="24"/>
              </w:rPr>
              <w:t xml:space="preserve">Tim Duggan noted that the DSP had worked with the Chief Executive of CIB and her team to establish DMABS and the Abhaile project.   Tim chairs the Steering Group for the Abhaile service and is the Departmental representative at the Senior Official Group and Cabinet Committee on Housing and Mortgage Arrears.  He noted that Abhaile is to be reviewed by the autumn and a report on same made to the Cabinet Committee setting out its proposed future and funding requirement.  Accordingly, it is critical that there are comprehensive statistics about outcomes for reporting to Government and that there is evidence that the projects are working.  A Private Members Bill to establish a Mortgage Resolution Office could intensify pressure in this area over the coming months.  </w:t>
            </w:r>
          </w:p>
        </w:tc>
      </w:tr>
      <w:tr w:rsidR="00533536" w:rsidRPr="00DD39EE" w:rsidTr="004B2CAC">
        <w:tc>
          <w:tcPr>
            <w:tcW w:w="763" w:type="dxa"/>
          </w:tcPr>
          <w:p w:rsidR="00533536" w:rsidRDefault="0003557A">
            <w:pPr>
              <w:rPr>
                <w:sz w:val="24"/>
                <w:szCs w:val="24"/>
              </w:rPr>
            </w:pPr>
            <w:r>
              <w:rPr>
                <w:sz w:val="24"/>
                <w:szCs w:val="24"/>
              </w:rPr>
              <w:t>3.1.4</w:t>
            </w:r>
          </w:p>
        </w:tc>
        <w:tc>
          <w:tcPr>
            <w:tcW w:w="8263" w:type="dxa"/>
          </w:tcPr>
          <w:p w:rsidR="00533536" w:rsidRDefault="00533536" w:rsidP="007541C7">
            <w:pPr>
              <w:rPr>
                <w:sz w:val="24"/>
                <w:szCs w:val="24"/>
              </w:rPr>
            </w:pPr>
            <w:r>
              <w:rPr>
                <w:sz w:val="24"/>
                <w:szCs w:val="24"/>
              </w:rPr>
              <w:t xml:space="preserve">MABSndl were thanked for their very informative document and presentation.  </w:t>
            </w:r>
          </w:p>
          <w:p w:rsidR="002437A6" w:rsidRDefault="002437A6" w:rsidP="007541C7">
            <w:pPr>
              <w:rPr>
                <w:sz w:val="24"/>
                <w:szCs w:val="24"/>
              </w:rPr>
            </w:pPr>
          </w:p>
        </w:tc>
      </w:tr>
      <w:tr w:rsidR="000110C7" w:rsidRPr="00DD39EE" w:rsidTr="004B2CAC">
        <w:tc>
          <w:tcPr>
            <w:tcW w:w="763" w:type="dxa"/>
          </w:tcPr>
          <w:p w:rsidR="000110C7" w:rsidRPr="003809E1" w:rsidRDefault="00453032">
            <w:pPr>
              <w:rPr>
                <w:b/>
                <w:sz w:val="24"/>
                <w:szCs w:val="24"/>
              </w:rPr>
            </w:pPr>
            <w:r w:rsidRPr="003809E1">
              <w:rPr>
                <w:b/>
                <w:sz w:val="24"/>
                <w:szCs w:val="24"/>
              </w:rPr>
              <w:t>4</w:t>
            </w:r>
          </w:p>
        </w:tc>
        <w:tc>
          <w:tcPr>
            <w:tcW w:w="8263" w:type="dxa"/>
          </w:tcPr>
          <w:p w:rsidR="00C63A9E" w:rsidRPr="006D5BB3" w:rsidRDefault="007541C7" w:rsidP="00051F67">
            <w:pPr>
              <w:rPr>
                <w:b/>
                <w:sz w:val="24"/>
                <w:szCs w:val="24"/>
              </w:rPr>
            </w:pPr>
            <w:r>
              <w:rPr>
                <w:b/>
                <w:sz w:val="24"/>
                <w:szCs w:val="24"/>
              </w:rPr>
              <w:t>Committee Meeting Updates</w:t>
            </w:r>
          </w:p>
        </w:tc>
      </w:tr>
      <w:tr w:rsidR="00533536" w:rsidRPr="00DD39EE" w:rsidTr="004B2CAC">
        <w:tc>
          <w:tcPr>
            <w:tcW w:w="763" w:type="dxa"/>
          </w:tcPr>
          <w:p w:rsidR="00533536" w:rsidRPr="00533536" w:rsidRDefault="00533536">
            <w:pPr>
              <w:rPr>
                <w:sz w:val="24"/>
                <w:szCs w:val="24"/>
              </w:rPr>
            </w:pPr>
            <w:r w:rsidRPr="00533536">
              <w:rPr>
                <w:sz w:val="24"/>
                <w:szCs w:val="24"/>
              </w:rPr>
              <w:t>4.1</w:t>
            </w:r>
          </w:p>
        </w:tc>
        <w:tc>
          <w:tcPr>
            <w:tcW w:w="8263" w:type="dxa"/>
          </w:tcPr>
          <w:p w:rsidR="00533536" w:rsidRPr="00533536" w:rsidRDefault="0018555D" w:rsidP="0018555D">
            <w:pPr>
              <w:rPr>
                <w:sz w:val="24"/>
                <w:szCs w:val="24"/>
              </w:rPr>
            </w:pPr>
            <w:r>
              <w:rPr>
                <w:sz w:val="24"/>
                <w:szCs w:val="24"/>
              </w:rPr>
              <w:t xml:space="preserve">The chair of the </w:t>
            </w:r>
            <w:r w:rsidR="00533536" w:rsidRPr="00533536">
              <w:rPr>
                <w:sz w:val="24"/>
                <w:szCs w:val="24"/>
              </w:rPr>
              <w:t xml:space="preserve">Finance committee </w:t>
            </w:r>
            <w:r>
              <w:rPr>
                <w:sz w:val="24"/>
                <w:szCs w:val="24"/>
              </w:rPr>
              <w:t xml:space="preserve">has resigned and a new Chair has not yet been appointed.  </w:t>
            </w:r>
          </w:p>
        </w:tc>
      </w:tr>
      <w:tr w:rsidR="00EF19B4" w:rsidRPr="00DD39EE" w:rsidTr="004B2CAC">
        <w:tc>
          <w:tcPr>
            <w:tcW w:w="763" w:type="dxa"/>
          </w:tcPr>
          <w:p w:rsidR="00EF19B4" w:rsidRPr="00DD39EE" w:rsidRDefault="003809E1">
            <w:pPr>
              <w:rPr>
                <w:sz w:val="24"/>
                <w:szCs w:val="24"/>
              </w:rPr>
            </w:pPr>
            <w:r>
              <w:rPr>
                <w:sz w:val="24"/>
                <w:szCs w:val="24"/>
              </w:rPr>
              <w:t>4</w:t>
            </w:r>
            <w:r w:rsidR="000553A0">
              <w:rPr>
                <w:sz w:val="24"/>
                <w:szCs w:val="24"/>
              </w:rPr>
              <w:t>.2</w:t>
            </w:r>
          </w:p>
        </w:tc>
        <w:tc>
          <w:tcPr>
            <w:tcW w:w="8263" w:type="dxa"/>
          </w:tcPr>
          <w:p w:rsidR="00916D8F" w:rsidRPr="000553A0" w:rsidRDefault="00A45BBC" w:rsidP="0093159A">
            <w:pPr>
              <w:rPr>
                <w:sz w:val="24"/>
                <w:szCs w:val="24"/>
                <w:u w:val="single"/>
              </w:rPr>
            </w:pPr>
            <w:r>
              <w:rPr>
                <w:sz w:val="24"/>
                <w:szCs w:val="24"/>
                <w:u w:val="single"/>
              </w:rPr>
              <w:t>Audit &amp; Risk Committee</w:t>
            </w:r>
          </w:p>
        </w:tc>
      </w:tr>
      <w:tr w:rsidR="00C63A9E" w:rsidRPr="00DD39EE" w:rsidTr="004B2CAC">
        <w:tc>
          <w:tcPr>
            <w:tcW w:w="763" w:type="dxa"/>
          </w:tcPr>
          <w:p w:rsidR="00C63A9E" w:rsidRDefault="000553A0">
            <w:pPr>
              <w:rPr>
                <w:sz w:val="24"/>
                <w:szCs w:val="24"/>
              </w:rPr>
            </w:pPr>
            <w:r>
              <w:rPr>
                <w:sz w:val="24"/>
                <w:szCs w:val="24"/>
              </w:rPr>
              <w:t>4.2</w:t>
            </w:r>
            <w:r w:rsidR="007541C7">
              <w:rPr>
                <w:sz w:val="24"/>
                <w:szCs w:val="24"/>
              </w:rPr>
              <w:t>.1</w:t>
            </w:r>
          </w:p>
        </w:tc>
        <w:tc>
          <w:tcPr>
            <w:tcW w:w="8263" w:type="dxa"/>
          </w:tcPr>
          <w:p w:rsidR="00C63A9E" w:rsidRPr="00C63A9E" w:rsidRDefault="00A45BBC" w:rsidP="0018555D">
            <w:pPr>
              <w:rPr>
                <w:sz w:val="24"/>
                <w:szCs w:val="24"/>
              </w:rPr>
            </w:pPr>
            <w:r>
              <w:rPr>
                <w:sz w:val="24"/>
                <w:szCs w:val="24"/>
              </w:rPr>
              <w:t xml:space="preserve">John Saunders </w:t>
            </w:r>
            <w:r w:rsidR="0018555D">
              <w:rPr>
                <w:sz w:val="24"/>
                <w:szCs w:val="24"/>
              </w:rPr>
              <w:t xml:space="preserve">has been appointed as Chair of the Audit and Risk Committee.  He gave the Board an update </w:t>
            </w:r>
            <w:r>
              <w:rPr>
                <w:sz w:val="24"/>
                <w:szCs w:val="24"/>
              </w:rPr>
              <w:t xml:space="preserve">  Deloitte have completed internal audits for three services. No major findings were reported.  Most of the important and minor findings had been corrected at the time the audits concluded.  </w:t>
            </w:r>
          </w:p>
        </w:tc>
      </w:tr>
      <w:tr w:rsidR="00C63A9E" w:rsidRPr="00DD39EE" w:rsidTr="004B2CAC">
        <w:tc>
          <w:tcPr>
            <w:tcW w:w="763" w:type="dxa"/>
          </w:tcPr>
          <w:p w:rsidR="00C63A9E" w:rsidRDefault="00B86B36">
            <w:pPr>
              <w:rPr>
                <w:sz w:val="24"/>
                <w:szCs w:val="24"/>
              </w:rPr>
            </w:pPr>
            <w:r>
              <w:rPr>
                <w:sz w:val="24"/>
                <w:szCs w:val="24"/>
              </w:rPr>
              <w:t>4.2.2</w:t>
            </w:r>
          </w:p>
        </w:tc>
        <w:tc>
          <w:tcPr>
            <w:tcW w:w="8263" w:type="dxa"/>
          </w:tcPr>
          <w:p w:rsidR="00C63A9E" w:rsidRPr="00826B01" w:rsidRDefault="00A45BBC" w:rsidP="0093159A">
            <w:pPr>
              <w:rPr>
                <w:sz w:val="24"/>
                <w:szCs w:val="24"/>
              </w:rPr>
            </w:pPr>
            <w:r>
              <w:rPr>
                <w:sz w:val="24"/>
                <w:szCs w:val="24"/>
              </w:rPr>
              <w:t xml:space="preserve">A draft Risk Management Framework and Risk Register has been prepared.  </w:t>
            </w:r>
          </w:p>
        </w:tc>
      </w:tr>
      <w:tr w:rsidR="00C63A9E" w:rsidRPr="00DD39EE" w:rsidTr="004B2CAC">
        <w:tc>
          <w:tcPr>
            <w:tcW w:w="763" w:type="dxa"/>
          </w:tcPr>
          <w:p w:rsidR="00C63A9E" w:rsidRDefault="00B86B36">
            <w:pPr>
              <w:rPr>
                <w:sz w:val="24"/>
                <w:szCs w:val="24"/>
              </w:rPr>
            </w:pPr>
            <w:r>
              <w:rPr>
                <w:sz w:val="24"/>
                <w:szCs w:val="24"/>
              </w:rPr>
              <w:t>4.2.3</w:t>
            </w:r>
          </w:p>
        </w:tc>
        <w:tc>
          <w:tcPr>
            <w:tcW w:w="8263" w:type="dxa"/>
          </w:tcPr>
          <w:p w:rsidR="00C63A9E" w:rsidRPr="00826B01" w:rsidRDefault="00A45BBC" w:rsidP="0093159A">
            <w:pPr>
              <w:rPr>
                <w:sz w:val="24"/>
                <w:szCs w:val="24"/>
              </w:rPr>
            </w:pPr>
            <w:r>
              <w:rPr>
                <w:sz w:val="24"/>
                <w:szCs w:val="24"/>
              </w:rPr>
              <w:t xml:space="preserve">The process around the Letter of Representation to the Comptroller and Auditor General was discussed and plan </w:t>
            </w:r>
            <w:r w:rsidR="0018555D">
              <w:rPr>
                <w:sz w:val="24"/>
                <w:szCs w:val="24"/>
              </w:rPr>
              <w:t xml:space="preserve">is </w:t>
            </w:r>
            <w:r>
              <w:rPr>
                <w:sz w:val="24"/>
                <w:szCs w:val="24"/>
              </w:rPr>
              <w:t>in place for next year.</w:t>
            </w:r>
          </w:p>
        </w:tc>
      </w:tr>
      <w:tr w:rsidR="00082ED4" w:rsidRPr="00DD39EE" w:rsidTr="004B2CAC">
        <w:tc>
          <w:tcPr>
            <w:tcW w:w="763" w:type="dxa"/>
          </w:tcPr>
          <w:p w:rsidR="00082ED4" w:rsidRDefault="007541C7">
            <w:pPr>
              <w:rPr>
                <w:sz w:val="24"/>
                <w:szCs w:val="24"/>
              </w:rPr>
            </w:pPr>
            <w:r>
              <w:rPr>
                <w:sz w:val="24"/>
                <w:szCs w:val="24"/>
              </w:rPr>
              <w:t>4.</w:t>
            </w:r>
            <w:r w:rsidR="000553A0">
              <w:rPr>
                <w:sz w:val="24"/>
                <w:szCs w:val="24"/>
              </w:rPr>
              <w:t>3</w:t>
            </w:r>
          </w:p>
        </w:tc>
        <w:tc>
          <w:tcPr>
            <w:tcW w:w="8263" w:type="dxa"/>
          </w:tcPr>
          <w:p w:rsidR="00682CD3" w:rsidRPr="000553A0" w:rsidRDefault="00A45BBC" w:rsidP="007541C7">
            <w:pPr>
              <w:rPr>
                <w:sz w:val="24"/>
                <w:szCs w:val="24"/>
                <w:u w:val="single"/>
              </w:rPr>
            </w:pPr>
            <w:r>
              <w:rPr>
                <w:sz w:val="24"/>
                <w:szCs w:val="24"/>
                <w:u w:val="single"/>
              </w:rPr>
              <w:t xml:space="preserve">Finance Committee </w:t>
            </w:r>
          </w:p>
        </w:tc>
      </w:tr>
      <w:tr w:rsidR="007541C7" w:rsidRPr="00DD39EE" w:rsidTr="004B2CAC">
        <w:tc>
          <w:tcPr>
            <w:tcW w:w="763" w:type="dxa"/>
          </w:tcPr>
          <w:p w:rsidR="007541C7" w:rsidRDefault="007541C7">
            <w:pPr>
              <w:rPr>
                <w:sz w:val="24"/>
                <w:szCs w:val="24"/>
              </w:rPr>
            </w:pPr>
            <w:r>
              <w:rPr>
                <w:sz w:val="24"/>
                <w:szCs w:val="24"/>
              </w:rPr>
              <w:t>4.</w:t>
            </w:r>
            <w:r w:rsidR="000553A0">
              <w:rPr>
                <w:sz w:val="24"/>
                <w:szCs w:val="24"/>
              </w:rPr>
              <w:t>3</w:t>
            </w:r>
            <w:r>
              <w:rPr>
                <w:sz w:val="24"/>
                <w:szCs w:val="24"/>
              </w:rPr>
              <w:t>.1</w:t>
            </w:r>
          </w:p>
        </w:tc>
        <w:tc>
          <w:tcPr>
            <w:tcW w:w="8263" w:type="dxa"/>
          </w:tcPr>
          <w:p w:rsidR="007541C7" w:rsidRDefault="00885958" w:rsidP="007541C7">
            <w:pPr>
              <w:rPr>
                <w:sz w:val="24"/>
                <w:szCs w:val="24"/>
              </w:rPr>
            </w:pPr>
            <w:r>
              <w:rPr>
                <w:sz w:val="24"/>
                <w:szCs w:val="24"/>
              </w:rPr>
              <w:t xml:space="preserve">The variances around the Budget Monitoring June 2017 are profiling issues.  The Mid-Year review has issues to the </w:t>
            </w:r>
            <w:r w:rsidR="001734D5">
              <w:rPr>
                <w:sz w:val="24"/>
                <w:szCs w:val="24"/>
              </w:rPr>
              <w:t>DSP and will be reprofiled and the Budget Estimates 2018 following approval at the Board today will issue to the DSP.</w:t>
            </w:r>
          </w:p>
        </w:tc>
      </w:tr>
      <w:tr w:rsidR="00F23CAD" w:rsidRPr="00DD39EE" w:rsidTr="004B2CAC">
        <w:tc>
          <w:tcPr>
            <w:tcW w:w="763" w:type="dxa"/>
          </w:tcPr>
          <w:p w:rsidR="00F23CAD" w:rsidRDefault="00F23CAD">
            <w:pPr>
              <w:rPr>
                <w:sz w:val="24"/>
                <w:szCs w:val="24"/>
              </w:rPr>
            </w:pPr>
            <w:r>
              <w:rPr>
                <w:sz w:val="24"/>
                <w:szCs w:val="24"/>
              </w:rPr>
              <w:t>4.4</w:t>
            </w:r>
          </w:p>
        </w:tc>
        <w:tc>
          <w:tcPr>
            <w:tcW w:w="8263" w:type="dxa"/>
          </w:tcPr>
          <w:p w:rsidR="00F23CAD" w:rsidRPr="00F23CAD" w:rsidRDefault="00F23CAD" w:rsidP="007541C7">
            <w:pPr>
              <w:rPr>
                <w:sz w:val="24"/>
                <w:szCs w:val="24"/>
                <w:u w:val="single"/>
              </w:rPr>
            </w:pPr>
            <w:r w:rsidRPr="00F23CAD">
              <w:rPr>
                <w:sz w:val="24"/>
                <w:szCs w:val="24"/>
                <w:u w:val="single"/>
              </w:rPr>
              <w:t>Social Policy &amp; Research Committee</w:t>
            </w:r>
          </w:p>
        </w:tc>
      </w:tr>
      <w:tr w:rsidR="00F23CAD" w:rsidRPr="00DD39EE" w:rsidTr="004B2CAC">
        <w:tc>
          <w:tcPr>
            <w:tcW w:w="763" w:type="dxa"/>
          </w:tcPr>
          <w:p w:rsidR="00F23CAD" w:rsidRDefault="006A19C7">
            <w:pPr>
              <w:rPr>
                <w:sz w:val="24"/>
                <w:szCs w:val="24"/>
              </w:rPr>
            </w:pPr>
            <w:r>
              <w:rPr>
                <w:sz w:val="24"/>
                <w:szCs w:val="24"/>
              </w:rPr>
              <w:t>4.4.1</w:t>
            </w:r>
          </w:p>
        </w:tc>
        <w:tc>
          <w:tcPr>
            <w:tcW w:w="8263" w:type="dxa"/>
          </w:tcPr>
          <w:p w:rsidR="00F23CAD" w:rsidRDefault="006A19C7" w:rsidP="007541C7">
            <w:pPr>
              <w:rPr>
                <w:sz w:val="24"/>
                <w:szCs w:val="24"/>
              </w:rPr>
            </w:pPr>
            <w:r>
              <w:rPr>
                <w:sz w:val="24"/>
                <w:szCs w:val="24"/>
              </w:rPr>
              <w:t>The Board approved the publishing of the report ‘Information Provision and Access to Public and Social Services for the Deaf Community’.</w:t>
            </w:r>
          </w:p>
          <w:p w:rsidR="002437A6" w:rsidRDefault="002437A6" w:rsidP="007541C7">
            <w:pPr>
              <w:rPr>
                <w:sz w:val="24"/>
                <w:szCs w:val="24"/>
              </w:rPr>
            </w:pPr>
          </w:p>
        </w:tc>
      </w:tr>
      <w:tr w:rsidR="00D5755E" w:rsidRPr="00DD39EE" w:rsidTr="004B2CAC">
        <w:tc>
          <w:tcPr>
            <w:tcW w:w="763" w:type="dxa"/>
          </w:tcPr>
          <w:p w:rsidR="00D5755E" w:rsidRPr="00E673EC" w:rsidRDefault="003809E1">
            <w:pPr>
              <w:rPr>
                <w:b/>
                <w:sz w:val="24"/>
                <w:szCs w:val="24"/>
              </w:rPr>
            </w:pPr>
            <w:r w:rsidRPr="00E673EC">
              <w:rPr>
                <w:b/>
                <w:sz w:val="24"/>
                <w:szCs w:val="24"/>
              </w:rPr>
              <w:t>5</w:t>
            </w:r>
          </w:p>
        </w:tc>
        <w:tc>
          <w:tcPr>
            <w:tcW w:w="8263" w:type="dxa"/>
          </w:tcPr>
          <w:p w:rsidR="00D5755E" w:rsidRDefault="007541C7" w:rsidP="000F19E9">
            <w:pPr>
              <w:rPr>
                <w:b/>
                <w:sz w:val="24"/>
                <w:szCs w:val="24"/>
              </w:rPr>
            </w:pPr>
            <w:r>
              <w:rPr>
                <w:b/>
                <w:sz w:val="24"/>
                <w:szCs w:val="24"/>
              </w:rPr>
              <w:t>Finance</w:t>
            </w:r>
          </w:p>
          <w:p w:rsidR="00051F67" w:rsidRPr="00016236" w:rsidRDefault="008E0894" w:rsidP="000F19E9">
            <w:pPr>
              <w:rPr>
                <w:b/>
                <w:sz w:val="24"/>
                <w:szCs w:val="24"/>
              </w:rPr>
            </w:pPr>
            <w:r w:rsidRPr="00DD708B">
              <w:rPr>
                <w:i/>
                <w:sz w:val="24"/>
                <w:szCs w:val="24"/>
              </w:rPr>
              <w:t>(</w:t>
            </w:r>
            <w:r w:rsidR="007541C7">
              <w:rPr>
                <w:i/>
                <w:sz w:val="24"/>
                <w:szCs w:val="24"/>
              </w:rPr>
              <w:t>Budgeting Monitorin</w:t>
            </w:r>
            <w:r w:rsidR="0003557A">
              <w:rPr>
                <w:i/>
                <w:sz w:val="24"/>
                <w:szCs w:val="24"/>
              </w:rPr>
              <w:t xml:space="preserve">g June, Budget Mid-Year Review </w:t>
            </w:r>
            <w:r w:rsidR="007541C7">
              <w:rPr>
                <w:i/>
                <w:sz w:val="24"/>
                <w:szCs w:val="24"/>
              </w:rPr>
              <w:t>2017 and Budget Estimates documentation were circulated in advance of the meeting</w:t>
            </w:r>
            <w:r w:rsidRPr="00DD708B">
              <w:rPr>
                <w:i/>
                <w:sz w:val="24"/>
                <w:szCs w:val="24"/>
              </w:rPr>
              <w:t>.)</w:t>
            </w:r>
          </w:p>
        </w:tc>
      </w:tr>
      <w:tr w:rsidR="00D5755E" w:rsidRPr="00DD39EE" w:rsidTr="004B2CAC">
        <w:tc>
          <w:tcPr>
            <w:tcW w:w="763" w:type="dxa"/>
          </w:tcPr>
          <w:p w:rsidR="00D5755E" w:rsidRPr="00DD39EE" w:rsidRDefault="000F19E9">
            <w:pPr>
              <w:rPr>
                <w:sz w:val="24"/>
                <w:szCs w:val="24"/>
              </w:rPr>
            </w:pPr>
            <w:r>
              <w:rPr>
                <w:sz w:val="24"/>
                <w:szCs w:val="24"/>
              </w:rPr>
              <w:t>5.1</w:t>
            </w:r>
          </w:p>
        </w:tc>
        <w:tc>
          <w:tcPr>
            <w:tcW w:w="8263" w:type="dxa"/>
          </w:tcPr>
          <w:p w:rsidR="00D5755E" w:rsidRPr="00D565B8" w:rsidRDefault="00D565B8" w:rsidP="00D21DFF">
            <w:pPr>
              <w:rPr>
                <w:sz w:val="24"/>
                <w:szCs w:val="24"/>
                <w:u w:val="single"/>
              </w:rPr>
            </w:pPr>
            <w:r w:rsidRPr="00D565B8">
              <w:rPr>
                <w:sz w:val="24"/>
                <w:szCs w:val="24"/>
                <w:u w:val="single"/>
              </w:rPr>
              <w:t>Budgeting Monitoring June 2017</w:t>
            </w:r>
          </w:p>
        </w:tc>
      </w:tr>
      <w:tr w:rsidR="00D565B8" w:rsidRPr="00C34223" w:rsidTr="004B2CAC">
        <w:tc>
          <w:tcPr>
            <w:tcW w:w="763" w:type="dxa"/>
          </w:tcPr>
          <w:p w:rsidR="00D565B8" w:rsidRPr="00C34223" w:rsidRDefault="00D565B8" w:rsidP="00714764">
            <w:pPr>
              <w:rPr>
                <w:sz w:val="24"/>
                <w:szCs w:val="24"/>
              </w:rPr>
            </w:pPr>
            <w:r>
              <w:rPr>
                <w:sz w:val="24"/>
                <w:szCs w:val="24"/>
              </w:rPr>
              <w:lastRenderedPageBreak/>
              <w:t>5.1.1</w:t>
            </w:r>
          </w:p>
        </w:tc>
        <w:tc>
          <w:tcPr>
            <w:tcW w:w="8263" w:type="dxa"/>
          </w:tcPr>
          <w:p w:rsidR="00D565B8" w:rsidRPr="00C34223" w:rsidRDefault="00D565B8" w:rsidP="00714764">
            <w:pPr>
              <w:rPr>
                <w:sz w:val="24"/>
                <w:szCs w:val="24"/>
              </w:rPr>
            </w:pPr>
            <w:r>
              <w:rPr>
                <w:sz w:val="24"/>
                <w:szCs w:val="24"/>
              </w:rPr>
              <w:t xml:space="preserve">The overall excess of income over expenditure for the year to June 2017 was €69,059.  The profiled excess is €820,906, the variance between this and the actual spend of €751,847 is due to several variances on the profile budget for the year to date.  </w:t>
            </w:r>
          </w:p>
        </w:tc>
      </w:tr>
      <w:tr w:rsidR="00D565B8" w:rsidRPr="00C34223" w:rsidTr="004B2CAC">
        <w:tc>
          <w:tcPr>
            <w:tcW w:w="763" w:type="dxa"/>
          </w:tcPr>
          <w:p w:rsidR="00D565B8" w:rsidRPr="00C34223" w:rsidRDefault="00D565B8" w:rsidP="00714764">
            <w:pPr>
              <w:rPr>
                <w:sz w:val="24"/>
                <w:szCs w:val="24"/>
              </w:rPr>
            </w:pPr>
            <w:r>
              <w:rPr>
                <w:sz w:val="24"/>
                <w:szCs w:val="24"/>
              </w:rPr>
              <w:t>5.1.2</w:t>
            </w:r>
          </w:p>
        </w:tc>
        <w:tc>
          <w:tcPr>
            <w:tcW w:w="8263" w:type="dxa"/>
          </w:tcPr>
          <w:p w:rsidR="00D565B8" w:rsidRPr="00C34223" w:rsidRDefault="00D565B8" w:rsidP="00714764">
            <w:pPr>
              <w:rPr>
                <w:sz w:val="24"/>
                <w:szCs w:val="24"/>
              </w:rPr>
            </w:pPr>
            <w:r>
              <w:rPr>
                <w:sz w:val="24"/>
                <w:szCs w:val="24"/>
              </w:rPr>
              <w:t>Gary Watters reported on the material variances per budget head.</w:t>
            </w:r>
          </w:p>
        </w:tc>
      </w:tr>
      <w:tr w:rsidR="00D565B8" w:rsidRPr="00DD39EE" w:rsidTr="004B2CAC">
        <w:tc>
          <w:tcPr>
            <w:tcW w:w="763" w:type="dxa"/>
          </w:tcPr>
          <w:p w:rsidR="00D565B8" w:rsidRDefault="00D565B8">
            <w:pPr>
              <w:rPr>
                <w:sz w:val="24"/>
                <w:szCs w:val="24"/>
              </w:rPr>
            </w:pPr>
            <w:r>
              <w:rPr>
                <w:sz w:val="24"/>
                <w:szCs w:val="24"/>
              </w:rPr>
              <w:t>5.2</w:t>
            </w:r>
          </w:p>
        </w:tc>
        <w:tc>
          <w:tcPr>
            <w:tcW w:w="8263" w:type="dxa"/>
          </w:tcPr>
          <w:p w:rsidR="00D565B8" w:rsidRPr="00D565B8" w:rsidRDefault="00D565B8" w:rsidP="00D21DFF">
            <w:pPr>
              <w:rPr>
                <w:sz w:val="24"/>
                <w:szCs w:val="24"/>
                <w:u w:val="single"/>
              </w:rPr>
            </w:pPr>
            <w:r w:rsidRPr="00D565B8">
              <w:rPr>
                <w:sz w:val="24"/>
                <w:szCs w:val="24"/>
                <w:u w:val="single"/>
              </w:rPr>
              <w:t>Budget Mid-Year Review 2017</w:t>
            </w:r>
          </w:p>
        </w:tc>
      </w:tr>
      <w:tr w:rsidR="00D565B8" w:rsidRPr="00DD39EE" w:rsidTr="004B2CAC">
        <w:tc>
          <w:tcPr>
            <w:tcW w:w="763" w:type="dxa"/>
          </w:tcPr>
          <w:p w:rsidR="00D565B8" w:rsidRPr="00DD39EE" w:rsidRDefault="00D565B8" w:rsidP="00D565B8">
            <w:pPr>
              <w:rPr>
                <w:sz w:val="24"/>
                <w:szCs w:val="24"/>
              </w:rPr>
            </w:pPr>
            <w:r>
              <w:rPr>
                <w:sz w:val="24"/>
                <w:szCs w:val="24"/>
              </w:rPr>
              <w:t>5.2.1</w:t>
            </w:r>
          </w:p>
        </w:tc>
        <w:tc>
          <w:tcPr>
            <w:tcW w:w="8263" w:type="dxa"/>
          </w:tcPr>
          <w:p w:rsidR="00D565B8" w:rsidRPr="00C34223" w:rsidRDefault="00D565B8" w:rsidP="00D565B8">
            <w:pPr>
              <w:rPr>
                <w:sz w:val="24"/>
                <w:szCs w:val="24"/>
              </w:rPr>
            </w:pPr>
            <w:r>
              <w:rPr>
                <w:sz w:val="24"/>
                <w:szCs w:val="24"/>
              </w:rPr>
              <w:t>The total estimated expenditure to 31 December 2017, is anticipated to outturn at €53,826,878, some €618,465 less than budget.</w:t>
            </w:r>
          </w:p>
        </w:tc>
      </w:tr>
      <w:tr w:rsidR="00D565B8" w:rsidRPr="00DD39EE" w:rsidTr="004B2CAC">
        <w:tc>
          <w:tcPr>
            <w:tcW w:w="763" w:type="dxa"/>
          </w:tcPr>
          <w:p w:rsidR="00D565B8" w:rsidRDefault="00D565B8" w:rsidP="00D565B8">
            <w:pPr>
              <w:rPr>
                <w:sz w:val="24"/>
                <w:szCs w:val="24"/>
              </w:rPr>
            </w:pPr>
            <w:r>
              <w:rPr>
                <w:sz w:val="24"/>
                <w:szCs w:val="24"/>
              </w:rPr>
              <w:t>5.2.2</w:t>
            </w:r>
          </w:p>
        </w:tc>
        <w:tc>
          <w:tcPr>
            <w:tcW w:w="8263" w:type="dxa"/>
          </w:tcPr>
          <w:p w:rsidR="00D565B8" w:rsidRPr="00C34223" w:rsidRDefault="00D565B8" w:rsidP="00D565B8">
            <w:pPr>
              <w:rPr>
                <w:sz w:val="24"/>
                <w:szCs w:val="24"/>
              </w:rPr>
            </w:pPr>
            <w:r>
              <w:rPr>
                <w:sz w:val="24"/>
                <w:szCs w:val="24"/>
              </w:rPr>
              <w:t xml:space="preserve">The total estimated income to 31 December 2017, is anticipated to outturn at €53,983,075, some €462,268 less than budget.  </w:t>
            </w:r>
          </w:p>
        </w:tc>
      </w:tr>
      <w:tr w:rsidR="00D565B8" w:rsidRPr="00DD39EE" w:rsidTr="004B2CAC">
        <w:tc>
          <w:tcPr>
            <w:tcW w:w="763" w:type="dxa"/>
          </w:tcPr>
          <w:p w:rsidR="00D565B8" w:rsidRPr="00D565B8" w:rsidRDefault="00D565B8" w:rsidP="00D565B8">
            <w:pPr>
              <w:rPr>
                <w:sz w:val="24"/>
                <w:szCs w:val="24"/>
              </w:rPr>
            </w:pPr>
            <w:r w:rsidRPr="00D565B8">
              <w:rPr>
                <w:sz w:val="24"/>
                <w:szCs w:val="24"/>
              </w:rPr>
              <w:t>5.2.3</w:t>
            </w:r>
          </w:p>
        </w:tc>
        <w:tc>
          <w:tcPr>
            <w:tcW w:w="8263" w:type="dxa"/>
          </w:tcPr>
          <w:p w:rsidR="00D565B8" w:rsidRPr="00C34223" w:rsidRDefault="00D565B8" w:rsidP="00D565B8">
            <w:pPr>
              <w:rPr>
                <w:sz w:val="24"/>
                <w:szCs w:val="24"/>
              </w:rPr>
            </w:pPr>
            <w:r>
              <w:rPr>
                <w:sz w:val="24"/>
                <w:szCs w:val="24"/>
              </w:rPr>
              <w:t>The estimated income exceeds expenditure by €156,197 to 31 December 2017.</w:t>
            </w:r>
          </w:p>
        </w:tc>
      </w:tr>
      <w:tr w:rsidR="00D565B8" w:rsidRPr="00DD39EE" w:rsidTr="004B2CAC">
        <w:tc>
          <w:tcPr>
            <w:tcW w:w="763" w:type="dxa"/>
          </w:tcPr>
          <w:p w:rsidR="00D565B8" w:rsidRPr="00DD39EE" w:rsidRDefault="00D565B8" w:rsidP="00D565B8">
            <w:pPr>
              <w:rPr>
                <w:sz w:val="24"/>
                <w:szCs w:val="24"/>
              </w:rPr>
            </w:pPr>
            <w:r>
              <w:rPr>
                <w:sz w:val="24"/>
                <w:szCs w:val="24"/>
              </w:rPr>
              <w:t>5.2.4</w:t>
            </w:r>
          </w:p>
        </w:tc>
        <w:tc>
          <w:tcPr>
            <w:tcW w:w="8263" w:type="dxa"/>
          </w:tcPr>
          <w:p w:rsidR="00D565B8" w:rsidRPr="00C34223" w:rsidRDefault="00D565B8" w:rsidP="00D565B8">
            <w:pPr>
              <w:rPr>
                <w:sz w:val="24"/>
                <w:szCs w:val="24"/>
              </w:rPr>
            </w:pPr>
            <w:r>
              <w:rPr>
                <w:sz w:val="24"/>
                <w:szCs w:val="24"/>
              </w:rPr>
              <w:t xml:space="preserve">Gary Watters reported on some of the proposed revisions to budget lines at mid-year review.  </w:t>
            </w:r>
          </w:p>
        </w:tc>
      </w:tr>
      <w:tr w:rsidR="00D565B8" w:rsidRPr="00DD39EE" w:rsidTr="004B2CAC">
        <w:tc>
          <w:tcPr>
            <w:tcW w:w="763" w:type="dxa"/>
          </w:tcPr>
          <w:p w:rsidR="00D565B8" w:rsidRDefault="00D565B8" w:rsidP="00D565B8">
            <w:pPr>
              <w:rPr>
                <w:sz w:val="24"/>
                <w:szCs w:val="24"/>
              </w:rPr>
            </w:pPr>
            <w:r>
              <w:rPr>
                <w:sz w:val="24"/>
                <w:szCs w:val="24"/>
              </w:rPr>
              <w:t>5.3</w:t>
            </w:r>
          </w:p>
        </w:tc>
        <w:tc>
          <w:tcPr>
            <w:tcW w:w="8263" w:type="dxa"/>
          </w:tcPr>
          <w:p w:rsidR="00D565B8" w:rsidRPr="00D565B8" w:rsidRDefault="00D565B8" w:rsidP="00D565B8">
            <w:pPr>
              <w:rPr>
                <w:sz w:val="24"/>
                <w:szCs w:val="24"/>
                <w:u w:val="single"/>
              </w:rPr>
            </w:pPr>
            <w:r w:rsidRPr="00D565B8">
              <w:rPr>
                <w:sz w:val="24"/>
                <w:szCs w:val="24"/>
                <w:u w:val="single"/>
              </w:rPr>
              <w:t>Budget Estimates 2018</w:t>
            </w:r>
          </w:p>
        </w:tc>
      </w:tr>
      <w:tr w:rsidR="00D565B8" w:rsidRPr="00C34223" w:rsidTr="004B2CAC">
        <w:tc>
          <w:tcPr>
            <w:tcW w:w="763" w:type="dxa"/>
          </w:tcPr>
          <w:p w:rsidR="00D565B8" w:rsidRPr="00C34223" w:rsidRDefault="009302EA" w:rsidP="00714764">
            <w:pPr>
              <w:rPr>
                <w:sz w:val="24"/>
                <w:szCs w:val="24"/>
              </w:rPr>
            </w:pPr>
            <w:r>
              <w:rPr>
                <w:sz w:val="24"/>
                <w:szCs w:val="24"/>
              </w:rPr>
              <w:t>5.3.1</w:t>
            </w:r>
          </w:p>
        </w:tc>
        <w:tc>
          <w:tcPr>
            <w:tcW w:w="8263" w:type="dxa"/>
          </w:tcPr>
          <w:p w:rsidR="00D565B8" w:rsidRPr="00C34223" w:rsidRDefault="00D565B8" w:rsidP="00714764">
            <w:pPr>
              <w:rPr>
                <w:sz w:val="24"/>
                <w:szCs w:val="24"/>
              </w:rPr>
            </w:pPr>
            <w:r>
              <w:rPr>
                <w:sz w:val="24"/>
                <w:szCs w:val="24"/>
              </w:rPr>
              <w:t>The budget estimates presented outline the cost in 2018 of maintaining the Board’s existing service delivery commitments at the current level and the estimated cost of developing the Board’s service delivery further.</w:t>
            </w:r>
          </w:p>
        </w:tc>
      </w:tr>
      <w:tr w:rsidR="00D565B8" w:rsidRPr="00D565B8" w:rsidTr="004B2CAC">
        <w:tc>
          <w:tcPr>
            <w:tcW w:w="763" w:type="dxa"/>
          </w:tcPr>
          <w:p w:rsidR="00D565B8" w:rsidRPr="00D565B8" w:rsidRDefault="009302EA" w:rsidP="00714764">
            <w:pPr>
              <w:rPr>
                <w:sz w:val="24"/>
                <w:szCs w:val="24"/>
              </w:rPr>
            </w:pPr>
            <w:r>
              <w:rPr>
                <w:sz w:val="24"/>
                <w:szCs w:val="24"/>
              </w:rPr>
              <w:t>5.3.2</w:t>
            </w:r>
          </w:p>
        </w:tc>
        <w:tc>
          <w:tcPr>
            <w:tcW w:w="8263" w:type="dxa"/>
          </w:tcPr>
          <w:p w:rsidR="00D565B8" w:rsidRPr="00D565B8" w:rsidRDefault="00D565B8" w:rsidP="00714764">
            <w:pPr>
              <w:pStyle w:val="BodyText"/>
              <w:rPr>
                <w:rFonts w:asciiTheme="minorHAnsi" w:hAnsiTheme="minorHAnsi"/>
                <w:szCs w:val="24"/>
              </w:rPr>
            </w:pPr>
            <w:r w:rsidRPr="00D565B8">
              <w:rPr>
                <w:rFonts w:asciiTheme="minorHAnsi" w:hAnsiTheme="minorHAnsi"/>
                <w:szCs w:val="24"/>
              </w:rPr>
              <w:t xml:space="preserve">Total expenditure of €58,888,471 is proposed for 2018 which would require a total funding allocation of €58,476,700 from the Department of Social Protection (DSP). </w:t>
            </w:r>
          </w:p>
        </w:tc>
      </w:tr>
      <w:tr w:rsidR="00D565B8" w:rsidRPr="00C34223" w:rsidTr="004B2CAC">
        <w:tc>
          <w:tcPr>
            <w:tcW w:w="763" w:type="dxa"/>
          </w:tcPr>
          <w:p w:rsidR="00D565B8" w:rsidRPr="00C34223" w:rsidRDefault="009302EA" w:rsidP="00714764">
            <w:pPr>
              <w:rPr>
                <w:sz w:val="24"/>
                <w:szCs w:val="24"/>
              </w:rPr>
            </w:pPr>
            <w:r>
              <w:rPr>
                <w:sz w:val="24"/>
                <w:szCs w:val="24"/>
              </w:rPr>
              <w:t>5.3.3</w:t>
            </w:r>
          </w:p>
        </w:tc>
        <w:tc>
          <w:tcPr>
            <w:tcW w:w="8263" w:type="dxa"/>
          </w:tcPr>
          <w:p w:rsidR="00D565B8" w:rsidRPr="00C34223" w:rsidRDefault="00D565B8" w:rsidP="00714764">
            <w:pPr>
              <w:rPr>
                <w:sz w:val="24"/>
                <w:szCs w:val="24"/>
              </w:rPr>
            </w:pPr>
            <w:r>
              <w:rPr>
                <w:sz w:val="24"/>
                <w:szCs w:val="24"/>
              </w:rPr>
              <w:t xml:space="preserve">Additional funding of €3,298,457 is being sought under Service Development.   </w:t>
            </w:r>
          </w:p>
        </w:tc>
      </w:tr>
      <w:tr w:rsidR="00D565B8" w:rsidRPr="00C34223" w:rsidTr="004B2CAC">
        <w:tc>
          <w:tcPr>
            <w:tcW w:w="763" w:type="dxa"/>
          </w:tcPr>
          <w:p w:rsidR="00D565B8" w:rsidRPr="005F2BE7" w:rsidRDefault="009302EA" w:rsidP="00714764">
            <w:pPr>
              <w:rPr>
                <w:sz w:val="24"/>
                <w:szCs w:val="24"/>
              </w:rPr>
            </w:pPr>
            <w:r>
              <w:rPr>
                <w:sz w:val="24"/>
                <w:szCs w:val="24"/>
              </w:rPr>
              <w:t>5.3.4</w:t>
            </w:r>
          </w:p>
        </w:tc>
        <w:tc>
          <w:tcPr>
            <w:tcW w:w="8263" w:type="dxa"/>
          </w:tcPr>
          <w:p w:rsidR="00D565B8" w:rsidRPr="005F2BE7" w:rsidRDefault="009302EA" w:rsidP="00714764">
            <w:pPr>
              <w:rPr>
                <w:sz w:val="24"/>
                <w:szCs w:val="24"/>
              </w:rPr>
            </w:pPr>
            <w:r>
              <w:rPr>
                <w:sz w:val="24"/>
                <w:szCs w:val="24"/>
              </w:rPr>
              <w:t>A motion to approve the Budget Estimates 2018 for submission to the Department of Social Protection was proposed by Sean Sheridan and seconded by Ian Power.</w:t>
            </w:r>
          </w:p>
        </w:tc>
      </w:tr>
      <w:tr w:rsidR="00D565B8" w:rsidRPr="00DD39EE" w:rsidTr="004B2CAC">
        <w:tc>
          <w:tcPr>
            <w:tcW w:w="763" w:type="dxa"/>
          </w:tcPr>
          <w:p w:rsidR="009302EA" w:rsidRDefault="009302EA" w:rsidP="00D565B8">
            <w:pPr>
              <w:rPr>
                <w:sz w:val="24"/>
                <w:szCs w:val="24"/>
              </w:rPr>
            </w:pPr>
            <w:bookmarkStart w:id="0" w:name="OLE_LINK1"/>
            <w:bookmarkStart w:id="1" w:name="OLE_LINK2"/>
            <w:r>
              <w:rPr>
                <w:sz w:val="24"/>
                <w:szCs w:val="24"/>
              </w:rPr>
              <w:t>5.4</w:t>
            </w:r>
          </w:p>
        </w:tc>
        <w:tc>
          <w:tcPr>
            <w:tcW w:w="8263" w:type="dxa"/>
          </w:tcPr>
          <w:p w:rsidR="00D565B8" w:rsidRPr="009302EA" w:rsidRDefault="009302EA" w:rsidP="00D565B8">
            <w:pPr>
              <w:rPr>
                <w:sz w:val="24"/>
                <w:szCs w:val="24"/>
                <w:u w:val="single"/>
              </w:rPr>
            </w:pPr>
            <w:r w:rsidRPr="009302EA">
              <w:rPr>
                <w:sz w:val="24"/>
                <w:szCs w:val="24"/>
                <w:u w:val="single"/>
              </w:rPr>
              <w:t>Risk Management</w:t>
            </w:r>
          </w:p>
        </w:tc>
      </w:tr>
      <w:tr w:rsidR="00D565B8" w:rsidRPr="00DD39EE" w:rsidTr="004B2CAC">
        <w:tc>
          <w:tcPr>
            <w:tcW w:w="763" w:type="dxa"/>
          </w:tcPr>
          <w:p w:rsidR="00D565B8" w:rsidRDefault="009302EA" w:rsidP="00D565B8">
            <w:pPr>
              <w:rPr>
                <w:sz w:val="24"/>
                <w:szCs w:val="24"/>
              </w:rPr>
            </w:pPr>
            <w:r>
              <w:rPr>
                <w:sz w:val="24"/>
                <w:szCs w:val="24"/>
              </w:rPr>
              <w:t>5.4.1</w:t>
            </w:r>
          </w:p>
        </w:tc>
        <w:tc>
          <w:tcPr>
            <w:tcW w:w="8263" w:type="dxa"/>
          </w:tcPr>
          <w:p w:rsidR="00D565B8" w:rsidRDefault="009302EA" w:rsidP="00D565B8">
            <w:pPr>
              <w:rPr>
                <w:sz w:val="24"/>
                <w:szCs w:val="24"/>
              </w:rPr>
            </w:pPr>
            <w:r>
              <w:rPr>
                <w:sz w:val="24"/>
                <w:szCs w:val="24"/>
              </w:rPr>
              <w:t>A draft Risk Management Framework and Risk Register was reviewed by the Audit &amp; Risk Committee at the July meeting.  Adjustments are required following this review.  The Board were asked to provide any comments to Gary Watters.</w:t>
            </w:r>
          </w:p>
        </w:tc>
      </w:tr>
      <w:tr w:rsidR="00AD4160" w:rsidRPr="00DD39EE" w:rsidTr="004B2CAC">
        <w:tc>
          <w:tcPr>
            <w:tcW w:w="763" w:type="dxa"/>
          </w:tcPr>
          <w:p w:rsidR="00AD4160" w:rsidRDefault="00AD4160" w:rsidP="00D565B8">
            <w:pPr>
              <w:rPr>
                <w:sz w:val="24"/>
                <w:szCs w:val="24"/>
              </w:rPr>
            </w:pPr>
            <w:r>
              <w:rPr>
                <w:sz w:val="24"/>
                <w:szCs w:val="24"/>
              </w:rPr>
              <w:t>5.4.2</w:t>
            </w:r>
          </w:p>
        </w:tc>
        <w:tc>
          <w:tcPr>
            <w:tcW w:w="8263" w:type="dxa"/>
          </w:tcPr>
          <w:p w:rsidR="00AD4160" w:rsidRDefault="00AD4160" w:rsidP="00D565B8">
            <w:pPr>
              <w:rPr>
                <w:sz w:val="24"/>
                <w:szCs w:val="24"/>
              </w:rPr>
            </w:pPr>
            <w:r>
              <w:rPr>
                <w:sz w:val="24"/>
                <w:szCs w:val="24"/>
              </w:rPr>
              <w:t>CIB’s internal Business Continuity and Disaster Recovery policies are to issue to Board members.</w:t>
            </w:r>
          </w:p>
          <w:p w:rsidR="002437A6" w:rsidRDefault="002437A6" w:rsidP="00D565B8">
            <w:pPr>
              <w:rPr>
                <w:sz w:val="24"/>
                <w:szCs w:val="24"/>
              </w:rPr>
            </w:pPr>
          </w:p>
        </w:tc>
      </w:tr>
      <w:bookmarkEnd w:id="0"/>
      <w:bookmarkEnd w:id="1"/>
      <w:tr w:rsidR="00D565B8" w:rsidRPr="009302EA" w:rsidTr="004B2CAC">
        <w:tc>
          <w:tcPr>
            <w:tcW w:w="763" w:type="dxa"/>
          </w:tcPr>
          <w:p w:rsidR="00D565B8" w:rsidRPr="009302EA" w:rsidRDefault="009302EA" w:rsidP="00D565B8">
            <w:pPr>
              <w:rPr>
                <w:b/>
                <w:sz w:val="24"/>
                <w:szCs w:val="24"/>
              </w:rPr>
            </w:pPr>
            <w:r w:rsidRPr="009302EA">
              <w:rPr>
                <w:b/>
                <w:sz w:val="24"/>
                <w:szCs w:val="24"/>
              </w:rPr>
              <w:t>6.</w:t>
            </w:r>
          </w:p>
        </w:tc>
        <w:tc>
          <w:tcPr>
            <w:tcW w:w="8263" w:type="dxa"/>
          </w:tcPr>
          <w:p w:rsidR="00D565B8" w:rsidRPr="009302EA" w:rsidRDefault="009302EA" w:rsidP="00D565B8">
            <w:pPr>
              <w:rPr>
                <w:b/>
                <w:sz w:val="24"/>
                <w:szCs w:val="24"/>
              </w:rPr>
            </w:pPr>
            <w:r w:rsidRPr="009302EA">
              <w:rPr>
                <w:b/>
                <w:sz w:val="24"/>
                <w:szCs w:val="24"/>
              </w:rPr>
              <w:t>Report of the Chief Executive</w:t>
            </w:r>
          </w:p>
        </w:tc>
      </w:tr>
      <w:tr w:rsidR="00D565B8" w:rsidRPr="00DD39EE" w:rsidTr="004B2CAC">
        <w:tc>
          <w:tcPr>
            <w:tcW w:w="763" w:type="dxa"/>
          </w:tcPr>
          <w:p w:rsidR="00D565B8" w:rsidRDefault="009302EA" w:rsidP="00D565B8">
            <w:pPr>
              <w:rPr>
                <w:sz w:val="24"/>
                <w:szCs w:val="24"/>
              </w:rPr>
            </w:pPr>
            <w:r>
              <w:rPr>
                <w:sz w:val="24"/>
                <w:szCs w:val="24"/>
              </w:rPr>
              <w:t>6.1</w:t>
            </w:r>
          </w:p>
        </w:tc>
        <w:tc>
          <w:tcPr>
            <w:tcW w:w="8263" w:type="dxa"/>
          </w:tcPr>
          <w:p w:rsidR="00D565B8" w:rsidRDefault="009302EA" w:rsidP="00D565B8">
            <w:pPr>
              <w:rPr>
                <w:sz w:val="24"/>
                <w:szCs w:val="24"/>
              </w:rPr>
            </w:pPr>
            <w:r>
              <w:rPr>
                <w:sz w:val="24"/>
                <w:szCs w:val="24"/>
              </w:rPr>
              <w:t>CIB have met with Open Data in the Department of Public Expenditure and Reform on areas of common interest with a view to data sharing.</w:t>
            </w:r>
          </w:p>
        </w:tc>
      </w:tr>
      <w:tr w:rsidR="00D565B8" w:rsidRPr="00DD39EE" w:rsidTr="004B2CAC">
        <w:tc>
          <w:tcPr>
            <w:tcW w:w="763" w:type="dxa"/>
          </w:tcPr>
          <w:p w:rsidR="00D565B8" w:rsidRDefault="009302EA" w:rsidP="00D565B8">
            <w:pPr>
              <w:rPr>
                <w:sz w:val="24"/>
                <w:szCs w:val="24"/>
              </w:rPr>
            </w:pPr>
            <w:r>
              <w:rPr>
                <w:sz w:val="24"/>
                <w:szCs w:val="24"/>
              </w:rPr>
              <w:t>6.2</w:t>
            </w:r>
          </w:p>
        </w:tc>
        <w:tc>
          <w:tcPr>
            <w:tcW w:w="8263" w:type="dxa"/>
          </w:tcPr>
          <w:p w:rsidR="00D565B8" w:rsidRDefault="008413BF" w:rsidP="00D565B8">
            <w:pPr>
              <w:rPr>
                <w:sz w:val="24"/>
                <w:szCs w:val="24"/>
              </w:rPr>
            </w:pPr>
            <w:r>
              <w:rPr>
                <w:sz w:val="24"/>
                <w:szCs w:val="24"/>
              </w:rPr>
              <w:t>As of 7</w:t>
            </w:r>
            <w:r w:rsidRPr="008413BF">
              <w:rPr>
                <w:sz w:val="24"/>
                <w:szCs w:val="24"/>
                <w:vertAlign w:val="superscript"/>
              </w:rPr>
              <w:t>th</w:t>
            </w:r>
            <w:r>
              <w:rPr>
                <w:sz w:val="24"/>
                <w:szCs w:val="24"/>
              </w:rPr>
              <w:t xml:space="preserve"> July, the DMAs have processed a total of 3,952 Mortgage Arrears cases, which can be broken down into 2,350 Active and 1,602 discharged cases.</w:t>
            </w:r>
          </w:p>
        </w:tc>
      </w:tr>
      <w:tr w:rsidR="009302EA" w:rsidRPr="00DD39EE" w:rsidTr="004B2CAC">
        <w:tc>
          <w:tcPr>
            <w:tcW w:w="763" w:type="dxa"/>
          </w:tcPr>
          <w:p w:rsidR="009302EA" w:rsidRDefault="008413BF" w:rsidP="00D565B8">
            <w:pPr>
              <w:rPr>
                <w:sz w:val="24"/>
                <w:szCs w:val="24"/>
              </w:rPr>
            </w:pPr>
            <w:r>
              <w:rPr>
                <w:sz w:val="24"/>
                <w:szCs w:val="24"/>
              </w:rPr>
              <w:t>6.3</w:t>
            </w:r>
          </w:p>
        </w:tc>
        <w:tc>
          <w:tcPr>
            <w:tcW w:w="8263" w:type="dxa"/>
          </w:tcPr>
          <w:p w:rsidR="009302EA" w:rsidRDefault="008413BF" w:rsidP="00D565B8">
            <w:pPr>
              <w:rPr>
                <w:sz w:val="24"/>
                <w:szCs w:val="24"/>
              </w:rPr>
            </w:pPr>
            <w:r w:rsidRPr="008413BF">
              <w:rPr>
                <w:sz w:val="24"/>
                <w:szCs w:val="24"/>
              </w:rPr>
              <w:t>As of the 7th of July, the latest figures show that 8,034 vouchers have been issued since the scheme went live on July 22nd.  6,152 of these are for PIP services, 1,686 are for legal advice and 196 are for legal aid with Section 115A appeals as defined under the Personal Insolvency (Amendment) Act 2015.</w:t>
            </w:r>
          </w:p>
        </w:tc>
      </w:tr>
      <w:tr w:rsidR="009302EA" w:rsidRPr="00DD39EE" w:rsidTr="004B2CAC">
        <w:tc>
          <w:tcPr>
            <w:tcW w:w="763" w:type="dxa"/>
          </w:tcPr>
          <w:p w:rsidR="009302EA" w:rsidRDefault="008413BF" w:rsidP="00D565B8">
            <w:pPr>
              <w:rPr>
                <w:sz w:val="24"/>
                <w:szCs w:val="24"/>
              </w:rPr>
            </w:pPr>
            <w:r>
              <w:rPr>
                <w:sz w:val="24"/>
                <w:szCs w:val="24"/>
              </w:rPr>
              <w:t>6.4</w:t>
            </w:r>
          </w:p>
        </w:tc>
        <w:tc>
          <w:tcPr>
            <w:tcW w:w="8263" w:type="dxa"/>
          </w:tcPr>
          <w:p w:rsidR="009302EA" w:rsidRDefault="008413BF" w:rsidP="00D565B8">
            <w:pPr>
              <w:rPr>
                <w:sz w:val="24"/>
                <w:szCs w:val="24"/>
              </w:rPr>
            </w:pPr>
            <w:r>
              <w:rPr>
                <w:sz w:val="24"/>
                <w:szCs w:val="24"/>
              </w:rPr>
              <w:t>Abhaile roadshows began with a</w:t>
            </w:r>
            <w:r w:rsidR="0074366F">
              <w:rPr>
                <w:sz w:val="24"/>
                <w:szCs w:val="24"/>
              </w:rPr>
              <w:t xml:space="preserve"> pilot in Waterford on 24</w:t>
            </w:r>
            <w:r w:rsidR="0074366F" w:rsidRPr="0074366F">
              <w:rPr>
                <w:sz w:val="24"/>
                <w:szCs w:val="24"/>
                <w:vertAlign w:val="superscript"/>
              </w:rPr>
              <w:t>th</w:t>
            </w:r>
            <w:r w:rsidR="0074366F">
              <w:rPr>
                <w:sz w:val="24"/>
                <w:szCs w:val="24"/>
              </w:rPr>
              <w:t xml:space="preserve"> July. </w:t>
            </w:r>
          </w:p>
        </w:tc>
      </w:tr>
      <w:tr w:rsidR="0074366F" w:rsidRPr="00DD39EE" w:rsidTr="004B2CAC">
        <w:tc>
          <w:tcPr>
            <w:tcW w:w="763" w:type="dxa"/>
          </w:tcPr>
          <w:p w:rsidR="0074366F" w:rsidRDefault="0074366F" w:rsidP="00D565B8">
            <w:pPr>
              <w:rPr>
                <w:sz w:val="24"/>
                <w:szCs w:val="24"/>
              </w:rPr>
            </w:pPr>
            <w:r>
              <w:rPr>
                <w:sz w:val="24"/>
                <w:szCs w:val="24"/>
              </w:rPr>
              <w:t>6.5</w:t>
            </w:r>
          </w:p>
        </w:tc>
        <w:tc>
          <w:tcPr>
            <w:tcW w:w="8263" w:type="dxa"/>
          </w:tcPr>
          <w:p w:rsidR="0074366F" w:rsidRDefault="0074366F" w:rsidP="00D565B8">
            <w:pPr>
              <w:rPr>
                <w:sz w:val="24"/>
                <w:szCs w:val="24"/>
              </w:rPr>
            </w:pPr>
            <w:r>
              <w:rPr>
                <w:sz w:val="24"/>
                <w:szCs w:val="24"/>
              </w:rPr>
              <w:t xml:space="preserve">Year 1 of </w:t>
            </w:r>
            <w:r w:rsidR="00316449">
              <w:rPr>
                <w:sz w:val="24"/>
                <w:szCs w:val="24"/>
              </w:rPr>
              <w:t xml:space="preserve">the </w:t>
            </w:r>
            <w:r>
              <w:rPr>
                <w:sz w:val="24"/>
                <w:szCs w:val="24"/>
              </w:rPr>
              <w:t>Information Provision and Advocacy Practice (IPAP) course has been completed by students in IT Blanchardstown.</w:t>
            </w:r>
          </w:p>
          <w:p w:rsidR="002437A6" w:rsidRDefault="002437A6" w:rsidP="00D565B8">
            <w:pPr>
              <w:rPr>
                <w:sz w:val="24"/>
                <w:szCs w:val="24"/>
              </w:rPr>
            </w:pPr>
          </w:p>
          <w:p w:rsidR="003B7A3E" w:rsidRDefault="003B7A3E" w:rsidP="00D565B8">
            <w:pPr>
              <w:rPr>
                <w:sz w:val="24"/>
                <w:szCs w:val="24"/>
              </w:rPr>
            </w:pPr>
          </w:p>
          <w:p w:rsidR="003B7A3E" w:rsidRDefault="003B7A3E" w:rsidP="00D565B8">
            <w:pPr>
              <w:rPr>
                <w:sz w:val="24"/>
                <w:szCs w:val="24"/>
              </w:rPr>
            </w:pPr>
          </w:p>
        </w:tc>
      </w:tr>
      <w:tr w:rsidR="00D565B8" w:rsidRPr="00DD39EE" w:rsidTr="004B2CAC">
        <w:tc>
          <w:tcPr>
            <w:tcW w:w="763" w:type="dxa"/>
          </w:tcPr>
          <w:p w:rsidR="00D565B8" w:rsidRPr="00DD39EE" w:rsidRDefault="00D565B8" w:rsidP="00D565B8">
            <w:pPr>
              <w:rPr>
                <w:b/>
                <w:sz w:val="24"/>
                <w:szCs w:val="24"/>
              </w:rPr>
            </w:pPr>
            <w:r>
              <w:rPr>
                <w:b/>
                <w:sz w:val="24"/>
                <w:szCs w:val="24"/>
              </w:rPr>
              <w:lastRenderedPageBreak/>
              <w:t>7</w:t>
            </w:r>
          </w:p>
        </w:tc>
        <w:tc>
          <w:tcPr>
            <w:tcW w:w="8263" w:type="dxa"/>
          </w:tcPr>
          <w:p w:rsidR="00D565B8" w:rsidRPr="00DD708B" w:rsidRDefault="00D565B8" w:rsidP="00D565B8">
            <w:pPr>
              <w:rPr>
                <w:i/>
                <w:sz w:val="24"/>
                <w:szCs w:val="24"/>
              </w:rPr>
            </w:pPr>
            <w:r>
              <w:rPr>
                <w:b/>
                <w:sz w:val="24"/>
                <w:szCs w:val="24"/>
              </w:rPr>
              <w:t>Delivery Services Restructuring</w:t>
            </w:r>
          </w:p>
        </w:tc>
      </w:tr>
      <w:tr w:rsidR="00D565B8" w:rsidRPr="00DD39EE" w:rsidTr="004B2CAC">
        <w:tc>
          <w:tcPr>
            <w:tcW w:w="763" w:type="dxa"/>
          </w:tcPr>
          <w:p w:rsidR="00D565B8" w:rsidRPr="00E673EC" w:rsidRDefault="00D565B8" w:rsidP="003A78BC">
            <w:pPr>
              <w:rPr>
                <w:sz w:val="24"/>
                <w:szCs w:val="24"/>
              </w:rPr>
            </w:pPr>
            <w:r w:rsidRPr="00E673EC">
              <w:rPr>
                <w:sz w:val="24"/>
                <w:szCs w:val="24"/>
              </w:rPr>
              <w:t>7.1</w:t>
            </w:r>
          </w:p>
        </w:tc>
        <w:tc>
          <w:tcPr>
            <w:tcW w:w="8263" w:type="dxa"/>
          </w:tcPr>
          <w:p w:rsidR="003A78BC" w:rsidRPr="004E096B" w:rsidRDefault="00BA7401" w:rsidP="003A78BC">
            <w:pPr>
              <w:rPr>
                <w:sz w:val="24"/>
                <w:szCs w:val="24"/>
              </w:rPr>
            </w:pPr>
            <w:r>
              <w:rPr>
                <w:sz w:val="24"/>
                <w:szCs w:val="24"/>
              </w:rPr>
              <w:t>Further rounds of consultation for CISs and MABS will take place in the form of facilitated focus groups</w:t>
            </w:r>
            <w:r w:rsidR="006F3A83">
              <w:rPr>
                <w:sz w:val="24"/>
                <w:szCs w:val="24"/>
              </w:rPr>
              <w:t xml:space="preserve"> during August.  This will be centred </w:t>
            </w:r>
            <w:r w:rsidR="003A78BC">
              <w:rPr>
                <w:sz w:val="24"/>
                <w:szCs w:val="24"/>
              </w:rPr>
              <w:t xml:space="preserve">around five themes; </w:t>
            </w:r>
            <w:r w:rsidR="003A78BC">
              <w:rPr>
                <w:rFonts w:eastAsia="Times New Roman"/>
              </w:rPr>
              <w:t>Boards and Local Advisory Committees, Service Delivery Strategy, Regional Managers, Administrators and Volunteers.</w:t>
            </w:r>
          </w:p>
        </w:tc>
      </w:tr>
      <w:tr w:rsidR="00D565B8" w:rsidRPr="004E096B" w:rsidTr="004B2CAC">
        <w:tc>
          <w:tcPr>
            <w:tcW w:w="763" w:type="dxa"/>
          </w:tcPr>
          <w:p w:rsidR="00D565B8" w:rsidRPr="004E096B" w:rsidRDefault="00D565B8" w:rsidP="00D565B8">
            <w:pPr>
              <w:rPr>
                <w:sz w:val="24"/>
                <w:szCs w:val="24"/>
              </w:rPr>
            </w:pPr>
            <w:r w:rsidRPr="004E096B">
              <w:rPr>
                <w:sz w:val="24"/>
                <w:szCs w:val="24"/>
              </w:rPr>
              <w:t>7.2</w:t>
            </w:r>
          </w:p>
        </w:tc>
        <w:tc>
          <w:tcPr>
            <w:tcW w:w="8263" w:type="dxa"/>
          </w:tcPr>
          <w:p w:rsidR="00D565B8" w:rsidRPr="004E096B" w:rsidRDefault="002B6F1A" w:rsidP="00D565B8">
            <w:pPr>
              <w:rPr>
                <w:sz w:val="24"/>
                <w:szCs w:val="24"/>
              </w:rPr>
            </w:pPr>
            <w:r>
              <w:rPr>
                <w:sz w:val="24"/>
                <w:szCs w:val="24"/>
              </w:rPr>
              <w:t xml:space="preserve">CIB have met the CIS Employer Union.  CIB have offered a similar forum for MABS for discussions, MABS have taken the decision to go to the Work Place Relations Commission.  </w:t>
            </w:r>
          </w:p>
        </w:tc>
      </w:tr>
      <w:tr w:rsidR="00D565B8" w:rsidRPr="004E096B" w:rsidTr="004B2CAC">
        <w:tc>
          <w:tcPr>
            <w:tcW w:w="763" w:type="dxa"/>
          </w:tcPr>
          <w:p w:rsidR="00D565B8" w:rsidRPr="004E096B" w:rsidRDefault="00D565B8" w:rsidP="00D565B8">
            <w:pPr>
              <w:rPr>
                <w:sz w:val="24"/>
                <w:szCs w:val="24"/>
              </w:rPr>
            </w:pPr>
            <w:r>
              <w:rPr>
                <w:sz w:val="24"/>
                <w:szCs w:val="24"/>
              </w:rPr>
              <w:t>7.3</w:t>
            </w:r>
          </w:p>
        </w:tc>
        <w:tc>
          <w:tcPr>
            <w:tcW w:w="8263" w:type="dxa"/>
          </w:tcPr>
          <w:p w:rsidR="00D565B8" w:rsidRDefault="001211AD" w:rsidP="00D565B8">
            <w:pPr>
              <w:rPr>
                <w:sz w:val="24"/>
                <w:szCs w:val="24"/>
              </w:rPr>
            </w:pPr>
            <w:r>
              <w:rPr>
                <w:sz w:val="24"/>
                <w:szCs w:val="24"/>
              </w:rPr>
              <w:t xml:space="preserve">Draft regional restructuring costings were presented to the Board.  The premises budget was noted as covering the re-assignments of leases from old companies to new.  </w:t>
            </w:r>
          </w:p>
        </w:tc>
      </w:tr>
      <w:tr w:rsidR="00D565B8" w:rsidRPr="004E096B" w:rsidTr="004B2CAC">
        <w:tc>
          <w:tcPr>
            <w:tcW w:w="763" w:type="dxa"/>
          </w:tcPr>
          <w:p w:rsidR="00D565B8" w:rsidRDefault="00D565B8" w:rsidP="00D565B8">
            <w:pPr>
              <w:rPr>
                <w:sz w:val="24"/>
                <w:szCs w:val="24"/>
              </w:rPr>
            </w:pPr>
            <w:r>
              <w:rPr>
                <w:sz w:val="24"/>
                <w:szCs w:val="24"/>
              </w:rPr>
              <w:t>7.4</w:t>
            </w:r>
          </w:p>
        </w:tc>
        <w:tc>
          <w:tcPr>
            <w:tcW w:w="8263" w:type="dxa"/>
          </w:tcPr>
          <w:p w:rsidR="00D565B8" w:rsidRDefault="00BA7401" w:rsidP="00D565B8">
            <w:pPr>
              <w:rPr>
                <w:sz w:val="24"/>
                <w:szCs w:val="24"/>
              </w:rPr>
            </w:pPr>
            <w:r>
              <w:rPr>
                <w:sz w:val="24"/>
                <w:szCs w:val="24"/>
              </w:rPr>
              <w:t>Tender for the Project Management Services</w:t>
            </w:r>
            <w:r w:rsidR="002B6F1A">
              <w:rPr>
                <w:sz w:val="24"/>
                <w:szCs w:val="24"/>
              </w:rPr>
              <w:t xml:space="preserve"> for the restructuring has issued.</w:t>
            </w:r>
          </w:p>
        </w:tc>
      </w:tr>
      <w:tr w:rsidR="00D565B8" w:rsidRPr="004E096B" w:rsidTr="004B2CAC">
        <w:tc>
          <w:tcPr>
            <w:tcW w:w="763" w:type="dxa"/>
          </w:tcPr>
          <w:p w:rsidR="00D565B8" w:rsidRPr="004E096B" w:rsidRDefault="00D565B8" w:rsidP="00D565B8">
            <w:pPr>
              <w:rPr>
                <w:sz w:val="24"/>
                <w:szCs w:val="24"/>
              </w:rPr>
            </w:pPr>
            <w:r>
              <w:rPr>
                <w:sz w:val="24"/>
                <w:szCs w:val="24"/>
              </w:rPr>
              <w:t>7.3</w:t>
            </w:r>
          </w:p>
        </w:tc>
        <w:tc>
          <w:tcPr>
            <w:tcW w:w="8263" w:type="dxa"/>
          </w:tcPr>
          <w:p w:rsidR="00D565B8" w:rsidRDefault="002B6F1A" w:rsidP="007D29BC">
            <w:pPr>
              <w:rPr>
                <w:sz w:val="24"/>
                <w:szCs w:val="24"/>
              </w:rPr>
            </w:pPr>
            <w:r>
              <w:rPr>
                <w:sz w:val="24"/>
                <w:szCs w:val="24"/>
              </w:rPr>
              <w:t>The Legal Services tender is underway and includes an element of the Transfer of Undertaking for the Pro</w:t>
            </w:r>
            <w:r w:rsidR="007D29BC">
              <w:rPr>
                <w:sz w:val="24"/>
                <w:szCs w:val="24"/>
              </w:rPr>
              <w:t>t</w:t>
            </w:r>
            <w:r>
              <w:rPr>
                <w:sz w:val="24"/>
                <w:szCs w:val="24"/>
              </w:rPr>
              <w:t>ection of Employees (TUPE) process.</w:t>
            </w:r>
          </w:p>
          <w:p w:rsidR="002437A6" w:rsidRDefault="002437A6" w:rsidP="007D29BC">
            <w:pPr>
              <w:rPr>
                <w:sz w:val="24"/>
                <w:szCs w:val="24"/>
              </w:rPr>
            </w:pPr>
          </w:p>
        </w:tc>
      </w:tr>
      <w:tr w:rsidR="00D565B8" w:rsidRPr="007541C7" w:rsidTr="004B2CAC">
        <w:tc>
          <w:tcPr>
            <w:tcW w:w="763" w:type="dxa"/>
          </w:tcPr>
          <w:p w:rsidR="00D565B8" w:rsidRPr="007541C7" w:rsidRDefault="00D565B8" w:rsidP="00D565B8">
            <w:pPr>
              <w:rPr>
                <w:b/>
                <w:sz w:val="24"/>
                <w:szCs w:val="24"/>
              </w:rPr>
            </w:pPr>
            <w:r w:rsidRPr="007541C7">
              <w:rPr>
                <w:b/>
                <w:sz w:val="24"/>
                <w:szCs w:val="24"/>
              </w:rPr>
              <w:t>8</w:t>
            </w:r>
          </w:p>
        </w:tc>
        <w:tc>
          <w:tcPr>
            <w:tcW w:w="8263" w:type="dxa"/>
          </w:tcPr>
          <w:p w:rsidR="00D565B8" w:rsidRDefault="00D565B8" w:rsidP="00D565B8">
            <w:pPr>
              <w:rPr>
                <w:b/>
                <w:sz w:val="24"/>
                <w:szCs w:val="24"/>
              </w:rPr>
            </w:pPr>
            <w:r w:rsidRPr="007541C7">
              <w:rPr>
                <w:b/>
                <w:sz w:val="24"/>
                <w:szCs w:val="24"/>
              </w:rPr>
              <w:t>Volunteer Strategy</w:t>
            </w:r>
          </w:p>
          <w:p w:rsidR="001C4D9E" w:rsidRPr="007541C7" w:rsidRDefault="001C4D9E" w:rsidP="00D565B8">
            <w:pPr>
              <w:rPr>
                <w:b/>
                <w:sz w:val="24"/>
                <w:szCs w:val="24"/>
              </w:rPr>
            </w:pPr>
            <w:r w:rsidRPr="00031A49">
              <w:rPr>
                <w:i/>
                <w:sz w:val="24"/>
                <w:szCs w:val="24"/>
              </w:rPr>
              <w:t>(A document titled ‘Update on</w:t>
            </w:r>
            <w:r w:rsidR="00031A49" w:rsidRPr="00031A49">
              <w:rPr>
                <w:i/>
                <w:sz w:val="24"/>
                <w:szCs w:val="24"/>
              </w:rPr>
              <w:t xml:space="preserve"> th</w:t>
            </w:r>
            <w:r w:rsidRPr="00031A49">
              <w:rPr>
                <w:i/>
                <w:sz w:val="24"/>
                <w:szCs w:val="24"/>
              </w:rPr>
              <w:t>e revised CIB/NACIS National Strategy for</w:t>
            </w:r>
            <w:r w:rsidRPr="00031A49">
              <w:rPr>
                <w:b/>
                <w:i/>
                <w:sz w:val="24"/>
                <w:szCs w:val="24"/>
              </w:rPr>
              <w:t xml:space="preserve"> </w:t>
            </w:r>
            <w:r w:rsidRPr="00031A49">
              <w:rPr>
                <w:i/>
                <w:sz w:val="24"/>
                <w:szCs w:val="24"/>
              </w:rPr>
              <w:t>Volunteers in CISs was circulated in advance of the meeting.)</w:t>
            </w:r>
          </w:p>
        </w:tc>
      </w:tr>
      <w:tr w:rsidR="00D565B8" w:rsidRPr="004E096B" w:rsidTr="004B2CAC">
        <w:tc>
          <w:tcPr>
            <w:tcW w:w="763" w:type="dxa"/>
          </w:tcPr>
          <w:p w:rsidR="00D565B8" w:rsidRDefault="00D565B8" w:rsidP="00D565B8">
            <w:pPr>
              <w:rPr>
                <w:sz w:val="24"/>
                <w:szCs w:val="24"/>
              </w:rPr>
            </w:pPr>
            <w:r>
              <w:rPr>
                <w:sz w:val="24"/>
                <w:szCs w:val="24"/>
              </w:rPr>
              <w:t>8.1</w:t>
            </w:r>
          </w:p>
        </w:tc>
        <w:tc>
          <w:tcPr>
            <w:tcW w:w="8263" w:type="dxa"/>
          </w:tcPr>
          <w:p w:rsidR="00D565B8" w:rsidRDefault="00086D0C" w:rsidP="00086D0C">
            <w:pPr>
              <w:rPr>
                <w:sz w:val="24"/>
                <w:szCs w:val="24"/>
              </w:rPr>
            </w:pPr>
            <w:r>
              <w:t xml:space="preserve">A Steering Group was formed in May 2016, to review and if necessary revise the CIB/NACIS </w:t>
            </w:r>
            <w:r w:rsidRPr="00086D0C">
              <w:rPr>
                <w:bCs/>
                <w:iCs/>
              </w:rPr>
              <w:t>National Strategy on Volunteers in Citizens Information Services</w:t>
            </w:r>
            <w:r>
              <w:rPr>
                <w:b/>
                <w:bCs/>
                <w:i/>
                <w:iCs/>
              </w:rPr>
              <w:t xml:space="preserve">.  </w:t>
            </w:r>
            <w:r>
              <w:rPr>
                <w:bCs/>
                <w:iCs/>
              </w:rPr>
              <w:t>The first Strategy (2012-2015) represented the first time that a national strategy focused specifically on volunteers/volunteering within the network had been put together.  This was a joint CIB/NACIS project.</w:t>
            </w:r>
          </w:p>
        </w:tc>
      </w:tr>
      <w:tr w:rsidR="00086D0C" w:rsidRPr="004E096B" w:rsidTr="004B2CAC">
        <w:tc>
          <w:tcPr>
            <w:tcW w:w="763" w:type="dxa"/>
          </w:tcPr>
          <w:p w:rsidR="00086D0C" w:rsidRDefault="00086D0C" w:rsidP="00D565B8">
            <w:pPr>
              <w:rPr>
                <w:sz w:val="24"/>
                <w:szCs w:val="24"/>
              </w:rPr>
            </w:pPr>
            <w:r>
              <w:rPr>
                <w:sz w:val="24"/>
                <w:szCs w:val="24"/>
              </w:rPr>
              <w:t>8.2</w:t>
            </w:r>
          </w:p>
        </w:tc>
        <w:tc>
          <w:tcPr>
            <w:tcW w:w="8263" w:type="dxa"/>
          </w:tcPr>
          <w:p w:rsidR="00086D0C" w:rsidRDefault="00086D0C" w:rsidP="00086D0C">
            <w:r>
              <w:rPr>
                <w:bCs/>
                <w:iCs/>
              </w:rPr>
              <w:t>The Steering Group comprises four NACIS nominees (one Development Manager and three volunteers, all of whom have served on boards as well as operating as information givers), and four CIB nominees, with CIB administrative support.</w:t>
            </w:r>
          </w:p>
        </w:tc>
      </w:tr>
      <w:tr w:rsidR="00086D0C" w:rsidRPr="004E096B" w:rsidTr="004B2CAC">
        <w:tc>
          <w:tcPr>
            <w:tcW w:w="763" w:type="dxa"/>
          </w:tcPr>
          <w:p w:rsidR="00086D0C" w:rsidRDefault="00086D0C" w:rsidP="00D565B8">
            <w:pPr>
              <w:rPr>
                <w:sz w:val="24"/>
                <w:szCs w:val="24"/>
              </w:rPr>
            </w:pPr>
            <w:r>
              <w:rPr>
                <w:sz w:val="24"/>
                <w:szCs w:val="24"/>
              </w:rPr>
              <w:t>8.3</w:t>
            </w:r>
          </w:p>
        </w:tc>
        <w:tc>
          <w:tcPr>
            <w:tcW w:w="8263" w:type="dxa"/>
          </w:tcPr>
          <w:p w:rsidR="00086D0C" w:rsidRDefault="00086D0C" w:rsidP="00086D0C">
            <w:pPr>
              <w:rPr>
                <w:bCs/>
                <w:iCs/>
              </w:rPr>
            </w:pPr>
            <w:r>
              <w:rPr>
                <w:bCs/>
                <w:iCs/>
              </w:rPr>
              <w:t>A comprehensive consultation process has been undertaken with a very high</w:t>
            </w:r>
            <w:r w:rsidR="007D29BC">
              <w:rPr>
                <w:bCs/>
                <w:iCs/>
              </w:rPr>
              <w:t xml:space="preserve"> </w:t>
            </w:r>
            <w:r>
              <w:rPr>
                <w:bCs/>
                <w:iCs/>
              </w:rPr>
              <w:t xml:space="preserve">level of active participation from the network.  There were two stages in the consultation process: </w:t>
            </w:r>
          </w:p>
          <w:p w:rsidR="00086D0C" w:rsidRDefault="00086D0C" w:rsidP="00086D0C">
            <w:pPr>
              <w:rPr>
                <w:bCs/>
                <w:iCs/>
              </w:rPr>
            </w:pPr>
            <w:r>
              <w:rPr>
                <w:bCs/>
                <w:iCs/>
              </w:rPr>
              <w:t>Stage One/Survey Monkey questionnaire and Stage Two/Regional focus groups.</w:t>
            </w:r>
          </w:p>
        </w:tc>
      </w:tr>
      <w:tr w:rsidR="00086D0C" w:rsidRPr="004E096B" w:rsidTr="004B2CAC">
        <w:tc>
          <w:tcPr>
            <w:tcW w:w="763" w:type="dxa"/>
          </w:tcPr>
          <w:p w:rsidR="00086D0C" w:rsidRDefault="00086D0C" w:rsidP="00D565B8">
            <w:pPr>
              <w:rPr>
                <w:sz w:val="24"/>
                <w:szCs w:val="24"/>
              </w:rPr>
            </w:pPr>
            <w:r>
              <w:rPr>
                <w:sz w:val="24"/>
                <w:szCs w:val="24"/>
              </w:rPr>
              <w:t>8.4</w:t>
            </w:r>
          </w:p>
        </w:tc>
        <w:tc>
          <w:tcPr>
            <w:tcW w:w="8263" w:type="dxa"/>
          </w:tcPr>
          <w:p w:rsidR="002437A6" w:rsidRDefault="00086D0C" w:rsidP="0018555D">
            <w:pPr>
              <w:rPr>
                <w:bCs/>
                <w:iCs/>
              </w:rPr>
            </w:pPr>
            <w:r>
              <w:rPr>
                <w:bCs/>
                <w:iCs/>
              </w:rPr>
              <w:t xml:space="preserve">The latest meeting of the Steering Group was on 4 July and a further meeting is scheduled for 10 August.  </w:t>
            </w:r>
            <w:r w:rsidR="0018555D">
              <w:rPr>
                <w:bCs/>
                <w:iCs/>
              </w:rPr>
              <w:t>A</w:t>
            </w:r>
            <w:r>
              <w:rPr>
                <w:bCs/>
                <w:iCs/>
              </w:rPr>
              <w:t xml:space="preserve"> final draft will be presented to the September Board meeting.</w:t>
            </w:r>
          </w:p>
          <w:p w:rsidR="00086D0C" w:rsidRDefault="00086D0C" w:rsidP="0018555D">
            <w:pPr>
              <w:rPr>
                <w:bCs/>
                <w:iCs/>
              </w:rPr>
            </w:pPr>
            <w:r>
              <w:rPr>
                <w:bCs/>
                <w:iCs/>
              </w:rPr>
              <w:t xml:space="preserve">  </w:t>
            </w:r>
          </w:p>
        </w:tc>
      </w:tr>
      <w:tr w:rsidR="00D565B8" w:rsidRPr="00FF1F00" w:rsidTr="004B2CAC">
        <w:tc>
          <w:tcPr>
            <w:tcW w:w="763" w:type="dxa"/>
          </w:tcPr>
          <w:p w:rsidR="00D565B8" w:rsidRPr="00FF1F00" w:rsidRDefault="00D565B8" w:rsidP="00D565B8">
            <w:pPr>
              <w:rPr>
                <w:b/>
                <w:sz w:val="24"/>
                <w:szCs w:val="24"/>
              </w:rPr>
            </w:pPr>
            <w:r>
              <w:rPr>
                <w:b/>
                <w:sz w:val="24"/>
                <w:szCs w:val="24"/>
              </w:rPr>
              <w:t>9</w:t>
            </w:r>
          </w:p>
        </w:tc>
        <w:tc>
          <w:tcPr>
            <w:tcW w:w="8263" w:type="dxa"/>
          </w:tcPr>
          <w:p w:rsidR="00D565B8" w:rsidRPr="00FF1F00" w:rsidRDefault="00D565B8" w:rsidP="00D565B8">
            <w:pPr>
              <w:rPr>
                <w:b/>
                <w:sz w:val="24"/>
                <w:szCs w:val="24"/>
              </w:rPr>
            </w:pPr>
            <w:r w:rsidRPr="00FF1F00">
              <w:rPr>
                <w:b/>
                <w:sz w:val="24"/>
                <w:szCs w:val="24"/>
              </w:rPr>
              <w:t xml:space="preserve">Date of the next Meeting </w:t>
            </w:r>
          </w:p>
        </w:tc>
      </w:tr>
      <w:tr w:rsidR="00D565B8" w:rsidRPr="00DD39EE" w:rsidTr="004B2CAC">
        <w:tc>
          <w:tcPr>
            <w:tcW w:w="763" w:type="dxa"/>
          </w:tcPr>
          <w:p w:rsidR="00D565B8" w:rsidRPr="00DD39EE" w:rsidRDefault="00D565B8" w:rsidP="00D565B8">
            <w:pPr>
              <w:rPr>
                <w:sz w:val="24"/>
                <w:szCs w:val="24"/>
              </w:rPr>
            </w:pPr>
            <w:r>
              <w:rPr>
                <w:sz w:val="24"/>
                <w:szCs w:val="24"/>
              </w:rPr>
              <w:t>9.1</w:t>
            </w:r>
          </w:p>
        </w:tc>
        <w:tc>
          <w:tcPr>
            <w:tcW w:w="8263" w:type="dxa"/>
          </w:tcPr>
          <w:p w:rsidR="00D565B8" w:rsidRPr="00DD39EE" w:rsidRDefault="00D565B8" w:rsidP="006A764B">
            <w:pPr>
              <w:rPr>
                <w:sz w:val="24"/>
                <w:szCs w:val="24"/>
              </w:rPr>
            </w:pPr>
            <w:r w:rsidRPr="00DD39EE">
              <w:rPr>
                <w:sz w:val="24"/>
                <w:szCs w:val="24"/>
              </w:rPr>
              <w:t>The next meeting o</w:t>
            </w:r>
            <w:r>
              <w:rPr>
                <w:sz w:val="24"/>
                <w:szCs w:val="24"/>
              </w:rPr>
              <w:t>f the Board</w:t>
            </w:r>
            <w:r w:rsidR="006A764B">
              <w:rPr>
                <w:sz w:val="24"/>
                <w:szCs w:val="24"/>
              </w:rPr>
              <w:t xml:space="preserve"> will take place on Wednesday 15</w:t>
            </w:r>
            <w:r w:rsidRPr="007541C7">
              <w:rPr>
                <w:sz w:val="24"/>
                <w:szCs w:val="24"/>
                <w:vertAlign w:val="superscript"/>
              </w:rPr>
              <w:t>th</w:t>
            </w:r>
            <w:r w:rsidR="006A764B">
              <w:rPr>
                <w:sz w:val="24"/>
                <w:szCs w:val="24"/>
              </w:rPr>
              <w:t xml:space="preserve"> November </w:t>
            </w:r>
            <w:r>
              <w:rPr>
                <w:sz w:val="24"/>
                <w:szCs w:val="24"/>
              </w:rPr>
              <w:t xml:space="preserve">2017 at 1.30pm.  </w:t>
            </w:r>
          </w:p>
        </w:tc>
      </w:tr>
    </w:tbl>
    <w:p w:rsidR="00BA3BCF" w:rsidRDefault="00BA3BCF" w:rsidP="00D14786">
      <w:pPr>
        <w:rPr>
          <w:sz w:val="24"/>
          <w:szCs w:val="24"/>
        </w:rPr>
      </w:pPr>
    </w:p>
    <w:p w:rsidR="002437A6" w:rsidRDefault="002437A6" w:rsidP="00D14786">
      <w:pPr>
        <w:rPr>
          <w:sz w:val="24"/>
          <w:szCs w:val="24"/>
        </w:rPr>
      </w:pPr>
    </w:p>
    <w:p w:rsidR="008F3B26" w:rsidRDefault="008F3B26" w:rsidP="00D14786">
      <w:pPr>
        <w:rPr>
          <w:sz w:val="24"/>
          <w:szCs w:val="24"/>
        </w:rPr>
      </w:pPr>
      <w:bookmarkStart w:id="2" w:name="_GoBack"/>
      <w:bookmarkEnd w:id="2"/>
    </w:p>
    <w:p w:rsidR="00682CD3" w:rsidRDefault="00682CD3" w:rsidP="00D14786">
      <w:pPr>
        <w:rPr>
          <w:sz w:val="24"/>
          <w:szCs w:val="24"/>
        </w:rPr>
      </w:pPr>
    </w:p>
    <w:sectPr w:rsidR="00682CD3"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38" w:rsidRDefault="00631438" w:rsidP="00253E0A">
      <w:r>
        <w:separator/>
      </w:r>
    </w:p>
  </w:endnote>
  <w:endnote w:type="continuationSeparator" w:id="0">
    <w:p w:rsidR="00631438" w:rsidRDefault="00631438"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61296"/>
      <w:docPartObj>
        <w:docPartGallery w:val="Page Numbers (Bottom of Page)"/>
        <w:docPartUnique/>
      </w:docPartObj>
    </w:sdtPr>
    <w:sdtEndPr/>
    <w:sdtContent>
      <w:sdt>
        <w:sdtPr>
          <w:id w:val="1728636285"/>
          <w:docPartObj>
            <w:docPartGallery w:val="Page Numbers (Top of Page)"/>
            <w:docPartUnique/>
          </w:docPartObj>
        </w:sdtPr>
        <w:sdtEndPr/>
        <w:sdtContent>
          <w:p w:rsidR="006A445C" w:rsidRDefault="006A44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7A3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7A3E">
              <w:rPr>
                <w:b/>
                <w:bCs/>
                <w:noProof/>
              </w:rPr>
              <w:t>4</w:t>
            </w:r>
            <w:r>
              <w:rPr>
                <w:b/>
                <w:bCs/>
                <w:sz w:val="24"/>
                <w:szCs w:val="24"/>
              </w:rPr>
              <w:fldChar w:fldCharType="end"/>
            </w:r>
          </w:p>
        </w:sdtContent>
      </w:sdt>
    </w:sdtContent>
  </w:sdt>
  <w:p w:rsidR="00253E0A" w:rsidRDefault="0025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38" w:rsidRDefault="00631438" w:rsidP="00253E0A">
      <w:r>
        <w:separator/>
      </w:r>
    </w:p>
  </w:footnote>
  <w:footnote w:type="continuationSeparator" w:id="0">
    <w:p w:rsidR="00631438" w:rsidRDefault="00631438" w:rsidP="00253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110C7"/>
    <w:rsid w:val="0001388E"/>
    <w:rsid w:val="00016236"/>
    <w:rsid w:val="00021266"/>
    <w:rsid w:val="000269CA"/>
    <w:rsid w:val="00031A49"/>
    <w:rsid w:val="0003557A"/>
    <w:rsid w:val="0003580A"/>
    <w:rsid w:val="00051F67"/>
    <w:rsid w:val="00054924"/>
    <w:rsid w:val="000553A0"/>
    <w:rsid w:val="00060D52"/>
    <w:rsid w:val="000738BC"/>
    <w:rsid w:val="00082ED4"/>
    <w:rsid w:val="00086D0C"/>
    <w:rsid w:val="000C137C"/>
    <w:rsid w:val="000D35CE"/>
    <w:rsid w:val="000D4F5F"/>
    <w:rsid w:val="000D6A6C"/>
    <w:rsid w:val="000F19E9"/>
    <w:rsid w:val="000F3431"/>
    <w:rsid w:val="00101E8E"/>
    <w:rsid w:val="00110523"/>
    <w:rsid w:val="00117242"/>
    <w:rsid w:val="00120677"/>
    <w:rsid w:val="001211AD"/>
    <w:rsid w:val="001305A9"/>
    <w:rsid w:val="00167268"/>
    <w:rsid w:val="001734D5"/>
    <w:rsid w:val="0018555D"/>
    <w:rsid w:val="001972B7"/>
    <w:rsid w:val="001A2E70"/>
    <w:rsid w:val="001C4D9E"/>
    <w:rsid w:val="001F2DE7"/>
    <w:rsid w:val="00206A7E"/>
    <w:rsid w:val="00223310"/>
    <w:rsid w:val="002437A6"/>
    <w:rsid w:val="002452FE"/>
    <w:rsid w:val="00253E0A"/>
    <w:rsid w:val="00274184"/>
    <w:rsid w:val="002B6F1A"/>
    <w:rsid w:val="002E2F27"/>
    <w:rsid w:val="002E4A8E"/>
    <w:rsid w:val="002F4AFA"/>
    <w:rsid w:val="00305E2A"/>
    <w:rsid w:val="00316449"/>
    <w:rsid w:val="003214E0"/>
    <w:rsid w:val="003226A1"/>
    <w:rsid w:val="00340314"/>
    <w:rsid w:val="00344369"/>
    <w:rsid w:val="00372EEE"/>
    <w:rsid w:val="003809E1"/>
    <w:rsid w:val="00380FB1"/>
    <w:rsid w:val="003919E8"/>
    <w:rsid w:val="003A1153"/>
    <w:rsid w:val="003A78BC"/>
    <w:rsid w:val="003A7F61"/>
    <w:rsid w:val="003B0825"/>
    <w:rsid w:val="003B4371"/>
    <w:rsid w:val="003B7A3E"/>
    <w:rsid w:val="003C0EB2"/>
    <w:rsid w:val="003C20AD"/>
    <w:rsid w:val="003D3BA3"/>
    <w:rsid w:val="003E52F7"/>
    <w:rsid w:val="003F2FCC"/>
    <w:rsid w:val="004016DD"/>
    <w:rsid w:val="0041495A"/>
    <w:rsid w:val="00446426"/>
    <w:rsid w:val="00453032"/>
    <w:rsid w:val="0046025E"/>
    <w:rsid w:val="00465639"/>
    <w:rsid w:val="004842DA"/>
    <w:rsid w:val="004A3489"/>
    <w:rsid w:val="004B2CAC"/>
    <w:rsid w:val="004B681F"/>
    <w:rsid w:val="004D4D2A"/>
    <w:rsid w:val="004E096B"/>
    <w:rsid w:val="004F1454"/>
    <w:rsid w:val="004F30CD"/>
    <w:rsid w:val="004F31AF"/>
    <w:rsid w:val="005249F3"/>
    <w:rsid w:val="00533536"/>
    <w:rsid w:val="00535086"/>
    <w:rsid w:val="00541834"/>
    <w:rsid w:val="00561F9F"/>
    <w:rsid w:val="00593953"/>
    <w:rsid w:val="00595AE5"/>
    <w:rsid w:val="005A3F47"/>
    <w:rsid w:val="005B381C"/>
    <w:rsid w:val="00631438"/>
    <w:rsid w:val="0063668D"/>
    <w:rsid w:val="00672840"/>
    <w:rsid w:val="0067376C"/>
    <w:rsid w:val="00682CD3"/>
    <w:rsid w:val="00694352"/>
    <w:rsid w:val="006A19C7"/>
    <w:rsid w:val="006A445C"/>
    <w:rsid w:val="006A764B"/>
    <w:rsid w:val="006B6DE7"/>
    <w:rsid w:val="006D5BB3"/>
    <w:rsid w:val="006F3A83"/>
    <w:rsid w:val="0070567D"/>
    <w:rsid w:val="007251DB"/>
    <w:rsid w:val="007340D6"/>
    <w:rsid w:val="0073549F"/>
    <w:rsid w:val="0074366F"/>
    <w:rsid w:val="00744DFB"/>
    <w:rsid w:val="007479CD"/>
    <w:rsid w:val="007541C7"/>
    <w:rsid w:val="00765B46"/>
    <w:rsid w:val="007827CF"/>
    <w:rsid w:val="0079099F"/>
    <w:rsid w:val="007A11CF"/>
    <w:rsid w:val="007B028B"/>
    <w:rsid w:val="007B18E8"/>
    <w:rsid w:val="007D29BC"/>
    <w:rsid w:val="007E6D19"/>
    <w:rsid w:val="007F1270"/>
    <w:rsid w:val="00826B01"/>
    <w:rsid w:val="00833D2A"/>
    <w:rsid w:val="008413BF"/>
    <w:rsid w:val="0084699B"/>
    <w:rsid w:val="00851FEA"/>
    <w:rsid w:val="00853A67"/>
    <w:rsid w:val="00870A6E"/>
    <w:rsid w:val="00874C19"/>
    <w:rsid w:val="00882F77"/>
    <w:rsid w:val="00885958"/>
    <w:rsid w:val="008A3A08"/>
    <w:rsid w:val="008D2F90"/>
    <w:rsid w:val="008E0894"/>
    <w:rsid w:val="008F1725"/>
    <w:rsid w:val="008F3B26"/>
    <w:rsid w:val="008F5BA5"/>
    <w:rsid w:val="00913CEB"/>
    <w:rsid w:val="0091532B"/>
    <w:rsid w:val="00916D8F"/>
    <w:rsid w:val="00920F0A"/>
    <w:rsid w:val="009302EA"/>
    <w:rsid w:val="0093159A"/>
    <w:rsid w:val="00940D59"/>
    <w:rsid w:val="00946395"/>
    <w:rsid w:val="009813DA"/>
    <w:rsid w:val="009C6F6C"/>
    <w:rsid w:val="00A10617"/>
    <w:rsid w:val="00A328CD"/>
    <w:rsid w:val="00A45BBC"/>
    <w:rsid w:val="00A53270"/>
    <w:rsid w:val="00A64D6C"/>
    <w:rsid w:val="00A74FEC"/>
    <w:rsid w:val="00A86B7C"/>
    <w:rsid w:val="00A9519D"/>
    <w:rsid w:val="00A96269"/>
    <w:rsid w:val="00AA1A07"/>
    <w:rsid w:val="00AA2AD8"/>
    <w:rsid w:val="00AA715B"/>
    <w:rsid w:val="00AB3160"/>
    <w:rsid w:val="00AC2752"/>
    <w:rsid w:val="00AD12AE"/>
    <w:rsid w:val="00AD4160"/>
    <w:rsid w:val="00AF7967"/>
    <w:rsid w:val="00B0025C"/>
    <w:rsid w:val="00B044BC"/>
    <w:rsid w:val="00B624BE"/>
    <w:rsid w:val="00B85FA4"/>
    <w:rsid w:val="00B86B36"/>
    <w:rsid w:val="00B8735D"/>
    <w:rsid w:val="00B94410"/>
    <w:rsid w:val="00BA3BCF"/>
    <w:rsid w:val="00BA7401"/>
    <w:rsid w:val="00BC5F58"/>
    <w:rsid w:val="00BD03F5"/>
    <w:rsid w:val="00BD614A"/>
    <w:rsid w:val="00BE28D3"/>
    <w:rsid w:val="00BE6DEA"/>
    <w:rsid w:val="00BF6C39"/>
    <w:rsid w:val="00C1136E"/>
    <w:rsid w:val="00C1535D"/>
    <w:rsid w:val="00C3747C"/>
    <w:rsid w:val="00C61A92"/>
    <w:rsid w:val="00C63A9E"/>
    <w:rsid w:val="00C75A9F"/>
    <w:rsid w:val="00C920FC"/>
    <w:rsid w:val="00C96A47"/>
    <w:rsid w:val="00CC0A04"/>
    <w:rsid w:val="00CD3134"/>
    <w:rsid w:val="00CD5BAC"/>
    <w:rsid w:val="00D06BC6"/>
    <w:rsid w:val="00D14786"/>
    <w:rsid w:val="00D16749"/>
    <w:rsid w:val="00D1740C"/>
    <w:rsid w:val="00D21DFF"/>
    <w:rsid w:val="00D222B9"/>
    <w:rsid w:val="00D30862"/>
    <w:rsid w:val="00D30A26"/>
    <w:rsid w:val="00D428F1"/>
    <w:rsid w:val="00D53E6C"/>
    <w:rsid w:val="00D565B8"/>
    <w:rsid w:val="00D5755E"/>
    <w:rsid w:val="00D92AC3"/>
    <w:rsid w:val="00DA0CEE"/>
    <w:rsid w:val="00DB18B6"/>
    <w:rsid w:val="00DC3368"/>
    <w:rsid w:val="00DD39EE"/>
    <w:rsid w:val="00DD3EA3"/>
    <w:rsid w:val="00DD708B"/>
    <w:rsid w:val="00DE2F25"/>
    <w:rsid w:val="00E12010"/>
    <w:rsid w:val="00E2753F"/>
    <w:rsid w:val="00E32EB3"/>
    <w:rsid w:val="00E45C55"/>
    <w:rsid w:val="00E467CD"/>
    <w:rsid w:val="00E673EC"/>
    <w:rsid w:val="00E8035E"/>
    <w:rsid w:val="00EC492F"/>
    <w:rsid w:val="00ED5CD0"/>
    <w:rsid w:val="00EE040A"/>
    <w:rsid w:val="00EE33CF"/>
    <w:rsid w:val="00EE7720"/>
    <w:rsid w:val="00EF19B4"/>
    <w:rsid w:val="00EF2DE2"/>
    <w:rsid w:val="00EF699E"/>
    <w:rsid w:val="00EF6D39"/>
    <w:rsid w:val="00F04750"/>
    <w:rsid w:val="00F11C92"/>
    <w:rsid w:val="00F23CAD"/>
    <w:rsid w:val="00F460F9"/>
    <w:rsid w:val="00F53AB9"/>
    <w:rsid w:val="00F85824"/>
    <w:rsid w:val="00F93099"/>
    <w:rsid w:val="00FC0444"/>
    <w:rsid w:val="00FE1830"/>
    <w:rsid w:val="00FF1F00"/>
    <w:rsid w:val="00FF5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5C79-FBDF-48FC-AA3A-00654372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2017-09-18T08:46:00Z</dcterms:created>
  <dcterms:modified xsi:type="dcterms:W3CDTF">2017-09-22T10:51:00Z</dcterms:modified>
</cp:coreProperties>
</file>