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6C" w:rsidRPr="00BC5F58" w:rsidRDefault="00167268" w:rsidP="00167268">
      <w:pPr>
        <w:jc w:val="center"/>
        <w:rPr>
          <w:b/>
          <w:sz w:val="32"/>
          <w:szCs w:val="24"/>
        </w:rPr>
      </w:pPr>
      <w:r w:rsidRPr="00BC5F58">
        <w:rPr>
          <w:b/>
          <w:sz w:val="32"/>
          <w:szCs w:val="24"/>
        </w:rPr>
        <w:t>Citizens Information Board</w:t>
      </w:r>
    </w:p>
    <w:p w:rsidR="00167268" w:rsidRDefault="00167268" w:rsidP="00167268">
      <w:pPr>
        <w:jc w:val="center"/>
      </w:pPr>
    </w:p>
    <w:p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Meeting </w:t>
      </w:r>
      <w:r w:rsidR="0093159A">
        <w:rPr>
          <w:b/>
          <w:sz w:val="24"/>
          <w:szCs w:val="24"/>
        </w:rPr>
        <w:t>14</w:t>
      </w:r>
      <w:r w:rsidR="00B85FA4" w:rsidRPr="00B85FA4">
        <w:rPr>
          <w:b/>
          <w:sz w:val="24"/>
          <w:szCs w:val="24"/>
          <w:vertAlign w:val="superscript"/>
        </w:rPr>
        <w:t>th</w:t>
      </w:r>
      <w:r w:rsidR="0093159A">
        <w:rPr>
          <w:b/>
          <w:sz w:val="24"/>
          <w:szCs w:val="24"/>
        </w:rPr>
        <w:t xml:space="preserve"> June</w:t>
      </w:r>
      <w:r>
        <w:rPr>
          <w:b/>
          <w:sz w:val="24"/>
          <w:szCs w:val="24"/>
        </w:rPr>
        <w:t xml:space="preserve"> </w:t>
      </w:r>
      <w:r w:rsidR="00BC5F58" w:rsidRPr="00BC5F58">
        <w:rPr>
          <w:b/>
          <w:sz w:val="24"/>
          <w:szCs w:val="24"/>
        </w:rPr>
        <w:t>2017</w:t>
      </w:r>
    </w:p>
    <w:p w:rsidR="00167268" w:rsidRPr="00BC5F58" w:rsidRDefault="00167268" w:rsidP="00167268">
      <w:pPr>
        <w:jc w:val="center"/>
        <w:rPr>
          <w:sz w:val="24"/>
          <w:szCs w:val="24"/>
        </w:rPr>
      </w:pPr>
      <w:r w:rsidRPr="00BC5F58">
        <w:rPr>
          <w:sz w:val="24"/>
          <w:szCs w:val="24"/>
        </w:rPr>
        <w:t>Townsend Street</w:t>
      </w:r>
      <w:r w:rsidR="00DC3368" w:rsidRPr="00BC5F58">
        <w:rPr>
          <w:sz w:val="24"/>
          <w:szCs w:val="24"/>
        </w:rPr>
        <w:t>, Dublin 2</w:t>
      </w:r>
    </w:p>
    <w:p w:rsidR="00167268" w:rsidRPr="00BC5F58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</w:p>
    <w:p w:rsidR="00167268" w:rsidRPr="00DD39EE" w:rsidRDefault="00167268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Pr="00DD39EE">
        <w:rPr>
          <w:sz w:val="24"/>
          <w:szCs w:val="24"/>
        </w:rPr>
        <w:tab/>
      </w:r>
      <w:proofErr w:type="spellStart"/>
      <w:r w:rsidRPr="00DD39EE">
        <w:rPr>
          <w:sz w:val="24"/>
          <w:szCs w:val="24"/>
        </w:rPr>
        <w:t>Ita</w:t>
      </w:r>
      <w:proofErr w:type="spellEnd"/>
      <w:r w:rsidRPr="00DD39EE">
        <w:rPr>
          <w:sz w:val="24"/>
          <w:szCs w:val="24"/>
        </w:rPr>
        <w:t xml:space="preserve"> Mangan, Chairperson; Noeline Blackwell; James Clarke; Tim Duggan; Tina Leonard; Cearbhall O </w:t>
      </w:r>
      <w:proofErr w:type="spellStart"/>
      <w:r w:rsidRPr="00DD39EE">
        <w:rPr>
          <w:sz w:val="24"/>
          <w:szCs w:val="24"/>
        </w:rPr>
        <w:t>Meadhra</w:t>
      </w:r>
      <w:proofErr w:type="spellEnd"/>
      <w:r w:rsidRPr="00DD39EE">
        <w:rPr>
          <w:sz w:val="24"/>
          <w:szCs w:val="24"/>
        </w:rPr>
        <w:t>; Ian Power; Sean Sheridan</w:t>
      </w:r>
      <w:r w:rsidR="00305E2A">
        <w:rPr>
          <w:sz w:val="24"/>
          <w:szCs w:val="24"/>
        </w:rPr>
        <w:t xml:space="preserve">, Eugene </w:t>
      </w:r>
      <w:proofErr w:type="spellStart"/>
      <w:r w:rsidR="00305E2A">
        <w:rPr>
          <w:sz w:val="24"/>
          <w:szCs w:val="24"/>
        </w:rPr>
        <w:t>McErlean</w:t>
      </w:r>
      <w:proofErr w:type="spellEnd"/>
      <w:r w:rsidR="00305E2A">
        <w:rPr>
          <w:sz w:val="24"/>
          <w:szCs w:val="24"/>
        </w:rPr>
        <w:t>;</w:t>
      </w:r>
      <w:r w:rsidR="00051F67">
        <w:rPr>
          <w:sz w:val="24"/>
          <w:szCs w:val="24"/>
        </w:rPr>
        <w:t xml:space="preserve"> Nicola Walshe,</w:t>
      </w:r>
      <w:r w:rsidR="00051F67" w:rsidRPr="00051F67">
        <w:rPr>
          <w:sz w:val="24"/>
          <w:szCs w:val="24"/>
        </w:rPr>
        <w:t xml:space="preserve"> </w:t>
      </w:r>
      <w:r w:rsidR="0093159A" w:rsidRPr="00DD39EE">
        <w:rPr>
          <w:sz w:val="24"/>
          <w:szCs w:val="24"/>
        </w:rPr>
        <w:t>Niall Mulligan</w:t>
      </w:r>
      <w:r w:rsidR="0093159A">
        <w:rPr>
          <w:sz w:val="24"/>
          <w:szCs w:val="24"/>
        </w:rPr>
        <w:t>, Josephine Henry</w:t>
      </w:r>
    </w:p>
    <w:p w:rsidR="00167268" w:rsidRDefault="00167268">
      <w:pPr>
        <w:rPr>
          <w:sz w:val="24"/>
          <w:szCs w:val="24"/>
        </w:rPr>
      </w:pPr>
    </w:p>
    <w:p w:rsidR="00BC5F58" w:rsidRDefault="00BC5F58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>
        <w:rPr>
          <w:sz w:val="24"/>
          <w:szCs w:val="24"/>
        </w:rPr>
        <w:tab/>
      </w:r>
      <w:r w:rsidR="0093159A" w:rsidRPr="00DD39EE">
        <w:rPr>
          <w:sz w:val="24"/>
          <w:szCs w:val="24"/>
        </w:rPr>
        <w:t>John Saunders</w:t>
      </w:r>
      <w:r w:rsidR="00305E2A" w:rsidRPr="00DD39EE">
        <w:rPr>
          <w:sz w:val="24"/>
          <w:szCs w:val="24"/>
        </w:rPr>
        <w:t>;</w:t>
      </w:r>
      <w:r w:rsidR="00305E2A" w:rsidRPr="00305E2A">
        <w:rPr>
          <w:sz w:val="24"/>
          <w:szCs w:val="24"/>
        </w:rPr>
        <w:t xml:space="preserve"> </w:t>
      </w:r>
      <w:r w:rsidR="00051F67">
        <w:rPr>
          <w:sz w:val="24"/>
          <w:szCs w:val="24"/>
        </w:rPr>
        <w:t xml:space="preserve">Joanne McCarthy; </w:t>
      </w:r>
      <w:r w:rsidR="0093159A" w:rsidRPr="00DD39EE">
        <w:rPr>
          <w:sz w:val="24"/>
          <w:szCs w:val="24"/>
        </w:rPr>
        <w:t>Mary Higgins</w:t>
      </w:r>
    </w:p>
    <w:p w:rsidR="00BC5F58" w:rsidRPr="00DD39EE" w:rsidRDefault="00BC5F58">
      <w:pPr>
        <w:rPr>
          <w:sz w:val="24"/>
          <w:szCs w:val="24"/>
        </w:rPr>
      </w:pPr>
    </w:p>
    <w:p w:rsidR="00167268" w:rsidRDefault="00167268" w:rsidP="00D14786">
      <w:pPr>
        <w:spacing w:after="360"/>
        <w:rPr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Pr="00DD39EE">
        <w:rPr>
          <w:sz w:val="24"/>
          <w:szCs w:val="24"/>
        </w:rPr>
        <w:tab/>
        <w:t>Angela Black, Chief Executive; Graham Long, Senior Manager, Support Services; Adrian O’Connor, Seni</w:t>
      </w:r>
      <w:r w:rsidR="00BC5F58">
        <w:rPr>
          <w:sz w:val="24"/>
          <w:szCs w:val="24"/>
        </w:rPr>
        <w:t xml:space="preserve">or Manager, Service Development Money Advice; Fiona Coyne, Senior Manager, Service Delivery; </w:t>
      </w:r>
      <w:r w:rsidR="00940D59">
        <w:rPr>
          <w:sz w:val="24"/>
          <w:szCs w:val="24"/>
        </w:rPr>
        <w:t xml:space="preserve">Gary </w:t>
      </w:r>
      <w:r w:rsidR="00AF7967">
        <w:rPr>
          <w:sz w:val="24"/>
          <w:szCs w:val="24"/>
        </w:rPr>
        <w:t xml:space="preserve">Watters, Finance and Administration Manager; </w:t>
      </w:r>
      <w:r w:rsidR="00940D59">
        <w:rPr>
          <w:sz w:val="24"/>
          <w:szCs w:val="24"/>
        </w:rPr>
        <w:t>Stephen</w:t>
      </w:r>
      <w:r w:rsidR="00AF7967">
        <w:rPr>
          <w:sz w:val="24"/>
          <w:szCs w:val="24"/>
        </w:rPr>
        <w:t xml:space="preserve"> Valentine, HR &amp; Governance Manager; </w:t>
      </w:r>
      <w:r w:rsidR="0093159A">
        <w:rPr>
          <w:sz w:val="24"/>
          <w:szCs w:val="24"/>
        </w:rPr>
        <w:t>Shona Geraghty (minutes)</w:t>
      </w:r>
    </w:p>
    <w:p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:rsidR="00167268" w:rsidRDefault="00167268">
      <w:pPr>
        <w:rPr>
          <w:sz w:val="24"/>
          <w:szCs w:val="24"/>
        </w:rPr>
      </w:pPr>
    </w:p>
    <w:p w:rsidR="000D4F5F" w:rsidRDefault="000D4F5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704"/>
        <w:gridCol w:w="8312"/>
      </w:tblGrid>
      <w:tr w:rsidR="00AB3160" w:rsidRPr="00BA3BCF" w:rsidTr="00682CD3">
        <w:trPr>
          <w:tblHeader/>
        </w:trPr>
        <w:tc>
          <w:tcPr>
            <w:tcW w:w="704" w:type="dxa"/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312" w:type="dxa"/>
          </w:tcPr>
          <w:p w:rsidR="00AB3160" w:rsidRPr="00BA3BCF" w:rsidRDefault="00AB3160" w:rsidP="003C5D1C">
            <w:pPr>
              <w:rPr>
                <w:b/>
                <w:sz w:val="24"/>
                <w:szCs w:val="24"/>
              </w:rPr>
            </w:pPr>
            <w:r w:rsidRPr="00BA3BCF">
              <w:rPr>
                <w:b/>
                <w:sz w:val="24"/>
                <w:szCs w:val="24"/>
              </w:rPr>
              <w:t>Agenda Description</w:t>
            </w:r>
          </w:p>
        </w:tc>
      </w:tr>
      <w:tr w:rsidR="00167268" w:rsidRPr="00DD39EE" w:rsidTr="00682CD3">
        <w:tc>
          <w:tcPr>
            <w:tcW w:w="704" w:type="dxa"/>
          </w:tcPr>
          <w:p w:rsidR="00167268" w:rsidRPr="003809E1" w:rsidRDefault="00167268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Minutes of previous meeting </w:t>
            </w:r>
          </w:p>
          <w:p w:rsidR="003226A1" w:rsidRPr="00DD39EE" w:rsidRDefault="00167268" w:rsidP="00305E2A">
            <w:pPr>
              <w:rPr>
                <w:i/>
                <w:sz w:val="24"/>
                <w:szCs w:val="24"/>
              </w:rPr>
            </w:pPr>
            <w:r w:rsidRPr="00DD39EE">
              <w:rPr>
                <w:i/>
                <w:sz w:val="24"/>
                <w:szCs w:val="24"/>
              </w:rPr>
              <w:t>(The minute</w:t>
            </w:r>
            <w:r w:rsidR="0093159A">
              <w:rPr>
                <w:i/>
                <w:sz w:val="24"/>
                <w:szCs w:val="24"/>
              </w:rPr>
              <w:t>s of the Board meeting held on 17</w:t>
            </w:r>
            <w:r w:rsidR="0093159A" w:rsidRPr="0093159A">
              <w:rPr>
                <w:i/>
                <w:sz w:val="24"/>
                <w:szCs w:val="24"/>
                <w:vertAlign w:val="superscript"/>
              </w:rPr>
              <w:t>th</w:t>
            </w:r>
            <w:r w:rsidR="0093159A">
              <w:rPr>
                <w:i/>
                <w:sz w:val="24"/>
                <w:szCs w:val="24"/>
              </w:rPr>
              <w:t xml:space="preserve"> May </w:t>
            </w:r>
            <w:r w:rsidRPr="00DD39EE">
              <w:rPr>
                <w:i/>
                <w:sz w:val="24"/>
                <w:szCs w:val="24"/>
              </w:rPr>
              <w:t>were circulated in advance of the meeting</w:t>
            </w:r>
            <w:r w:rsidR="004D4D2A">
              <w:rPr>
                <w:i/>
                <w:sz w:val="24"/>
                <w:szCs w:val="24"/>
              </w:rPr>
              <w:t>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167268" w:rsidRPr="00DD39EE" w:rsidTr="00682CD3">
        <w:tc>
          <w:tcPr>
            <w:tcW w:w="704" w:type="dxa"/>
          </w:tcPr>
          <w:p w:rsidR="00167268" w:rsidRPr="00DD39EE" w:rsidRDefault="0016726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1.1</w:t>
            </w:r>
          </w:p>
        </w:tc>
        <w:tc>
          <w:tcPr>
            <w:tcW w:w="8312" w:type="dxa"/>
          </w:tcPr>
          <w:p w:rsidR="00916D8F" w:rsidRDefault="00167268" w:rsidP="0093159A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 xml:space="preserve">The minutes were proposed by </w:t>
            </w:r>
            <w:r w:rsidR="0093159A">
              <w:rPr>
                <w:sz w:val="24"/>
                <w:szCs w:val="24"/>
              </w:rPr>
              <w:t>Noeline Blackwell</w:t>
            </w:r>
            <w:r w:rsidR="00051F67">
              <w:rPr>
                <w:sz w:val="24"/>
                <w:szCs w:val="24"/>
              </w:rPr>
              <w:t xml:space="preserve"> a</w:t>
            </w:r>
            <w:r w:rsidR="00305E2A">
              <w:rPr>
                <w:sz w:val="24"/>
                <w:szCs w:val="24"/>
              </w:rPr>
              <w:t xml:space="preserve">nd </w:t>
            </w:r>
            <w:r w:rsidRPr="00DD39EE">
              <w:rPr>
                <w:sz w:val="24"/>
                <w:szCs w:val="24"/>
              </w:rPr>
              <w:t xml:space="preserve">seconded by </w:t>
            </w:r>
            <w:r w:rsidR="0093159A">
              <w:rPr>
                <w:sz w:val="24"/>
                <w:szCs w:val="24"/>
              </w:rPr>
              <w:t>Cearbhall O’Meadhra.</w:t>
            </w:r>
          </w:p>
          <w:p w:rsidR="00682CD3" w:rsidRPr="00DD39EE" w:rsidRDefault="00682CD3" w:rsidP="0093159A">
            <w:pPr>
              <w:rPr>
                <w:sz w:val="24"/>
                <w:szCs w:val="24"/>
              </w:rPr>
            </w:pPr>
          </w:p>
        </w:tc>
      </w:tr>
      <w:tr w:rsidR="00167268" w:rsidRPr="00DD39EE" w:rsidTr="00682CD3">
        <w:tc>
          <w:tcPr>
            <w:tcW w:w="704" w:type="dxa"/>
          </w:tcPr>
          <w:p w:rsidR="00167268" w:rsidRPr="003809E1" w:rsidRDefault="00EF19B4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2" w:type="dxa"/>
          </w:tcPr>
          <w:p w:rsidR="00167268" w:rsidRPr="00DD39EE" w:rsidRDefault="00167268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>Matters arising</w:t>
            </w:r>
          </w:p>
        </w:tc>
      </w:tr>
      <w:tr w:rsidR="00EE33CF" w:rsidRPr="00DD39EE" w:rsidTr="00682CD3">
        <w:tc>
          <w:tcPr>
            <w:tcW w:w="704" w:type="dxa"/>
          </w:tcPr>
          <w:p w:rsidR="00EE33CF" w:rsidRPr="00DD39EE" w:rsidRDefault="00B0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312" w:type="dxa"/>
          </w:tcPr>
          <w:p w:rsidR="00EE33CF" w:rsidRDefault="00B044BC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r w:rsidR="00EE33CF">
              <w:rPr>
                <w:sz w:val="24"/>
                <w:szCs w:val="24"/>
              </w:rPr>
              <w:t xml:space="preserve">External system penetration testing </w:t>
            </w:r>
            <w:r>
              <w:rPr>
                <w:sz w:val="24"/>
                <w:szCs w:val="24"/>
              </w:rPr>
              <w:t xml:space="preserve">was last undertaken in 2012. </w:t>
            </w:r>
            <w:r w:rsidR="00EE33CF">
              <w:rPr>
                <w:sz w:val="24"/>
                <w:szCs w:val="24"/>
              </w:rPr>
              <w:t xml:space="preserve"> </w:t>
            </w:r>
            <w:r w:rsidR="008F5BA5">
              <w:rPr>
                <w:sz w:val="24"/>
                <w:szCs w:val="24"/>
              </w:rPr>
              <w:t xml:space="preserve">Deloitte have been appointed to </w:t>
            </w:r>
            <w:r>
              <w:rPr>
                <w:sz w:val="24"/>
                <w:szCs w:val="24"/>
              </w:rPr>
              <w:t>undertake this testing in Sept</w:t>
            </w:r>
            <w:r w:rsidR="00EE33CF">
              <w:rPr>
                <w:sz w:val="24"/>
                <w:szCs w:val="24"/>
              </w:rPr>
              <w:t xml:space="preserve"> 2017</w:t>
            </w:r>
            <w:r>
              <w:rPr>
                <w:sz w:val="24"/>
                <w:szCs w:val="24"/>
              </w:rPr>
              <w:t xml:space="preserve">. </w:t>
            </w:r>
            <w:r w:rsidR="00EE33CF">
              <w:rPr>
                <w:sz w:val="24"/>
                <w:szCs w:val="24"/>
              </w:rPr>
              <w:t xml:space="preserve"> Sy</w:t>
            </w:r>
            <w:r>
              <w:rPr>
                <w:sz w:val="24"/>
                <w:szCs w:val="24"/>
              </w:rPr>
              <w:t>stem Penetration T</w:t>
            </w:r>
            <w:r w:rsidR="00EE33CF">
              <w:rPr>
                <w:sz w:val="24"/>
                <w:szCs w:val="24"/>
              </w:rPr>
              <w:t xml:space="preserve">esting </w:t>
            </w:r>
            <w:r>
              <w:rPr>
                <w:sz w:val="24"/>
                <w:szCs w:val="24"/>
              </w:rPr>
              <w:t xml:space="preserve">will be an agenda item at the next Audit &amp; Risk Committee.  </w:t>
            </w:r>
            <w:r w:rsidR="00EE33CF">
              <w:rPr>
                <w:sz w:val="24"/>
                <w:szCs w:val="24"/>
              </w:rPr>
              <w:t xml:space="preserve">An action register </w:t>
            </w:r>
            <w:r>
              <w:rPr>
                <w:sz w:val="24"/>
                <w:szCs w:val="24"/>
              </w:rPr>
              <w:t>is to be established to record matters that require action by the Executive between meetings.</w:t>
            </w:r>
          </w:p>
          <w:p w:rsidR="00682CD3" w:rsidRDefault="00682CD3" w:rsidP="0093159A">
            <w:pPr>
              <w:rPr>
                <w:sz w:val="24"/>
                <w:szCs w:val="24"/>
              </w:rPr>
            </w:pPr>
          </w:p>
        </w:tc>
      </w:tr>
      <w:tr w:rsidR="00465639" w:rsidRPr="00DD39EE" w:rsidTr="00682CD3">
        <w:tc>
          <w:tcPr>
            <w:tcW w:w="704" w:type="dxa"/>
          </w:tcPr>
          <w:p w:rsidR="00465639" w:rsidRPr="003809E1" w:rsidRDefault="00465639">
            <w:pPr>
              <w:rPr>
                <w:b/>
                <w:sz w:val="24"/>
                <w:szCs w:val="24"/>
              </w:rPr>
            </w:pPr>
          </w:p>
        </w:tc>
        <w:tc>
          <w:tcPr>
            <w:tcW w:w="8312" w:type="dxa"/>
          </w:tcPr>
          <w:p w:rsidR="007827CF" w:rsidRPr="00051F67" w:rsidRDefault="00465639" w:rsidP="00453032">
            <w:pPr>
              <w:rPr>
                <w:b/>
                <w:sz w:val="24"/>
                <w:szCs w:val="24"/>
              </w:rPr>
            </w:pPr>
            <w:r w:rsidRPr="00DD39EE">
              <w:rPr>
                <w:b/>
                <w:sz w:val="24"/>
                <w:szCs w:val="24"/>
              </w:rPr>
              <w:t xml:space="preserve">Committee </w:t>
            </w:r>
            <w:r w:rsidR="00051F67">
              <w:rPr>
                <w:b/>
                <w:sz w:val="24"/>
                <w:szCs w:val="24"/>
              </w:rPr>
              <w:t>Reports</w:t>
            </w:r>
          </w:p>
        </w:tc>
      </w:tr>
      <w:tr w:rsidR="00465639" w:rsidRPr="00DD39EE" w:rsidTr="00682CD3">
        <w:tc>
          <w:tcPr>
            <w:tcW w:w="704" w:type="dxa"/>
          </w:tcPr>
          <w:p w:rsidR="00465639" w:rsidRPr="00DD39EE" w:rsidRDefault="00BC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5639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312" w:type="dxa"/>
          </w:tcPr>
          <w:p w:rsidR="004D4D2A" w:rsidRPr="004D4D2A" w:rsidRDefault="006D5BB3" w:rsidP="004D4D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Policy &amp; Research Committee</w:t>
            </w:r>
          </w:p>
        </w:tc>
      </w:tr>
      <w:tr w:rsidR="00453032" w:rsidRPr="00DD39EE" w:rsidTr="00682CD3">
        <w:tc>
          <w:tcPr>
            <w:tcW w:w="704" w:type="dxa"/>
          </w:tcPr>
          <w:p w:rsidR="00453032" w:rsidRDefault="00734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8312" w:type="dxa"/>
          </w:tcPr>
          <w:p w:rsidR="00453032" w:rsidRDefault="00672840" w:rsidP="0091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meeting of the Social Policy &amp; Research Committee took place on 29</w:t>
            </w:r>
            <w:r w:rsidRPr="006728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2017.  Graham Long </w:t>
            </w:r>
            <w:r w:rsidR="00D16749">
              <w:rPr>
                <w:sz w:val="24"/>
                <w:szCs w:val="24"/>
              </w:rPr>
              <w:t>provided an update at the meeting. The committee</w:t>
            </w:r>
            <w:r w:rsidR="007B028B">
              <w:rPr>
                <w:sz w:val="24"/>
                <w:szCs w:val="24"/>
              </w:rPr>
              <w:t xml:space="preserve"> will support CIB in setting priorities for social policy work and provide guidance in relation to the balance of social policy work between reports, submissions and proposals.  </w:t>
            </w:r>
          </w:p>
        </w:tc>
      </w:tr>
      <w:tr w:rsidR="00A9519D" w:rsidRPr="00DD39EE" w:rsidTr="00682CD3">
        <w:tc>
          <w:tcPr>
            <w:tcW w:w="704" w:type="dxa"/>
          </w:tcPr>
          <w:p w:rsidR="00A9519D" w:rsidRDefault="0053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8312" w:type="dxa"/>
          </w:tcPr>
          <w:p w:rsidR="00A9519D" w:rsidRDefault="00A9519D" w:rsidP="0091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Several key priority areas were discussed at the meeting for immediate action; Public PIP, over-indebtedness, Brexit, Traveller caravan loans, immigration, people with disabilities and social welfare schemes.  </w:t>
            </w:r>
          </w:p>
        </w:tc>
      </w:tr>
      <w:tr w:rsidR="00A9519D" w:rsidRPr="00DD39EE" w:rsidTr="00682CD3">
        <w:tc>
          <w:tcPr>
            <w:tcW w:w="704" w:type="dxa"/>
          </w:tcPr>
          <w:p w:rsidR="00A9519D" w:rsidRDefault="0053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8312" w:type="dxa"/>
          </w:tcPr>
          <w:p w:rsidR="00A9519D" w:rsidRDefault="00A9519D" w:rsidP="00915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approved the publishing of the H</w:t>
            </w:r>
            <w:r w:rsidR="003A1153">
              <w:rPr>
                <w:sz w:val="24"/>
                <w:szCs w:val="24"/>
              </w:rPr>
              <w:t>ousing Assistance Payment (HAP) Scheme – The Experience of Citizens Information Services Report.  Gr</w:t>
            </w:r>
            <w:r>
              <w:rPr>
                <w:sz w:val="24"/>
                <w:szCs w:val="24"/>
              </w:rPr>
              <w:t xml:space="preserve">aham Long </w:t>
            </w:r>
            <w:r>
              <w:rPr>
                <w:sz w:val="24"/>
                <w:szCs w:val="24"/>
              </w:rPr>
              <w:lastRenderedPageBreak/>
              <w:t xml:space="preserve">will forward </w:t>
            </w:r>
            <w:r w:rsidR="005B381C">
              <w:rPr>
                <w:sz w:val="24"/>
                <w:szCs w:val="24"/>
              </w:rPr>
              <w:t xml:space="preserve">to the Department of Housing, </w:t>
            </w:r>
            <w:r w:rsidR="00946395">
              <w:rPr>
                <w:sz w:val="24"/>
                <w:szCs w:val="24"/>
              </w:rPr>
              <w:t xml:space="preserve">a paper on housing that </w:t>
            </w:r>
            <w:r w:rsidR="002E2F27">
              <w:rPr>
                <w:sz w:val="24"/>
                <w:szCs w:val="24"/>
              </w:rPr>
              <w:t>Cearbhall O’Meadhra</w:t>
            </w:r>
            <w:r w:rsidR="005B381C">
              <w:rPr>
                <w:sz w:val="24"/>
                <w:szCs w:val="24"/>
              </w:rPr>
              <w:t xml:space="preserve"> has prepared.</w:t>
            </w:r>
          </w:p>
          <w:p w:rsidR="00682CD3" w:rsidRDefault="00682CD3" w:rsidP="0091532B">
            <w:pPr>
              <w:rPr>
                <w:sz w:val="24"/>
                <w:szCs w:val="24"/>
              </w:rPr>
            </w:pPr>
          </w:p>
        </w:tc>
      </w:tr>
      <w:tr w:rsidR="000110C7" w:rsidRPr="00DD39EE" w:rsidTr="00682CD3">
        <w:tc>
          <w:tcPr>
            <w:tcW w:w="704" w:type="dxa"/>
          </w:tcPr>
          <w:p w:rsidR="000110C7" w:rsidRPr="003809E1" w:rsidRDefault="00453032">
            <w:pPr>
              <w:rPr>
                <w:b/>
                <w:sz w:val="24"/>
                <w:szCs w:val="24"/>
              </w:rPr>
            </w:pPr>
            <w:r w:rsidRPr="003809E1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312" w:type="dxa"/>
          </w:tcPr>
          <w:p w:rsidR="005A3F47" w:rsidRDefault="006D5BB3" w:rsidP="00051F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  <w:p w:rsidR="00C63A9E" w:rsidRPr="006D5BB3" w:rsidRDefault="00C63A9E" w:rsidP="00051F67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DD39EE">
              <w:rPr>
                <w:i/>
                <w:sz w:val="24"/>
                <w:szCs w:val="24"/>
              </w:rPr>
              <w:t xml:space="preserve">Budget Monitoring </w:t>
            </w:r>
            <w:r>
              <w:rPr>
                <w:i/>
                <w:sz w:val="24"/>
                <w:szCs w:val="24"/>
              </w:rPr>
              <w:t xml:space="preserve">May 2017 Variance Analysis was </w:t>
            </w:r>
            <w:r w:rsidRPr="00DD39EE">
              <w:rPr>
                <w:i/>
                <w:sz w:val="24"/>
                <w:szCs w:val="24"/>
              </w:rPr>
              <w:t>circulated in advance of the meeting</w:t>
            </w:r>
            <w:r>
              <w:rPr>
                <w:i/>
                <w:sz w:val="24"/>
                <w:szCs w:val="24"/>
              </w:rPr>
              <w:t>.</w:t>
            </w:r>
            <w:r w:rsidRPr="00DD39EE">
              <w:rPr>
                <w:i/>
                <w:sz w:val="24"/>
                <w:szCs w:val="24"/>
              </w:rPr>
              <w:t>)</w:t>
            </w:r>
          </w:p>
        </w:tc>
      </w:tr>
      <w:tr w:rsidR="00EF19B4" w:rsidRPr="00DD39EE" w:rsidTr="00682CD3">
        <w:tc>
          <w:tcPr>
            <w:tcW w:w="704" w:type="dxa"/>
          </w:tcPr>
          <w:p w:rsidR="00EF19B4" w:rsidRPr="00DD39EE" w:rsidRDefault="0038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19B4" w:rsidRPr="00DD39EE">
              <w:rPr>
                <w:sz w:val="24"/>
                <w:szCs w:val="24"/>
              </w:rPr>
              <w:t>.1</w:t>
            </w:r>
          </w:p>
        </w:tc>
        <w:tc>
          <w:tcPr>
            <w:tcW w:w="8312" w:type="dxa"/>
          </w:tcPr>
          <w:p w:rsidR="00916D8F" w:rsidRPr="00DD39EE" w:rsidRDefault="00C63A9E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variances per budget head were noted.  </w:t>
            </w:r>
            <w:r w:rsidR="002E2F27">
              <w:rPr>
                <w:sz w:val="24"/>
                <w:szCs w:val="24"/>
              </w:rPr>
              <w:t>Due to the delayed release of the May grant the o</w:t>
            </w:r>
            <w:r>
              <w:rPr>
                <w:sz w:val="24"/>
                <w:szCs w:val="24"/>
              </w:rPr>
              <w:t>verall excess of expenditure over income for the year to May 2017 was €580,890.</w:t>
            </w:r>
          </w:p>
        </w:tc>
      </w:tr>
      <w:tr w:rsidR="00C63A9E" w:rsidRPr="00DD39EE" w:rsidTr="00682CD3">
        <w:tc>
          <w:tcPr>
            <w:tcW w:w="704" w:type="dxa"/>
          </w:tcPr>
          <w:p w:rsidR="00C63A9E" w:rsidRDefault="00C63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312" w:type="dxa"/>
          </w:tcPr>
          <w:p w:rsidR="00C63A9E" w:rsidRPr="00C63A9E" w:rsidRDefault="00C63A9E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Telecommunications budget is under €68k due to the delay in the Limerick office move and delay in receiving a LAN upgrade invoice.  Hardware budget is under €74k due to a delay</w:t>
            </w:r>
            <w:r w:rsidR="00826B01">
              <w:rPr>
                <w:sz w:val="24"/>
                <w:szCs w:val="24"/>
              </w:rPr>
              <w:t xml:space="preserve"> in starting the 2017 PC deployment, this will commence in late June.</w:t>
            </w:r>
          </w:p>
        </w:tc>
      </w:tr>
      <w:tr w:rsidR="00C63A9E" w:rsidRPr="00DD39EE" w:rsidTr="00682CD3">
        <w:tc>
          <w:tcPr>
            <w:tcW w:w="704" w:type="dxa"/>
          </w:tcPr>
          <w:p w:rsidR="00C63A9E" w:rsidRDefault="00826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312" w:type="dxa"/>
          </w:tcPr>
          <w:p w:rsidR="00C63A9E" w:rsidRPr="00826B01" w:rsidRDefault="00826B01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Rent &amp; Services Chargers are under budget by €35k for the year as the new Limerick premises has not commenced.  </w:t>
            </w:r>
          </w:p>
        </w:tc>
      </w:tr>
      <w:tr w:rsidR="00C63A9E" w:rsidRPr="00DD39EE" w:rsidTr="00682CD3">
        <w:tc>
          <w:tcPr>
            <w:tcW w:w="704" w:type="dxa"/>
          </w:tcPr>
          <w:p w:rsidR="00C63A9E" w:rsidRDefault="00826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312" w:type="dxa"/>
          </w:tcPr>
          <w:p w:rsidR="00C63A9E" w:rsidRPr="00826B01" w:rsidRDefault="00826B01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Salaries and Board Members Fees budget has a variance of €129,424 and will remain low until CIB have recruited up to its Employment Control Framework (ECF).</w:t>
            </w:r>
          </w:p>
        </w:tc>
      </w:tr>
      <w:tr w:rsidR="00082ED4" w:rsidRPr="00DD39EE" w:rsidTr="00682CD3">
        <w:tc>
          <w:tcPr>
            <w:tcW w:w="704" w:type="dxa"/>
          </w:tcPr>
          <w:p w:rsidR="00082ED4" w:rsidRDefault="0008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312" w:type="dxa"/>
          </w:tcPr>
          <w:p w:rsidR="00082ED4" w:rsidRDefault="00082ED4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virements were activated during the first five months of the year.</w:t>
            </w:r>
          </w:p>
          <w:p w:rsidR="00682CD3" w:rsidRDefault="00682CD3" w:rsidP="0093159A">
            <w:pPr>
              <w:rPr>
                <w:sz w:val="24"/>
                <w:szCs w:val="24"/>
              </w:rPr>
            </w:pPr>
          </w:p>
        </w:tc>
      </w:tr>
      <w:tr w:rsidR="00D5755E" w:rsidRPr="00DD39EE" w:rsidTr="00682CD3">
        <w:tc>
          <w:tcPr>
            <w:tcW w:w="704" w:type="dxa"/>
          </w:tcPr>
          <w:p w:rsidR="00D5755E" w:rsidRPr="00E673EC" w:rsidRDefault="003809E1">
            <w:pPr>
              <w:rPr>
                <w:b/>
                <w:sz w:val="24"/>
                <w:szCs w:val="24"/>
              </w:rPr>
            </w:pPr>
            <w:r w:rsidRPr="00E673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2" w:type="dxa"/>
          </w:tcPr>
          <w:p w:rsidR="00D5755E" w:rsidRDefault="008E0894" w:rsidP="000F19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  <w:p w:rsidR="00051F67" w:rsidRPr="00016236" w:rsidRDefault="008E0894" w:rsidP="000F19E9">
            <w:pPr>
              <w:rPr>
                <w:b/>
                <w:sz w:val="24"/>
                <w:szCs w:val="24"/>
              </w:rPr>
            </w:pPr>
            <w:r w:rsidRPr="00DD708B">
              <w:rPr>
                <w:i/>
                <w:sz w:val="24"/>
                <w:szCs w:val="24"/>
              </w:rPr>
              <w:t xml:space="preserve">(The report of the Chief Executive, </w:t>
            </w:r>
            <w:r>
              <w:rPr>
                <w:i/>
                <w:sz w:val="24"/>
                <w:szCs w:val="24"/>
              </w:rPr>
              <w:t>June</w:t>
            </w:r>
            <w:r w:rsidRPr="00DD708B">
              <w:rPr>
                <w:i/>
                <w:sz w:val="24"/>
                <w:szCs w:val="24"/>
              </w:rPr>
              <w:t xml:space="preserve"> 2017 was circulated in advance of the meeting.)</w:t>
            </w:r>
          </w:p>
        </w:tc>
      </w:tr>
      <w:tr w:rsidR="00D5755E" w:rsidRPr="00DD39EE" w:rsidTr="00682CD3">
        <w:tc>
          <w:tcPr>
            <w:tcW w:w="704" w:type="dxa"/>
          </w:tcPr>
          <w:p w:rsidR="00D5755E" w:rsidRPr="00DD39EE" w:rsidRDefault="000F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312" w:type="dxa"/>
          </w:tcPr>
          <w:p w:rsidR="00D5755E" w:rsidRPr="00DD39EE" w:rsidRDefault="00101E8E" w:rsidP="00D2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Chief Executive drew the attention of the Board to some of some key areas noted in the report.</w:t>
            </w:r>
            <w:r w:rsidR="0041495A">
              <w:rPr>
                <w:sz w:val="24"/>
                <w:szCs w:val="24"/>
              </w:rPr>
              <w:t xml:space="preserve"> </w:t>
            </w:r>
          </w:p>
        </w:tc>
      </w:tr>
      <w:tr w:rsidR="004016DD" w:rsidRPr="00DD39EE" w:rsidTr="00682CD3">
        <w:tc>
          <w:tcPr>
            <w:tcW w:w="704" w:type="dxa"/>
          </w:tcPr>
          <w:p w:rsidR="004016DD" w:rsidRPr="00DD39EE" w:rsidRDefault="00D3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312" w:type="dxa"/>
          </w:tcPr>
          <w:p w:rsidR="003226A1" w:rsidRPr="00DD39EE" w:rsidRDefault="00913CEB" w:rsidP="0056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redesign of Citizensinformation.ie is now implemented on testing website in the Office of the Government Chief Information Officer (OGCIO).  </w:t>
            </w:r>
          </w:p>
        </w:tc>
      </w:tr>
      <w:tr w:rsidR="005A3F47" w:rsidRPr="00DD39EE" w:rsidTr="00682CD3">
        <w:tc>
          <w:tcPr>
            <w:tcW w:w="704" w:type="dxa"/>
          </w:tcPr>
          <w:p w:rsidR="005A3F47" w:rsidRDefault="005A3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8312" w:type="dxa"/>
          </w:tcPr>
          <w:p w:rsidR="00916D8F" w:rsidRDefault="00021266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of 2</w:t>
            </w:r>
            <w:r w:rsidRPr="0002126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June, the DMAs have processed a total of 3,775 mortgage arrears cases, broken down into 2,390 active and 1,385 discharged cases.  Mr Eugene </w:t>
            </w:r>
            <w:proofErr w:type="spellStart"/>
            <w:r>
              <w:rPr>
                <w:sz w:val="24"/>
                <w:szCs w:val="24"/>
              </w:rPr>
              <w:t>McErlean</w:t>
            </w:r>
            <w:proofErr w:type="spellEnd"/>
            <w:r>
              <w:rPr>
                <w:sz w:val="24"/>
                <w:szCs w:val="24"/>
              </w:rPr>
              <w:t xml:space="preserve"> will meet with Adrian O’Connor to establish the clarification the Board seeks on category/outcomes from DMA cases that </w:t>
            </w:r>
            <w:proofErr w:type="spellStart"/>
            <w:r>
              <w:rPr>
                <w:sz w:val="24"/>
                <w:szCs w:val="24"/>
              </w:rPr>
              <w:t>MABSndl</w:t>
            </w:r>
            <w:proofErr w:type="spellEnd"/>
            <w:r>
              <w:rPr>
                <w:sz w:val="24"/>
                <w:szCs w:val="24"/>
              </w:rPr>
              <w:t xml:space="preserve"> will need to provide.  </w:t>
            </w:r>
            <w:proofErr w:type="spellStart"/>
            <w:r>
              <w:rPr>
                <w:sz w:val="24"/>
                <w:szCs w:val="24"/>
              </w:rPr>
              <w:t>MABSndl</w:t>
            </w:r>
            <w:proofErr w:type="spellEnd"/>
            <w:r>
              <w:rPr>
                <w:sz w:val="24"/>
                <w:szCs w:val="24"/>
              </w:rPr>
              <w:t xml:space="preserve"> will be invited to th</w:t>
            </w:r>
            <w:r w:rsidR="00E467CD">
              <w:rPr>
                <w:sz w:val="24"/>
                <w:szCs w:val="24"/>
              </w:rPr>
              <w:t>e next Board meeting to present this and a range of other areas.</w:t>
            </w:r>
          </w:p>
        </w:tc>
      </w:tr>
      <w:tr w:rsidR="0041495A" w:rsidRPr="00DD39EE" w:rsidTr="00682CD3">
        <w:tc>
          <w:tcPr>
            <w:tcW w:w="704" w:type="dxa"/>
          </w:tcPr>
          <w:p w:rsidR="0041495A" w:rsidRDefault="0002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8312" w:type="dxa"/>
          </w:tcPr>
          <w:p w:rsidR="0041495A" w:rsidRDefault="00021266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Standardising the categorising of clients by the 51 companies on MABSIS while the new case management system is be</w:t>
            </w:r>
            <w:r w:rsidR="001972B7">
              <w:rPr>
                <w:sz w:val="24"/>
                <w:szCs w:val="24"/>
              </w:rPr>
              <w:t>ing implemented needs attention by CIB.</w:t>
            </w:r>
            <w:r>
              <w:rPr>
                <w:sz w:val="24"/>
                <w:szCs w:val="24"/>
              </w:rPr>
              <w:t xml:space="preserve"> </w:t>
            </w:r>
          </w:p>
          <w:p w:rsidR="00682CD3" w:rsidRDefault="00682CD3" w:rsidP="0093159A">
            <w:pPr>
              <w:rPr>
                <w:sz w:val="24"/>
                <w:szCs w:val="24"/>
              </w:rPr>
            </w:pPr>
          </w:p>
        </w:tc>
      </w:tr>
      <w:tr w:rsidR="004016DD" w:rsidRPr="00DD39EE" w:rsidTr="00682CD3">
        <w:tc>
          <w:tcPr>
            <w:tcW w:w="704" w:type="dxa"/>
          </w:tcPr>
          <w:p w:rsidR="004016DD" w:rsidRPr="00E673EC" w:rsidRDefault="00BD03F5">
            <w:pPr>
              <w:rPr>
                <w:b/>
                <w:sz w:val="24"/>
                <w:szCs w:val="24"/>
              </w:rPr>
            </w:pPr>
            <w:r w:rsidRPr="00E673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2" w:type="dxa"/>
          </w:tcPr>
          <w:p w:rsidR="00A64D6C" w:rsidRDefault="008E0894" w:rsidP="00765B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Volunteer Strategy</w:t>
            </w:r>
            <w:r w:rsidR="003C0EB2">
              <w:rPr>
                <w:b/>
                <w:sz w:val="24"/>
                <w:szCs w:val="24"/>
              </w:rPr>
              <w:t xml:space="preserve"> </w:t>
            </w:r>
          </w:p>
          <w:p w:rsidR="003C0EB2" w:rsidRPr="003C0EB2" w:rsidRDefault="003C0EB2" w:rsidP="00765B46">
            <w:pPr>
              <w:rPr>
                <w:i/>
                <w:sz w:val="24"/>
                <w:szCs w:val="24"/>
              </w:rPr>
            </w:pPr>
            <w:r w:rsidRPr="003C0EB2">
              <w:rPr>
                <w:i/>
                <w:sz w:val="24"/>
                <w:szCs w:val="24"/>
              </w:rPr>
              <w:t>(A note for the Board on the Review of the Volunteer Strategy was circulated in advance of the meeting.)</w:t>
            </w:r>
          </w:p>
        </w:tc>
      </w:tr>
      <w:tr w:rsidR="00765B46" w:rsidRPr="00DD39EE" w:rsidTr="00682CD3">
        <w:tc>
          <w:tcPr>
            <w:tcW w:w="704" w:type="dxa"/>
          </w:tcPr>
          <w:p w:rsidR="00765B46" w:rsidRPr="00DD39EE" w:rsidRDefault="00BD0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312" w:type="dxa"/>
          </w:tcPr>
          <w:p w:rsidR="00916D8F" w:rsidRDefault="00DD3EA3" w:rsidP="0093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Board were briefed on the current review of the current National Strategy for Volunteers 2012. Work to date is being collated and drafted and a draft will be available in July.  The draft collated report, together with questionnaires </w:t>
            </w:r>
            <w:r w:rsidR="00FC0444">
              <w:rPr>
                <w:sz w:val="24"/>
                <w:szCs w:val="24"/>
              </w:rPr>
              <w:t xml:space="preserve">will be presented at the next Board meeting so that Board members can contribute to the development of the strategy at an early stage of </w:t>
            </w:r>
            <w:r w:rsidR="00DB18B6">
              <w:rPr>
                <w:sz w:val="24"/>
                <w:szCs w:val="24"/>
              </w:rPr>
              <w:t>its</w:t>
            </w:r>
            <w:r w:rsidR="00FC0444">
              <w:rPr>
                <w:sz w:val="24"/>
                <w:szCs w:val="24"/>
              </w:rPr>
              <w:t xml:space="preserve"> development.</w:t>
            </w:r>
          </w:p>
          <w:p w:rsidR="00682CD3" w:rsidRPr="00DD39EE" w:rsidRDefault="00682CD3" w:rsidP="0093159A">
            <w:pPr>
              <w:rPr>
                <w:sz w:val="24"/>
                <w:szCs w:val="24"/>
              </w:rPr>
            </w:pPr>
          </w:p>
        </w:tc>
      </w:tr>
      <w:tr w:rsidR="00765B46" w:rsidRPr="00DD39EE" w:rsidTr="00682CD3">
        <w:tc>
          <w:tcPr>
            <w:tcW w:w="704" w:type="dxa"/>
          </w:tcPr>
          <w:p w:rsidR="00765B46" w:rsidRPr="00DD39EE" w:rsidRDefault="00FF5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2" w:type="dxa"/>
          </w:tcPr>
          <w:p w:rsidR="00DD708B" w:rsidRPr="00DD708B" w:rsidRDefault="008E0894" w:rsidP="008E0894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Service</w:t>
            </w:r>
            <w:r w:rsidR="00B0025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Restructuring</w:t>
            </w:r>
          </w:p>
        </w:tc>
      </w:tr>
      <w:tr w:rsidR="00016236" w:rsidRPr="00DD39EE" w:rsidTr="00682CD3">
        <w:tc>
          <w:tcPr>
            <w:tcW w:w="704" w:type="dxa"/>
          </w:tcPr>
          <w:p w:rsidR="00016236" w:rsidRPr="00E673EC" w:rsidRDefault="00E673EC">
            <w:pPr>
              <w:rPr>
                <w:sz w:val="24"/>
                <w:szCs w:val="24"/>
              </w:rPr>
            </w:pPr>
            <w:r w:rsidRPr="00E673EC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8312" w:type="dxa"/>
          </w:tcPr>
          <w:p w:rsidR="00016236" w:rsidRPr="004E096B" w:rsidRDefault="00B0025C" w:rsidP="0056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Chief Executive briefed the Board on progress to date.  </w:t>
            </w:r>
          </w:p>
        </w:tc>
      </w:tr>
      <w:tr w:rsidR="00016236" w:rsidRPr="004E096B" w:rsidTr="00682CD3">
        <w:tc>
          <w:tcPr>
            <w:tcW w:w="704" w:type="dxa"/>
          </w:tcPr>
          <w:p w:rsidR="00016236" w:rsidRPr="004E096B" w:rsidRDefault="004E096B">
            <w:pPr>
              <w:rPr>
                <w:sz w:val="24"/>
                <w:szCs w:val="24"/>
              </w:rPr>
            </w:pPr>
            <w:r w:rsidRPr="004E096B">
              <w:rPr>
                <w:sz w:val="24"/>
                <w:szCs w:val="24"/>
              </w:rPr>
              <w:t>7.2</w:t>
            </w:r>
          </w:p>
        </w:tc>
        <w:tc>
          <w:tcPr>
            <w:tcW w:w="8312" w:type="dxa"/>
          </w:tcPr>
          <w:p w:rsidR="003226A1" w:rsidRPr="004E096B" w:rsidRDefault="00B0025C" w:rsidP="00A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 the 14 consultation meetings around the country, 13 were positive.  </w:t>
            </w:r>
          </w:p>
        </w:tc>
      </w:tr>
      <w:tr w:rsidR="00B0025C" w:rsidRPr="004E096B" w:rsidTr="00682CD3">
        <w:tc>
          <w:tcPr>
            <w:tcW w:w="704" w:type="dxa"/>
          </w:tcPr>
          <w:p w:rsidR="00B0025C" w:rsidRPr="004E096B" w:rsidRDefault="00B0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8312" w:type="dxa"/>
          </w:tcPr>
          <w:p w:rsidR="00B0025C" w:rsidRDefault="00B0025C" w:rsidP="00A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Implementation Group</w:t>
            </w:r>
            <w:r w:rsidR="00F04750">
              <w:rPr>
                <w:sz w:val="24"/>
                <w:szCs w:val="24"/>
              </w:rPr>
              <w:t xml:space="preserve">, established before the consultation </w:t>
            </w:r>
            <w:r w:rsidR="00274184">
              <w:rPr>
                <w:sz w:val="24"/>
                <w:szCs w:val="24"/>
              </w:rPr>
              <w:t>meetings, is</w:t>
            </w:r>
            <w:r>
              <w:rPr>
                <w:sz w:val="24"/>
                <w:szCs w:val="24"/>
              </w:rPr>
              <w:t xml:space="preserve"> a movable group where specific skills and expertise will be call</w:t>
            </w:r>
            <w:r w:rsidR="00274184">
              <w:rPr>
                <w:sz w:val="24"/>
                <w:szCs w:val="24"/>
              </w:rPr>
              <w:t>ed upon as and when necessary.</w:t>
            </w:r>
          </w:p>
        </w:tc>
      </w:tr>
      <w:tr w:rsidR="00B0025C" w:rsidRPr="004E096B" w:rsidTr="00682CD3">
        <w:tc>
          <w:tcPr>
            <w:tcW w:w="704" w:type="dxa"/>
          </w:tcPr>
          <w:p w:rsidR="00B0025C" w:rsidRDefault="00B00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8312" w:type="dxa"/>
          </w:tcPr>
          <w:p w:rsidR="00B0025C" w:rsidRDefault="00B0025C" w:rsidP="00A1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noted that there were no MABS companies on the Implementation Group</w:t>
            </w:r>
            <w:r w:rsidR="00DA0CEE">
              <w:rPr>
                <w:sz w:val="24"/>
                <w:szCs w:val="24"/>
              </w:rPr>
              <w:t>, except for one MABS employee.  It was noted that a</w:t>
            </w:r>
            <w:r>
              <w:rPr>
                <w:sz w:val="24"/>
                <w:szCs w:val="24"/>
              </w:rPr>
              <w:t>n invitation issued to NMF to invite</w:t>
            </w:r>
            <w:r w:rsidR="00F04750">
              <w:rPr>
                <w:sz w:val="24"/>
                <w:szCs w:val="24"/>
              </w:rPr>
              <w:t xml:space="preserve"> MABS management who are willing to serve and contribute to the implementation of the restructuring and recommend to CIB. </w:t>
            </w:r>
          </w:p>
        </w:tc>
      </w:tr>
      <w:tr w:rsidR="00DD708B" w:rsidRPr="004E096B" w:rsidTr="00682CD3">
        <w:tc>
          <w:tcPr>
            <w:tcW w:w="704" w:type="dxa"/>
          </w:tcPr>
          <w:p w:rsidR="00DD708B" w:rsidRPr="004E096B" w:rsidRDefault="00DD7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8312" w:type="dxa"/>
          </w:tcPr>
          <w:p w:rsidR="00DD708B" w:rsidRDefault="00F85824" w:rsidP="00E1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timeline for preparation for reorganisation of the CISs and MABS companies was circulated in advance of the meeting.  This covers decision making, preparation &amp; planning, action plan, TUPE, monitoring &amp; quality and CIS/MABS industrial relations.  Following discussion, some additions to the plan will be incorporated.</w:t>
            </w:r>
          </w:p>
          <w:p w:rsidR="00682CD3" w:rsidRDefault="00682CD3" w:rsidP="00E12010">
            <w:pPr>
              <w:rPr>
                <w:sz w:val="24"/>
                <w:szCs w:val="24"/>
              </w:rPr>
            </w:pPr>
          </w:p>
        </w:tc>
      </w:tr>
      <w:tr w:rsidR="00051F67" w:rsidRPr="00FF1F00" w:rsidTr="00682CD3">
        <w:tc>
          <w:tcPr>
            <w:tcW w:w="704" w:type="dxa"/>
          </w:tcPr>
          <w:p w:rsidR="00051F67" w:rsidRPr="00FF1F00" w:rsidRDefault="008E08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12" w:type="dxa"/>
          </w:tcPr>
          <w:p w:rsidR="00051F67" w:rsidRPr="00FF1F00" w:rsidRDefault="00051F67" w:rsidP="00FF54B8">
            <w:pPr>
              <w:rPr>
                <w:b/>
                <w:sz w:val="24"/>
                <w:szCs w:val="24"/>
              </w:rPr>
            </w:pPr>
            <w:r w:rsidRPr="00FF1F00">
              <w:rPr>
                <w:b/>
                <w:sz w:val="24"/>
                <w:szCs w:val="24"/>
              </w:rPr>
              <w:t xml:space="preserve">Date of the next Meeting </w:t>
            </w:r>
          </w:p>
        </w:tc>
      </w:tr>
      <w:tr w:rsidR="00765B46" w:rsidRPr="00DD39EE" w:rsidTr="00682CD3">
        <w:tc>
          <w:tcPr>
            <w:tcW w:w="704" w:type="dxa"/>
          </w:tcPr>
          <w:p w:rsidR="00765B46" w:rsidRPr="00DD39EE" w:rsidRDefault="008E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1A92">
              <w:rPr>
                <w:sz w:val="24"/>
                <w:szCs w:val="24"/>
              </w:rPr>
              <w:t>.1</w:t>
            </w:r>
          </w:p>
        </w:tc>
        <w:tc>
          <w:tcPr>
            <w:tcW w:w="8312" w:type="dxa"/>
          </w:tcPr>
          <w:p w:rsidR="00BA3BCF" w:rsidRPr="00DD39EE" w:rsidRDefault="00765B46" w:rsidP="00FF54B8">
            <w:pPr>
              <w:rPr>
                <w:sz w:val="24"/>
                <w:szCs w:val="24"/>
              </w:rPr>
            </w:pPr>
            <w:r w:rsidRPr="00DD39EE">
              <w:rPr>
                <w:sz w:val="24"/>
                <w:szCs w:val="24"/>
              </w:rPr>
              <w:t>The next meeting o</w:t>
            </w:r>
            <w:r w:rsidR="00FF54B8">
              <w:rPr>
                <w:sz w:val="24"/>
                <w:szCs w:val="24"/>
              </w:rPr>
              <w:t xml:space="preserve">f the Board will take place on </w:t>
            </w:r>
            <w:r w:rsidR="008E0894">
              <w:rPr>
                <w:sz w:val="24"/>
                <w:szCs w:val="24"/>
              </w:rPr>
              <w:t>Wednesday 26</w:t>
            </w:r>
            <w:r w:rsidR="008E0894" w:rsidRPr="008E0894">
              <w:rPr>
                <w:sz w:val="24"/>
                <w:szCs w:val="24"/>
                <w:vertAlign w:val="superscript"/>
              </w:rPr>
              <w:t>th</w:t>
            </w:r>
            <w:r w:rsidR="008E0894">
              <w:rPr>
                <w:sz w:val="24"/>
                <w:szCs w:val="24"/>
              </w:rPr>
              <w:t xml:space="preserve"> July </w:t>
            </w:r>
            <w:r w:rsidR="00051F67">
              <w:rPr>
                <w:sz w:val="24"/>
                <w:szCs w:val="24"/>
              </w:rPr>
              <w:t>2</w:t>
            </w:r>
            <w:r w:rsidR="008E0894">
              <w:rPr>
                <w:sz w:val="24"/>
                <w:szCs w:val="24"/>
              </w:rPr>
              <w:t>017 at 1.30pm.</w:t>
            </w:r>
            <w:r w:rsidR="002E2F27">
              <w:rPr>
                <w:sz w:val="24"/>
                <w:szCs w:val="24"/>
              </w:rPr>
              <w:t xml:space="preserve">  </w:t>
            </w:r>
            <w:r w:rsidR="00DE2F25">
              <w:rPr>
                <w:sz w:val="24"/>
                <w:szCs w:val="24"/>
              </w:rPr>
              <w:t xml:space="preserve">There will be a closed session at the start of the meeting.  </w:t>
            </w:r>
          </w:p>
        </w:tc>
      </w:tr>
    </w:tbl>
    <w:p w:rsidR="00BA3BCF" w:rsidRDefault="00BA3BCF" w:rsidP="00D14786">
      <w:pPr>
        <w:rPr>
          <w:sz w:val="24"/>
          <w:szCs w:val="24"/>
        </w:rPr>
      </w:pPr>
    </w:p>
    <w:p w:rsidR="00682CD3" w:rsidRDefault="00682CD3" w:rsidP="00D14786">
      <w:pPr>
        <w:rPr>
          <w:sz w:val="24"/>
          <w:szCs w:val="24"/>
        </w:rPr>
      </w:pPr>
      <w:bookmarkStart w:id="0" w:name="_GoBack"/>
      <w:bookmarkEnd w:id="0"/>
    </w:p>
    <w:sectPr w:rsidR="00682CD3" w:rsidSect="000F1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6C" w:rsidRDefault="009C6F6C" w:rsidP="00253E0A">
      <w:r>
        <w:separator/>
      </w:r>
    </w:p>
  </w:endnote>
  <w:endnote w:type="continuationSeparator" w:id="0">
    <w:p w:rsidR="009C6F6C" w:rsidRDefault="009C6F6C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6C" w:rsidRDefault="009C6F6C" w:rsidP="00253E0A">
      <w:r>
        <w:separator/>
      </w:r>
    </w:p>
  </w:footnote>
  <w:footnote w:type="continuationSeparator" w:id="0">
    <w:p w:rsidR="009C6F6C" w:rsidRDefault="009C6F6C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0A" w:rsidRDefault="00253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110C7"/>
    <w:rsid w:val="0001388E"/>
    <w:rsid w:val="00016236"/>
    <w:rsid w:val="00021266"/>
    <w:rsid w:val="000269CA"/>
    <w:rsid w:val="0003580A"/>
    <w:rsid w:val="00051F67"/>
    <w:rsid w:val="00054924"/>
    <w:rsid w:val="00060D52"/>
    <w:rsid w:val="00082ED4"/>
    <w:rsid w:val="000C137C"/>
    <w:rsid w:val="000D35CE"/>
    <w:rsid w:val="000D4F5F"/>
    <w:rsid w:val="000D6A6C"/>
    <w:rsid w:val="000F19E9"/>
    <w:rsid w:val="000F3431"/>
    <w:rsid w:val="00101E8E"/>
    <w:rsid w:val="00110523"/>
    <w:rsid w:val="00117242"/>
    <w:rsid w:val="00120677"/>
    <w:rsid w:val="001305A9"/>
    <w:rsid w:val="00167268"/>
    <w:rsid w:val="001972B7"/>
    <w:rsid w:val="001A2E70"/>
    <w:rsid w:val="001F2DE7"/>
    <w:rsid w:val="00206A7E"/>
    <w:rsid w:val="002452FE"/>
    <w:rsid w:val="00253E0A"/>
    <w:rsid w:val="00274184"/>
    <w:rsid w:val="002E2F27"/>
    <w:rsid w:val="002E4A8E"/>
    <w:rsid w:val="002F4AFA"/>
    <w:rsid w:val="00305E2A"/>
    <w:rsid w:val="003214E0"/>
    <w:rsid w:val="003226A1"/>
    <w:rsid w:val="00340314"/>
    <w:rsid w:val="00344369"/>
    <w:rsid w:val="003809E1"/>
    <w:rsid w:val="00380FB1"/>
    <w:rsid w:val="003919E8"/>
    <w:rsid w:val="003A1153"/>
    <w:rsid w:val="003A7F61"/>
    <w:rsid w:val="003B0825"/>
    <w:rsid w:val="003C0EB2"/>
    <w:rsid w:val="003C20AD"/>
    <w:rsid w:val="003F2FCC"/>
    <w:rsid w:val="004016DD"/>
    <w:rsid w:val="0041495A"/>
    <w:rsid w:val="00446426"/>
    <w:rsid w:val="00453032"/>
    <w:rsid w:val="00465639"/>
    <w:rsid w:val="004A3489"/>
    <w:rsid w:val="004B681F"/>
    <w:rsid w:val="004D4D2A"/>
    <w:rsid w:val="004E096B"/>
    <w:rsid w:val="004F1454"/>
    <w:rsid w:val="004F30CD"/>
    <w:rsid w:val="00535086"/>
    <w:rsid w:val="00561F9F"/>
    <w:rsid w:val="00593953"/>
    <w:rsid w:val="005A3F47"/>
    <w:rsid w:val="005B381C"/>
    <w:rsid w:val="0063668D"/>
    <w:rsid w:val="00672840"/>
    <w:rsid w:val="0067376C"/>
    <w:rsid w:val="00682CD3"/>
    <w:rsid w:val="00694352"/>
    <w:rsid w:val="006D5BB3"/>
    <w:rsid w:val="007251DB"/>
    <w:rsid w:val="007340D6"/>
    <w:rsid w:val="0073549F"/>
    <w:rsid w:val="00744DFB"/>
    <w:rsid w:val="007479CD"/>
    <w:rsid w:val="00765B46"/>
    <w:rsid w:val="007827CF"/>
    <w:rsid w:val="0079099F"/>
    <w:rsid w:val="007A11CF"/>
    <w:rsid w:val="007B028B"/>
    <w:rsid w:val="007B18E8"/>
    <w:rsid w:val="007E6D19"/>
    <w:rsid w:val="007F1270"/>
    <w:rsid w:val="00826B01"/>
    <w:rsid w:val="0084699B"/>
    <w:rsid w:val="00851FEA"/>
    <w:rsid w:val="00853A67"/>
    <w:rsid w:val="008738E5"/>
    <w:rsid w:val="00874C19"/>
    <w:rsid w:val="008A3A08"/>
    <w:rsid w:val="008D2F90"/>
    <w:rsid w:val="008E0894"/>
    <w:rsid w:val="008E2751"/>
    <w:rsid w:val="008F1725"/>
    <w:rsid w:val="008F3B26"/>
    <w:rsid w:val="008F5BA5"/>
    <w:rsid w:val="00913CEB"/>
    <w:rsid w:val="0091532B"/>
    <w:rsid w:val="00916D8F"/>
    <w:rsid w:val="0093159A"/>
    <w:rsid w:val="00940D59"/>
    <w:rsid w:val="00946395"/>
    <w:rsid w:val="009813DA"/>
    <w:rsid w:val="009C6F6C"/>
    <w:rsid w:val="00A10617"/>
    <w:rsid w:val="00A328CD"/>
    <w:rsid w:val="00A53270"/>
    <w:rsid w:val="00A64D6C"/>
    <w:rsid w:val="00A74FEC"/>
    <w:rsid w:val="00A86B7C"/>
    <w:rsid w:val="00A9519D"/>
    <w:rsid w:val="00A96269"/>
    <w:rsid w:val="00AA1A07"/>
    <w:rsid w:val="00AA2AD8"/>
    <w:rsid w:val="00AA715B"/>
    <w:rsid w:val="00AB3160"/>
    <w:rsid w:val="00AD12AE"/>
    <w:rsid w:val="00AF7967"/>
    <w:rsid w:val="00B0025C"/>
    <w:rsid w:val="00B044BC"/>
    <w:rsid w:val="00B624BE"/>
    <w:rsid w:val="00B85FA4"/>
    <w:rsid w:val="00B8735D"/>
    <w:rsid w:val="00B94410"/>
    <w:rsid w:val="00BA3BCF"/>
    <w:rsid w:val="00BC5F58"/>
    <w:rsid w:val="00BD03F5"/>
    <w:rsid w:val="00BE28D3"/>
    <w:rsid w:val="00BF6C39"/>
    <w:rsid w:val="00C1136E"/>
    <w:rsid w:val="00C61A92"/>
    <w:rsid w:val="00C63A9E"/>
    <w:rsid w:val="00C75A9F"/>
    <w:rsid w:val="00C920FC"/>
    <w:rsid w:val="00C96A47"/>
    <w:rsid w:val="00CD3134"/>
    <w:rsid w:val="00D06BC6"/>
    <w:rsid w:val="00D14786"/>
    <w:rsid w:val="00D16749"/>
    <w:rsid w:val="00D1740C"/>
    <w:rsid w:val="00D21DFF"/>
    <w:rsid w:val="00D222B9"/>
    <w:rsid w:val="00D30862"/>
    <w:rsid w:val="00D30A26"/>
    <w:rsid w:val="00D428F1"/>
    <w:rsid w:val="00D5755E"/>
    <w:rsid w:val="00D92AC3"/>
    <w:rsid w:val="00DA0CEE"/>
    <w:rsid w:val="00DB18B6"/>
    <w:rsid w:val="00DC3368"/>
    <w:rsid w:val="00DD39EE"/>
    <w:rsid w:val="00DD3EA3"/>
    <w:rsid w:val="00DD708B"/>
    <w:rsid w:val="00DE2F25"/>
    <w:rsid w:val="00E12010"/>
    <w:rsid w:val="00E2753F"/>
    <w:rsid w:val="00E45C55"/>
    <w:rsid w:val="00E467CD"/>
    <w:rsid w:val="00E673EC"/>
    <w:rsid w:val="00EE040A"/>
    <w:rsid w:val="00EE33CF"/>
    <w:rsid w:val="00EE7720"/>
    <w:rsid w:val="00EF19B4"/>
    <w:rsid w:val="00EF2DE2"/>
    <w:rsid w:val="00EF699E"/>
    <w:rsid w:val="00EF6D39"/>
    <w:rsid w:val="00F04750"/>
    <w:rsid w:val="00F11C92"/>
    <w:rsid w:val="00F460F9"/>
    <w:rsid w:val="00F53AB9"/>
    <w:rsid w:val="00F85824"/>
    <w:rsid w:val="00F93099"/>
    <w:rsid w:val="00FC0444"/>
    <w:rsid w:val="00FE1830"/>
    <w:rsid w:val="00FF1F00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4DE6-C363-4EAA-B139-0D92CBBA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2017-07-26T15:45:00Z</dcterms:created>
  <dcterms:modified xsi:type="dcterms:W3CDTF">2017-07-26T15:45:00Z</dcterms:modified>
</cp:coreProperties>
</file>