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0DB42" w14:textId="77777777" w:rsidR="00A33E08" w:rsidRPr="00FB3976" w:rsidRDefault="00A33E08" w:rsidP="00A33E08">
      <w:pPr>
        <w:pStyle w:val="Heading1"/>
      </w:pPr>
      <w:bookmarkStart w:id="0" w:name="_Toc81486886"/>
      <w:bookmarkStart w:id="1" w:name="_Toc81486893"/>
      <w:r w:rsidRPr="00FB3976">
        <w:t xml:space="preserve">CIS </w:t>
      </w:r>
      <w:bookmarkEnd w:id="0"/>
      <w:r w:rsidRPr="00FB3976">
        <w:t>Query Profile 2021</w:t>
      </w:r>
    </w:p>
    <w:bookmarkEnd w:id="1"/>
    <w:p w14:paraId="31B85A9B" w14:textId="0182E716" w:rsidR="00A33E08" w:rsidRPr="00FB3976" w:rsidRDefault="00A33E08" w:rsidP="00FB3976">
      <w:pPr>
        <w:pStyle w:val="Heading1"/>
        <w:rPr>
          <w:sz w:val="28"/>
          <w:szCs w:val="28"/>
        </w:rPr>
      </w:pPr>
      <w:r w:rsidRPr="00FB3976">
        <w:rPr>
          <w:sz w:val="28"/>
          <w:szCs w:val="28"/>
        </w:rPr>
        <w:t>Top</w:t>
      </w:r>
      <w:r w:rsidR="007B3162">
        <w:rPr>
          <w:sz w:val="28"/>
          <w:szCs w:val="28"/>
        </w:rPr>
        <w:t xml:space="preserve"> </w:t>
      </w:r>
      <w:r w:rsidRPr="00FB3976">
        <w:rPr>
          <w:sz w:val="28"/>
          <w:szCs w:val="28"/>
        </w:rPr>
        <w:t>Ten Payment</w:t>
      </w:r>
      <w:r w:rsidR="00274914">
        <w:rPr>
          <w:sz w:val="28"/>
          <w:szCs w:val="28"/>
        </w:rPr>
        <w:t>s</w:t>
      </w:r>
      <w:r w:rsidRPr="00FB3976">
        <w:rPr>
          <w:sz w:val="28"/>
          <w:szCs w:val="28"/>
        </w:rPr>
        <w:t xml:space="preserve"> &amp; Schemes</w:t>
      </w:r>
    </w:p>
    <w:p w14:paraId="397D0C08" w14:textId="546E950D" w:rsidR="00C13E56" w:rsidRDefault="007B3162" w:rsidP="00A33E08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en-IE"/>
        </w:rPr>
        <w:t>Top Ten</w:t>
      </w:r>
      <w:r w:rsidR="00A33E08" w:rsidRPr="00FB3976">
        <w:rPr>
          <w:rFonts w:ascii="Calibri" w:hAnsi="Calibri" w:cs="Calibri"/>
          <w:lang w:eastAsia="en-IE"/>
        </w:rPr>
        <w:t xml:space="preserve"> refers to the single </w:t>
      </w:r>
      <w:r w:rsidR="007635CA" w:rsidRPr="00FB3976">
        <w:rPr>
          <w:rFonts w:ascii="Calibri" w:hAnsi="Calibri" w:cs="Calibri"/>
          <w:lang w:eastAsia="en-IE"/>
        </w:rPr>
        <w:t xml:space="preserve">or </w:t>
      </w:r>
      <w:r w:rsidR="007635CA" w:rsidRPr="00FB3976">
        <w:rPr>
          <w:rFonts w:ascii="Calibri" w:hAnsi="Calibri" w:cs="Calibri"/>
          <w:i/>
          <w:lang w:eastAsia="en-IE"/>
        </w:rPr>
        <w:t>unique</w:t>
      </w:r>
      <w:r w:rsidR="007635CA" w:rsidRPr="00FB3976">
        <w:rPr>
          <w:rFonts w:ascii="Calibri" w:hAnsi="Calibri" w:cs="Calibri"/>
          <w:lang w:eastAsia="en-IE"/>
        </w:rPr>
        <w:t xml:space="preserve"> </w:t>
      </w:r>
      <w:r w:rsidR="00FB3976" w:rsidRPr="00FB3976">
        <w:rPr>
          <w:rFonts w:ascii="Calibri" w:hAnsi="Calibri" w:cs="Calibri"/>
          <w:lang w:eastAsia="en-IE"/>
        </w:rPr>
        <w:t>payments,</w:t>
      </w:r>
      <w:r w:rsidR="00807D50">
        <w:rPr>
          <w:rFonts w:ascii="Calibri" w:hAnsi="Calibri" w:cs="Calibri"/>
          <w:lang w:eastAsia="en-IE"/>
        </w:rPr>
        <w:t xml:space="preserve"> scheme</w:t>
      </w:r>
      <w:r w:rsidR="00274914">
        <w:rPr>
          <w:rFonts w:ascii="Calibri" w:hAnsi="Calibri" w:cs="Calibri"/>
          <w:lang w:eastAsia="en-IE"/>
        </w:rPr>
        <w:t>s</w:t>
      </w:r>
      <w:r w:rsidR="00A33E08" w:rsidRPr="00FB3976">
        <w:rPr>
          <w:rFonts w:ascii="Calibri" w:hAnsi="Calibri" w:cs="Calibri"/>
          <w:lang w:eastAsia="en-IE"/>
        </w:rPr>
        <w:t xml:space="preserve"> </w:t>
      </w:r>
      <w:r w:rsidR="009857A2" w:rsidRPr="00FB3976">
        <w:rPr>
          <w:rFonts w:ascii="Calibri" w:hAnsi="Calibri" w:cs="Calibri"/>
          <w:lang w:eastAsia="en-IE"/>
        </w:rPr>
        <w:t xml:space="preserve">or </w:t>
      </w:r>
      <w:r w:rsidR="00F20C22">
        <w:rPr>
          <w:rFonts w:ascii="Calibri" w:hAnsi="Calibri" w:cs="Calibri"/>
          <w:lang w:eastAsia="en-IE"/>
        </w:rPr>
        <w:t>entitlement</w:t>
      </w:r>
      <w:r w:rsidR="00AD738E">
        <w:rPr>
          <w:rFonts w:ascii="Calibri" w:hAnsi="Calibri" w:cs="Calibri"/>
          <w:lang w:eastAsia="en-IE"/>
        </w:rPr>
        <w:t>s that emerge</w:t>
      </w:r>
      <w:r w:rsidR="00F20C22">
        <w:rPr>
          <w:rFonts w:ascii="Calibri" w:hAnsi="Calibri" w:cs="Calibri"/>
          <w:lang w:eastAsia="en-IE"/>
        </w:rPr>
        <w:t xml:space="preserve"> </w:t>
      </w:r>
      <w:r w:rsidR="00FB3976" w:rsidRPr="00FB3976">
        <w:rPr>
          <w:rFonts w:ascii="Calibri" w:hAnsi="Calibri" w:cs="Calibri"/>
          <w:lang w:eastAsia="en-IE"/>
        </w:rPr>
        <w:t xml:space="preserve">in CIS data </w:t>
      </w:r>
      <w:r w:rsidR="00A33E08" w:rsidRPr="00FB3976">
        <w:rPr>
          <w:rFonts w:ascii="Calibri" w:hAnsi="Calibri" w:cs="Calibri"/>
          <w:lang w:eastAsia="en-IE"/>
        </w:rPr>
        <w:t xml:space="preserve">with the highest query numbers. These payments and </w:t>
      </w:r>
      <w:r w:rsidR="00FB3976" w:rsidRPr="00FB3976">
        <w:rPr>
          <w:rFonts w:ascii="Calibri" w:hAnsi="Calibri" w:cs="Calibri"/>
          <w:lang w:eastAsia="en-IE"/>
        </w:rPr>
        <w:t>schemes are often recorded in</w:t>
      </w:r>
      <w:r w:rsidR="00A33E08" w:rsidRPr="00FB3976">
        <w:rPr>
          <w:rFonts w:ascii="Calibri" w:hAnsi="Calibri" w:cs="Calibri"/>
          <w:lang w:eastAsia="en-IE"/>
        </w:rPr>
        <w:t xml:space="preserve"> different query ca</w:t>
      </w:r>
      <w:r w:rsidR="00FB3976" w:rsidRPr="00FB3976">
        <w:rPr>
          <w:rFonts w:ascii="Calibri" w:hAnsi="Calibri" w:cs="Calibri"/>
          <w:lang w:eastAsia="en-IE"/>
        </w:rPr>
        <w:t>tegories. F</w:t>
      </w:r>
      <w:r w:rsidR="007635CA" w:rsidRPr="00FB3976">
        <w:rPr>
          <w:rFonts w:ascii="Calibri" w:hAnsi="Calibri" w:cs="Calibri"/>
          <w:lang w:eastAsia="en-IE"/>
        </w:rPr>
        <w:t>or example, Medical C</w:t>
      </w:r>
      <w:r w:rsidR="00FB3976" w:rsidRPr="00FB3976">
        <w:rPr>
          <w:rFonts w:ascii="Calibri" w:hAnsi="Calibri" w:cs="Calibri"/>
          <w:lang w:eastAsia="en-IE"/>
        </w:rPr>
        <w:t>ard queries are recorded in</w:t>
      </w:r>
      <w:r w:rsidR="00A33E08" w:rsidRPr="00FB3976">
        <w:rPr>
          <w:rFonts w:ascii="Calibri" w:hAnsi="Calibri" w:cs="Calibri"/>
          <w:lang w:eastAsia="en-IE"/>
        </w:rPr>
        <w:t xml:space="preserve"> the Health category, while both Jobseeker</w:t>
      </w:r>
      <w:r w:rsidR="00274914">
        <w:rPr>
          <w:rFonts w:ascii="Calibri" w:hAnsi="Calibri" w:cs="Calibri"/>
          <w:lang w:eastAsia="en-IE"/>
        </w:rPr>
        <w:t>’</w:t>
      </w:r>
      <w:r w:rsidR="00A33E08" w:rsidRPr="00FB3976">
        <w:rPr>
          <w:rFonts w:ascii="Calibri" w:hAnsi="Calibri" w:cs="Calibri"/>
          <w:lang w:eastAsia="en-IE"/>
        </w:rPr>
        <w:t>s Allowance and Job</w:t>
      </w:r>
      <w:r w:rsidR="008162BA">
        <w:rPr>
          <w:rFonts w:ascii="Calibri" w:hAnsi="Calibri" w:cs="Calibri"/>
          <w:lang w:eastAsia="en-IE"/>
        </w:rPr>
        <w:t>s</w:t>
      </w:r>
      <w:r w:rsidR="00A33E08" w:rsidRPr="00FB3976">
        <w:rPr>
          <w:rFonts w:ascii="Calibri" w:hAnsi="Calibri" w:cs="Calibri"/>
          <w:lang w:eastAsia="en-IE"/>
        </w:rPr>
        <w:t>eeker</w:t>
      </w:r>
      <w:r w:rsidR="00F20C22">
        <w:rPr>
          <w:rFonts w:ascii="Calibri" w:hAnsi="Calibri" w:cs="Calibri"/>
          <w:lang w:eastAsia="en-IE"/>
        </w:rPr>
        <w:t>’</w:t>
      </w:r>
      <w:r w:rsidR="00A33E08" w:rsidRPr="00FB3976">
        <w:rPr>
          <w:rFonts w:ascii="Calibri" w:hAnsi="Calibri" w:cs="Calibri"/>
          <w:lang w:eastAsia="en-IE"/>
        </w:rPr>
        <w:t>s Benefit are recorded in the Social Welfare category.</w:t>
      </w:r>
      <w:r w:rsidR="00C13E56">
        <w:rPr>
          <w:rFonts w:ascii="Calibri" w:hAnsi="Calibri" w:cs="Calibri"/>
          <w:lang w:eastAsia="en-IE"/>
        </w:rPr>
        <w:t xml:space="preserve"> </w:t>
      </w:r>
      <w:r w:rsidR="00FB3976" w:rsidRPr="00FB3976">
        <w:rPr>
          <w:rFonts w:ascii="Calibri" w:hAnsi="Calibri" w:cs="Calibri"/>
          <w:lang w:eastAsia="en-IE"/>
        </w:rPr>
        <w:t xml:space="preserve">In 2021, </w:t>
      </w:r>
      <w:r w:rsidR="00274914">
        <w:rPr>
          <w:rFonts w:ascii="Calibri" w:hAnsi="Calibri" w:cs="Calibri"/>
          <w:lang w:eastAsia="en-IE"/>
        </w:rPr>
        <w:t xml:space="preserve">one quarter of </w:t>
      </w:r>
      <w:r w:rsidR="00F20C22">
        <w:rPr>
          <w:rFonts w:ascii="Calibri" w:hAnsi="Calibri" w:cs="Calibri"/>
        </w:rPr>
        <w:t xml:space="preserve">all </w:t>
      </w:r>
      <w:r w:rsidR="00FB3976" w:rsidRPr="00FB3976">
        <w:rPr>
          <w:rFonts w:ascii="Calibri" w:hAnsi="Calibri" w:cs="Calibri"/>
        </w:rPr>
        <w:t xml:space="preserve">queries </w:t>
      </w:r>
      <w:r w:rsidR="00807D50">
        <w:rPr>
          <w:rFonts w:ascii="Calibri" w:hAnsi="Calibri" w:cs="Calibri"/>
        </w:rPr>
        <w:t xml:space="preserve">recorded by CISs </w:t>
      </w:r>
      <w:r w:rsidR="00FB3976" w:rsidRPr="00FB3976">
        <w:rPr>
          <w:rFonts w:ascii="Calibri" w:hAnsi="Calibri" w:cs="Calibri"/>
        </w:rPr>
        <w:t xml:space="preserve">were </w:t>
      </w:r>
      <w:r w:rsidR="00807D50">
        <w:rPr>
          <w:rFonts w:ascii="Calibri" w:hAnsi="Calibri" w:cs="Calibri"/>
        </w:rPr>
        <w:t>in relation</w:t>
      </w:r>
      <w:r w:rsidR="00FB3976" w:rsidRPr="00FB3976">
        <w:rPr>
          <w:rFonts w:ascii="Calibri" w:hAnsi="Calibri" w:cs="Calibri"/>
        </w:rPr>
        <w:t xml:space="preserve"> </w:t>
      </w:r>
      <w:r w:rsidR="00E45593">
        <w:rPr>
          <w:rFonts w:ascii="Calibri" w:hAnsi="Calibri" w:cs="Calibri"/>
        </w:rPr>
        <w:t xml:space="preserve">to </w:t>
      </w:r>
      <w:r w:rsidR="00274914">
        <w:rPr>
          <w:rFonts w:ascii="Calibri" w:hAnsi="Calibri" w:cs="Calibri"/>
        </w:rPr>
        <w:t xml:space="preserve">ten </w:t>
      </w:r>
      <w:r w:rsidR="00F20C22">
        <w:rPr>
          <w:rFonts w:ascii="Calibri" w:hAnsi="Calibri" w:cs="Calibri"/>
        </w:rPr>
        <w:t>key</w:t>
      </w:r>
      <w:r w:rsidR="00274914">
        <w:rPr>
          <w:rFonts w:ascii="Calibri" w:hAnsi="Calibri" w:cs="Calibri"/>
        </w:rPr>
        <w:t xml:space="preserve"> payments or schemes</w:t>
      </w:r>
      <w:r w:rsidR="00AD738E">
        <w:rPr>
          <w:rFonts w:ascii="Calibri" w:hAnsi="Calibri" w:cs="Calibri"/>
        </w:rPr>
        <w:t>, as set out in Table 1 below</w:t>
      </w:r>
      <w:r w:rsidR="00FB3976" w:rsidRPr="00FB3976">
        <w:rPr>
          <w:rFonts w:ascii="Calibri" w:hAnsi="Calibri" w:cs="Calibri"/>
        </w:rPr>
        <w:t>.</w:t>
      </w:r>
      <w:r w:rsidR="00E45593">
        <w:rPr>
          <w:rFonts w:ascii="Calibri" w:hAnsi="Calibri" w:cs="Calibri"/>
        </w:rPr>
        <w:t xml:space="preserve"> </w:t>
      </w:r>
    </w:p>
    <w:p w14:paraId="1D5ED158" w14:textId="73197F8D" w:rsidR="00AD738E" w:rsidRDefault="00807D50" w:rsidP="00A33E08">
      <w:pPr>
        <w:jc w:val="both"/>
        <w:rPr>
          <w:rFonts w:ascii="Calibri" w:hAnsi="Calibri" w:cs="Calibri"/>
          <w:lang w:eastAsia="en-IE"/>
        </w:rPr>
      </w:pPr>
      <w:r>
        <w:rPr>
          <w:rFonts w:ascii="Calibri" w:hAnsi="Calibri" w:cs="Calibri"/>
        </w:rPr>
        <w:t>T</w:t>
      </w:r>
      <w:r w:rsidR="00FB3976" w:rsidRPr="00FB3976">
        <w:rPr>
          <w:rFonts w:ascii="Calibri" w:hAnsi="Calibri" w:cs="Calibri"/>
        </w:rPr>
        <w:t>he Medical Card (25,472)</w:t>
      </w:r>
      <w:r w:rsidR="00E45593">
        <w:rPr>
          <w:rFonts w:ascii="Calibri" w:hAnsi="Calibri" w:cs="Calibri"/>
        </w:rPr>
        <w:t xml:space="preserve"> was highest</w:t>
      </w:r>
      <w:r w:rsidR="00FB3976" w:rsidRPr="00FB397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followed by</w:t>
      </w:r>
      <w:r w:rsidR="00FB3976" w:rsidRPr="00FB3976">
        <w:rPr>
          <w:rFonts w:ascii="Calibri" w:hAnsi="Calibri" w:cs="Calibri"/>
        </w:rPr>
        <w:t xml:space="preserve"> Carer’s Allowance (22,002) and the State Pension/Contributory Pension (21,398). </w:t>
      </w:r>
      <w:r w:rsidR="00CE3632">
        <w:rPr>
          <w:rFonts w:ascii="Calibri" w:hAnsi="Calibri" w:cs="Calibri"/>
        </w:rPr>
        <w:t>Fuel Allowance (14,251) queries increased in</w:t>
      </w:r>
      <w:r w:rsidR="00AD738E">
        <w:rPr>
          <w:rFonts w:ascii="Calibri" w:hAnsi="Calibri" w:cs="Calibri"/>
        </w:rPr>
        <w:t xml:space="preserve"> 2021 and featured in the Top-Ten list</w:t>
      </w:r>
      <w:r w:rsidR="00C13E56">
        <w:rPr>
          <w:rFonts w:ascii="Calibri" w:hAnsi="Calibri" w:cs="Calibri"/>
        </w:rPr>
        <w:t xml:space="preserve"> this year</w:t>
      </w:r>
      <w:r w:rsidR="00AD738E">
        <w:rPr>
          <w:rFonts w:ascii="Calibri" w:hAnsi="Calibri" w:cs="Calibri"/>
        </w:rPr>
        <w:t>, replacing the Household Benefits Package</w:t>
      </w:r>
      <w:r w:rsidR="00C13E56">
        <w:rPr>
          <w:rFonts w:ascii="Calibri" w:hAnsi="Calibri" w:cs="Calibri"/>
        </w:rPr>
        <w:t>,</w:t>
      </w:r>
      <w:r w:rsidR="00AD738E">
        <w:rPr>
          <w:rFonts w:ascii="Calibri" w:hAnsi="Calibri" w:cs="Calibri"/>
        </w:rPr>
        <w:t xml:space="preserve"> which had recorded over </w:t>
      </w:r>
      <w:r w:rsidR="00C13E56">
        <w:rPr>
          <w:rFonts w:ascii="Calibri" w:hAnsi="Calibri" w:cs="Calibri"/>
        </w:rPr>
        <w:t>14,000</w:t>
      </w:r>
      <w:r w:rsidR="00AD738E">
        <w:rPr>
          <w:rFonts w:ascii="Calibri" w:hAnsi="Calibri" w:cs="Calibri"/>
        </w:rPr>
        <w:t xml:space="preserve"> queries in 2020 and 2019.</w:t>
      </w:r>
    </w:p>
    <w:p w14:paraId="684B198A" w14:textId="24E85BEF" w:rsidR="00C126FA" w:rsidRPr="00AD738E" w:rsidRDefault="00F20C22" w:rsidP="00A33E08">
      <w:pPr>
        <w:jc w:val="both"/>
        <w:rPr>
          <w:rFonts w:ascii="Arial" w:hAnsi="Arial" w:cs="Arial"/>
          <w:color w:val="404040"/>
          <w:lang w:eastAsia="en-IE"/>
        </w:rPr>
      </w:pPr>
      <w:r w:rsidRPr="00CE3632">
        <w:rPr>
          <w:rFonts w:ascii="Calibri" w:hAnsi="Calibri" w:cs="Calibri"/>
        </w:rPr>
        <w:t xml:space="preserve">The </w:t>
      </w:r>
      <w:r w:rsidR="00C126FA" w:rsidRPr="00CE3632">
        <w:rPr>
          <w:rFonts w:ascii="Calibri" w:hAnsi="Calibri" w:cs="Calibri"/>
        </w:rPr>
        <w:t xml:space="preserve">Medical </w:t>
      </w:r>
      <w:r w:rsidRPr="00CE3632">
        <w:rPr>
          <w:rFonts w:ascii="Calibri" w:hAnsi="Calibri" w:cs="Calibri"/>
        </w:rPr>
        <w:t>C</w:t>
      </w:r>
      <w:r w:rsidR="00C126FA" w:rsidRPr="00CE3632">
        <w:rPr>
          <w:rFonts w:ascii="Calibri" w:hAnsi="Calibri" w:cs="Calibri"/>
        </w:rPr>
        <w:t>ard</w:t>
      </w:r>
      <w:r w:rsidRPr="00CE3632">
        <w:rPr>
          <w:rFonts w:ascii="Calibri" w:hAnsi="Calibri" w:cs="Calibri"/>
        </w:rPr>
        <w:t xml:space="preserve"> </w:t>
      </w:r>
      <w:r w:rsidR="00C126FA" w:rsidRPr="00CE3632">
        <w:rPr>
          <w:rFonts w:ascii="Calibri" w:hAnsi="Calibri" w:cs="Calibri"/>
        </w:rPr>
        <w:t>has remained the top single query area over a number of years.  Disability</w:t>
      </w:r>
      <w:r w:rsidRPr="00CE3632">
        <w:rPr>
          <w:rFonts w:ascii="Calibri" w:hAnsi="Calibri" w:cs="Calibri"/>
        </w:rPr>
        <w:t xml:space="preserve"> and Illness related queries, such as</w:t>
      </w:r>
      <w:r w:rsidR="00C126FA" w:rsidRPr="00CE3632">
        <w:rPr>
          <w:rFonts w:ascii="Calibri" w:hAnsi="Calibri" w:cs="Calibri"/>
        </w:rPr>
        <w:t xml:space="preserve"> </w:t>
      </w:r>
      <w:r w:rsidRPr="00CE3632">
        <w:rPr>
          <w:rFonts w:ascii="Calibri" w:hAnsi="Calibri" w:cs="Calibri"/>
        </w:rPr>
        <w:t xml:space="preserve">the </w:t>
      </w:r>
      <w:r w:rsidR="00C126FA" w:rsidRPr="00CE3632">
        <w:rPr>
          <w:rFonts w:ascii="Calibri" w:hAnsi="Calibri" w:cs="Calibri"/>
        </w:rPr>
        <w:t>Carer’s Allowance and Disability Allowance</w:t>
      </w:r>
      <w:r w:rsidR="00AD738E">
        <w:rPr>
          <w:rFonts w:ascii="Calibri" w:hAnsi="Calibri" w:cs="Calibri"/>
        </w:rPr>
        <w:t xml:space="preserve">, also </w:t>
      </w:r>
      <w:r w:rsidR="00C126FA" w:rsidRPr="00CE3632">
        <w:rPr>
          <w:rFonts w:ascii="Calibri" w:hAnsi="Calibri" w:cs="Calibri"/>
        </w:rPr>
        <w:t>feature consistently</w:t>
      </w:r>
      <w:r w:rsidR="00CE3632">
        <w:rPr>
          <w:rFonts w:ascii="Calibri" w:hAnsi="Calibri" w:cs="Calibri"/>
        </w:rPr>
        <w:t xml:space="preserve"> in the Top Ten list</w:t>
      </w:r>
      <w:r w:rsidRPr="00CE3632">
        <w:rPr>
          <w:rFonts w:ascii="Calibri" w:hAnsi="Calibri" w:cs="Calibri"/>
        </w:rPr>
        <w:t xml:space="preserve">. Queries to do with </w:t>
      </w:r>
      <w:r w:rsidRPr="007B57A6">
        <w:rPr>
          <w:rFonts w:ascii="Calibri" w:hAnsi="Calibri" w:cs="Calibri"/>
        </w:rPr>
        <w:t>th</w:t>
      </w:r>
      <w:r w:rsidR="00AD738E" w:rsidRPr="007B57A6">
        <w:rPr>
          <w:rFonts w:ascii="Calibri" w:hAnsi="Calibri" w:cs="Calibri"/>
        </w:rPr>
        <w:t>e</w:t>
      </w:r>
      <w:r w:rsidR="00AD738E" w:rsidRPr="007B57A6">
        <w:rPr>
          <w:rFonts w:ascii="Calibri" w:hAnsi="Calibri" w:cs="Calibri"/>
          <w:lang w:eastAsia="en-IE"/>
        </w:rPr>
        <w:t xml:space="preserve"> </w:t>
      </w:r>
      <w:r w:rsidR="00C13E56" w:rsidRPr="007B57A6">
        <w:rPr>
          <w:rFonts w:ascii="Calibri" w:hAnsi="Calibri" w:cs="Calibri"/>
          <w:lang w:eastAsia="en-IE"/>
        </w:rPr>
        <w:t xml:space="preserve">state pension/contributory was </w:t>
      </w:r>
      <w:r w:rsidRPr="007B57A6">
        <w:rPr>
          <w:rFonts w:ascii="Calibri" w:hAnsi="Calibri" w:cs="Calibri"/>
        </w:rPr>
        <w:t>the highest query category emerging in the first six months of 2021, an</w:t>
      </w:r>
      <w:r w:rsidR="00CE3632" w:rsidRPr="007B57A6">
        <w:rPr>
          <w:rFonts w:ascii="Calibri" w:hAnsi="Calibri" w:cs="Calibri"/>
        </w:rPr>
        <w:t xml:space="preserve">d </w:t>
      </w:r>
      <w:r w:rsidR="00C13E56" w:rsidRPr="007B57A6">
        <w:rPr>
          <w:rFonts w:ascii="Calibri" w:hAnsi="Calibri" w:cs="Calibri"/>
        </w:rPr>
        <w:t xml:space="preserve">consistently features in the highest </w:t>
      </w:r>
      <w:r w:rsidR="00C13E56">
        <w:rPr>
          <w:rFonts w:ascii="Calibri" w:hAnsi="Calibri" w:cs="Calibri"/>
        </w:rPr>
        <w:t>queries recorded by services</w:t>
      </w:r>
      <w:r w:rsidR="00CE3632">
        <w:rPr>
          <w:rFonts w:ascii="Calibri" w:hAnsi="Calibri" w:cs="Calibri"/>
        </w:rPr>
        <w:t>.</w:t>
      </w:r>
    </w:p>
    <w:p w14:paraId="2C8D520F" w14:textId="4548ECF4" w:rsidR="00AD738E" w:rsidRPr="00FB3976" w:rsidRDefault="007B3162" w:rsidP="00A33E08">
      <w:pPr>
        <w:jc w:val="both"/>
        <w:rPr>
          <w:rFonts w:ascii="Calibri" w:hAnsi="Calibri" w:cs="Calibri"/>
          <w:lang w:eastAsia="en-IE"/>
        </w:rPr>
      </w:pPr>
      <w:r>
        <w:rPr>
          <w:rFonts w:ascii="Calibri" w:hAnsi="Calibri" w:cs="Calibri"/>
          <w:lang w:eastAsia="en-IE"/>
        </w:rPr>
        <w:t xml:space="preserve">The Top </w:t>
      </w:r>
      <w:r w:rsidR="00C13E56" w:rsidRPr="00FB3976">
        <w:rPr>
          <w:rFonts w:ascii="Calibri" w:hAnsi="Calibri" w:cs="Calibri"/>
          <w:lang w:eastAsia="en-IE"/>
        </w:rPr>
        <w:t>Ten Payments and Schemes dealt with by C</w:t>
      </w:r>
      <w:r w:rsidR="00C13E56">
        <w:rPr>
          <w:rFonts w:ascii="Calibri" w:hAnsi="Calibri" w:cs="Calibri"/>
          <w:lang w:eastAsia="en-IE"/>
        </w:rPr>
        <w:t>itizens Information Services (C</w:t>
      </w:r>
      <w:r w:rsidR="00C13E56" w:rsidRPr="00FB3976">
        <w:rPr>
          <w:rFonts w:ascii="Calibri" w:hAnsi="Calibri" w:cs="Calibri"/>
          <w:lang w:eastAsia="en-IE"/>
        </w:rPr>
        <w:t>ISs</w:t>
      </w:r>
      <w:r w:rsidR="00C13E56">
        <w:rPr>
          <w:rFonts w:ascii="Calibri" w:hAnsi="Calibri" w:cs="Calibri"/>
          <w:lang w:eastAsia="en-IE"/>
        </w:rPr>
        <w:t>)</w:t>
      </w:r>
      <w:r w:rsidR="00C13E56" w:rsidRPr="00FB3976">
        <w:rPr>
          <w:rFonts w:ascii="Calibri" w:hAnsi="Calibri" w:cs="Calibri"/>
          <w:lang w:eastAsia="en-IE"/>
        </w:rPr>
        <w:t xml:space="preserve"> in 2021 </w:t>
      </w:r>
      <w:r w:rsidR="007B57A6">
        <w:rPr>
          <w:rFonts w:ascii="Calibri" w:hAnsi="Calibri" w:cs="Calibri"/>
          <w:lang w:eastAsia="en-IE"/>
        </w:rPr>
        <w:t xml:space="preserve">are set out </w:t>
      </w:r>
      <w:r w:rsidR="00C13E56" w:rsidRPr="00FB3976">
        <w:rPr>
          <w:rFonts w:ascii="Calibri" w:hAnsi="Calibri" w:cs="Calibri"/>
          <w:lang w:eastAsia="en-IE"/>
        </w:rPr>
        <w:t xml:space="preserve">below. </w:t>
      </w:r>
    </w:p>
    <w:p w14:paraId="39C2E1CA" w14:textId="1CEC2DA6" w:rsidR="00807D50" w:rsidRDefault="007B3162" w:rsidP="00807D50">
      <w:pPr>
        <w:pStyle w:val="Heading1"/>
        <w:rPr>
          <w:sz w:val="28"/>
          <w:szCs w:val="28"/>
          <w:lang w:eastAsia="en-IE"/>
        </w:rPr>
      </w:pPr>
      <w:r>
        <w:rPr>
          <w:sz w:val="28"/>
          <w:szCs w:val="28"/>
          <w:lang w:eastAsia="en-IE"/>
        </w:rPr>
        <w:t xml:space="preserve">Table 1 – Top </w:t>
      </w:r>
      <w:r w:rsidR="00FB3976" w:rsidRPr="00807D50">
        <w:rPr>
          <w:sz w:val="28"/>
          <w:szCs w:val="28"/>
          <w:lang w:eastAsia="en-IE"/>
        </w:rPr>
        <w:t>Ten Payments</w:t>
      </w:r>
      <w:r w:rsidR="00274914">
        <w:rPr>
          <w:sz w:val="28"/>
          <w:szCs w:val="28"/>
          <w:lang w:eastAsia="en-IE"/>
        </w:rPr>
        <w:t>/</w:t>
      </w:r>
      <w:r w:rsidR="00FB3976" w:rsidRPr="00807D50">
        <w:rPr>
          <w:sz w:val="28"/>
          <w:szCs w:val="28"/>
          <w:lang w:eastAsia="en-IE"/>
        </w:rPr>
        <w:t xml:space="preserve"> Schemes 2021</w:t>
      </w:r>
    </w:p>
    <w:tbl>
      <w:tblPr>
        <w:tblW w:w="8144" w:type="dxa"/>
        <w:tblInd w:w="-10" w:type="dxa"/>
        <w:tblLook w:val="04A0" w:firstRow="1" w:lastRow="0" w:firstColumn="1" w:lastColumn="0" w:noHBand="0" w:noVBand="1"/>
      </w:tblPr>
      <w:tblGrid>
        <w:gridCol w:w="466"/>
        <w:gridCol w:w="4344"/>
        <w:gridCol w:w="1737"/>
        <w:gridCol w:w="1597"/>
      </w:tblGrid>
      <w:tr w:rsidR="00E64DD0" w:rsidRPr="00E64DD0" w14:paraId="1011F0D7" w14:textId="77777777" w:rsidTr="00E64DD0">
        <w:trPr>
          <w:trHeight w:val="243"/>
        </w:trPr>
        <w:tc>
          <w:tcPr>
            <w:tcW w:w="814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vAlign w:val="center"/>
            <w:hideMark/>
          </w:tcPr>
          <w:p w14:paraId="42C4B99F" w14:textId="77777777" w:rsidR="00E64DD0" w:rsidRPr="00E64DD0" w:rsidRDefault="00E64DD0" w:rsidP="00E64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en-IE"/>
              </w:rPr>
              <w:t>Top Ten Single Payments or Schemes 2021</w:t>
            </w:r>
          </w:p>
        </w:tc>
      </w:tr>
      <w:tr w:rsidR="00E64DD0" w:rsidRPr="00E64DD0" w14:paraId="3AE57DCD" w14:textId="77777777" w:rsidTr="00E64DD0">
        <w:trPr>
          <w:trHeight w:val="1071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B51270C" w14:textId="77777777" w:rsidR="00E64DD0" w:rsidRPr="00E64DD0" w:rsidRDefault="00E64DD0" w:rsidP="00E64DD0">
            <w:pPr>
              <w:spacing w:after="0" w:line="240" w:lineRule="auto"/>
              <w:rPr>
                <w:rFonts w:ascii="Tw Cen MT" w:eastAsia="Times New Roman" w:hAnsi="Tw Cen MT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Tw Cen MT" w:eastAsia="Times New Roman" w:hAnsi="Tw Cen MT" w:cs="Calibri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1353C104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 xml:space="preserve">Single Payment or Scheme, or Entitlement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F207F23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# of Queries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6CBA1C88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FFFFFF"/>
                <w:lang w:eastAsia="en-IE"/>
              </w:rPr>
              <w:t>% of Top-Ten Queries</w:t>
            </w:r>
          </w:p>
        </w:tc>
      </w:tr>
      <w:tr w:rsidR="00E64DD0" w:rsidRPr="00E64DD0" w14:paraId="279D792B" w14:textId="77777777" w:rsidTr="00E64DD0">
        <w:trPr>
          <w:trHeight w:val="231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117E6A2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CF7A16D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Medical Card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22F8C4DE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25,472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CA52C33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14.32%</w:t>
            </w:r>
          </w:p>
        </w:tc>
      </w:tr>
      <w:tr w:rsidR="00E64DD0" w:rsidRPr="00E64DD0" w14:paraId="33831787" w14:textId="77777777" w:rsidTr="00E64DD0">
        <w:trPr>
          <w:trHeight w:val="231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5F3E3BE3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718C686D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Carer's Allowance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28F0C31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22,002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4D39189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12.37%</w:t>
            </w:r>
          </w:p>
        </w:tc>
      </w:tr>
      <w:tr w:rsidR="00E64DD0" w:rsidRPr="00E64DD0" w14:paraId="7DFC254A" w14:textId="77777777" w:rsidTr="00E64DD0">
        <w:trPr>
          <w:trHeight w:val="231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72A58F4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EA36A59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State Pension/Contributory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E33ACC7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21,398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F781CF8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12.03%</w:t>
            </w:r>
          </w:p>
        </w:tc>
      </w:tr>
      <w:tr w:rsidR="00E64DD0" w:rsidRPr="00E64DD0" w14:paraId="4DC0BC8D" w14:textId="77777777" w:rsidTr="00E64DD0">
        <w:trPr>
          <w:trHeight w:val="331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D2F87DC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7BE60E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Disability Allowance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335667A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21,085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2A9236C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11.86%</w:t>
            </w:r>
          </w:p>
        </w:tc>
      </w:tr>
      <w:tr w:rsidR="00E64DD0" w:rsidRPr="00E64DD0" w14:paraId="578C45C6" w14:textId="77777777" w:rsidTr="00E64DD0">
        <w:trPr>
          <w:trHeight w:val="231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760E50A6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E38F1EF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Jobseeker's Allowance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09A61A98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15,928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456F89C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8.96%</w:t>
            </w:r>
          </w:p>
        </w:tc>
      </w:tr>
      <w:tr w:rsidR="00E64DD0" w:rsidRPr="00E64DD0" w14:paraId="3AFE1E30" w14:textId="77777777" w:rsidTr="00E64DD0">
        <w:trPr>
          <w:trHeight w:val="326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3B5D933F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vAlign w:val="center"/>
            <w:hideMark/>
          </w:tcPr>
          <w:p w14:paraId="0FE6BB52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Applying for Local Authority/Social Housing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1ACEDB1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15,464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2275BEC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8.69%</w:t>
            </w:r>
          </w:p>
        </w:tc>
      </w:tr>
      <w:tr w:rsidR="00E64DD0" w:rsidRPr="00E64DD0" w14:paraId="06B68EC7" w14:textId="77777777" w:rsidTr="00E64DD0">
        <w:trPr>
          <w:trHeight w:val="231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41D8ECC9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3A00A13A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Illness Benefit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5360F7A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15,089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5FC9A41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8.48%</w:t>
            </w:r>
          </w:p>
        </w:tc>
      </w:tr>
      <w:tr w:rsidR="00E64DD0" w:rsidRPr="00E64DD0" w14:paraId="167EF3C1" w14:textId="77777777" w:rsidTr="00E64DD0">
        <w:trPr>
          <w:trHeight w:val="366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4900FA2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5B47B30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Leave and Holidays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37E6C943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14,590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BC3ED9A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8.20%</w:t>
            </w:r>
          </w:p>
        </w:tc>
      </w:tr>
      <w:tr w:rsidR="00E64DD0" w:rsidRPr="00E64DD0" w14:paraId="4A1876DA" w14:textId="77777777" w:rsidTr="00E64DD0">
        <w:trPr>
          <w:trHeight w:val="366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1F59FF8B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5AAD3576" w14:textId="77777777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Fuel Allowance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1E8D206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14,251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1BCE0813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8.01%</w:t>
            </w:r>
          </w:p>
        </w:tc>
      </w:tr>
      <w:tr w:rsidR="00E64DD0" w:rsidRPr="00E64DD0" w14:paraId="7B939A2E" w14:textId="77777777" w:rsidTr="00E64DD0">
        <w:trPr>
          <w:trHeight w:val="366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vAlign w:val="center"/>
            <w:hideMark/>
          </w:tcPr>
          <w:p w14:paraId="27945AA5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0166306E" w14:textId="22E297A0" w:rsidR="00E64DD0" w:rsidRPr="00E64DD0" w:rsidRDefault="00E64DD0" w:rsidP="00E64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Pandemic Unemployment Payment</w:t>
            </w:r>
            <w:r w:rsidR="004E6AD6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 </w:t>
            </w: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(PUP)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485CA030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12,574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0DAD8"/>
            <w:noWrap/>
            <w:vAlign w:val="center"/>
            <w:hideMark/>
          </w:tcPr>
          <w:p w14:paraId="247A1C12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color w:val="000000"/>
                <w:lang w:eastAsia="en-IE"/>
              </w:rPr>
              <w:t>7.07%</w:t>
            </w:r>
          </w:p>
        </w:tc>
      </w:tr>
      <w:tr w:rsidR="00E64DD0" w:rsidRPr="00E64DD0" w14:paraId="3DC3DFCA" w14:textId="77777777" w:rsidTr="00E64DD0">
        <w:trPr>
          <w:trHeight w:val="366"/>
        </w:trPr>
        <w:tc>
          <w:tcPr>
            <w:tcW w:w="466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62A39F"/>
            <w:noWrap/>
            <w:hideMark/>
          </w:tcPr>
          <w:p w14:paraId="688EC707" w14:textId="77777777" w:rsidR="00E64DD0" w:rsidRPr="00E64DD0" w:rsidRDefault="00E64DD0" w:rsidP="00E64DD0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lang w:eastAsia="en-IE"/>
              </w:rPr>
            </w:pPr>
            <w:r w:rsidRPr="00E64DD0">
              <w:rPr>
                <w:rFonts w:ascii="Tw Cen MT" w:eastAsia="Times New Roman" w:hAnsi="Tw Cen MT" w:cs="Calibri"/>
                <w:color w:val="000000"/>
                <w:lang w:eastAsia="en-IE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hideMark/>
          </w:tcPr>
          <w:p w14:paraId="48763C2C" w14:textId="77777777" w:rsidR="00E64DD0" w:rsidRPr="00E64DD0" w:rsidRDefault="00E64DD0" w:rsidP="00E64DD0">
            <w:pPr>
              <w:spacing w:after="0" w:line="240" w:lineRule="auto"/>
              <w:rPr>
                <w:rFonts w:ascii="Tw Cen MT" w:eastAsia="Times New Roman" w:hAnsi="Tw Cen MT" w:cs="Calibri"/>
                <w:color w:val="000000"/>
                <w:lang w:eastAsia="en-IE"/>
              </w:rPr>
            </w:pPr>
            <w:r w:rsidRPr="00E64DD0">
              <w:rPr>
                <w:rFonts w:ascii="Tw Cen MT" w:eastAsia="Times New Roman" w:hAnsi="Tw Cen MT" w:cs="Calibri"/>
                <w:color w:val="000000"/>
                <w:lang w:eastAsia="en-I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7AEF3BA6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177,853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FECEB"/>
            <w:noWrap/>
            <w:vAlign w:val="center"/>
            <w:hideMark/>
          </w:tcPr>
          <w:p w14:paraId="46D03D13" w14:textId="77777777" w:rsidR="00E64DD0" w:rsidRPr="00E64DD0" w:rsidRDefault="00E64DD0" w:rsidP="00E64D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E64DD0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100.00%</w:t>
            </w:r>
          </w:p>
        </w:tc>
      </w:tr>
    </w:tbl>
    <w:p w14:paraId="7D2F749F" w14:textId="78EE993F" w:rsidR="00E64DD0" w:rsidRDefault="00E64DD0" w:rsidP="00E64DD0">
      <w:pPr>
        <w:rPr>
          <w:lang w:eastAsia="en-IE"/>
        </w:rPr>
      </w:pPr>
    </w:p>
    <w:p w14:paraId="4B550CB9" w14:textId="77777777" w:rsidR="00E64DD0" w:rsidRPr="00E64DD0" w:rsidRDefault="00E64DD0" w:rsidP="00E64DD0">
      <w:pPr>
        <w:rPr>
          <w:lang w:eastAsia="en-IE"/>
        </w:rPr>
      </w:pPr>
    </w:p>
    <w:p w14:paraId="512466D8" w14:textId="5927A50A" w:rsidR="0089376E" w:rsidRDefault="00E64DD0" w:rsidP="0089376E">
      <w:pPr>
        <w:rPr>
          <w:lang w:eastAsia="en-IE"/>
        </w:rPr>
      </w:pPr>
      <w:r>
        <w:rPr>
          <w:lang w:eastAsia="en-IE"/>
        </w:rPr>
        <w:tab/>
      </w:r>
    </w:p>
    <w:p w14:paraId="311FD588" w14:textId="3A772596" w:rsidR="009857A2" w:rsidRPr="00807D50" w:rsidRDefault="009857A2" w:rsidP="00C126FA">
      <w:pPr>
        <w:jc w:val="both"/>
        <w:rPr>
          <w:rFonts w:ascii="Arial" w:hAnsi="Arial" w:cs="Arial"/>
          <w:color w:val="404040"/>
          <w:lang w:eastAsia="en-IE"/>
        </w:rPr>
      </w:pPr>
    </w:p>
    <w:sectPr w:rsidR="009857A2" w:rsidRPr="00807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56"/>
    <w:rsid w:val="000760CE"/>
    <w:rsid w:val="00144354"/>
    <w:rsid w:val="0019460B"/>
    <w:rsid w:val="00212856"/>
    <w:rsid w:val="00274914"/>
    <w:rsid w:val="004E6AD6"/>
    <w:rsid w:val="007635CA"/>
    <w:rsid w:val="00770956"/>
    <w:rsid w:val="007B3162"/>
    <w:rsid w:val="007B57A6"/>
    <w:rsid w:val="00807D50"/>
    <w:rsid w:val="008162BA"/>
    <w:rsid w:val="0089376E"/>
    <w:rsid w:val="009857A2"/>
    <w:rsid w:val="00A33E08"/>
    <w:rsid w:val="00AD738E"/>
    <w:rsid w:val="00AE4511"/>
    <w:rsid w:val="00C126FA"/>
    <w:rsid w:val="00C13E56"/>
    <w:rsid w:val="00CE3632"/>
    <w:rsid w:val="00D06888"/>
    <w:rsid w:val="00D23717"/>
    <w:rsid w:val="00D41E6E"/>
    <w:rsid w:val="00D473A4"/>
    <w:rsid w:val="00DD4DF2"/>
    <w:rsid w:val="00E45593"/>
    <w:rsid w:val="00E52508"/>
    <w:rsid w:val="00E64DD0"/>
    <w:rsid w:val="00EA481C"/>
    <w:rsid w:val="00ED0423"/>
    <w:rsid w:val="00F20C22"/>
    <w:rsid w:val="00FB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C6229"/>
  <w15:chartTrackingRefBased/>
  <w15:docId w15:val="{DAD36DBE-7DA1-4051-9091-2C8D15A2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E08"/>
  </w:style>
  <w:style w:type="paragraph" w:styleId="Heading1">
    <w:name w:val="heading 1"/>
    <w:basedOn w:val="Normal"/>
    <w:next w:val="Normal"/>
    <w:link w:val="Heading1Char"/>
    <w:uiPriority w:val="9"/>
    <w:qFormat/>
    <w:rsid w:val="00A33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table" w:styleId="GridTable4-Accent6">
    <w:name w:val="Grid Table 4 Accent 6"/>
    <w:basedOn w:val="TableNormal"/>
    <w:uiPriority w:val="49"/>
    <w:rsid w:val="00A33E08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3E08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table" w:styleId="GridTable5Dark-Accent6">
    <w:name w:val="Grid Table 5 Dark Accent 6"/>
    <w:basedOn w:val="TableNormal"/>
    <w:uiPriority w:val="50"/>
    <w:rsid w:val="00ED04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749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9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9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9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9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26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  <_dlc_ExpireDateSaved xmlns="http://schemas.microsoft.com/sharepoint/v3" xsi:nil="true"/>
    <_dlc_ExpireDate xmlns="http://schemas.microsoft.com/sharepoint/v3">2022-04-20T14:52:37+00:00</_dlc_Expire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9FEBD-962B-4957-B38E-8B40BC2D3A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982684B-4E64-47E5-8683-485226BE56A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4C09BEE-2BFF-4B19-A616-C6937D9A8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8058B1-BD8B-4172-9694-EC19E219AB88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5.xml><?xml version="1.0" encoding="utf-8"?>
<ds:datastoreItem xmlns:ds="http://schemas.openxmlformats.org/officeDocument/2006/customXml" ds:itemID="{3DB28D33-C4EA-4A3D-85C2-0E5468723D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Ten Payments &amp; Schemes 2021</dc:title>
  <dc:subject>Top Ten refers to the single or unique payments, schemes or entitlements that emerge in CIS data with the highest query numbers.</dc:subject>
  <dc:creator>Sarah Togher</dc:creator>
  <cp:keywords/>
  <dc:description/>
  <cp:lastModifiedBy>Ben Adamson</cp:lastModifiedBy>
  <cp:revision>5</cp:revision>
  <dcterms:created xsi:type="dcterms:W3CDTF">2022-01-20T15:52:00Z</dcterms:created>
  <dcterms:modified xsi:type="dcterms:W3CDTF">2022-01-26T16:55:00Z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3;#2021|0e846ee2-68d6-4f7d-bff6-25a86a327e82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