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2D28" w14:textId="1F431E5F" w:rsidR="00E33768" w:rsidRPr="00FF7A79" w:rsidRDefault="00FA605D" w:rsidP="00FF7A79">
      <w:pPr>
        <w:pStyle w:val="Heading2"/>
        <w:rPr>
          <w:rFonts w:asciiTheme="majorHAnsi" w:hAnsiTheme="majorHAnsi"/>
          <w:color w:val="1C6194" w:themeColor="accent2" w:themeShade="BF"/>
        </w:rPr>
      </w:pPr>
      <w:r>
        <w:rPr>
          <w:rFonts w:asciiTheme="majorHAnsi" w:hAnsiTheme="majorHAnsi"/>
          <w:color w:val="1C6194" w:themeColor="accent2" w:themeShade="BF"/>
        </w:rPr>
        <w:t>Citizen Information Services (</w:t>
      </w:r>
      <w:r w:rsidR="006C4F6A" w:rsidRPr="00FF7A79">
        <w:rPr>
          <w:rFonts w:asciiTheme="majorHAnsi" w:hAnsiTheme="majorHAnsi"/>
          <w:color w:val="1C6194" w:themeColor="accent2" w:themeShade="BF"/>
        </w:rPr>
        <w:t>CIS</w:t>
      </w:r>
      <w:r>
        <w:rPr>
          <w:rFonts w:asciiTheme="majorHAnsi" w:hAnsiTheme="majorHAnsi"/>
          <w:color w:val="1C6194" w:themeColor="accent2" w:themeShade="BF"/>
        </w:rPr>
        <w:t>s)</w:t>
      </w:r>
      <w:r w:rsidR="006C4F6A" w:rsidRPr="00FF7A79">
        <w:rPr>
          <w:rFonts w:asciiTheme="majorHAnsi" w:hAnsiTheme="majorHAnsi"/>
          <w:color w:val="1C6194" w:themeColor="accent2" w:themeShade="BF"/>
        </w:rPr>
        <w:t xml:space="preserve"> </w:t>
      </w:r>
      <w:r w:rsidR="00E33768" w:rsidRPr="00FF7A79">
        <w:rPr>
          <w:rFonts w:asciiTheme="majorHAnsi" w:hAnsiTheme="majorHAnsi"/>
          <w:color w:val="1C6194" w:themeColor="accent2" w:themeShade="BF"/>
        </w:rPr>
        <w:t>Query Profile 202</w:t>
      </w:r>
      <w:r w:rsidR="00ED1489">
        <w:rPr>
          <w:rFonts w:asciiTheme="majorHAnsi" w:hAnsiTheme="majorHAnsi"/>
          <w:color w:val="1C6194" w:themeColor="accent2" w:themeShade="BF"/>
        </w:rPr>
        <w:t>2</w:t>
      </w:r>
    </w:p>
    <w:p w14:paraId="4CFD2947" w14:textId="77777777" w:rsidR="00013C42" w:rsidRPr="00CE4690" w:rsidRDefault="00013C42" w:rsidP="00013C42">
      <w:pPr>
        <w:pStyle w:val="Heading1"/>
        <w:rPr>
          <w:color w:val="1C6194" w:themeColor="accent2" w:themeShade="BF"/>
          <w:sz w:val="28"/>
          <w:szCs w:val="28"/>
        </w:rPr>
      </w:pPr>
      <w:bookmarkStart w:id="0" w:name="_Toc80972815"/>
      <w:bookmarkStart w:id="1" w:name="_Toc81486907"/>
      <w:r w:rsidRPr="00CE4690">
        <w:rPr>
          <w:sz w:val="28"/>
          <w:szCs w:val="28"/>
        </w:rPr>
        <w:t>Overview</w:t>
      </w:r>
      <w:bookmarkEnd w:id="0"/>
      <w:bookmarkEnd w:id="1"/>
      <w:r w:rsidRPr="00CE4690">
        <w:rPr>
          <w:color w:val="1C6194" w:themeColor="accent2" w:themeShade="BF"/>
          <w:sz w:val="28"/>
          <w:szCs w:val="28"/>
        </w:rPr>
        <w:t xml:space="preserve"> </w:t>
      </w:r>
    </w:p>
    <w:p w14:paraId="1475BB39" w14:textId="0E17E3B1" w:rsidR="00AD1225" w:rsidRDefault="00013C42" w:rsidP="000E44A2">
      <w:pPr>
        <w:spacing w:line="240" w:lineRule="auto"/>
        <w:jc w:val="both"/>
        <w:rPr>
          <w:rFonts w:ascii="Calibri" w:hAnsi="Calibri" w:cs="Calibri"/>
        </w:rPr>
      </w:pPr>
      <w:r w:rsidRPr="00CE3DD5">
        <w:rPr>
          <w:rFonts w:ascii="Calibri" w:hAnsi="Calibri" w:cs="Calibri"/>
        </w:rPr>
        <w:t xml:space="preserve">There were </w:t>
      </w:r>
      <w:r w:rsidR="00ED1489">
        <w:rPr>
          <w:rFonts w:ascii="Calibri" w:hAnsi="Calibri" w:cs="Calibri"/>
          <w:b/>
        </w:rPr>
        <w:t>788,902</w:t>
      </w:r>
      <w:r w:rsidRPr="00CE3DD5">
        <w:rPr>
          <w:rFonts w:ascii="Calibri" w:hAnsi="Calibri" w:cs="Calibri"/>
          <w:b/>
        </w:rPr>
        <w:t xml:space="preserve"> </w:t>
      </w:r>
      <w:r w:rsidRPr="00CE3DD5">
        <w:rPr>
          <w:rFonts w:ascii="Calibri" w:hAnsi="Calibri" w:cs="Calibri"/>
        </w:rPr>
        <w:t>queries from the public in 202</w:t>
      </w:r>
      <w:r w:rsidR="00181261">
        <w:rPr>
          <w:rFonts w:ascii="Calibri" w:hAnsi="Calibri" w:cs="Calibri"/>
        </w:rPr>
        <w:t>2</w:t>
      </w:r>
      <w:r w:rsidR="00CE3DD5">
        <w:rPr>
          <w:rFonts w:ascii="Calibri" w:hAnsi="Calibri" w:cs="Calibri"/>
        </w:rPr>
        <w:t xml:space="preserve">. </w:t>
      </w:r>
      <w:r w:rsidR="00FA605D">
        <w:rPr>
          <w:rFonts w:ascii="Calibri" w:hAnsi="Calibri" w:cs="Calibri"/>
        </w:rPr>
        <w:t xml:space="preserve">Overall query levels increased by 13.7% on 2021 numbers. </w:t>
      </w:r>
      <w:r w:rsidR="00890D9D">
        <w:rPr>
          <w:rFonts w:ascii="Calibri" w:hAnsi="Calibri" w:cs="Calibri"/>
        </w:rPr>
        <w:t xml:space="preserve">The ratio of </w:t>
      </w:r>
      <w:r w:rsidR="00890D9D" w:rsidRPr="00890D9D">
        <w:rPr>
          <w:rFonts w:ascii="Calibri" w:hAnsi="Calibri" w:cs="Calibri"/>
          <w:i/>
        </w:rPr>
        <w:t>queries per c</w:t>
      </w:r>
      <w:r w:rsidRPr="00890D9D">
        <w:rPr>
          <w:rFonts w:ascii="Calibri" w:hAnsi="Calibri" w:cs="Calibri"/>
          <w:i/>
        </w:rPr>
        <w:t>aller</w:t>
      </w:r>
      <w:r w:rsidRPr="00CE3DD5">
        <w:rPr>
          <w:rFonts w:ascii="Calibri" w:hAnsi="Calibri" w:cs="Calibri"/>
        </w:rPr>
        <w:t xml:space="preserve"> </w:t>
      </w:r>
      <w:r w:rsidRPr="00323FA5">
        <w:rPr>
          <w:rFonts w:ascii="Calibri" w:hAnsi="Calibri" w:cs="Calibri"/>
        </w:rPr>
        <w:t xml:space="preserve">was </w:t>
      </w:r>
      <w:r w:rsidR="00323FA5" w:rsidRPr="00323FA5">
        <w:rPr>
          <w:rFonts w:ascii="Calibri" w:hAnsi="Calibri" w:cs="Calibri"/>
          <w:b/>
          <w:lang w:val="en-US"/>
        </w:rPr>
        <w:t>2.0</w:t>
      </w:r>
      <w:r w:rsidR="00181261">
        <w:rPr>
          <w:rFonts w:ascii="Calibri" w:hAnsi="Calibri" w:cs="Calibri"/>
          <w:b/>
          <w:lang w:val="en-US"/>
        </w:rPr>
        <w:t>0</w:t>
      </w:r>
      <w:r w:rsidRPr="00CE3DD5">
        <w:rPr>
          <w:rFonts w:ascii="Calibri" w:hAnsi="Calibri" w:cs="Calibri"/>
        </w:rPr>
        <w:t xml:space="preserve">, </w:t>
      </w:r>
      <w:r w:rsidR="00181261">
        <w:rPr>
          <w:rFonts w:ascii="Calibri" w:hAnsi="Calibri" w:cs="Calibri"/>
        </w:rPr>
        <w:t>down</w:t>
      </w:r>
      <w:r w:rsidRPr="00CE3DD5">
        <w:rPr>
          <w:rFonts w:ascii="Calibri" w:hAnsi="Calibri" w:cs="Calibri"/>
        </w:rPr>
        <w:t xml:space="preserve"> from </w:t>
      </w:r>
      <w:r w:rsidR="00181261">
        <w:rPr>
          <w:rFonts w:ascii="Calibri" w:hAnsi="Calibri" w:cs="Calibri"/>
        </w:rPr>
        <w:t>2.05</w:t>
      </w:r>
      <w:r w:rsidRPr="00CE3DD5">
        <w:rPr>
          <w:rFonts w:ascii="Calibri" w:hAnsi="Calibri" w:cs="Calibri"/>
        </w:rPr>
        <w:t xml:space="preserve"> in 202</w:t>
      </w:r>
      <w:r w:rsidR="00181261">
        <w:rPr>
          <w:rFonts w:ascii="Calibri" w:hAnsi="Calibri" w:cs="Calibri"/>
        </w:rPr>
        <w:t>1</w:t>
      </w:r>
      <w:r w:rsidR="005F0716">
        <w:rPr>
          <w:rFonts w:ascii="Calibri" w:hAnsi="Calibri" w:cs="Calibri"/>
        </w:rPr>
        <w:t>.</w:t>
      </w:r>
      <w:r w:rsidR="00C704C7">
        <w:rPr>
          <w:rFonts w:ascii="Calibri" w:hAnsi="Calibri" w:cs="Calibri"/>
        </w:rPr>
        <w:t xml:space="preserve"> </w:t>
      </w:r>
    </w:p>
    <w:p w14:paraId="1A727655" w14:textId="082B5DB1" w:rsidR="00181261" w:rsidRDefault="00323FA5" w:rsidP="00E3376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type of queries received from the public in</w:t>
      </w:r>
      <w:r w:rsidR="00E33768" w:rsidRPr="00745476">
        <w:rPr>
          <w:rFonts w:ascii="Calibri" w:hAnsi="Calibri" w:cs="Calibri"/>
        </w:rPr>
        <w:t xml:space="preserve"> 202</w:t>
      </w:r>
      <w:r w:rsidR="00181261">
        <w:rPr>
          <w:rFonts w:ascii="Calibri" w:hAnsi="Calibri" w:cs="Calibri"/>
        </w:rPr>
        <w:t>2</w:t>
      </w:r>
      <w:r w:rsidR="00E33768" w:rsidRPr="00745476">
        <w:rPr>
          <w:rFonts w:ascii="Calibri" w:hAnsi="Calibri" w:cs="Calibri"/>
        </w:rPr>
        <w:t xml:space="preserve"> were consistent with 202</w:t>
      </w:r>
      <w:r w:rsidR="00767AE0">
        <w:rPr>
          <w:rFonts w:ascii="Calibri" w:hAnsi="Calibri" w:cs="Calibri"/>
        </w:rPr>
        <w:t>1</w:t>
      </w:r>
      <w:r w:rsidR="00E33768" w:rsidRPr="00745476">
        <w:rPr>
          <w:rFonts w:ascii="Calibri" w:hAnsi="Calibri" w:cs="Calibri"/>
        </w:rPr>
        <w:t xml:space="preserve"> data, </w:t>
      </w:r>
      <w:r w:rsidR="0065732D" w:rsidRPr="00745476">
        <w:rPr>
          <w:rFonts w:ascii="Calibri" w:hAnsi="Calibri" w:cs="Calibri"/>
        </w:rPr>
        <w:t>except for</w:t>
      </w:r>
      <w:r w:rsidR="00013C42">
        <w:rPr>
          <w:rFonts w:ascii="Calibri" w:hAnsi="Calibri" w:cs="Calibri"/>
        </w:rPr>
        <w:t xml:space="preserve"> Covid-19 related queries</w:t>
      </w:r>
      <w:r w:rsidR="00890D9D">
        <w:rPr>
          <w:rFonts w:ascii="Calibri" w:hAnsi="Calibri" w:cs="Calibri"/>
        </w:rPr>
        <w:t>,</w:t>
      </w:r>
      <w:r w:rsidR="00013C42">
        <w:rPr>
          <w:rFonts w:ascii="Calibri" w:hAnsi="Calibri" w:cs="Calibri"/>
        </w:rPr>
        <w:t xml:space="preserve"> which</w:t>
      </w:r>
      <w:r w:rsidR="00EC4105">
        <w:rPr>
          <w:rFonts w:ascii="Calibri" w:hAnsi="Calibri" w:cs="Calibri"/>
        </w:rPr>
        <w:t xml:space="preserve"> decreased</w:t>
      </w:r>
      <w:r w:rsidR="00FC79FB">
        <w:rPr>
          <w:rFonts w:ascii="Calibri" w:hAnsi="Calibri" w:cs="Calibri"/>
        </w:rPr>
        <w:t xml:space="preserve">. </w:t>
      </w:r>
    </w:p>
    <w:p w14:paraId="47186EE1" w14:textId="77777777" w:rsidR="00181261" w:rsidRDefault="00181261" w:rsidP="00E33768">
      <w:pPr>
        <w:spacing w:after="0"/>
        <w:jc w:val="both"/>
        <w:rPr>
          <w:rFonts w:ascii="Calibri" w:hAnsi="Calibri" w:cs="Calibri"/>
        </w:rPr>
      </w:pPr>
    </w:p>
    <w:p w14:paraId="613FC745" w14:textId="4AC483E9" w:rsidR="00013C42" w:rsidRDefault="00C704C7" w:rsidP="00E3376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A542A">
        <w:rPr>
          <w:rFonts w:ascii="Calibri" w:hAnsi="Calibri" w:cs="Calibri"/>
        </w:rPr>
        <w:t>The main</w:t>
      </w:r>
      <w:r w:rsidR="002E75C7">
        <w:rPr>
          <w:rFonts w:ascii="Calibri" w:hAnsi="Calibri" w:cs="Calibri"/>
        </w:rPr>
        <w:t xml:space="preserve"> categories</w:t>
      </w:r>
      <w:r w:rsidR="00E33768" w:rsidRPr="00745476">
        <w:rPr>
          <w:rFonts w:ascii="Calibri" w:hAnsi="Calibri" w:cs="Calibri"/>
        </w:rPr>
        <w:t xml:space="preserve"> </w:t>
      </w:r>
      <w:r w:rsidR="00181261">
        <w:rPr>
          <w:rFonts w:ascii="Calibri" w:hAnsi="Calibri" w:cs="Calibri"/>
        </w:rPr>
        <w:t>can be seen in Table 1 below. I</w:t>
      </w:r>
      <w:r w:rsidR="00745476" w:rsidRPr="00745476">
        <w:rPr>
          <w:rFonts w:ascii="Calibri" w:hAnsi="Calibri" w:cs="Calibri"/>
        </w:rPr>
        <w:t>n</w:t>
      </w:r>
      <w:r w:rsidR="00E33768" w:rsidRPr="00745476">
        <w:rPr>
          <w:rFonts w:ascii="Calibri" w:hAnsi="Calibri" w:cs="Calibri"/>
        </w:rPr>
        <w:t xml:space="preserve"> 202</w:t>
      </w:r>
      <w:r w:rsidR="00181261">
        <w:rPr>
          <w:rFonts w:ascii="Calibri" w:hAnsi="Calibri" w:cs="Calibri"/>
        </w:rPr>
        <w:t>2</w:t>
      </w:r>
      <w:r w:rsidR="00873479">
        <w:rPr>
          <w:rFonts w:ascii="Calibri" w:hAnsi="Calibri" w:cs="Calibri"/>
        </w:rPr>
        <w:t xml:space="preserve"> the</w:t>
      </w:r>
      <w:r w:rsidR="00FA605D">
        <w:rPr>
          <w:rFonts w:ascii="Calibri" w:hAnsi="Calibri" w:cs="Calibri"/>
        </w:rPr>
        <w:t>s</w:t>
      </w:r>
      <w:r w:rsidR="00873479">
        <w:rPr>
          <w:rFonts w:ascii="Calibri" w:hAnsi="Calibri" w:cs="Calibri"/>
        </w:rPr>
        <w:t>e</w:t>
      </w:r>
      <w:r w:rsidR="00E33768" w:rsidRPr="00745476">
        <w:rPr>
          <w:rFonts w:ascii="Calibri" w:hAnsi="Calibri" w:cs="Calibri"/>
        </w:rPr>
        <w:t xml:space="preserve"> </w:t>
      </w:r>
      <w:r w:rsidR="00745476">
        <w:rPr>
          <w:rFonts w:ascii="Calibri" w:hAnsi="Calibri" w:cs="Calibri"/>
        </w:rPr>
        <w:t>were</w:t>
      </w:r>
      <w:r w:rsidR="00013C42">
        <w:rPr>
          <w:rFonts w:ascii="Calibri" w:hAnsi="Calibri" w:cs="Calibri"/>
        </w:rPr>
        <w:t xml:space="preserve">: Social Welfare </w:t>
      </w:r>
      <w:r w:rsidR="00181261">
        <w:rPr>
          <w:rFonts w:ascii="Calibri" w:hAnsi="Calibri" w:cs="Calibri"/>
        </w:rPr>
        <w:t>–</w:t>
      </w:r>
      <w:r w:rsidR="00013C42">
        <w:rPr>
          <w:rFonts w:ascii="Calibri" w:hAnsi="Calibri" w:cs="Calibri"/>
        </w:rPr>
        <w:t xml:space="preserve"> </w:t>
      </w:r>
      <w:r w:rsidR="00124BE7">
        <w:rPr>
          <w:rFonts w:ascii="Calibri" w:hAnsi="Calibri" w:cs="Calibri"/>
        </w:rPr>
        <w:t>4</w:t>
      </w:r>
      <w:r w:rsidR="00942A09">
        <w:rPr>
          <w:rFonts w:ascii="Calibri" w:hAnsi="Calibri" w:cs="Calibri"/>
        </w:rPr>
        <w:t>7</w:t>
      </w:r>
      <w:r w:rsidR="007C39FE">
        <w:rPr>
          <w:rFonts w:ascii="Calibri" w:hAnsi="Calibri" w:cs="Calibri"/>
        </w:rPr>
        <w:t>.1</w:t>
      </w:r>
      <w:r w:rsidR="00181261">
        <w:rPr>
          <w:rFonts w:ascii="Calibri" w:hAnsi="Calibri" w:cs="Calibri"/>
        </w:rPr>
        <w:t>%</w:t>
      </w:r>
      <w:r w:rsidR="00873479">
        <w:rPr>
          <w:rFonts w:ascii="Calibri" w:hAnsi="Calibri" w:cs="Calibri"/>
        </w:rPr>
        <w:t>;</w:t>
      </w:r>
      <w:r w:rsidR="00E33768" w:rsidRPr="00745476">
        <w:rPr>
          <w:rFonts w:ascii="Calibri" w:hAnsi="Calibri" w:cs="Calibri"/>
        </w:rPr>
        <w:t xml:space="preserve"> </w:t>
      </w:r>
      <w:r w:rsidR="00745476">
        <w:rPr>
          <w:rFonts w:ascii="Calibri" w:hAnsi="Calibri" w:cs="Calibri"/>
        </w:rPr>
        <w:t>Housing</w:t>
      </w:r>
      <w:r w:rsidR="00013C42">
        <w:rPr>
          <w:rFonts w:ascii="Calibri" w:hAnsi="Calibri" w:cs="Calibri"/>
        </w:rPr>
        <w:t xml:space="preserve"> </w:t>
      </w:r>
      <w:r w:rsidR="007C39FE">
        <w:rPr>
          <w:rFonts w:ascii="Calibri" w:hAnsi="Calibri" w:cs="Calibri"/>
        </w:rPr>
        <w:t>–</w:t>
      </w:r>
      <w:r w:rsidR="00013C42">
        <w:rPr>
          <w:rFonts w:ascii="Calibri" w:hAnsi="Calibri" w:cs="Calibri"/>
        </w:rPr>
        <w:t xml:space="preserve"> </w:t>
      </w:r>
      <w:r w:rsidR="007C39FE">
        <w:rPr>
          <w:rFonts w:ascii="Calibri" w:hAnsi="Calibri" w:cs="Calibri"/>
        </w:rPr>
        <w:t>9.6</w:t>
      </w:r>
      <w:r w:rsidR="00013C42">
        <w:rPr>
          <w:rFonts w:ascii="Calibri" w:hAnsi="Calibri" w:cs="Calibri"/>
        </w:rPr>
        <w:t>%;</w:t>
      </w:r>
      <w:r w:rsidR="00745476">
        <w:rPr>
          <w:rFonts w:ascii="Calibri" w:hAnsi="Calibri" w:cs="Calibri"/>
        </w:rPr>
        <w:t xml:space="preserve"> Health</w:t>
      </w:r>
      <w:r w:rsidR="00013C42">
        <w:rPr>
          <w:rFonts w:ascii="Calibri" w:hAnsi="Calibri" w:cs="Calibri"/>
        </w:rPr>
        <w:t xml:space="preserve"> </w:t>
      </w:r>
      <w:r w:rsidR="007C39FE">
        <w:rPr>
          <w:rFonts w:ascii="Calibri" w:hAnsi="Calibri" w:cs="Calibri"/>
        </w:rPr>
        <w:t>–</w:t>
      </w:r>
      <w:r w:rsidR="00013C42">
        <w:rPr>
          <w:rFonts w:ascii="Calibri" w:hAnsi="Calibri" w:cs="Calibri"/>
        </w:rPr>
        <w:t xml:space="preserve"> </w:t>
      </w:r>
      <w:r w:rsidR="00942A09">
        <w:rPr>
          <w:rFonts w:ascii="Calibri" w:hAnsi="Calibri" w:cs="Calibri"/>
        </w:rPr>
        <w:t>7</w:t>
      </w:r>
      <w:r w:rsidR="007C39FE">
        <w:rPr>
          <w:rFonts w:ascii="Calibri" w:hAnsi="Calibri" w:cs="Calibri"/>
        </w:rPr>
        <w:t>.2</w:t>
      </w:r>
      <w:r w:rsidR="00013C42">
        <w:rPr>
          <w:rFonts w:ascii="Calibri" w:hAnsi="Calibri" w:cs="Calibri"/>
        </w:rPr>
        <w:t>%;</w:t>
      </w:r>
      <w:r w:rsidR="00745476">
        <w:rPr>
          <w:rFonts w:ascii="Calibri" w:hAnsi="Calibri" w:cs="Calibri"/>
        </w:rPr>
        <w:t xml:space="preserve"> </w:t>
      </w:r>
      <w:r w:rsidR="00181261">
        <w:rPr>
          <w:rFonts w:ascii="Calibri" w:hAnsi="Calibri" w:cs="Calibri"/>
        </w:rPr>
        <w:t xml:space="preserve">Employment </w:t>
      </w:r>
      <w:r w:rsidR="007C39FE">
        <w:rPr>
          <w:rFonts w:ascii="Calibri" w:hAnsi="Calibri" w:cs="Calibri"/>
        </w:rPr>
        <w:t>–</w:t>
      </w:r>
      <w:r w:rsidR="00181261">
        <w:rPr>
          <w:rFonts w:ascii="Calibri" w:hAnsi="Calibri" w:cs="Calibri"/>
        </w:rPr>
        <w:t xml:space="preserve"> 6</w:t>
      </w:r>
      <w:r w:rsidR="007C39FE">
        <w:rPr>
          <w:rFonts w:ascii="Calibri" w:hAnsi="Calibri" w:cs="Calibri"/>
        </w:rPr>
        <w:t>.3</w:t>
      </w:r>
      <w:r w:rsidR="00181261">
        <w:rPr>
          <w:rFonts w:ascii="Calibri" w:hAnsi="Calibri" w:cs="Calibri"/>
        </w:rPr>
        <w:t>%; Local -</w:t>
      </w:r>
      <w:r w:rsidR="00873479">
        <w:rPr>
          <w:rFonts w:ascii="Calibri" w:hAnsi="Calibri" w:cs="Calibri"/>
        </w:rPr>
        <w:t xml:space="preserve"> </w:t>
      </w:r>
      <w:r w:rsidR="00181261">
        <w:rPr>
          <w:rFonts w:ascii="Calibri" w:hAnsi="Calibri" w:cs="Calibri"/>
        </w:rPr>
        <w:t>6</w:t>
      </w:r>
      <w:r w:rsidR="007C39FE">
        <w:rPr>
          <w:rFonts w:ascii="Calibri" w:hAnsi="Calibri" w:cs="Calibri"/>
        </w:rPr>
        <w:t>.1</w:t>
      </w:r>
      <w:r w:rsidR="00181261">
        <w:rPr>
          <w:rFonts w:ascii="Calibri" w:hAnsi="Calibri" w:cs="Calibri"/>
        </w:rPr>
        <w:t>% and Moving Country 5</w:t>
      </w:r>
      <w:r w:rsidR="007C39FE">
        <w:rPr>
          <w:rFonts w:ascii="Calibri" w:hAnsi="Calibri" w:cs="Calibri"/>
        </w:rPr>
        <w:t>.3</w:t>
      </w:r>
      <w:r w:rsidR="00181261">
        <w:rPr>
          <w:rFonts w:ascii="Calibri" w:hAnsi="Calibri" w:cs="Calibri"/>
        </w:rPr>
        <w:t>%.</w:t>
      </w:r>
    </w:p>
    <w:p w14:paraId="66CC948E" w14:textId="77777777" w:rsidR="002E75C7" w:rsidRDefault="002E75C7" w:rsidP="00E33768">
      <w:pPr>
        <w:spacing w:after="0"/>
        <w:jc w:val="both"/>
        <w:rPr>
          <w:rFonts w:ascii="Calibri" w:hAnsi="Calibri" w:cs="Calibri"/>
        </w:rPr>
      </w:pPr>
    </w:p>
    <w:p w14:paraId="729DF175" w14:textId="1117DFE0" w:rsidR="009603B4" w:rsidRDefault="002E75C7" w:rsidP="009D5CA6">
      <w:pPr>
        <w:spacing w:after="0"/>
        <w:jc w:val="both"/>
        <w:rPr>
          <w:rFonts w:ascii="Calibri" w:hAnsi="Calibri" w:cs="Calibri"/>
        </w:rPr>
        <w:sectPr w:rsidR="009603B4" w:rsidSect="000E44A2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Calibri" w:hAnsi="Calibri" w:cs="Calibri"/>
        </w:rPr>
        <w:t>T</w:t>
      </w:r>
      <w:r w:rsidR="00B7436C">
        <w:rPr>
          <w:rFonts w:ascii="Calibri" w:hAnsi="Calibri" w:cs="Calibri"/>
        </w:rPr>
        <w:t>able</w:t>
      </w:r>
      <w:r w:rsidR="00970A8B">
        <w:rPr>
          <w:rFonts w:ascii="Calibri" w:hAnsi="Calibri" w:cs="Calibri"/>
        </w:rPr>
        <w:t xml:space="preserve"> 1 </w:t>
      </w:r>
      <w:r w:rsidR="00CE3DD5">
        <w:rPr>
          <w:rFonts w:ascii="Calibri" w:hAnsi="Calibri" w:cs="Calibri"/>
        </w:rPr>
        <w:t>outline</w:t>
      </w:r>
      <w:r>
        <w:rPr>
          <w:rFonts w:ascii="Calibri" w:hAnsi="Calibri" w:cs="Calibri"/>
        </w:rPr>
        <w:t>s</w:t>
      </w:r>
      <w:r w:rsidR="00E33768" w:rsidRPr="00745476">
        <w:rPr>
          <w:rFonts w:ascii="Calibri" w:hAnsi="Calibri" w:cs="Calibri"/>
        </w:rPr>
        <w:t xml:space="preserve"> th</w:t>
      </w:r>
      <w:r w:rsidR="00657E4D">
        <w:rPr>
          <w:rFonts w:ascii="Calibri" w:hAnsi="Calibri" w:cs="Calibri"/>
        </w:rPr>
        <w:t xml:space="preserve">e </w:t>
      </w:r>
      <w:r w:rsidR="00AC3EA0">
        <w:rPr>
          <w:rFonts w:ascii="Calibri" w:hAnsi="Calibri" w:cs="Calibri"/>
        </w:rPr>
        <w:t>number of queries per</w:t>
      </w:r>
      <w:r w:rsidR="00FA605D">
        <w:rPr>
          <w:rFonts w:ascii="Calibri" w:hAnsi="Calibri" w:cs="Calibri"/>
        </w:rPr>
        <w:t xml:space="preserve"> high level</w:t>
      </w:r>
      <w:r w:rsidR="00AC3EA0">
        <w:rPr>
          <w:rFonts w:ascii="Calibri" w:hAnsi="Calibri" w:cs="Calibri"/>
        </w:rPr>
        <w:t xml:space="preserve"> category in 2022</w:t>
      </w:r>
      <w:r>
        <w:rPr>
          <w:rFonts w:ascii="Calibri" w:hAnsi="Calibri" w:cs="Calibri"/>
        </w:rPr>
        <w:t xml:space="preserve">. </w:t>
      </w:r>
      <w:r w:rsidR="00C704C7">
        <w:rPr>
          <w:rFonts w:ascii="Calibri" w:hAnsi="Calibri" w:cs="Calibri"/>
        </w:rPr>
        <w:t>Table 2</w:t>
      </w:r>
      <w:r w:rsidR="00970A8B">
        <w:rPr>
          <w:rFonts w:ascii="Calibri" w:hAnsi="Calibri" w:cs="Calibri"/>
        </w:rPr>
        <w:t xml:space="preserve"> </w:t>
      </w:r>
      <w:r w:rsidR="00C704C7">
        <w:rPr>
          <w:rFonts w:ascii="Calibri" w:hAnsi="Calibri" w:cs="Calibri"/>
        </w:rPr>
        <w:t>provides comparative data for 202</w:t>
      </w:r>
      <w:r w:rsidR="00AC3EA0">
        <w:rPr>
          <w:rFonts w:ascii="Calibri" w:hAnsi="Calibri" w:cs="Calibri"/>
        </w:rPr>
        <w:t>1</w:t>
      </w:r>
      <w:r w:rsidR="00C704C7">
        <w:rPr>
          <w:rFonts w:ascii="Calibri" w:hAnsi="Calibri" w:cs="Calibri"/>
        </w:rPr>
        <w:t xml:space="preserve"> and 20</w:t>
      </w:r>
      <w:r w:rsidR="00AC3EA0">
        <w:rPr>
          <w:rFonts w:ascii="Calibri" w:hAnsi="Calibri" w:cs="Calibri"/>
        </w:rPr>
        <w:t>22</w:t>
      </w:r>
      <w:r w:rsidR="00C704C7">
        <w:rPr>
          <w:rFonts w:ascii="Calibri" w:hAnsi="Calibri" w:cs="Calibri"/>
        </w:rPr>
        <w:t xml:space="preserve">. </w:t>
      </w:r>
      <w:r w:rsidR="00B7436C">
        <w:rPr>
          <w:rFonts w:ascii="Calibri" w:hAnsi="Calibri" w:cs="Calibri"/>
        </w:rPr>
        <w:t>The remaining tables provide a breakdown of</w:t>
      </w:r>
      <w:r w:rsidR="00C704C7">
        <w:rPr>
          <w:rFonts w:ascii="Calibri" w:hAnsi="Calibri" w:cs="Calibri"/>
        </w:rPr>
        <w:t xml:space="preserve"> query </w:t>
      </w:r>
      <w:r w:rsidR="00B7436C">
        <w:rPr>
          <w:rFonts w:ascii="Calibri" w:hAnsi="Calibri" w:cs="Calibri"/>
        </w:rPr>
        <w:t>categories</w:t>
      </w:r>
      <w:r w:rsidR="00AD1225">
        <w:rPr>
          <w:rFonts w:ascii="Calibri" w:hAnsi="Calibri" w:cs="Calibri"/>
        </w:rPr>
        <w:t xml:space="preserve"> with</w:t>
      </w:r>
      <w:r w:rsidR="00E66427">
        <w:rPr>
          <w:rFonts w:ascii="Calibri" w:hAnsi="Calibri" w:cs="Calibri"/>
        </w:rPr>
        <w:t>in</w:t>
      </w:r>
      <w:r w:rsidR="00AD1225">
        <w:rPr>
          <w:rFonts w:ascii="Calibri" w:hAnsi="Calibri" w:cs="Calibri"/>
        </w:rPr>
        <w:t xml:space="preserve"> the</w:t>
      </w:r>
      <w:r w:rsidR="007B7596">
        <w:rPr>
          <w:rFonts w:ascii="Calibri" w:hAnsi="Calibri" w:cs="Calibri"/>
        </w:rPr>
        <w:t xml:space="preserve"> top five</w:t>
      </w:r>
      <w:r w:rsidR="009603B4">
        <w:rPr>
          <w:rFonts w:ascii="Calibri" w:hAnsi="Calibri" w:cs="Calibri"/>
        </w:rPr>
        <w:t xml:space="preserve"> </w:t>
      </w:r>
      <w:r w:rsidR="00C704C7">
        <w:rPr>
          <w:rFonts w:ascii="Calibri" w:hAnsi="Calibri" w:cs="Calibri"/>
        </w:rPr>
        <w:t xml:space="preserve">highest </w:t>
      </w:r>
      <w:r w:rsidR="007B7596">
        <w:rPr>
          <w:rFonts w:ascii="Calibri" w:hAnsi="Calibri" w:cs="Calibri"/>
        </w:rPr>
        <w:t>query</w:t>
      </w:r>
      <w:r w:rsidR="00AD1225">
        <w:rPr>
          <w:rFonts w:ascii="Calibri" w:hAnsi="Calibri" w:cs="Calibri"/>
        </w:rPr>
        <w:t xml:space="preserve"> categories recorded</w:t>
      </w:r>
      <w:r w:rsidR="00C704C7">
        <w:rPr>
          <w:rFonts w:ascii="Calibri" w:hAnsi="Calibri" w:cs="Calibri"/>
        </w:rPr>
        <w:t xml:space="preserve"> </w:t>
      </w:r>
      <w:r w:rsidR="009603B4">
        <w:rPr>
          <w:rFonts w:ascii="Calibri" w:hAnsi="Calibri" w:cs="Calibri"/>
        </w:rPr>
        <w:t xml:space="preserve">by CISs </w:t>
      </w:r>
      <w:r w:rsidR="007B7596">
        <w:rPr>
          <w:rFonts w:ascii="Calibri" w:hAnsi="Calibri" w:cs="Calibri"/>
        </w:rPr>
        <w:t>in</w:t>
      </w:r>
      <w:r w:rsidR="009603B4">
        <w:rPr>
          <w:rFonts w:ascii="Calibri" w:hAnsi="Calibri" w:cs="Calibri"/>
        </w:rPr>
        <w:t xml:space="preserve"> 202</w:t>
      </w:r>
      <w:r w:rsidR="00863BDA">
        <w:rPr>
          <w:rFonts w:ascii="Calibri" w:hAnsi="Calibri" w:cs="Calibri"/>
        </w:rPr>
        <w:t>2</w:t>
      </w:r>
      <w:r w:rsidR="004A276F">
        <w:rPr>
          <w:rFonts w:ascii="Calibri" w:hAnsi="Calibri" w:cs="Calibri"/>
        </w:rPr>
        <w:t>:</w:t>
      </w:r>
      <w:r w:rsidR="00E66427">
        <w:rPr>
          <w:rFonts w:ascii="Calibri" w:hAnsi="Calibri" w:cs="Calibri"/>
        </w:rPr>
        <w:t xml:space="preserve"> Social Welfare, Housing, Health</w:t>
      </w:r>
      <w:r w:rsidR="00AC3EA0">
        <w:rPr>
          <w:rFonts w:ascii="Calibri" w:hAnsi="Calibri" w:cs="Calibri"/>
        </w:rPr>
        <w:t>, Employment, and</w:t>
      </w:r>
      <w:r w:rsidR="00E66427">
        <w:rPr>
          <w:rFonts w:ascii="Calibri" w:hAnsi="Calibri" w:cs="Calibri"/>
        </w:rPr>
        <w:t xml:space="preserve"> </w:t>
      </w:r>
      <w:r w:rsidR="00AC3EA0">
        <w:rPr>
          <w:rFonts w:ascii="Calibri" w:hAnsi="Calibri" w:cs="Calibri"/>
        </w:rPr>
        <w:t>Moving Country</w:t>
      </w:r>
      <w:r w:rsidR="00E66427">
        <w:rPr>
          <w:rFonts w:ascii="Calibri" w:hAnsi="Calibri" w:cs="Calibri"/>
        </w:rPr>
        <w:t xml:space="preserve"> related queries.</w:t>
      </w:r>
      <w:r w:rsidR="00AC3EA0">
        <w:rPr>
          <w:rFonts w:ascii="Calibri" w:hAnsi="Calibri" w:cs="Calibri"/>
        </w:rPr>
        <w:t xml:space="preserve"> </w:t>
      </w:r>
    </w:p>
    <w:p w14:paraId="31EE4B77" w14:textId="1738A1A5" w:rsidR="009D5CA6" w:rsidRPr="009D5CA6" w:rsidRDefault="009D5CA6" w:rsidP="009D5CA6">
      <w:pPr>
        <w:spacing w:after="0"/>
        <w:jc w:val="both"/>
        <w:rPr>
          <w:rFonts w:ascii="Calibri" w:hAnsi="Calibri" w:cs="Calibri"/>
        </w:rPr>
        <w:sectPr w:rsidR="009D5CA6" w:rsidRPr="009D5CA6" w:rsidSect="009603B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823E003" w14:textId="1FC1357C" w:rsidR="00D77684" w:rsidRPr="00D77684" w:rsidRDefault="00657E4D" w:rsidP="00D77684">
      <w:pPr>
        <w:pStyle w:val="Heading1"/>
        <w:rPr>
          <w:rFonts w:cs="Calibri"/>
          <w:sz w:val="24"/>
          <w:szCs w:val="24"/>
        </w:rPr>
      </w:pPr>
      <w:r w:rsidRPr="00323FA5">
        <w:rPr>
          <w:sz w:val="24"/>
          <w:szCs w:val="24"/>
        </w:rPr>
        <w:t>Table 1 –</w:t>
      </w:r>
      <w:r w:rsidRPr="00FF7A79">
        <w:rPr>
          <w:sz w:val="24"/>
          <w:szCs w:val="24"/>
        </w:rPr>
        <w:t xml:space="preserve"> CIS Query Categories</w:t>
      </w:r>
      <w:r w:rsidR="009603B4">
        <w:rPr>
          <w:rFonts w:cs="Calibri"/>
          <w:sz w:val="24"/>
          <w:szCs w:val="24"/>
        </w:rPr>
        <w:t xml:space="preserve"> 202</w:t>
      </w:r>
      <w:r w:rsidR="00366D19">
        <w:rPr>
          <w:rFonts w:cs="Calibri"/>
          <w:sz w:val="24"/>
          <w:szCs w:val="24"/>
        </w:rPr>
        <w:t>2</w:t>
      </w:r>
    </w:p>
    <w:tbl>
      <w:tblPr>
        <w:tblStyle w:val="GridTable5Dark-Accent6"/>
        <w:tblW w:w="7129" w:type="dxa"/>
        <w:tblLook w:val="04A0" w:firstRow="1" w:lastRow="0" w:firstColumn="1" w:lastColumn="0" w:noHBand="0" w:noVBand="1"/>
        <w:tblCaption w:val="Table 1 CIS Query Categories 2021"/>
        <w:tblDescription w:val="This table shows the data for the high-level query categories, as a figure and as a percentage of the total number of queries, for 2021."/>
      </w:tblPr>
      <w:tblGrid>
        <w:gridCol w:w="3793"/>
        <w:gridCol w:w="1644"/>
        <w:gridCol w:w="1692"/>
      </w:tblGrid>
      <w:tr w:rsidR="00D77684" w:rsidRPr="00D77684" w14:paraId="1BC27FF5" w14:textId="77777777" w:rsidTr="00520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0A16D4B2" w14:textId="52C4AD1A" w:rsidR="00D77684" w:rsidRPr="00EF46F3" w:rsidRDefault="00D77684" w:rsidP="00D77684">
            <w:pPr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>Query Category 202</w:t>
            </w:r>
            <w:r w:rsidR="00863BDA">
              <w:rPr>
                <w:rFonts w:ascii="Calibri" w:eastAsia="Times New Roman" w:hAnsi="Calibri" w:cs="Calibri"/>
                <w:color w:val="auto"/>
                <w:lang w:eastAsia="en-IE"/>
              </w:rPr>
              <w:t>2</w:t>
            </w:r>
          </w:p>
        </w:tc>
        <w:tc>
          <w:tcPr>
            <w:tcW w:w="1644" w:type="dxa"/>
            <w:noWrap/>
            <w:hideMark/>
          </w:tcPr>
          <w:p w14:paraId="28EA6A6F" w14:textId="77777777" w:rsidR="00D77684" w:rsidRPr="00EF46F3" w:rsidRDefault="00D77684" w:rsidP="00DF6B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>Number of Queries</w:t>
            </w:r>
          </w:p>
        </w:tc>
        <w:tc>
          <w:tcPr>
            <w:tcW w:w="1692" w:type="dxa"/>
            <w:hideMark/>
          </w:tcPr>
          <w:p w14:paraId="4401FFE3" w14:textId="5B37D67A" w:rsidR="00D77684" w:rsidRPr="00EF46F3" w:rsidRDefault="00D77684" w:rsidP="00DF6B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 xml:space="preserve">% </w:t>
            </w:r>
            <w:r w:rsidR="0065732D" w:rsidRPr="00EF46F3">
              <w:rPr>
                <w:rFonts w:ascii="Calibri" w:eastAsia="Times New Roman" w:hAnsi="Calibri" w:cs="Calibri"/>
                <w:color w:val="auto"/>
                <w:lang w:eastAsia="en-IE"/>
              </w:rPr>
              <w:t>Of</w:t>
            </w: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 xml:space="preserve"> Total Queries</w:t>
            </w:r>
          </w:p>
        </w:tc>
      </w:tr>
      <w:tr w:rsidR="00ED1489" w:rsidRPr="00D77684" w14:paraId="35971CE3" w14:textId="77777777" w:rsidTr="00AD3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0FB3A157" w14:textId="77777777" w:rsidR="00ED1489" w:rsidRPr="00D77684" w:rsidRDefault="00ED1489" w:rsidP="00ED148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1644" w:type="dxa"/>
            <w:noWrap/>
            <w:vAlign w:val="bottom"/>
            <w:hideMark/>
          </w:tcPr>
          <w:p w14:paraId="79413715" w14:textId="0E30E5F9" w:rsidR="00ED1489" w:rsidRPr="00DF6B46" w:rsidRDefault="00ED1489" w:rsidP="00657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371,736</w:t>
            </w:r>
          </w:p>
        </w:tc>
        <w:tc>
          <w:tcPr>
            <w:tcW w:w="1692" w:type="dxa"/>
            <w:noWrap/>
            <w:vAlign w:val="bottom"/>
            <w:hideMark/>
          </w:tcPr>
          <w:p w14:paraId="55EB0E79" w14:textId="7F84944C" w:rsidR="00ED1489" w:rsidRPr="00DF6B46" w:rsidRDefault="00ED1489" w:rsidP="00657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47</w:t>
            </w:r>
            <w:r w:rsidR="007C39FE"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.1</w:t>
            </w: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D1489" w:rsidRPr="00D77684" w14:paraId="3D4F7865" w14:textId="77777777" w:rsidTr="00AD313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013BFDA5" w14:textId="77777777" w:rsidR="00ED1489" w:rsidRPr="00D77684" w:rsidRDefault="00ED1489" w:rsidP="00ED148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1644" w:type="dxa"/>
            <w:noWrap/>
            <w:vAlign w:val="bottom"/>
            <w:hideMark/>
          </w:tcPr>
          <w:p w14:paraId="757E59DC" w14:textId="016E107E" w:rsidR="00ED1489" w:rsidRPr="00DF6B46" w:rsidRDefault="00ED1489" w:rsidP="00657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75,414</w:t>
            </w:r>
          </w:p>
        </w:tc>
        <w:tc>
          <w:tcPr>
            <w:tcW w:w="1692" w:type="dxa"/>
            <w:noWrap/>
            <w:vAlign w:val="bottom"/>
            <w:hideMark/>
          </w:tcPr>
          <w:p w14:paraId="0B4A5299" w14:textId="68EC33EB" w:rsidR="00ED1489" w:rsidRPr="00DF6B46" w:rsidRDefault="007C39FE" w:rsidP="00657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9.6</w:t>
            </w:r>
            <w:r w:rsidR="00ED1489"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AC3EA0" w:rsidRPr="00D77684" w14:paraId="0F737EC7" w14:textId="77777777" w:rsidTr="00AC3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</w:tcPr>
          <w:p w14:paraId="2CCA991A" w14:textId="77366E02" w:rsidR="00AC3EA0" w:rsidRPr="00D77684" w:rsidRDefault="00AC3EA0" w:rsidP="00AC3E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1644" w:type="dxa"/>
            <w:noWrap/>
            <w:vAlign w:val="bottom"/>
          </w:tcPr>
          <w:p w14:paraId="73604F30" w14:textId="7E27470C" w:rsidR="00AC3EA0" w:rsidRPr="00DF6B46" w:rsidRDefault="00AC3EA0" w:rsidP="00AC3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57,059</w:t>
            </w:r>
          </w:p>
        </w:tc>
        <w:tc>
          <w:tcPr>
            <w:tcW w:w="1692" w:type="dxa"/>
            <w:noWrap/>
            <w:vAlign w:val="bottom"/>
          </w:tcPr>
          <w:p w14:paraId="50CACEFC" w14:textId="732E279B" w:rsidR="00AC3EA0" w:rsidRPr="00DF6B46" w:rsidRDefault="00AC3EA0" w:rsidP="00AC3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</w:t>
            </w:r>
            <w:r w:rsidR="007C39FE"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.2</w:t>
            </w: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AC3EA0" w:rsidRPr="00D77684" w14:paraId="0A4E57E8" w14:textId="77777777" w:rsidTr="00AD313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</w:tcPr>
          <w:p w14:paraId="495A13D7" w14:textId="51E673FA" w:rsidR="00AC3EA0" w:rsidRPr="00D77684" w:rsidRDefault="00AC3EA0" w:rsidP="00AC3E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1644" w:type="dxa"/>
            <w:noWrap/>
            <w:vAlign w:val="bottom"/>
          </w:tcPr>
          <w:p w14:paraId="1FB80336" w14:textId="10FC24DA" w:rsidR="00AC3EA0" w:rsidRPr="00DF6B46" w:rsidRDefault="00AC3EA0" w:rsidP="00AC3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49,667</w:t>
            </w:r>
          </w:p>
        </w:tc>
        <w:tc>
          <w:tcPr>
            <w:tcW w:w="1692" w:type="dxa"/>
            <w:noWrap/>
            <w:vAlign w:val="bottom"/>
          </w:tcPr>
          <w:p w14:paraId="715FFBDE" w14:textId="73601F29" w:rsidR="00AC3EA0" w:rsidRPr="00DF6B46" w:rsidRDefault="00AC3EA0" w:rsidP="00AC3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  <w:r w:rsidR="007C39FE"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.3</w:t>
            </w: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AC3EA0" w:rsidRPr="00D77684" w14:paraId="0662379D" w14:textId="77777777" w:rsidTr="00AC3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</w:tcPr>
          <w:p w14:paraId="5CD35AFA" w14:textId="5BA33E54" w:rsidR="00AC3EA0" w:rsidRPr="00D77684" w:rsidRDefault="00AC3EA0" w:rsidP="00AC3E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</w:t>
            </w:r>
          </w:p>
        </w:tc>
        <w:tc>
          <w:tcPr>
            <w:tcW w:w="1644" w:type="dxa"/>
            <w:noWrap/>
            <w:vAlign w:val="bottom"/>
          </w:tcPr>
          <w:p w14:paraId="33561BFC" w14:textId="209B05A4" w:rsidR="00AC3EA0" w:rsidRPr="00DF6B46" w:rsidRDefault="00AC3EA0" w:rsidP="00AC3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47,690</w:t>
            </w:r>
          </w:p>
        </w:tc>
        <w:tc>
          <w:tcPr>
            <w:tcW w:w="1692" w:type="dxa"/>
            <w:noWrap/>
            <w:vAlign w:val="bottom"/>
          </w:tcPr>
          <w:p w14:paraId="097C735C" w14:textId="7623814F" w:rsidR="00AC3EA0" w:rsidRPr="00DF6B46" w:rsidRDefault="00AC3EA0" w:rsidP="00AC3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</w:t>
            </w:r>
            <w:r w:rsidR="007C39FE"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.1</w:t>
            </w: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AC3EA0" w:rsidRPr="00D77684" w14:paraId="20955A6C" w14:textId="77777777" w:rsidTr="00AC3EA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</w:tcPr>
          <w:p w14:paraId="00FC3571" w14:textId="1F341DB2" w:rsidR="00AC3EA0" w:rsidRPr="00D77684" w:rsidRDefault="00AC3EA0" w:rsidP="00AC3E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1644" w:type="dxa"/>
            <w:noWrap/>
            <w:vAlign w:val="bottom"/>
          </w:tcPr>
          <w:p w14:paraId="669AD464" w14:textId="2D63F32F" w:rsidR="00AC3EA0" w:rsidRPr="00DF6B46" w:rsidRDefault="00AC3EA0" w:rsidP="00AC3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41,824</w:t>
            </w:r>
          </w:p>
        </w:tc>
        <w:tc>
          <w:tcPr>
            <w:tcW w:w="1692" w:type="dxa"/>
            <w:noWrap/>
            <w:vAlign w:val="bottom"/>
          </w:tcPr>
          <w:p w14:paraId="5CD2DDD7" w14:textId="564242D7" w:rsidR="00AC3EA0" w:rsidRPr="00DF6B46" w:rsidRDefault="00AC3EA0" w:rsidP="00AC3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="007C39FE"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.3</w:t>
            </w: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D1489" w:rsidRPr="00D77684" w14:paraId="2AB508B0" w14:textId="77777777" w:rsidTr="00AD3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1CBAA87E" w14:textId="77777777" w:rsidR="00ED1489" w:rsidRPr="00D77684" w:rsidRDefault="00ED1489" w:rsidP="00ED148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1644" w:type="dxa"/>
            <w:noWrap/>
            <w:vAlign w:val="bottom"/>
            <w:hideMark/>
          </w:tcPr>
          <w:p w14:paraId="3FDEB9A6" w14:textId="67C43F2E" w:rsidR="00ED1489" w:rsidRPr="00DF6B46" w:rsidRDefault="00ED1489" w:rsidP="00657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41,561</w:t>
            </w:r>
          </w:p>
        </w:tc>
        <w:tc>
          <w:tcPr>
            <w:tcW w:w="1692" w:type="dxa"/>
            <w:noWrap/>
            <w:vAlign w:val="bottom"/>
            <w:hideMark/>
          </w:tcPr>
          <w:p w14:paraId="5E84E0E8" w14:textId="0DBC35C1" w:rsidR="00ED1489" w:rsidRPr="00DF6B46" w:rsidRDefault="00ED1489" w:rsidP="00657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="007C39FE"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.3</w:t>
            </w: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AC3EA0" w:rsidRPr="00D77684" w14:paraId="1CA7AC99" w14:textId="77777777" w:rsidTr="00AC3EA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</w:tcPr>
          <w:p w14:paraId="267E892A" w14:textId="6645BBAA" w:rsidR="00AC3EA0" w:rsidRPr="00D77684" w:rsidRDefault="00AC3EA0" w:rsidP="00AC3E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Travel and Recreation</w:t>
            </w:r>
          </w:p>
        </w:tc>
        <w:tc>
          <w:tcPr>
            <w:tcW w:w="1644" w:type="dxa"/>
            <w:noWrap/>
            <w:vAlign w:val="bottom"/>
          </w:tcPr>
          <w:p w14:paraId="5F60E959" w14:textId="1C3D6524" w:rsidR="00AC3EA0" w:rsidRPr="00DF6B46" w:rsidRDefault="00AC3EA0" w:rsidP="00AC3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22,462</w:t>
            </w:r>
          </w:p>
        </w:tc>
        <w:tc>
          <w:tcPr>
            <w:tcW w:w="1692" w:type="dxa"/>
            <w:noWrap/>
            <w:vAlign w:val="bottom"/>
          </w:tcPr>
          <w:p w14:paraId="23E4D40D" w14:textId="443F6209" w:rsidR="00AC3EA0" w:rsidRPr="00DF6B46" w:rsidRDefault="007C39FE" w:rsidP="00AC3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2.9</w:t>
            </w:r>
            <w:r w:rsidR="00AC3EA0"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D1489" w:rsidRPr="00D77684" w14:paraId="76ABB324" w14:textId="77777777" w:rsidTr="00AD3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6795340F" w14:textId="77777777" w:rsidR="00ED1489" w:rsidRPr="00D77684" w:rsidRDefault="00ED1489" w:rsidP="00ED148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Birth, Family and Relationships</w:t>
            </w:r>
          </w:p>
        </w:tc>
        <w:tc>
          <w:tcPr>
            <w:tcW w:w="1644" w:type="dxa"/>
            <w:noWrap/>
            <w:vAlign w:val="bottom"/>
            <w:hideMark/>
          </w:tcPr>
          <w:p w14:paraId="61FB126B" w14:textId="430A4258" w:rsidR="00ED1489" w:rsidRPr="00DF6B46" w:rsidRDefault="00ED1489" w:rsidP="00657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18,701</w:t>
            </w:r>
          </w:p>
        </w:tc>
        <w:tc>
          <w:tcPr>
            <w:tcW w:w="1692" w:type="dxa"/>
            <w:noWrap/>
            <w:vAlign w:val="bottom"/>
            <w:hideMark/>
          </w:tcPr>
          <w:p w14:paraId="77FE6D15" w14:textId="0A8A759B" w:rsidR="00ED1489" w:rsidRPr="00DF6B46" w:rsidRDefault="00ED1489" w:rsidP="00657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7C39FE"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.4</w:t>
            </w: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D1489" w:rsidRPr="00D77684" w14:paraId="41024A1F" w14:textId="77777777" w:rsidTr="00AD313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3404574D" w14:textId="77777777" w:rsidR="00ED1489" w:rsidRPr="00D77684" w:rsidRDefault="00ED1489" w:rsidP="00ED148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Justice</w:t>
            </w:r>
          </w:p>
        </w:tc>
        <w:tc>
          <w:tcPr>
            <w:tcW w:w="1644" w:type="dxa"/>
            <w:noWrap/>
            <w:vAlign w:val="bottom"/>
            <w:hideMark/>
          </w:tcPr>
          <w:p w14:paraId="2595FC1E" w14:textId="5FFE421B" w:rsidR="00ED1489" w:rsidRPr="00DF6B46" w:rsidRDefault="00ED1489" w:rsidP="00657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18,313</w:t>
            </w:r>
          </w:p>
        </w:tc>
        <w:tc>
          <w:tcPr>
            <w:tcW w:w="1692" w:type="dxa"/>
            <w:noWrap/>
            <w:vAlign w:val="bottom"/>
            <w:hideMark/>
          </w:tcPr>
          <w:p w14:paraId="05F5C7E5" w14:textId="1654A881" w:rsidR="00ED1489" w:rsidRPr="00DF6B46" w:rsidRDefault="00ED1489" w:rsidP="00657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</w:t>
            </w:r>
            <w:r w:rsidR="007C39FE"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.3</w:t>
            </w: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AC3EA0" w:rsidRPr="00D77684" w14:paraId="09A6E527" w14:textId="77777777" w:rsidTr="00AC3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</w:tcPr>
          <w:p w14:paraId="0FE26E5E" w14:textId="1F0AFC4B" w:rsidR="00AC3EA0" w:rsidRPr="00D77684" w:rsidRDefault="00AC3EA0" w:rsidP="00AC3E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Education and Training</w:t>
            </w:r>
          </w:p>
        </w:tc>
        <w:tc>
          <w:tcPr>
            <w:tcW w:w="1644" w:type="dxa"/>
            <w:noWrap/>
            <w:vAlign w:val="bottom"/>
          </w:tcPr>
          <w:p w14:paraId="7CB0BD39" w14:textId="037D9E85" w:rsidR="00AC3EA0" w:rsidRPr="00DF6B46" w:rsidRDefault="00AC3EA0" w:rsidP="00AC3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13,417</w:t>
            </w:r>
          </w:p>
        </w:tc>
        <w:tc>
          <w:tcPr>
            <w:tcW w:w="1692" w:type="dxa"/>
            <w:noWrap/>
            <w:vAlign w:val="bottom"/>
          </w:tcPr>
          <w:p w14:paraId="235832F0" w14:textId="61DA7865" w:rsidR="00AC3EA0" w:rsidRPr="00DF6B46" w:rsidRDefault="007C39FE" w:rsidP="00AC3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1.7</w:t>
            </w:r>
            <w:r w:rsidR="00AC3EA0"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AC3EA0" w:rsidRPr="00D77684" w14:paraId="2D9168AB" w14:textId="77777777" w:rsidTr="00AC3EA0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</w:tcPr>
          <w:p w14:paraId="62B1B2FA" w14:textId="29839BD2" w:rsidR="00AC3EA0" w:rsidRPr="00D77684" w:rsidRDefault="00AC3EA0" w:rsidP="00AC3E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Consumer Affairs</w:t>
            </w:r>
          </w:p>
        </w:tc>
        <w:tc>
          <w:tcPr>
            <w:tcW w:w="1644" w:type="dxa"/>
            <w:noWrap/>
            <w:vAlign w:val="bottom"/>
          </w:tcPr>
          <w:p w14:paraId="562C084C" w14:textId="38FD7EA9" w:rsidR="00AC3EA0" w:rsidRPr="00DF6B46" w:rsidRDefault="00AC3EA0" w:rsidP="00AC3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12,134</w:t>
            </w:r>
          </w:p>
        </w:tc>
        <w:tc>
          <w:tcPr>
            <w:tcW w:w="1692" w:type="dxa"/>
            <w:noWrap/>
            <w:vAlign w:val="bottom"/>
          </w:tcPr>
          <w:p w14:paraId="72471F87" w14:textId="550F962A" w:rsidR="00AC3EA0" w:rsidRPr="00DF6B46" w:rsidRDefault="007C39FE" w:rsidP="00AC3EA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1.5</w:t>
            </w:r>
            <w:r w:rsidR="00AC3EA0"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AC3EA0" w:rsidRPr="00D77684" w14:paraId="3BA1BF10" w14:textId="77777777" w:rsidTr="00AC3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</w:tcPr>
          <w:p w14:paraId="3E692DE1" w14:textId="3339E7E2" w:rsidR="00AC3EA0" w:rsidRPr="00D77684" w:rsidRDefault="00AC3EA0" w:rsidP="00AC3EA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Covid-19</w:t>
            </w:r>
          </w:p>
        </w:tc>
        <w:tc>
          <w:tcPr>
            <w:tcW w:w="1644" w:type="dxa"/>
            <w:noWrap/>
            <w:vAlign w:val="bottom"/>
          </w:tcPr>
          <w:p w14:paraId="6411EEB2" w14:textId="4F81A962" w:rsidR="00AC3EA0" w:rsidRPr="00DF6B46" w:rsidRDefault="00AC3EA0" w:rsidP="00AC3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7,467</w:t>
            </w:r>
          </w:p>
        </w:tc>
        <w:tc>
          <w:tcPr>
            <w:tcW w:w="1692" w:type="dxa"/>
            <w:noWrap/>
            <w:vAlign w:val="bottom"/>
          </w:tcPr>
          <w:p w14:paraId="1EFF1A54" w14:textId="7E413EF5" w:rsidR="00AC3EA0" w:rsidRPr="00DF6B46" w:rsidRDefault="00AC3EA0" w:rsidP="00AC3E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7C39FE"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.0</w:t>
            </w: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D1489" w:rsidRPr="00D77684" w14:paraId="40847945" w14:textId="77777777" w:rsidTr="00AD313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472BABA5" w14:textId="77777777" w:rsidR="00ED1489" w:rsidRPr="00D77684" w:rsidRDefault="00ED1489" w:rsidP="00ED148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and Bereavement</w:t>
            </w:r>
          </w:p>
        </w:tc>
        <w:tc>
          <w:tcPr>
            <w:tcW w:w="1644" w:type="dxa"/>
            <w:noWrap/>
            <w:vAlign w:val="bottom"/>
            <w:hideMark/>
          </w:tcPr>
          <w:p w14:paraId="7164A2D1" w14:textId="34CECC91" w:rsidR="00ED1489" w:rsidRPr="00DF6B46" w:rsidRDefault="00ED1489" w:rsidP="00657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5,422</w:t>
            </w:r>
          </w:p>
        </w:tc>
        <w:tc>
          <w:tcPr>
            <w:tcW w:w="1692" w:type="dxa"/>
            <w:noWrap/>
            <w:vAlign w:val="bottom"/>
            <w:hideMark/>
          </w:tcPr>
          <w:p w14:paraId="3CC72FE0" w14:textId="1D277EAE" w:rsidR="00ED1489" w:rsidRPr="00DF6B46" w:rsidRDefault="007C39FE" w:rsidP="00657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0.7</w:t>
            </w:r>
            <w:r w:rsidR="00ED1489"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D1489" w:rsidRPr="00D77684" w14:paraId="702FF43E" w14:textId="77777777" w:rsidTr="00AD31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352D1E30" w14:textId="77777777" w:rsidR="00ED1489" w:rsidRPr="00D77684" w:rsidRDefault="00ED1489" w:rsidP="00ED148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Government in Ireland</w:t>
            </w:r>
          </w:p>
        </w:tc>
        <w:tc>
          <w:tcPr>
            <w:tcW w:w="1644" w:type="dxa"/>
            <w:noWrap/>
            <w:vAlign w:val="bottom"/>
            <w:hideMark/>
          </w:tcPr>
          <w:p w14:paraId="1EEBF447" w14:textId="2B3DC401" w:rsidR="00ED1489" w:rsidRPr="00DF6B46" w:rsidRDefault="00ED1489" w:rsidP="00657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4,566</w:t>
            </w:r>
          </w:p>
        </w:tc>
        <w:tc>
          <w:tcPr>
            <w:tcW w:w="1692" w:type="dxa"/>
            <w:noWrap/>
            <w:vAlign w:val="bottom"/>
            <w:hideMark/>
          </w:tcPr>
          <w:p w14:paraId="5D06FD4A" w14:textId="008EE05F" w:rsidR="00ED1489" w:rsidRPr="00DF6B46" w:rsidRDefault="007C39FE" w:rsidP="00657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0.6</w:t>
            </w:r>
            <w:r w:rsidR="00ED1489"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D1489" w:rsidRPr="00D77684" w14:paraId="0E0B2E3B" w14:textId="77777777" w:rsidTr="00AD3137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7AB9F218" w14:textId="77777777" w:rsidR="00ED1489" w:rsidRPr="00D77684" w:rsidRDefault="00ED1489" w:rsidP="00ED148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Environment</w:t>
            </w:r>
          </w:p>
        </w:tc>
        <w:tc>
          <w:tcPr>
            <w:tcW w:w="1644" w:type="dxa"/>
            <w:noWrap/>
            <w:vAlign w:val="bottom"/>
            <w:hideMark/>
          </w:tcPr>
          <w:p w14:paraId="4A89816C" w14:textId="1399F527" w:rsidR="00ED1489" w:rsidRPr="00DF6B46" w:rsidRDefault="00ED1489" w:rsidP="00657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1,469</w:t>
            </w:r>
          </w:p>
        </w:tc>
        <w:tc>
          <w:tcPr>
            <w:tcW w:w="1692" w:type="dxa"/>
            <w:noWrap/>
            <w:vAlign w:val="bottom"/>
            <w:hideMark/>
          </w:tcPr>
          <w:p w14:paraId="1836EC12" w14:textId="7C153055" w:rsidR="00ED1489" w:rsidRPr="00DF6B46" w:rsidRDefault="00ED1489" w:rsidP="006573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</w:t>
            </w:r>
            <w:r w:rsidR="007C39FE"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.2</w:t>
            </w: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ED1489" w:rsidRPr="00D77684" w14:paraId="6D03D11B" w14:textId="77777777" w:rsidTr="005C7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5DF9500B" w14:textId="77777777" w:rsidR="00ED1489" w:rsidRPr="00D77684" w:rsidRDefault="00ED1489" w:rsidP="00ED1489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644" w:type="dxa"/>
            <w:noWrap/>
            <w:hideMark/>
          </w:tcPr>
          <w:p w14:paraId="4080A231" w14:textId="7D184DCE" w:rsidR="00ED1489" w:rsidRPr="00DF6B46" w:rsidRDefault="00ED1489" w:rsidP="00657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788,902</w:t>
            </w:r>
          </w:p>
        </w:tc>
        <w:tc>
          <w:tcPr>
            <w:tcW w:w="1692" w:type="dxa"/>
            <w:noWrap/>
            <w:hideMark/>
          </w:tcPr>
          <w:p w14:paraId="21DB16BB" w14:textId="14C40D9D" w:rsidR="00ED1489" w:rsidRPr="00DF6B46" w:rsidRDefault="00ED1489" w:rsidP="006573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F6B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</w:tbl>
    <w:p w14:paraId="0EEC3E99" w14:textId="77777777" w:rsidR="00D77684" w:rsidRPr="009603B4" w:rsidRDefault="00D77684" w:rsidP="009603B4">
      <w:pPr>
        <w:sectPr w:rsidR="00D77684" w:rsidRPr="009603B4" w:rsidSect="009603B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9BF07BA" w14:textId="1131BAB2" w:rsidR="009603B4" w:rsidRDefault="009603B4" w:rsidP="00C704C7">
      <w:pPr>
        <w:pStyle w:val="Heading1"/>
        <w:rPr>
          <w:sz w:val="24"/>
          <w:szCs w:val="24"/>
        </w:rPr>
      </w:pPr>
    </w:p>
    <w:p w14:paraId="3BD3FCA1" w14:textId="2265D42D" w:rsidR="005C7498" w:rsidRDefault="005C7498" w:rsidP="005C7498"/>
    <w:p w14:paraId="378980D7" w14:textId="0778300B" w:rsidR="005C7498" w:rsidRDefault="005C7498" w:rsidP="005C7498"/>
    <w:p w14:paraId="41742D76" w14:textId="0C1234E6" w:rsidR="00C6352A" w:rsidRPr="005C7498" w:rsidRDefault="00DF6B46" w:rsidP="00DF6B46">
      <w:pPr>
        <w:pStyle w:val="FootnoteText"/>
        <w:sectPr w:rsidR="00C6352A" w:rsidRPr="005C7498" w:rsidSect="009603B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Style w:val="FootnoteReference"/>
        </w:rPr>
        <w:footnoteRef/>
      </w:r>
      <w:r>
        <w:t xml:space="preserve"> </w:t>
      </w:r>
      <w:r w:rsidRPr="005B1480">
        <w:rPr>
          <w:sz w:val="18"/>
          <w:szCs w:val="18"/>
        </w:rPr>
        <w:t>Although ‘Local’ queries feature in the top 5 categories</w:t>
      </w:r>
      <w:r>
        <w:rPr>
          <w:sz w:val="18"/>
          <w:szCs w:val="18"/>
        </w:rPr>
        <w:t xml:space="preserve"> above Moving Country</w:t>
      </w:r>
      <w:r w:rsidRPr="005B1480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5B1480">
        <w:rPr>
          <w:sz w:val="18"/>
          <w:szCs w:val="18"/>
        </w:rPr>
        <w:t>it is a generic category</w:t>
      </w:r>
      <w:r w:rsidRPr="005B1480">
        <w:rPr>
          <w:b/>
          <w:sz w:val="18"/>
          <w:szCs w:val="18"/>
        </w:rPr>
        <w:t xml:space="preserve"> </w:t>
      </w:r>
      <w:r w:rsidRPr="005B1480">
        <w:rPr>
          <w:sz w:val="18"/>
          <w:szCs w:val="18"/>
        </w:rPr>
        <w:t xml:space="preserve">which includes signposting and referral to local services </w:t>
      </w:r>
      <w:r w:rsidRPr="005B1480">
        <w:rPr>
          <w:rStyle w:val="CommentReference"/>
          <w:sz w:val="18"/>
          <w:szCs w:val="18"/>
        </w:rPr>
        <w:t xml:space="preserve">but does not </w:t>
      </w:r>
      <w:r>
        <w:rPr>
          <w:rStyle w:val="CommentReference"/>
          <w:sz w:val="18"/>
          <w:szCs w:val="18"/>
        </w:rPr>
        <w:t xml:space="preserve">include </w:t>
      </w:r>
      <w:r w:rsidRPr="005B1480">
        <w:rPr>
          <w:rStyle w:val="CommentReference"/>
          <w:sz w:val="18"/>
          <w:szCs w:val="18"/>
        </w:rPr>
        <w:t xml:space="preserve">a breakdown of queries </w:t>
      </w:r>
      <w:r>
        <w:rPr>
          <w:sz w:val="18"/>
          <w:szCs w:val="18"/>
        </w:rPr>
        <w:t xml:space="preserve">and </w:t>
      </w:r>
      <w:r w:rsidRPr="005B1480">
        <w:rPr>
          <w:sz w:val="18"/>
          <w:szCs w:val="18"/>
        </w:rPr>
        <w:t>therefore</w:t>
      </w:r>
      <w:r>
        <w:rPr>
          <w:sz w:val="18"/>
          <w:szCs w:val="18"/>
        </w:rPr>
        <w:t xml:space="preserve"> is not </w:t>
      </w:r>
      <w:r w:rsidRPr="005B1480">
        <w:rPr>
          <w:sz w:val="18"/>
          <w:szCs w:val="18"/>
        </w:rPr>
        <w:t>included  in the tables</w:t>
      </w:r>
      <w:r>
        <w:rPr>
          <w:sz w:val="18"/>
          <w:szCs w:val="18"/>
        </w:rPr>
        <w:t>.</w:t>
      </w:r>
    </w:p>
    <w:p w14:paraId="43324153" w14:textId="7901659D" w:rsidR="009603B4" w:rsidRDefault="006011C1" w:rsidP="00C704C7">
      <w:pPr>
        <w:pStyle w:val="Heading1"/>
        <w:rPr>
          <w:sz w:val="24"/>
          <w:szCs w:val="24"/>
        </w:rPr>
        <w:sectPr w:rsidR="009603B4" w:rsidSect="00B7436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323FA5">
        <w:rPr>
          <w:sz w:val="24"/>
          <w:szCs w:val="24"/>
        </w:rPr>
        <w:lastRenderedPageBreak/>
        <w:t>T</w:t>
      </w:r>
      <w:r w:rsidR="00657E4D" w:rsidRPr="00323FA5">
        <w:rPr>
          <w:sz w:val="24"/>
          <w:szCs w:val="24"/>
        </w:rPr>
        <w:t>able 2</w:t>
      </w:r>
      <w:r w:rsidR="00657E4D" w:rsidRPr="00FF7A79">
        <w:rPr>
          <w:sz w:val="24"/>
          <w:szCs w:val="24"/>
        </w:rPr>
        <w:t xml:space="preserve"> – </w:t>
      </w:r>
      <w:r w:rsidR="005C7498">
        <w:rPr>
          <w:sz w:val="24"/>
          <w:szCs w:val="24"/>
        </w:rPr>
        <w:t>CIS Query Comparison 202</w:t>
      </w:r>
      <w:r w:rsidR="00863BDA">
        <w:rPr>
          <w:sz w:val="24"/>
          <w:szCs w:val="24"/>
        </w:rPr>
        <w:t>1</w:t>
      </w:r>
      <w:r w:rsidR="005C7498">
        <w:rPr>
          <w:sz w:val="24"/>
          <w:szCs w:val="24"/>
        </w:rPr>
        <w:t xml:space="preserve"> &amp; 202</w:t>
      </w:r>
      <w:r w:rsidR="00863BDA">
        <w:rPr>
          <w:sz w:val="24"/>
          <w:szCs w:val="24"/>
        </w:rPr>
        <w:t>2</w:t>
      </w:r>
    </w:p>
    <w:p w14:paraId="71F19F65" w14:textId="2979DFFB" w:rsidR="009603B4" w:rsidRPr="009603B4" w:rsidRDefault="009603B4" w:rsidP="009603B4"/>
    <w:tbl>
      <w:tblPr>
        <w:tblStyle w:val="GridTable5Dark-Accent6"/>
        <w:tblW w:w="8363" w:type="dxa"/>
        <w:tblLook w:val="04A0" w:firstRow="1" w:lastRow="0" w:firstColumn="1" w:lastColumn="0" w:noHBand="0" w:noVBand="1"/>
        <w:tblCaption w:val="Table 2 - CIS Query Comparison 2021 and 2020"/>
        <w:tblDescription w:val="This table shows the data for the high-level query categories recorded by services during 2020 and 2021. "/>
      </w:tblPr>
      <w:tblGrid>
        <w:gridCol w:w="3731"/>
        <w:gridCol w:w="1544"/>
        <w:gridCol w:w="1544"/>
        <w:gridCol w:w="1544"/>
      </w:tblGrid>
      <w:tr w:rsidR="00FA605D" w:rsidRPr="00323FA5" w14:paraId="21052728" w14:textId="4D492181" w:rsidTr="00FA60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22658A3D" w14:textId="77777777" w:rsidR="00FA605D" w:rsidRPr="00EF46F3" w:rsidRDefault="00FA605D" w:rsidP="00181261">
            <w:pPr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>Query Category</w:t>
            </w:r>
          </w:p>
        </w:tc>
        <w:tc>
          <w:tcPr>
            <w:tcW w:w="1544" w:type="dxa"/>
          </w:tcPr>
          <w:p w14:paraId="0BAD7AFA" w14:textId="07DA4571" w:rsidR="00FA605D" w:rsidRPr="00EF46F3" w:rsidRDefault="00FA605D" w:rsidP="001812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># Of Queries 202</w:t>
            </w:r>
            <w:r>
              <w:rPr>
                <w:rFonts w:ascii="Calibri" w:eastAsia="Times New Roman" w:hAnsi="Calibri" w:cs="Calibri"/>
                <w:color w:val="auto"/>
                <w:lang w:eastAsia="en-IE"/>
              </w:rPr>
              <w:t>1</w:t>
            </w:r>
          </w:p>
        </w:tc>
        <w:tc>
          <w:tcPr>
            <w:tcW w:w="1544" w:type="dxa"/>
            <w:hideMark/>
          </w:tcPr>
          <w:p w14:paraId="2C7501A8" w14:textId="19E81098" w:rsidR="00FA605D" w:rsidRPr="00EF46F3" w:rsidRDefault="00FA605D" w:rsidP="001812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># Of Queries 202</w:t>
            </w:r>
            <w:r>
              <w:rPr>
                <w:rFonts w:ascii="Calibri" w:eastAsia="Times New Roman" w:hAnsi="Calibri" w:cs="Calibri"/>
                <w:color w:val="auto"/>
                <w:lang w:eastAsia="en-IE"/>
              </w:rPr>
              <w:t>2</w:t>
            </w:r>
          </w:p>
        </w:tc>
        <w:tc>
          <w:tcPr>
            <w:tcW w:w="1544" w:type="dxa"/>
          </w:tcPr>
          <w:p w14:paraId="099728EF" w14:textId="56F3C492" w:rsidR="00FA605D" w:rsidRPr="00EF46F3" w:rsidRDefault="00FA605D" w:rsidP="0018126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FA605D">
              <w:rPr>
                <w:rFonts w:ascii="Calibri" w:eastAsia="Times New Roman" w:hAnsi="Calibri" w:cs="Calibri"/>
                <w:color w:val="auto"/>
                <w:lang w:eastAsia="en-IE"/>
              </w:rPr>
              <w:t>% Difference</w:t>
            </w:r>
          </w:p>
        </w:tc>
      </w:tr>
      <w:tr w:rsidR="00FA605D" w:rsidRPr="00323FA5" w14:paraId="156F29B2" w14:textId="070A0EDA" w:rsidTr="00FA60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5DBBF97A" w14:textId="6644C505" w:rsidR="00FA605D" w:rsidRPr="009603B4" w:rsidRDefault="00FA605D" w:rsidP="00FA60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1544" w:type="dxa"/>
            <w:vAlign w:val="bottom"/>
          </w:tcPr>
          <w:p w14:paraId="339A985C" w14:textId="46BB1D2B" w:rsidR="00FA605D" w:rsidRPr="00ED1489" w:rsidRDefault="00FA605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ED14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300,6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</w:t>
            </w:r>
            <w:r w:rsidRPr="00ED14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1544" w:type="dxa"/>
            <w:noWrap/>
            <w:vAlign w:val="bottom"/>
            <w:hideMark/>
          </w:tcPr>
          <w:p w14:paraId="0F5EB642" w14:textId="580E4A9C" w:rsidR="00FA605D" w:rsidRPr="00863BDA" w:rsidRDefault="00FA605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63B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371,736</w:t>
            </w:r>
          </w:p>
        </w:tc>
        <w:tc>
          <w:tcPr>
            <w:tcW w:w="1544" w:type="dxa"/>
            <w:vAlign w:val="bottom"/>
          </w:tcPr>
          <w:p w14:paraId="27E87340" w14:textId="4A966845" w:rsidR="00FA605D" w:rsidRPr="00863BDA" w:rsidRDefault="004F334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+</w:t>
            </w:r>
            <w:r w:rsidR="00FA605D" w:rsidRPr="00FA6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23.6%</w:t>
            </w:r>
          </w:p>
        </w:tc>
      </w:tr>
      <w:tr w:rsidR="00FA605D" w:rsidRPr="00323FA5" w14:paraId="41D19B59" w14:textId="1B9A1E9E" w:rsidTr="00C411E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649F3B8C" w14:textId="25B28CF0" w:rsidR="00FA605D" w:rsidRPr="009603B4" w:rsidRDefault="00FA605D" w:rsidP="00FA60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1544" w:type="dxa"/>
            <w:vAlign w:val="bottom"/>
          </w:tcPr>
          <w:p w14:paraId="741FA713" w14:textId="24A3FAD4" w:rsidR="00FA605D" w:rsidRPr="00ED1489" w:rsidRDefault="00FA605D" w:rsidP="00FA6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ED14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61,577</w:t>
            </w:r>
          </w:p>
        </w:tc>
        <w:tc>
          <w:tcPr>
            <w:tcW w:w="1544" w:type="dxa"/>
            <w:noWrap/>
            <w:vAlign w:val="bottom"/>
            <w:hideMark/>
          </w:tcPr>
          <w:p w14:paraId="4BBC584E" w14:textId="3D6F22E2" w:rsidR="00FA605D" w:rsidRPr="00863BDA" w:rsidRDefault="00FA605D" w:rsidP="00FA6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63B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75,414</w:t>
            </w:r>
          </w:p>
        </w:tc>
        <w:tc>
          <w:tcPr>
            <w:tcW w:w="1544" w:type="dxa"/>
            <w:vAlign w:val="bottom"/>
          </w:tcPr>
          <w:p w14:paraId="02954801" w14:textId="17EEDEB2" w:rsidR="00FA605D" w:rsidRPr="00863BDA" w:rsidRDefault="004F334D" w:rsidP="00FA6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+</w:t>
            </w:r>
            <w:r w:rsidR="00FA605D" w:rsidRPr="00FA6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22.5%</w:t>
            </w:r>
          </w:p>
        </w:tc>
      </w:tr>
      <w:tr w:rsidR="00FA605D" w:rsidRPr="00323FA5" w14:paraId="0F807F48" w14:textId="33F7EF1C" w:rsidTr="00C41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21418DDC" w14:textId="72BD3046" w:rsidR="00FA605D" w:rsidRPr="009603B4" w:rsidRDefault="00FA605D" w:rsidP="00FA60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1544" w:type="dxa"/>
            <w:vAlign w:val="bottom"/>
          </w:tcPr>
          <w:p w14:paraId="6A25DFE8" w14:textId="41DA6CE2" w:rsidR="00FA605D" w:rsidRPr="00ED1489" w:rsidRDefault="00FA605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43,372</w:t>
            </w:r>
          </w:p>
        </w:tc>
        <w:tc>
          <w:tcPr>
            <w:tcW w:w="1544" w:type="dxa"/>
            <w:noWrap/>
            <w:vAlign w:val="bottom"/>
            <w:hideMark/>
          </w:tcPr>
          <w:p w14:paraId="6AEBF34E" w14:textId="10A95C7C" w:rsidR="00FA605D" w:rsidRPr="00863BDA" w:rsidRDefault="00FA605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63B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57,059</w:t>
            </w:r>
          </w:p>
        </w:tc>
        <w:tc>
          <w:tcPr>
            <w:tcW w:w="1544" w:type="dxa"/>
            <w:vAlign w:val="bottom"/>
          </w:tcPr>
          <w:p w14:paraId="499CC71C" w14:textId="18DE500F" w:rsidR="00FA605D" w:rsidRPr="00863BDA" w:rsidRDefault="004F334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+</w:t>
            </w:r>
            <w:r w:rsidR="00FA605D" w:rsidRPr="00FA6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31.6%</w:t>
            </w:r>
          </w:p>
        </w:tc>
      </w:tr>
      <w:tr w:rsidR="00FA605D" w:rsidRPr="00323FA5" w14:paraId="6E7BBC83" w14:textId="1E8F6806" w:rsidTr="00C411E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4F9F99E3" w14:textId="50E2B5F8" w:rsidR="00FA605D" w:rsidRPr="009603B4" w:rsidRDefault="00FA605D" w:rsidP="00FA60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1544" w:type="dxa"/>
            <w:vAlign w:val="bottom"/>
          </w:tcPr>
          <w:p w14:paraId="3E614F35" w14:textId="738FFA15" w:rsidR="00FA605D" w:rsidRPr="00ED1489" w:rsidRDefault="00FA605D" w:rsidP="00FA6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ED14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59,306</w:t>
            </w:r>
          </w:p>
        </w:tc>
        <w:tc>
          <w:tcPr>
            <w:tcW w:w="1544" w:type="dxa"/>
            <w:noWrap/>
            <w:vAlign w:val="bottom"/>
            <w:hideMark/>
          </w:tcPr>
          <w:p w14:paraId="38DF842A" w14:textId="5D3E3CE6" w:rsidR="00FA605D" w:rsidRPr="00863BDA" w:rsidRDefault="00FA605D" w:rsidP="00FA6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63B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49,667</w:t>
            </w:r>
          </w:p>
        </w:tc>
        <w:tc>
          <w:tcPr>
            <w:tcW w:w="1544" w:type="dxa"/>
            <w:vAlign w:val="bottom"/>
          </w:tcPr>
          <w:p w14:paraId="7E966267" w14:textId="23B221A6" w:rsidR="00FA605D" w:rsidRPr="00863BDA" w:rsidRDefault="004F334D" w:rsidP="00FA6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-</w:t>
            </w:r>
            <w:r w:rsidR="00FA605D" w:rsidRPr="00FA6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16.3%</w:t>
            </w:r>
          </w:p>
        </w:tc>
      </w:tr>
      <w:tr w:rsidR="00FA605D" w:rsidRPr="00323FA5" w14:paraId="78F697E9" w14:textId="6A49FA68" w:rsidTr="00C41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1BFBE9E6" w14:textId="68A7AE50" w:rsidR="00FA605D" w:rsidRPr="009603B4" w:rsidRDefault="00FA605D" w:rsidP="00FA60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</w:t>
            </w:r>
          </w:p>
        </w:tc>
        <w:tc>
          <w:tcPr>
            <w:tcW w:w="1544" w:type="dxa"/>
            <w:vAlign w:val="bottom"/>
          </w:tcPr>
          <w:p w14:paraId="477D92CB" w14:textId="7579EB9D" w:rsidR="00FA605D" w:rsidRPr="00ED1489" w:rsidRDefault="00FA605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32,636</w:t>
            </w:r>
          </w:p>
        </w:tc>
        <w:tc>
          <w:tcPr>
            <w:tcW w:w="1544" w:type="dxa"/>
            <w:noWrap/>
            <w:vAlign w:val="bottom"/>
            <w:hideMark/>
          </w:tcPr>
          <w:p w14:paraId="2A48DD38" w14:textId="722D074D" w:rsidR="00FA605D" w:rsidRPr="00863BDA" w:rsidRDefault="00FA605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63B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47,690</w:t>
            </w:r>
          </w:p>
        </w:tc>
        <w:tc>
          <w:tcPr>
            <w:tcW w:w="1544" w:type="dxa"/>
            <w:vAlign w:val="bottom"/>
          </w:tcPr>
          <w:p w14:paraId="331864B0" w14:textId="355A6921" w:rsidR="00FA605D" w:rsidRPr="00863BDA" w:rsidRDefault="004F334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+</w:t>
            </w:r>
            <w:r w:rsidR="00FA605D" w:rsidRPr="00FA6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46.1%</w:t>
            </w:r>
          </w:p>
        </w:tc>
      </w:tr>
      <w:tr w:rsidR="00FA605D" w:rsidRPr="00323FA5" w14:paraId="0861F437" w14:textId="49DB85E9" w:rsidTr="00C411E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272EAF72" w14:textId="72CC8471" w:rsidR="00FA605D" w:rsidRPr="009603B4" w:rsidRDefault="00FA605D" w:rsidP="00FA60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1544" w:type="dxa"/>
            <w:vAlign w:val="bottom"/>
          </w:tcPr>
          <w:p w14:paraId="27F71C23" w14:textId="6150ED21" w:rsidR="00FA605D" w:rsidRPr="00ED1489" w:rsidRDefault="00FA605D" w:rsidP="00FA6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24,101</w:t>
            </w:r>
          </w:p>
        </w:tc>
        <w:tc>
          <w:tcPr>
            <w:tcW w:w="1544" w:type="dxa"/>
            <w:noWrap/>
            <w:vAlign w:val="bottom"/>
            <w:hideMark/>
          </w:tcPr>
          <w:p w14:paraId="450D6E2C" w14:textId="347DAB68" w:rsidR="00FA605D" w:rsidRPr="00863BDA" w:rsidRDefault="00FA605D" w:rsidP="00FA6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63B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41,824</w:t>
            </w:r>
          </w:p>
        </w:tc>
        <w:tc>
          <w:tcPr>
            <w:tcW w:w="1544" w:type="dxa"/>
            <w:vAlign w:val="bottom"/>
          </w:tcPr>
          <w:p w14:paraId="05AD0A8C" w14:textId="0D8EFA7A" w:rsidR="00FA605D" w:rsidRPr="00863BDA" w:rsidRDefault="004F334D" w:rsidP="00FA6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+</w:t>
            </w:r>
            <w:r w:rsidR="00FA605D" w:rsidRPr="00FA6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73.5%</w:t>
            </w:r>
          </w:p>
        </w:tc>
      </w:tr>
      <w:tr w:rsidR="00FA605D" w:rsidRPr="00323FA5" w14:paraId="02056734" w14:textId="5A7A5A99" w:rsidTr="00C41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30E29888" w14:textId="25CFF435" w:rsidR="00FA605D" w:rsidRPr="009603B4" w:rsidRDefault="00FA605D" w:rsidP="00FA60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1544" w:type="dxa"/>
            <w:vAlign w:val="bottom"/>
          </w:tcPr>
          <w:p w14:paraId="4F80CC1C" w14:textId="78A5F801" w:rsidR="00FA605D" w:rsidRPr="00ED1489" w:rsidRDefault="00FA605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ED14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8,047</w:t>
            </w:r>
          </w:p>
        </w:tc>
        <w:tc>
          <w:tcPr>
            <w:tcW w:w="1544" w:type="dxa"/>
            <w:noWrap/>
            <w:vAlign w:val="bottom"/>
            <w:hideMark/>
          </w:tcPr>
          <w:p w14:paraId="000255E1" w14:textId="3CAA004B" w:rsidR="00FA605D" w:rsidRPr="00863BDA" w:rsidRDefault="00FA605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63B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41,561</w:t>
            </w:r>
          </w:p>
        </w:tc>
        <w:tc>
          <w:tcPr>
            <w:tcW w:w="1544" w:type="dxa"/>
            <w:vAlign w:val="bottom"/>
          </w:tcPr>
          <w:p w14:paraId="22F29333" w14:textId="4AF2A0B8" w:rsidR="00FA605D" w:rsidRPr="00863BDA" w:rsidRDefault="004F334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+</w:t>
            </w:r>
            <w:r w:rsidR="00FA605D" w:rsidRPr="00FA6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9.2%</w:t>
            </w:r>
          </w:p>
        </w:tc>
      </w:tr>
      <w:tr w:rsidR="00FA605D" w:rsidRPr="00323FA5" w14:paraId="2B40AAA9" w14:textId="4F05C96B" w:rsidTr="00C411E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2454F236" w14:textId="6E5C139A" w:rsidR="00FA605D" w:rsidRPr="009603B4" w:rsidRDefault="00FA605D" w:rsidP="00FA60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Travel and Recreation</w:t>
            </w:r>
          </w:p>
        </w:tc>
        <w:tc>
          <w:tcPr>
            <w:tcW w:w="1544" w:type="dxa"/>
            <w:vAlign w:val="bottom"/>
          </w:tcPr>
          <w:p w14:paraId="2FE23FD5" w14:textId="12284995" w:rsidR="00FA605D" w:rsidRPr="00ED1489" w:rsidRDefault="00FA605D" w:rsidP="00FA6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17,935</w:t>
            </w:r>
          </w:p>
        </w:tc>
        <w:tc>
          <w:tcPr>
            <w:tcW w:w="1544" w:type="dxa"/>
            <w:noWrap/>
            <w:vAlign w:val="bottom"/>
            <w:hideMark/>
          </w:tcPr>
          <w:p w14:paraId="69DCBD8F" w14:textId="276CF2EB" w:rsidR="00FA605D" w:rsidRPr="00863BDA" w:rsidRDefault="00FA605D" w:rsidP="00FA6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63B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22,462</w:t>
            </w:r>
          </w:p>
        </w:tc>
        <w:tc>
          <w:tcPr>
            <w:tcW w:w="1544" w:type="dxa"/>
            <w:vAlign w:val="bottom"/>
          </w:tcPr>
          <w:p w14:paraId="2C0CE90F" w14:textId="4FA39C96" w:rsidR="00FA605D" w:rsidRPr="00863BDA" w:rsidRDefault="004F334D" w:rsidP="00FA6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+</w:t>
            </w:r>
            <w:r w:rsidR="00FA605D" w:rsidRPr="00FA6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25.2%</w:t>
            </w:r>
          </w:p>
        </w:tc>
      </w:tr>
      <w:tr w:rsidR="00FA605D" w:rsidRPr="00323FA5" w14:paraId="31CA2531" w14:textId="0655C077" w:rsidTr="00C41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6ADFE86A" w14:textId="3B5F43A6" w:rsidR="00FA605D" w:rsidRPr="009603B4" w:rsidRDefault="00FA605D" w:rsidP="00FA60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Birth, Family and Relationships</w:t>
            </w:r>
          </w:p>
        </w:tc>
        <w:tc>
          <w:tcPr>
            <w:tcW w:w="1544" w:type="dxa"/>
            <w:vAlign w:val="bottom"/>
          </w:tcPr>
          <w:p w14:paraId="3D67AFF0" w14:textId="2E9B9F7D" w:rsidR="00FA605D" w:rsidRPr="00ED1489" w:rsidRDefault="00FA605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ED14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21,092</w:t>
            </w:r>
          </w:p>
        </w:tc>
        <w:tc>
          <w:tcPr>
            <w:tcW w:w="1544" w:type="dxa"/>
            <w:noWrap/>
            <w:vAlign w:val="bottom"/>
            <w:hideMark/>
          </w:tcPr>
          <w:p w14:paraId="2AE40E3D" w14:textId="0E1745DF" w:rsidR="00FA605D" w:rsidRPr="00863BDA" w:rsidRDefault="00FA605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63B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18,701</w:t>
            </w:r>
          </w:p>
        </w:tc>
        <w:tc>
          <w:tcPr>
            <w:tcW w:w="1544" w:type="dxa"/>
            <w:vAlign w:val="bottom"/>
          </w:tcPr>
          <w:p w14:paraId="22C54ACE" w14:textId="52BAF551" w:rsidR="00FA605D" w:rsidRPr="00863BDA" w:rsidRDefault="004F334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-</w:t>
            </w:r>
            <w:r w:rsidR="00FA605D" w:rsidRPr="00FA6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11.3%</w:t>
            </w:r>
          </w:p>
        </w:tc>
      </w:tr>
      <w:tr w:rsidR="00FA605D" w:rsidRPr="00323FA5" w14:paraId="0CF61C3C" w14:textId="05D395CF" w:rsidTr="00C411E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33019DFF" w14:textId="4B0ABBCB" w:rsidR="00FA605D" w:rsidRPr="009603B4" w:rsidRDefault="00FA605D" w:rsidP="00FA60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Justice</w:t>
            </w:r>
          </w:p>
        </w:tc>
        <w:tc>
          <w:tcPr>
            <w:tcW w:w="1544" w:type="dxa"/>
            <w:vAlign w:val="bottom"/>
          </w:tcPr>
          <w:p w14:paraId="0B46566E" w14:textId="23424764" w:rsidR="00FA605D" w:rsidRPr="00ED1489" w:rsidRDefault="00FA605D" w:rsidP="00FA6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ED14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19,340</w:t>
            </w:r>
          </w:p>
        </w:tc>
        <w:tc>
          <w:tcPr>
            <w:tcW w:w="1544" w:type="dxa"/>
            <w:noWrap/>
            <w:vAlign w:val="bottom"/>
            <w:hideMark/>
          </w:tcPr>
          <w:p w14:paraId="60170744" w14:textId="0E146E5E" w:rsidR="00FA605D" w:rsidRPr="00863BDA" w:rsidRDefault="00FA605D" w:rsidP="00FA6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63B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18,313</w:t>
            </w:r>
          </w:p>
        </w:tc>
        <w:tc>
          <w:tcPr>
            <w:tcW w:w="1544" w:type="dxa"/>
            <w:vAlign w:val="bottom"/>
          </w:tcPr>
          <w:p w14:paraId="2126D8EE" w14:textId="6962018F" w:rsidR="00FA605D" w:rsidRPr="00863BDA" w:rsidRDefault="004F334D" w:rsidP="00FA6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-</w:t>
            </w:r>
            <w:r w:rsidR="00FA605D" w:rsidRPr="00FA6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5.3%</w:t>
            </w:r>
          </w:p>
        </w:tc>
      </w:tr>
      <w:tr w:rsidR="00FA605D" w:rsidRPr="00323FA5" w14:paraId="790FE01B" w14:textId="6A5CD4CF" w:rsidTr="00C41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58A5E9DC" w14:textId="721E18E8" w:rsidR="00FA605D" w:rsidRPr="009603B4" w:rsidRDefault="00FA605D" w:rsidP="00FA60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Education and Training</w:t>
            </w:r>
          </w:p>
        </w:tc>
        <w:tc>
          <w:tcPr>
            <w:tcW w:w="1544" w:type="dxa"/>
            <w:vAlign w:val="bottom"/>
          </w:tcPr>
          <w:p w14:paraId="3BCAEEF6" w14:textId="40B99E05" w:rsidR="00FA605D" w:rsidRPr="00ED1489" w:rsidRDefault="00FA605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12,707</w:t>
            </w:r>
          </w:p>
        </w:tc>
        <w:tc>
          <w:tcPr>
            <w:tcW w:w="1544" w:type="dxa"/>
            <w:noWrap/>
            <w:vAlign w:val="bottom"/>
            <w:hideMark/>
          </w:tcPr>
          <w:p w14:paraId="7009825F" w14:textId="2485BCD3" w:rsidR="00FA605D" w:rsidRPr="00863BDA" w:rsidRDefault="00FA605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63B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13,417</w:t>
            </w:r>
          </w:p>
        </w:tc>
        <w:tc>
          <w:tcPr>
            <w:tcW w:w="1544" w:type="dxa"/>
            <w:vAlign w:val="bottom"/>
          </w:tcPr>
          <w:p w14:paraId="065D0BCE" w14:textId="69539774" w:rsidR="00FA605D" w:rsidRPr="00863BDA" w:rsidRDefault="004F334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+</w:t>
            </w:r>
            <w:r w:rsidR="00FA605D" w:rsidRPr="00FA6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5.6%</w:t>
            </w:r>
          </w:p>
        </w:tc>
      </w:tr>
      <w:tr w:rsidR="00FA605D" w:rsidRPr="00323FA5" w14:paraId="70C12077" w14:textId="3A9A81F4" w:rsidTr="00C411E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711554B5" w14:textId="44F66EF9" w:rsidR="00FA605D" w:rsidRPr="009603B4" w:rsidRDefault="00FA605D" w:rsidP="00FA60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Consumer Affairs</w:t>
            </w:r>
          </w:p>
        </w:tc>
        <w:tc>
          <w:tcPr>
            <w:tcW w:w="1544" w:type="dxa"/>
            <w:vAlign w:val="bottom"/>
          </w:tcPr>
          <w:p w14:paraId="354785AF" w14:textId="2BF005BA" w:rsidR="00FA605D" w:rsidRPr="00ED1489" w:rsidRDefault="00FA605D" w:rsidP="00FA6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11,199</w:t>
            </w:r>
          </w:p>
        </w:tc>
        <w:tc>
          <w:tcPr>
            <w:tcW w:w="1544" w:type="dxa"/>
            <w:noWrap/>
            <w:vAlign w:val="bottom"/>
            <w:hideMark/>
          </w:tcPr>
          <w:p w14:paraId="5A5F88FB" w14:textId="3B7785E9" w:rsidR="00FA605D" w:rsidRPr="00863BDA" w:rsidRDefault="00FA605D" w:rsidP="00FA6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63B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12,134</w:t>
            </w:r>
          </w:p>
        </w:tc>
        <w:tc>
          <w:tcPr>
            <w:tcW w:w="1544" w:type="dxa"/>
            <w:vAlign w:val="bottom"/>
          </w:tcPr>
          <w:p w14:paraId="5478363F" w14:textId="04CA2453" w:rsidR="00FA605D" w:rsidRPr="00863BDA" w:rsidRDefault="004F334D" w:rsidP="00FA6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+</w:t>
            </w:r>
            <w:r w:rsidR="00FA605D" w:rsidRPr="00FA6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8.3%</w:t>
            </w:r>
          </w:p>
        </w:tc>
      </w:tr>
      <w:tr w:rsidR="00FA605D" w:rsidRPr="00323FA5" w14:paraId="4028905D" w14:textId="22C5E91A" w:rsidTr="00C41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3C077848" w14:textId="37EDBDE1" w:rsidR="00FA605D" w:rsidRPr="009603B4" w:rsidRDefault="00FA605D" w:rsidP="00FA60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Covid-19</w:t>
            </w:r>
          </w:p>
        </w:tc>
        <w:tc>
          <w:tcPr>
            <w:tcW w:w="1544" w:type="dxa"/>
            <w:vAlign w:val="bottom"/>
          </w:tcPr>
          <w:p w14:paraId="1FB02841" w14:textId="3218773B" w:rsidR="00FA605D" w:rsidRPr="00ED1489" w:rsidRDefault="00FA605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41,422</w:t>
            </w:r>
          </w:p>
        </w:tc>
        <w:tc>
          <w:tcPr>
            <w:tcW w:w="1544" w:type="dxa"/>
            <w:noWrap/>
            <w:vAlign w:val="bottom"/>
            <w:hideMark/>
          </w:tcPr>
          <w:p w14:paraId="059E3029" w14:textId="3ADF3020" w:rsidR="00FA605D" w:rsidRPr="00863BDA" w:rsidRDefault="00FA605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63B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7,467</w:t>
            </w:r>
          </w:p>
        </w:tc>
        <w:tc>
          <w:tcPr>
            <w:tcW w:w="1544" w:type="dxa"/>
            <w:vAlign w:val="bottom"/>
          </w:tcPr>
          <w:p w14:paraId="1D8C5899" w14:textId="59E033BB" w:rsidR="00FA605D" w:rsidRPr="00863BDA" w:rsidRDefault="004F334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-</w:t>
            </w:r>
            <w:r w:rsidR="00FA605D" w:rsidRPr="00FA6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82.0%</w:t>
            </w:r>
          </w:p>
        </w:tc>
      </w:tr>
      <w:tr w:rsidR="00FA605D" w:rsidRPr="00323FA5" w14:paraId="31B55B9E" w14:textId="2C2FAA5E" w:rsidTr="00C411E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6F371F8A" w14:textId="719AEE9C" w:rsidR="00FA605D" w:rsidRPr="009603B4" w:rsidRDefault="00FA605D" w:rsidP="00FA60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and Bereavement</w:t>
            </w:r>
          </w:p>
        </w:tc>
        <w:tc>
          <w:tcPr>
            <w:tcW w:w="1544" w:type="dxa"/>
            <w:vAlign w:val="bottom"/>
          </w:tcPr>
          <w:p w14:paraId="11724F63" w14:textId="6FA2D0EC" w:rsidR="00FA605D" w:rsidRPr="00ED1489" w:rsidRDefault="00FA605D" w:rsidP="00FA6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ED14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5,413</w:t>
            </w:r>
          </w:p>
        </w:tc>
        <w:tc>
          <w:tcPr>
            <w:tcW w:w="1544" w:type="dxa"/>
            <w:noWrap/>
            <w:vAlign w:val="bottom"/>
            <w:hideMark/>
          </w:tcPr>
          <w:p w14:paraId="30C1F695" w14:textId="5E8A09B6" w:rsidR="00FA605D" w:rsidRPr="00863BDA" w:rsidRDefault="00FA605D" w:rsidP="00FA6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63B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5,422</w:t>
            </w:r>
          </w:p>
        </w:tc>
        <w:tc>
          <w:tcPr>
            <w:tcW w:w="1544" w:type="dxa"/>
            <w:vAlign w:val="bottom"/>
          </w:tcPr>
          <w:p w14:paraId="3BA7A83F" w14:textId="2FC394F9" w:rsidR="00FA605D" w:rsidRPr="00863BDA" w:rsidRDefault="004F334D" w:rsidP="00FA6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+</w:t>
            </w:r>
            <w:r w:rsidR="00FA605D" w:rsidRPr="00FA6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0.2%</w:t>
            </w:r>
          </w:p>
        </w:tc>
      </w:tr>
      <w:tr w:rsidR="00FA605D" w:rsidRPr="00323FA5" w14:paraId="5C9A475C" w14:textId="29EE5965" w:rsidTr="00C41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15887A5E" w14:textId="37E0E65B" w:rsidR="00FA605D" w:rsidRPr="009603B4" w:rsidRDefault="00FA605D" w:rsidP="00FA60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Government in Ireland</w:t>
            </w:r>
          </w:p>
        </w:tc>
        <w:tc>
          <w:tcPr>
            <w:tcW w:w="1544" w:type="dxa"/>
            <w:vAlign w:val="bottom"/>
          </w:tcPr>
          <w:p w14:paraId="14D1F258" w14:textId="5435DA4E" w:rsidR="00FA605D" w:rsidRPr="00ED1489" w:rsidRDefault="00FA605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ED14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3,394</w:t>
            </w:r>
          </w:p>
        </w:tc>
        <w:tc>
          <w:tcPr>
            <w:tcW w:w="1544" w:type="dxa"/>
            <w:noWrap/>
            <w:vAlign w:val="bottom"/>
            <w:hideMark/>
          </w:tcPr>
          <w:p w14:paraId="2FCB23F1" w14:textId="4A393C16" w:rsidR="00FA605D" w:rsidRPr="00863BDA" w:rsidRDefault="00FA605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63B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4,566</w:t>
            </w:r>
          </w:p>
        </w:tc>
        <w:tc>
          <w:tcPr>
            <w:tcW w:w="1544" w:type="dxa"/>
            <w:vAlign w:val="bottom"/>
          </w:tcPr>
          <w:p w14:paraId="37E84FBC" w14:textId="3AB7C0F4" w:rsidR="00FA605D" w:rsidRPr="00863BDA" w:rsidRDefault="004F334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+</w:t>
            </w:r>
            <w:r w:rsidR="00FA605D" w:rsidRPr="00FA6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34.5%</w:t>
            </w:r>
          </w:p>
        </w:tc>
      </w:tr>
      <w:tr w:rsidR="00FA605D" w:rsidRPr="00323FA5" w14:paraId="153A0C05" w14:textId="6647A32E" w:rsidTr="00C411E0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25B08C3C" w14:textId="238822DA" w:rsidR="00FA605D" w:rsidRPr="009603B4" w:rsidRDefault="00FA605D" w:rsidP="00FA605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Environment</w:t>
            </w:r>
          </w:p>
        </w:tc>
        <w:tc>
          <w:tcPr>
            <w:tcW w:w="1544" w:type="dxa"/>
            <w:vAlign w:val="bottom"/>
          </w:tcPr>
          <w:p w14:paraId="32259B2C" w14:textId="3104C3D2" w:rsidR="00FA605D" w:rsidRPr="00ED1489" w:rsidRDefault="00FA605D" w:rsidP="00FA6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ED148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1,736</w:t>
            </w:r>
          </w:p>
        </w:tc>
        <w:tc>
          <w:tcPr>
            <w:tcW w:w="1544" w:type="dxa"/>
            <w:noWrap/>
            <w:vAlign w:val="bottom"/>
            <w:hideMark/>
          </w:tcPr>
          <w:p w14:paraId="01009E49" w14:textId="21514F3A" w:rsidR="00FA605D" w:rsidRPr="00863BDA" w:rsidRDefault="00FA605D" w:rsidP="00FA6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63B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1,469</w:t>
            </w:r>
          </w:p>
        </w:tc>
        <w:tc>
          <w:tcPr>
            <w:tcW w:w="1544" w:type="dxa"/>
            <w:vAlign w:val="bottom"/>
          </w:tcPr>
          <w:p w14:paraId="654C0B47" w14:textId="367219FF" w:rsidR="00FA605D" w:rsidRPr="00863BDA" w:rsidRDefault="004F334D" w:rsidP="00FA60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-</w:t>
            </w:r>
            <w:r w:rsidR="00FA605D" w:rsidRPr="00FA6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15.4%</w:t>
            </w:r>
          </w:p>
        </w:tc>
      </w:tr>
      <w:tr w:rsidR="00FA605D" w:rsidRPr="00323FA5" w14:paraId="42B19E34" w14:textId="31598E64" w:rsidTr="00C41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6EEBD77F" w14:textId="78EC14B7" w:rsidR="00FA605D" w:rsidRPr="009603B4" w:rsidRDefault="00FA605D" w:rsidP="00FA605D">
            <w:pPr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1544" w:type="dxa"/>
          </w:tcPr>
          <w:p w14:paraId="1B6E3689" w14:textId="1ED90ED5" w:rsidR="00FA605D" w:rsidRPr="00ED1489" w:rsidRDefault="00FA605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693,921</w:t>
            </w:r>
          </w:p>
        </w:tc>
        <w:tc>
          <w:tcPr>
            <w:tcW w:w="1544" w:type="dxa"/>
            <w:noWrap/>
            <w:hideMark/>
          </w:tcPr>
          <w:p w14:paraId="68B703C1" w14:textId="418CD4A6" w:rsidR="00FA605D" w:rsidRPr="00863BDA" w:rsidRDefault="00FA605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63BD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788,902</w:t>
            </w:r>
          </w:p>
        </w:tc>
        <w:tc>
          <w:tcPr>
            <w:tcW w:w="1544" w:type="dxa"/>
            <w:vAlign w:val="bottom"/>
          </w:tcPr>
          <w:p w14:paraId="53B865DF" w14:textId="3316B681" w:rsidR="00FA605D" w:rsidRPr="00863BDA" w:rsidRDefault="004F334D" w:rsidP="00FA60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+</w:t>
            </w:r>
            <w:r w:rsidR="00FA605D" w:rsidRPr="00FA605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13.7%</w:t>
            </w:r>
          </w:p>
        </w:tc>
      </w:tr>
    </w:tbl>
    <w:p w14:paraId="072A4D03" w14:textId="3F3C84CC" w:rsidR="00B7436C" w:rsidRDefault="00B7436C" w:rsidP="00E33768">
      <w:pPr>
        <w:spacing w:after="0"/>
        <w:jc w:val="both"/>
        <w:rPr>
          <w:rFonts w:cs="Arial"/>
          <w:color w:val="1CADE4" w:themeColor="accent1"/>
        </w:rPr>
      </w:pPr>
    </w:p>
    <w:p w14:paraId="0336CEEA" w14:textId="355C30DC" w:rsidR="00323FA5" w:rsidRDefault="00934FD5" w:rsidP="005C7498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Chart 1 – CIS Q</w:t>
      </w:r>
      <w:r w:rsidR="00D67DC1" w:rsidRPr="00D67DC1">
        <w:rPr>
          <w:sz w:val="24"/>
          <w:szCs w:val="24"/>
        </w:rPr>
        <w:t>uery Comparison 20</w:t>
      </w:r>
      <w:r w:rsidR="00A40B20">
        <w:rPr>
          <w:sz w:val="24"/>
          <w:szCs w:val="24"/>
        </w:rPr>
        <w:t>21</w:t>
      </w:r>
      <w:r w:rsidR="000D6BED">
        <w:rPr>
          <w:sz w:val="24"/>
          <w:szCs w:val="24"/>
        </w:rPr>
        <w:t>-2022</w:t>
      </w:r>
    </w:p>
    <w:p w14:paraId="02426DFD" w14:textId="57E568AC" w:rsidR="00A40B20" w:rsidRPr="00A40B20" w:rsidRDefault="00181261" w:rsidP="00A40B20">
      <w:r>
        <w:rPr>
          <w:noProof/>
        </w:rPr>
        <w:drawing>
          <wp:inline distT="0" distB="0" distL="0" distR="0" wp14:anchorId="7C4E5B3E" wp14:editId="35414816">
            <wp:extent cx="5886450" cy="401955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5B4B655-B6C0-4217-60AB-2241552646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E898CFC" w14:textId="54690136" w:rsidR="00F64499" w:rsidRDefault="00F64499" w:rsidP="00E33768">
      <w:pPr>
        <w:spacing w:after="0"/>
        <w:jc w:val="both"/>
        <w:rPr>
          <w:rFonts w:cs="Arial"/>
          <w:color w:val="1CADE4" w:themeColor="accent1"/>
        </w:rPr>
        <w:sectPr w:rsidR="00F64499" w:rsidSect="009603B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486FA9C" w14:textId="7A00DF75" w:rsidR="00323FA5" w:rsidRDefault="00323FA5" w:rsidP="00E33768">
      <w:pPr>
        <w:spacing w:after="0"/>
        <w:jc w:val="both"/>
        <w:rPr>
          <w:rFonts w:cs="Arial"/>
          <w:color w:val="1CADE4" w:themeColor="accent1"/>
        </w:rPr>
      </w:pPr>
    </w:p>
    <w:p w14:paraId="7CD912F9" w14:textId="2AE7E699" w:rsidR="00AD435D" w:rsidRPr="00434C45" w:rsidRDefault="00AD435D" w:rsidP="00FF7A79">
      <w:pPr>
        <w:pStyle w:val="Heading1"/>
        <w:rPr>
          <w:sz w:val="28"/>
          <w:szCs w:val="28"/>
        </w:rPr>
      </w:pPr>
      <w:r w:rsidRPr="00434C45">
        <w:rPr>
          <w:sz w:val="28"/>
          <w:szCs w:val="28"/>
        </w:rPr>
        <w:t>Social Welfare Queries 202</w:t>
      </w:r>
      <w:r w:rsidR="00DC6825">
        <w:rPr>
          <w:sz w:val="28"/>
          <w:szCs w:val="28"/>
        </w:rPr>
        <w:t>2</w:t>
      </w:r>
    </w:p>
    <w:p w14:paraId="2EB9E513" w14:textId="49B431B9" w:rsidR="00C704C7" w:rsidRPr="00434C45" w:rsidRDefault="00FF7A79" w:rsidP="00F12851">
      <w:pPr>
        <w:jc w:val="both"/>
        <w:rPr>
          <w:rFonts w:ascii="Calibri" w:hAnsi="Calibri" w:cs="Calibri"/>
        </w:rPr>
      </w:pPr>
      <w:r w:rsidRPr="00434C45">
        <w:rPr>
          <w:rFonts w:ascii="Calibri" w:hAnsi="Calibri" w:cs="Calibri"/>
        </w:rPr>
        <w:t>Citizens Information Services</w:t>
      </w:r>
      <w:r w:rsidR="00DE2F2B" w:rsidRPr="00434C45">
        <w:rPr>
          <w:rFonts w:ascii="Calibri" w:hAnsi="Calibri" w:cs="Calibri"/>
        </w:rPr>
        <w:t xml:space="preserve"> (CIS</w:t>
      </w:r>
      <w:r w:rsidR="007302B3" w:rsidRPr="00434C45">
        <w:rPr>
          <w:rFonts w:ascii="Calibri" w:hAnsi="Calibri" w:cs="Calibri"/>
        </w:rPr>
        <w:t>s)</w:t>
      </w:r>
      <w:r w:rsidRPr="00434C45">
        <w:rPr>
          <w:rFonts w:ascii="Calibri" w:hAnsi="Calibri" w:cs="Calibri"/>
        </w:rPr>
        <w:t xml:space="preserve"> dealt </w:t>
      </w:r>
      <w:r w:rsidR="00323FA5" w:rsidRPr="00434C45">
        <w:rPr>
          <w:rFonts w:ascii="Calibri" w:hAnsi="Calibri" w:cs="Calibri"/>
        </w:rPr>
        <w:t>with 3</w:t>
      </w:r>
      <w:r w:rsidR="00F64499">
        <w:rPr>
          <w:rFonts w:ascii="Calibri" w:hAnsi="Calibri" w:cs="Calibri"/>
        </w:rPr>
        <w:t>71</w:t>
      </w:r>
      <w:r w:rsidR="00323FA5" w:rsidRPr="00434C45">
        <w:rPr>
          <w:rFonts w:ascii="Calibri" w:hAnsi="Calibri" w:cs="Calibri"/>
        </w:rPr>
        <w:t>,</w:t>
      </w:r>
      <w:r w:rsidR="00F64499">
        <w:rPr>
          <w:rFonts w:ascii="Calibri" w:hAnsi="Calibri" w:cs="Calibri"/>
        </w:rPr>
        <w:t>736</w:t>
      </w:r>
      <w:r w:rsidR="00323FA5" w:rsidRPr="00434C45">
        <w:rPr>
          <w:rFonts w:ascii="Calibri" w:hAnsi="Calibri" w:cs="Calibri"/>
        </w:rPr>
        <w:t xml:space="preserve"> </w:t>
      </w:r>
      <w:r w:rsidRPr="008E03EA">
        <w:rPr>
          <w:rFonts w:ascii="Calibri" w:hAnsi="Calibri" w:cs="Calibri"/>
          <w:b/>
        </w:rPr>
        <w:t>Social Welfare</w:t>
      </w:r>
      <w:r w:rsidRPr="00434C45">
        <w:rPr>
          <w:rFonts w:ascii="Calibri" w:hAnsi="Calibri" w:cs="Calibri"/>
        </w:rPr>
        <w:t xml:space="preserve"> queries in 202</w:t>
      </w:r>
      <w:r w:rsidR="00F64499">
        <w:rPr>
          <w:rFonts w:ascii="Calibri" w:hAnsi="Calibri" w:cs="Calibri"/>
        </w:rPr>
        <w:t>2</w:t>
      </w:r>
      <w:r w:rsidR="00C704C7" w:rsidRPr="00434C45">
        <w:rPr>
          <w:rFonts w:ascii="Calibri" w:hAnsi="Calibri" w:cs="Calibri"/>
        </w:rPr>
        <w:t xml:space="preserve">, </w:t>
      </w:r>
      <w:r w:rsidR="00323FA5" w:rsidRPr="00434C45">
        <w:rPr>
          <w:rFonts w:ascii="Calibri" w:hAnsi="Calibri" w:cs="Calibri"/>
        </w:rPr>
        <w:t>4</w:t>
      </w:r>
      <w:r w:rsidR="00F64499">
        <w:rPr>
          <w:rFonts w:ascii="Calibri" w:hAnsi="Calibri" w:cs="Calibri"/>
        </w:rPr>
        <w:t>7.1</w:t>
      </w:r>
      <w:r w:rsidR="00C704C7" w:rsidRPr="00434C45">
        <w:rPr>
          <w:rFonts w:ascii="Calibri" w:hAnsi="Calibri" w:cs="Calibri"/>
        </w:rPr>
        <w:t>% of all queries dealt with by services</w:t>
      </w:r>
      <w:r w:rsidRPr="00434C45">
        <w:rPr>
          <w:rFonts w:ascii="Calibri" w:hAnsi="Calibri" w:cs="Calibri"/>
        </w:rPr>
        <w:t xml:space="preserve">. </w:t>
      </w:r>
    </w:p>
    <w:p w14:paraId="12D1C78B" w14:textId="0B616444" w:rsidR="008E03EA" w:rsidRDefault="00C704C7" w:rsidP="00F12851">
      <w:pPr>
        <w:jc w:val="both"/>
        <w:rPr>
          <w:rFonts w:ascii="Calibri" w:eastAsiaTheme="minorEastAsia" w:hAnsi="Calibri" w:cs="Calibri"/>
          <w:i/>
          <w:lang w:val="en-US"/>
        </w:rPr>
      </w:pPr>
      <w:r w:rsidRPr="00434C45">
        <w:rPr>
          <w:rFonts w:ascii="Calibri" w:eastAsiaTheme="minorEastAsia" w:hAnsi="Calibri" w:cs="Calibri"/>
        </w:rPr>
        <w:t>CISs</w:t>
      </w:r>
      <w:r w:rsidR="00C77443" w:rsidRPr="00434C45">
        <w:rPr>
          <w:rFonts w:ascii="Calibri" w:eastAsiaTheme="minorEastAsia" w:hAnsi="Calibri" w:cs="Calibri"/>
        </w:rPr>
        <w:t xml:space="preserve"> recorded the highest number of </w:t>
      </w:r>
      <w:r w:rsidR="008E03EA">
        <w:rPr>
          <w:rFonts w:ascii="Calibri" w:eastAsiaTheme="minorEastAsia" w:hAnsi="Calibri" w:cs="Calibri"/>
        </w:rPr>
        <w:t xml:space="preserve">Social Welfare </w:t>
      </w:r>
      <w:r w:rsidR="00C77443" w:rsidRPr="00434C45">
        <w:rPr>
          <w:rFonts w:ascii="Calibri" w:eastAsiaTheme="minorEastAsia" w:hAnsi="Calibri" w:cs="Calibri"/>
        </w:rPr>
        <w:t xml:space="preserve">queries under the </w:t>
      </w:r>
      <w:r w:rsidR="00F64499" w:rsidRPr="008B0F76">
        <w:rPr>
          <w:rFonts w:ascii="Calibri" w:eastAsiaTheme="minorEastAsia" w:hAnsi="Calibri" w:cs="Calibri"/>
          <w:b/>
          <w:i/>
          <w:iCs/>
        </w:rPr>
        <w:t>Extra Social Welfare Benefits</w:t>
      </w:r>
      <w:r w:rsidR="00323FA5" w:rsidRPr="008E03EA">
        <w:rPr>
          <w:rFonts w:ascii="Calibri" w:eastAsiaTheme="minorEastAsia" w:hAnsi="Calibri" w:cs="Calibri"/>
          <w:b/>
        </w:rPr>
        <w:t xml:space="preserve"> (</w:t>
      </w:r>
      <w:r w:rsidR="00F64499">
        <w:rPr>
          <w:rFonts w:ascii="Calibri" w:eastAsia="Times New Roman" w:hAnsi="Calibri" w:cs="Calibri"/>
          <w:b/>
          <w:bCs/>
          <w:color w:val="000000"/>
          <w:lang w:eastAsia="en-IE"/>
        </w:rPr>
        <w:t>70,492</w:t>
      </w:r>
      <w:r w:rsidR="00323FA5" w:rsidRPr="008E03EA">
        <w:rPr>
          <w:rFonts w:ascii="Calibri" w:eastAsia="Times New Roman" w:hAnsi="Calibri" w:cs="Calibri"/>
          <w:b/>
          <w:bCs/>
          <w:color w:val="000000"/>
          <w:lang w:eastAsia="en-IE"/>
        </w:rPr>
        <w:t>)</w:t>
      </w:r>
      <w:r w:rsidR="00C77443" w:rsidRPr="00434C45">
        <w:rPr>
          <w:rFonts w:ascii="Calibri" w:eastAsiaTheme="minorEastAsia" w:hAnsi="Calibri" w:cs="Calibri"/>
        </w:rPr>
        <w:t xml:space="preserve"> </w:t>
      </w:r>
      <w:r w:rsidRPr="00434C45">
        <w:rPr>
          <w:rFonts w:ascii="Calibri" w:eastAsiaTheme="minorEastAsia" w:hAnsi="Calibri" w:cs="Calibri"/>
        </w:rPr>
        <w:t>sub-</w:t>
      </w:r>
      <w:r w:rsidR="00C77443" w:rsidRPr="00434C45">
        <w:rPr>
          <w:rFonts w:ascii="Calibri" w:eastAsiaTheme="minorEastAsia" w:hAnsi="Calibri" w:cs="Calibri"/>
        </w:rPr>
        <w:t xml:space="preserve">category, </w:t>
      </w:r>
      <w:r w:rsidR="00F64499">
        <w:rPr>
          <w:rFonts w:ascii="Calibri" w:eastAsiaTheme="minorEastAsia" w:hAnsi="Calibri" w:cs="Calibri"/>
        </w:rPr>
        <w:t>up 8</w:t>
      </w:r>
      <w:r w:rsidR="007C39FE">
        <w:rPr>
          <w:rFonts w:ascii="Calibri" w:eastAsiaTheme="minorEastAsia" w:hAnsi="Calibri" w:cs="Calibri"/>
        </w:rPr>
        <w:t>6.9</w:t>
      </w:r>
      <w:r w:rsidR="00F64499">
        <w:rPr>
          <w:rFonts w:ascii="Calibri" w:eastAsiaTheme="minorEastAsia" w:hAnsi="Calibri" w:cs="Calibri"/>
        </w:rPr>
        <w:t>% on the 2021 figures</w:t>
      </w:r>
      <w:r w:rsidR="00C77443" w:rsidRPr="00434C45">
        <w:rPr>
          <w:rFonts w:ascii="Calibri" w:eastAsiaTheme="minorEastAsia" w:hAnsi="Calibri" w:cs="Calibri"/>
          <w:lang w:val="en-US"/>
        </w:rPr>
        <w:t>.</w:t>
      </w:r>
      <w:r w:rsidR="00C77443" w:rsidRPr="00434C45">
        <w:rPr>
          <w:rFonts w:ascii="Calibri" w:eastAsiaTheme="minorEastAsia" w:hAnsi="Calibri" w:cs="Calibri"/>
        </w:rPr>
        <w:t xml:space="preserve"> </w:t>
      </w:r>
      <w:r w:rsidR="00C77443" w:rsidRPr="00434C45">
        <w:rPr>
          <w:rFonts w:ascii="Calibri" w:eastAsiaTheme="minorEastAsia" w:hAnsi="Calibri" w:cs="Calibri"/>
          <w:lang w:val="en-US"/>
        </w:rPr>
        <w:t xml:space="preserve">These queries included </w:t>
      </w:r>
      <w:r w:rsidR="00F470A8">
        <w:rPr>
          <w:rFonts w:ascii="Calibri" w:eastAsiaTheme="minorEastAsia" w:hAnsi="Calibri" w:cs="Calibri"/>
          <w:i/>
          <w:lang w:val="en-US"/>
        </w:rPr>
        <w:t>Fuel Allowance and Household Benefits.</w:t>
      </w:r>
    </w:p>
    <w:p w14:paraId="32502C1E" w14:textId="7D2CB9A5" w:rsidR="00FA605D" w:rsidRDefault="00FA605D" w:rsidP="00F12851">
      <w:pPr>
        <w:jc w:val="both"/>
        <w:rPr>
          <w:rFonts w:ascii="Calibri" w:eastAsiaTheme="minorEastAsia" w:hAnsi="Calibri" w:cs="Calibri"/>
          <w:iCs/>
          <w:lang w:val="en-US"/>
        </w:rPr>
      </w:pPr>
      <w:r w:rsidRPr="00FA605D">
        <w:rPr>
          <w:rFonts w:ascii="Calibri" w:eastAsiaTheme="minorEastAsia" w:hAnsi="Calibri" w:cs="Calibri"/>
          <w:iCs/>
          <w:lang w:val="en-US"/>
        </w:rPr>
        <w:t>It</w:t>
      </w:r>
      <w:r>
        <w:rPr>
          <w:rFonts w:ascii="Calibri" w:eastAsiaTheme="minorEastAsia" w:hAnsi="Calibri" w:cs="Calibri"/>
          <w:iCs/>
          <w:lang w:val="en-US"/>
        </w:rPr>
        <w:t xml:space="preserve"> should be noted that </w:t>
      </w:r>
      <w:r w:rsidRPr="00F12851">
        <w:rPr>
          <w:rFonts w:ascii="Calibri" w:eastAsiaTheme="minorEastAsia" w:hAnsi="Calibri" w:cs="Calibri"/>
          <w:i/>
          <w:lang w:val="en-US"/>
        </w:rPr>
        <w:t>Fuel Allowance</w:t>
      </w:r>
      <w:r>
        <w:rPr>
          <w:rFonts w:ascii="Calibri" w:eastAsiaTheme="minorEastAsia" w:hAnsi="Calibri" w:cs="Calibri"/>
          <w:iCs/>
          <w:lang w:val="en-US"/>
        </w:rPr>
        <w:t xml:space="preserve"> queries increased by 130% on the previous </w:t>
      </w:r>
      <w:r w:rsidR="00DF6B46">
        <w:rPr>
          <w:rFonts w:ascii="Calibri" w:eastAsiaTheme="minorEastAsia" w:hAnsi="Calibri" w:cs="Calibri"/>
          <w:iCs/>
          <w:lang w:val="en-US"/>
        </w:rPr>
        <w:t>year and</w:t>
      </w:r>
      <w:r>
        <w:rPr>
          <w:rFonts w:ascii="Calibri" w:eastAsiaTheme="minorEastAsia" w:hAnsi="Calibri" w:cs="Calibri"/>
          <w:iCs/>
          <w:lang w:val="en-US"/>
        </w:rPr>
        <w:t xml:space="preserve"> </w:t>
      </w:r>
      <w:r w:rsidR="00C6352A">
        <w:rPr>
          <w:rFonts w:ascii="Calibri" w:eastAsiaTheme="minorEastAsia" w:hAnsi="Calibri" w:cs="Calibri"/>
          <w:iCs/>
          <w:lang w:val="en-US"/>
        </w:rPr>
        <w:t xml:space="preserve">is </w:t>
      </w:r>
      <w:r>
        <w:rPr>
          <w:rFonts w:ascii="Calibri" w:eastAsiaTheme="minorEastAsia" w:hAnsi="Calibri" w:cs="Calibri"/>
          <w:iCs/>
          <w:lang w:val="en-US"/>
        </w:rPr>
        <w:t>the highest single payment query area within the overall Social Welfare category- this is the first time that a secondary payment replaced a core income support payment in the top queries listing.</w:t>
      </w:r>
    </w:p>
    <w:p w14:paraId="6BFCD279" w14:textId="726B3F4E" w:rsidR="00FA605D" w:rsidRPr="00F12851" w:rsidRDefault="00FA605D" w:rsidP="00F12851">
      <w:pPr>
        <w:jc w:val="both"/>
        <w:rPr>
          <w:rFonts w:ascii="Calibri" w:eastAsiaTheme="minorEastAsia" w:hAnsi="Calibri" w:cs="Calibri"/>
          <w:lang w:val="en-US"/>
        </w:rPr>
      </w:pPr>
      <w:r w:rsidRPr="004F334D">
        <w:rPr>
          <w:rFonts w:ascii="Calibri" w:hAnsi="Calibri" w:cs="Calibri"/>
          <w:b/>
          <w:bCs/>
          <w:i/>
          <w:iCs/>
        </w:rPr>
        <w:t>Supplementary Welfare Scheme</w:t>
      </w:r>
      <w:r>
        <w:rPr>
          <w:rFonts w:ascii="Calibri" w:hAnsi="Calibri" w:cs="Calibri"/>
        </w:rPr>
        <w:t xml:space="preserve"> queries (</w:t>
      </w:r>
      <w:r w:rsidRPr="00734EB7">
        <w:rPr>
          <w:rFonts w:ascii="Calibri" w:hAnsi="Calibri" w:cs="Calibri"/>
        </w:rPr>
        <w:t>32,912</w:t>
      </w:r>
      <w:r>
        <w:rPr>
          <w:rFonts w:ascii="Calibri" w:hAnsi="Calibri" w:cs="Calibri"/>
        </w:rPr>
        <w:t>)</w:t>
      </w:r>
      <w:r w:rsidRPr="00734EB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also rose significantly during 2022 - up 56.6% overall with a notable rise in the level of enquiries regarding the additional needs element of this scheme, up 144</w:t>
      </w:r>
      <w:r w:rsidR="00F12851">
        <w:rPr>
          <w:rFonts w:ascii="Calibri" w:hAnsi="Calibri" w:cs="Calibri"/>
        </w:rPr>
        <w:t>% to</w:t>
      </w:r>
      <w:r>
        <w:rPr>
          <w:rFonts w:ascii="Calibri" w:hAnsi="Calibri" w:cs="Calibri"/>
        </w:rPr>
        <w:t xml:space="preserve"> 11,865 queries.</w:t>
      </w:r>
    </w:p>
    <w:p w14:paraId="0D883F1D" w14:textId="2684A714" w:rsidR="00B7436C" w:rsidRDefault="002F4CEE" w:rsidP="00F12851">
      <w:pPr>
        <w:jc w:val="both"/>
        <w:rPr>
          <w:rFonts w:ascii="Calibri" w:eastAsiaTheme="minorEastAsia" w:hAnsi="Calibri" w:cs="Calibri"/>
        </w:rPr>
      </w:pPr>
      <w:r w:rsidRPr="00434C45">
        <w:rPr>
          <w:rFonts w:ascii="Calibri" w:eastAsiaTheme="minorEastAsia" w:hAnsi="Calibri" w:cs="Calibri"/>
        </w:rPr>
        <w:t>Social Welfare q</w:t>
      </w:r>
      <w:r w:rsidR="007302B3" w:rsidRPr="00434C45">
        <w:rPr>
          <w:rFonts w:ascii="Calibri" w:eastAsiaTheme="minorEastAsia" w:hAnsi="Calibri" w:cs="Calibri"/>
        </w:rPr>
        <w:t xml:space="preserve">ueries </w:t>
      </w:r>
      <w:r w:rsidR="00863BDA">
        <w:rPr>
          <w:rFonts w:ascii="Calibri" w:eastAsiaTheme="minorEastAsia" w:hAnsi="Calibri" w:cs="Calibri"/>
        </w:rPr>
        <w:t>relating to</w:t>
      </w:r>
      <w:r w:rsidR="007302B3" w:rsidRPr="00434C45">
        <w:rPr>
          <w:rFonts w:ascii="Calibri" w:eastAsiaTheme="minorEastAsia" w:hAnsi="Calibri" w:cs="Calibri"/>
        </w:rPr>
        <w:t xml:space="preserve"> </w:t>
      </w:r>
      <w:r w:rsidR="00F470A8" w:rsidRPr="004B3A3B">
        <w:rPr>
          <w:rFonts w:ascii="Calibri" w:eastAsiaTheme="minorEastAsia" w:hAnsi="Calibri" w:cs="Calibri"/>
          <w:b/>
          <w:i/>
          <w:iCs/>
        </w:rPr>
        <w:t>Disability and Illness</w:t>
      </w:r>
      <w:r w:rsidR="00DE2F2B" w:rsidRPr="00434C45">
        <w:rPr>
          <w:rFonts w:ascii="Calibri" w:eastAsiaTheme="minorEastAsia" w:hAnsi="Calibri" w:cs="Calibri"/>
        </w:rPr>
        <w:t xml:space="preserve"> </w:t>
      </w:r>
      <w:r w:rsidR="00F470A8">
        <w:rPr>
          <w:rFonts w:ascii="Calibri" w:eastAsiaTheme="minorEastAsia" w:hAnsi="Calibri" w:cs="Calibri"/>
        </w:rPr>
        <w:t>queries rose 13</w:t>
      </w:r>
      <w:r w:rsidR="007C39FE">
        <w:rPr>
          <w:rFonts w:ascii="Calibri" w:eastAsiaTheme="minorEastAsia" w:hAnsi="Calibri" w:cs="Calibri"/>
        </w:rPr>
        <w:t>.1</w:t>
      </w:r>
      <w:r w:rsidR="00F470A8">
        <w:rPr>
          <w:rFonts w:ascii="Calibri" w:eastAsiaTheme="minorEastAsia" w:hAnsi="Calibri" w:cs="Calibri"/>
        </w:rPr>
        <w:t xml:space="preserve">% on 2021. </w:t>
      </w:r>
      <w:r w:rsidR="00F470A8" w:rsidRPr="004B3A3B">
        <w:rPr>
          <w:rFonts w:ascii="Calibri" w:eastAsiaTheme="minorEastAsia" w:hAnsi="Calibri" w:cs="Calibri"/>
          <w:i/>
          <w:iCs/>
        </w:rPr>
        <w:t xml:space="preserve">Disability </w:t>
      </w:r>
      <w:r w:rsidR="008B0F76">
        <w:rPr>
          <w:rFonts w:ascii="Calibri" w:eastAsiaTheme="minorEastAsia" w:hAnsi="Calibri" w:cs="Calibri"/>
          <w:i/>
          <w:iCs/>
        </w:rPr>
        <w:t>A</w:t>
      </w:r>
      <w:r w:rsidR="00F470A8" w:rsidRPr="004B3A3B">
        <w:rPr>
          <w:rFonts w:ascii="Calibri" w:eastAsiaTheme="minorEastAsia" w:hAnsi="Calibri" w:cs="Calibri"/>
          <w:i/>
          <w:iCs/>
        </w:rPr>
        <w:t>llowance</w:t>
      </w:r>
      <w:r w:rsidR="00F470A8">
        <w:rPr>
          <w:rFonts w:ascii="Calibri" w:eastAsiaTheme="minorEastAsia" w:hAnsi="Calibri" w:cs="Calibri"/>
        </w:rPr>
        <w:t xml:space="preserve"> made up 44</w:t>
      </w:r>
      <w:r w:rsidR="007C39FE">
        <w:rPr>
          <w:rFonts w:ascii="Calibri" w:eastAsiaTheme="minorEastAsia" w:hAnsi="Calibri" w:cs="Calibri"/>
        </w:rPr>
        <w:t>.1</w:t>
      </w:r>
      <w:r w:rsidR="00F470A8">
        <w:rPr>
          <w:rFonts w:ascii="Calibri" w:eastAsiaTheme="minorEastAsia" w:hAnsi="Calibri" w:cs="Calibri"/>
        </w:rPr>
        <w:t xml:space="preserve">% of all queries, </w:t>
      </w:r>
      <w:r w:rsidR="00F470A8">
        <w:rPr>
          <w:rFonts w:ascii="Calibri" w:eastAsiaTheme="minorEastAsia" w:hAnsi="Calibri" w:cs="Calibri"/>
          <w:i/>
        </w:rPr>
        <w:t>Illness Benefit</w:t>
      </w:r>
      <w:r w:rsidR="00F470A8"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="00F470A8" w:rsidRPr="008E03EA">
        <w:rPr>
          <w:rFonts w:ascii="Calibri" w:eastAsiaTheme="minorEastAsia" w:hAnsi="Calibri" w:cs="Calibri"/>
        </w:rPr>
        <w:t>represent</w:t>
      </w:r>
      <w:r w:rsidR="00DE2F2B" w:rsidRPr="00434C45">
        <w:rPr>
          <w:rFonts w:ascii="Calibri" w:eastAsiaTheme="minorEastAsia" w:hAnsi="Calibri" w:cs="Calibri"/>
        </w:rPr>
        <w:t xml:space="preserve"> </w:t>
      </w:r>
      <w:r w:rsidR="00C821A5">
        <w:rPr>
          <w:rFonts w:ascii="Calibri" w:eastAsiaTheme="minorEastAsia" w:hAnsi="Calibri" w:cs="Calibri"/>
        </w:rPr>
        <w:t>2</w:t>
      </w:r>
      <w:r w:rsidR="00F470A8">
        <w:rPr>
          <w:rFonts w:ascii="Calibri" w:eastAsiaTheme="minorEastAsia" w:hAnsi="Calibri" w:cs="Calibri"/>
        </w:rPr>
        <w:t>8</w:t>
      </w:r>
      <w:r w:rsidR="007C39FE">
        <w:rPr>
          <w:rFonts w:ascii="Calibri" w:eastAsiaTheme="minorEastAsia" w:hAnsi="Calibri" w:cs="Calibri"/>
        </w:rPr>
        <w:t>.4</w:t>
      </w:r>
      <w:r w:rsidR="00DE2F2B" w:rsidRPr="00434C45">
        <w:rPr>
          <w:rFonts w:ascii="Calibri" w:eastAsiaTheme="minorEastAsia" w:hAnsi="Calibri" w:cs="Calibri"/>
        </w:rPr>
        <w:t xml:space="preserve">% </w:t>
      </w:r>
      <w:r w:rsidR="00F470A8">
        <w:rPr>
          <w:rFonts w:ascii="Calibri" w:eastAsiaTheme="minorEastAsia" w:hAnsi="Calibri" w:cs="Calibri"/>
        </w:rPr>
        <w:t xml:space="preserve">and </w:t>
      </w:r>
      <w:r w:rsidR="00F470A8" w:rsidRPr="004F334D">
        <w:rPr>
          <w:rFonts w:ascii="Calibri" w:eastAsiaTheme="minorEastAsia" w:hAnsi="Calibri" w:cs="Calibri"/>
          <w:i/>
          <w:iCs/>
        </w:rPr>
        <w:t>Invalidity Pension</w:t>
      </w:r>
      <w:r w:rsidR="00F470A8">
        <w:rPr>
          <w:rFonts w:ascii="Calibri" w:eastAsiaTheme="minorEastAsia" w:hAnsi="Calibri" w:cs="Calibri"/>
        </w:rPr>
        <w:t xml:space="preserve"> made up 20</w:t>
      </w:r>
      <w:r w:rsidR="007C39FE">
        <w:rPr>
          <w:rFonts w:ascii="Calibri" w:eastAsiaTheme="minorEastAsia" w:hAnsi="Calibri" w:cs="Calibri"/>
        </w:rPr>
        <w:t>.3</w:t>
      </w:r>
      <w:r w:rsidR="00F470A8">
        <w:rPr>
          <w:rFonts w:ascii="Calibri" w:eastAsiaTheme="minorEastAsia" w:hAnsi="Calibri" w:cs="Calibri"/>
        </w:rPr>
        <w:t>%.</w:t>
      </w:r>
      <w:r w:rsidR="00FA605D" w:rsidRPr="00FA605D">
        <w:rPr>
          <w:rFonts w:ascii="Calibri" w:eastAsiaTheme="minorEastAsia" w:hAnsi="Calibri" w:cs="Calibri"/>
        </w:rPr>
        <w:t xml:space="preserve"> </w:t>
      </w:r>
      <w:r w:rsidR="00FA605D">
        <w:rPr>
          <w:rFonts w:ascii="Calibri" w:eastAsiaTheme="minorEastAsia" w:hAnsi="Calibri" w:cs="Calibri"/>
        </w:rPr>
        <w:t xml:space="preserve">It is worth noting that under </w:t>
      </w:r>
      <w:r w:rsidR="00FA605D" w:rsidRPr="004F334D">
        <w:rPr>
          <w:rFonts w:ascii="Calibri" w:eastAsiaTheme="minorEastAsia" w:hAnsi="Calibri" w:cs="Calibri"/>
          <w:b/>
          <w:bCs/>
          <w:i/>
          <w:iCs/>
        </w:rPr>
        <w:t>Social Welfare Appeals</w:t>
      </w:r>
      <w:r w:rsidR="00FA605D">
        <w:rPr>
          <w:rFonts w:ascii="Calibri" w:eastAsiaTheme="minorEastAsia" w:hAnsi="Calibri" w:cs="Calibri"/>
        </w:rPr>
        <w:t xml:space="preserve"> in the Tables below, </w:t>
      </w:r>
      <w:r w:rsidR="00FA605D" w:rsidRPr="004F334D">
        <w:rPr>
          <w:rFonts w:ascii="Calibri" w:eastAsiaTheme="minorEastAsia" w:hAnsi="Calibri" w:cs="Calibri"/>
          <w:i/>
          <w:iCs/>
        </w:rPr>
        <w:t>Disability Allowance</w:t>
      </w:r>
      <w:r w:rsidR="00FA605D">
        <w:rPr>
          <w:rFonts w:ascii="Calibri" w:eastAsiaTheme="minorEastAsia" w:hAnsi="Calibri" w:cs="Calibri"/>
        </w:rPr>
        <w:t xml:space="preserve"> continued to be the highest appeals related query to CISs, representing a third of the 5,000</w:t>
      </w:r>
      <w:r w:rsidR="00F12851">
        <w:rPr>
          <w:rFonts w:ascii="Calibri" w:eastAsiaTheme="minorEastAsia" w:hAnsi="Calibri" w:cs="Calibri"/>
        </w:rPr>
        <w:t>+ appeals</w:t>
      </w:r>
      <w:r w:rsidR="00FA605D">
        <w:rPr>
          <w:rFonts w:ascii="Calibri" w:eastAsiaTheme="minorEastAsia" w:hAnsi="Calibri" w:cs="Calibri"/>
        </w:rPr>
        <w:t xml:space="preserve"> enquiries in 2022, which were up overall by 35% on 2021 levels.</w:t>
      </w:r>
    </w:p>
    <w:p w14:paraId="4D957FF8" w14:textId="42F85960" w:rsidR="004B3A3B" w:rsidRDefault="004B3A3B" w:rsidP="00F12851">
      <w:pPr>
        <w:jc w:val="both"/>
        <w:rPr>
          <w:rFonts w:ascii="Calibri" w:eastAsiaTheme="minorEastAsia" w:hAnsi="Calibri" w:cs="Calibri"/>
        </w:rPr>
      </w:pPr>
      <w:r w:rsidRPr="007C39FE">
        <w:rPr>
          <w:rFonts w:ascii="Calibri" w:eastAsiaTheme="minorEastAsia" w:hAnsi="Calibri" w:cs="Calibri"/>
          <w:b/>
          <w:i/>
          <w:iCs/>
        </w:rPr>
        <w:t>Older and Retired People</w:t>
      </w:r>
      <w:r>
        <w:rPr>
          <w:rFonts w:ascii="Calibri" w:eastAsiaTheme="minorEastAsia" w:hAnsi="Calibri" w:cs="Calibri"/>
        </w:rPr>
        <w:t xml:space="preserve"> rose to the top 3 Social Welfare sub</w:t>
      </w:r>
      <w:r w:rsidR="006310B2">
        <w:rPr>
          <w:rFonts w:ascii="Calibri" w:eastAsiaTheme="minorEastAsia" w:hAnsi="Calibri" w:cs="Calibri"/>
        </w:rPr>
        <w:t>-</w:t>
      </w:r>
      <w:r>
        <w:rPr>
          <w:rFonts w:ascii="Calibri" w:eastAsiaTheme="minorEastAsia" w:hAnsi="Calibri" w:cs="Calibri"/>
        </w:rPr>
        <w:t>categories a rise in 2</w:t>
      </w:r>
      <w:r w:rsidR="007C39FE">
        <w:rPr>
          <w:rFonts w:ascii="Calibri" w:eastAsiaTheme="minorEastAsia" w:hAnsi="Calibri" w:cs="Calibri"/>
        </w:rPr>
        <w:t>0.8</w:t>
      </w:r>
      <w:r>
        <w:rPr>
          <w:rFonts w:ascii="Calibri" w:eastAsiaTheme="minorEastAsia" w:hAnsi="Calibri" w:cs="Calibri"/>
        </w:rPr>
        <w:t xml:space="preserve">% from 2021 figures. </w:t>
      </w:r>
      <w:r w:rsidRPr="004F334D">
        <w:rPr>
          <w:rFonts w:ascii="Calibri" w:eastAsiaTheme="minorEastAsia" w:hAnsi="Calibri" w:cs="Calibri"/>
          <w:i/>
          <w:iCs/>
        </w:rPr>
        <w:t>State Pension /Contributory</w:t>
      </w:r>
      <w:r>
        <w:rPr>
          <w:rFonts w:ascii="Calibri" w:eastAsiaTheme="minorEastAsia" w:hAnsi="Calibri" w:cs="Calibri"/>
        </w:rPr>
        <w:t xml:space="preserve"> made up 5</w:t>
      </w:r>
      <w:r w:rsidR="007C39FE">
        <w:rPr>
          <w:rFonts w:ascii="Calibri" w:eastAsiaTheme="minorEastAsia" w:hAnsi="Calibri" w:cs="Calibri"/>
        </w:rPr>
        <w:t>8.9</w:t>
      </w:r>
      <w:r>
        <w:rPr>
          <w:rFonts w:ascii="Calibri" w:eastAsiaTheme="minorEastAsia" w:hAnsi="Calibri" w:cs="Calibri"/>
        </w:rPr>
        <w:t>% of the queries in the category.</w:t>
      </w:r>
    </w:p>
    <w:p w14:paraId="1E3384DA" w14:textId="27BC928B" w:rsidR="00434C45" w:rsidRDefault="00434C45" w:rsidP="000B2A34">
      <w:pPr>
        <w:rPr>
          <w:rFonts w:ascii="Calibri" w:eastAsia="Times New Roman" w:hAnsi="Calibri" w:cs="Calibri"/>
          <w:color w:val="000000"/>
          <w:sz w:val="20"/>
          <w:szCs w:val="20"/>
          <w:lang w:eastAsia="en-IE"/>
        </w:rPr>
      </w:pPr>
    </w:p>
    <w:p w14:paraId="084EA8D4" w14:textId="4CAF87AF" w:rsidR="00DC6825" w:rsidRDefault="00DC6825" w:rsidP="000B2A34">
      <w:pPr>
        <w:rPr>
          <w:rFonts w:ascii="Calibri" w:eastAsia="Times New Roman" w:hAnsi="Calibri" w:cs="Calibri"/>
          <w:color w:val="000000"/>
          <w:sz w:val="20"/>
          <w:szCs w:val="20"/>
          <w:lang w:eastAsia="en-IE"/>
        </w:rPr>
      </w:pPr>
    </w:p>
    <w:p w14:paraId="04F52709" w14:textId="4BE72B4F" w:rsidR="00DC6825" w:rsidRDefault="00DC6825" w:rsidP="000B2A34">
      <w:pPr>
        <w:rPr>
          <w:rFonts w:ascii="Calibri" w:eastAsia="Times New Roman" w:hAnsi="Calibri" w:cs="Calibri"/>
          <w:color w:val="000000"/>
          <w:sz w:val="20"/>
          <w:szCs w:val="20"/>
          <w:lang w:eastAsia="en-IE"/>
        </w:rPr>
      </w:pPr>
    </w:p>
    <w:p w14:paraId="7E754186" w14:textId="735FAAFC" w:rsidR="00DC6825" w:rsidRDefault="00DC6825" w:rsidP="000B2A34">
      <w:pPr>
        <w:rPr>
          <w:rFonts w:ascii="Calibri" w:eastAsia="Times New Roman" w:hAnsi="Calibri" w:cs="Calibri"/>
          <w:color w:val="000000"/>
          <w:sz w:val="20"/>
          <w:szCs w:val="20"/>
          <w:lang w:eastAsia="en-IE"/>
        </w:rPr>
      </w:pPr>
    </w:p>
    <w:p w14:paraId="382F88BF" w14:textId="129DE354" w:rsidR="00DC6825" w:rsidRDefault="00DC6825" w:rsidP="000B2A34">
      <w:pPr>
        <w:rPr>
          <w:rFonts w:ascii="Calibri" w:eastAsia="Times New Roman" w:hAnsi="Calibri" w:cs="Calibri"/>
          <w:color w:val="000000"/>
          <w:sz w:val="20"/>
          <w:szCs w:val="20"/>
          <w:lang w:eastAsia="en-IE"/>
        </w:rPr>
      </w:pPr>
    </w:p>
    <w:p w14:paraId="4E26BC1F" w14:textId="3F0BCA5A" w:rsidR="00DC6825" w:rsidRDefault="00DC6825" w:rsidP="000B2A34">
      <w:pPr>
        <w:rPr>
          <w:rFonts w:ascii="Calibri" w:eastAsia="Times New Roman" w:hAnsi="Calibri" w:cs="Calibri"/>
          <w:color w:val="000000"/>
          <w:sz w:val="20"/>
          <w:szCs w:val="20"/>
          <w:lang w:eastAsia="en-IE"/>
        </w:rPr>
      </w:pPr>
    </w:p>
    <w:p w14:paraId="425EB769" w14:textId="46AF1362" w:rsidR="00DC6825" w:rsidRDefault="00DC6825" w:rsidP="000B2A34">
      <w:pPr>
        <w:rPr>
          <w:rFonts w:ascii="Calibri" w:eastAsia="Times New Roman" w:hAnsi="Calibri" w:cs="Calibri"/>
          <w:color w:val="000000"/>
          <w:sz w:val="20"/>
          <w:szCs w:val="20"/>
          <w:lang w:eastAsia="en-IE"/>
        </w:rPr>
      </w:pPr>
    </w:p>
    <w:p w14:paraId="45876115" w14:textId="75A42B3B" w:rsidR="00DC6825" w:rsidRDefault="00DC6825" w:rsidP="000B2A34">
      <w:pPr>
        <w:rPr>
          <w:rFonts w:ascii="Calibri" w:eastAsia="Times New Roman" w:hAnsi="Calibri" w:cs="Calibri"/>
          <w:color w:val="000000"/>
          <w:sz w:val="20"/>
          <w:szCs w:val="20"/>
          <w:lang w:eastAsia="en-IE"/>
        </w:rPr>
      </w:pPr>
    </w:p>
    <w:p w14:paraId="361B7703" w14:textId="56B17C3D" w:rsidR="00DC6825" w:rsidRDefault="00DC6825" w:rsidP="000B2A34">
      <w:pPr>
        <w:rPr>
          <w:rFonts w:ascii="Calibri" w:eastAsia="Times New Roman" w:hAnsi="Calibri" w:cs="Calibri"/>
          <w:color w:val="000000"/>
          <w:sz w:val="20"/>
          <w:szCs w:val="20"/>
          <w:lang w:eastAsia="en-IE"/>
        </w:rPr>
      </w:pPr>
    </w:p>
    <w:p w14:paraId="71F81B4E" w14:textId="563C75CC" w:rsidR="00DC6825" w:rsidRDefault="00DC6825" w:rsidP="000B2A34">
      <w:pPr>
        <w:rPr>
          <w:rFonts w:ascii="Calibri" w:eastAsia="Times New Roman" w:hAnsi="Calibri" w:cs="Calibri"/>
          <w:color w:val="000000"/>
          <w:sz w:val="20"/>
          <w:szCs w:val="20"/>
          <w:lang w:eastAsia="en-IE"/>
        </w:rPr>
      </w:pPr>
    </w:p>
    <w:p w14:paraId="65489FC9" w14:textId="77777777" w:rsidR="00F470A8" w:rsidRPr="000B2A34" w:rsidRDefault="00F470A8" w:rsidP="000B2A34">
      <w:pPr>
        <w:rPr>
          <w:rFonts w:ascii="Calibri" w:eastAsia="Times New Roman" w:hAnsi="Calibri" w:cs="Calibri"/>
          <w:color w:val="000000"/>
          <w:sz w:val="20"/>
          <w:szCs w:val="20"/>
          <w:lang w:eastAsia="en-IE"/>
        </w:rPr>
      </w:pPr>
    </w:p>
    <w:p w14:paraId="43B0F26F" w14:textId="077A9489" w:rsidR="000B2A34" w:rsidRPr="00864F18" w:rsidRDefault="007302B3" w:rsidP="00864F18">
      <w:pPr>
        <w:pStyle w:val="Heading1"/>
        <w:rPr>
          <w:sz w:val="24"/>
          <w:szCs w:val="24"/>
        </w:rPr>
      </w:pPr>
      <w:r w:rsidRPr="000B2A34">
        <w:rPr>
          <w:sz w:val="24"/>
          <w:szCs w:val="24"/>
        </w:rPr>
        <w:lastRenderedPageBreak/>
        <w:t xml:space="preserve">Table 3 – </w:t>
      </w:r>
      <w:r>
        <w:rPr>
          <w:sz w:val="24"/>
          <w:szCs w:val="24"/>
        </w:rPr>
        <w:t>Social Welfare Queries 202</w:t>
      </w:r>
      <w:r w:rsidR="0065732D">
        <w:rPr>
          <w:sz w:val="24"/>
          <w:szCs w:val="24"/>
        </w:rPr>
        <w:t>2</w:t>
      </w:r>
    </w:p>
    <w:tbl>
      <w:tblPr>
        <w:tblStyle w:val="GridTable5Dark-Accent6"/>
        <w:tblW w:w="13835" w:type="dxa"/>
        <w:tblLook w:val="04A0" w:firstRow="1" w:lastRow="0" w:firstColumn="1" w:lastColumn="0" w:noHBand="0" w:noVBand="1"/>
        <w:tblCaption w:val="Table 3  Social Welfare Queries 2021"/>
        <w:tblDescription w:val="This table shows the data for the Social Welfare query sub-categories recorded by CISs during 2021."/>
      </w:tblPr>
      <w:tblGrid>
        <w:gridCol w:w="1555"/>
        <w:gridCol w:w="3775"/>
        <w:gridCol w:w="5438"/>
        <w:gridCol w:w="1560"/>
        <w:gridCol w:w="1507"/>
      </w:tblGrid>
      <w:tr w:rsidR="00EF46F3" w:rsidRPr="00EF46F3" w14:paraId="600FD809" w14:textId="77777777" w:rsidTr="00520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63A634A1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>Category</w:t>
            </w:r>
          </w:p>
        </w:tc>
        <w:tc>
          <w:tcPr>
            <w:tcW w:w="3775" w:type="dxa"/>
            <w:hideMark/>
          </w:tcPr>
          <w:p w14:paraId="7A3DFD92" w14:textId="77777777" w:rsidR="00C23E1D" w:rsidRPr="00EF46F3" w:rsidRDefault="00C23E1D" w:rsidP="00C2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>Sub-category</w:t>
            </w:r>
          </w:p>
        </w:tc>
        <w:tc>
          <w:tcPr>
            <w:tcW w:w="5438" w:type="dxa"/>
            <w:hideMark/>
          </w:tcPr>
          <w:p w14:paraId="3735B842" w14:textId="3CB91A81" w:rsidR="00C23E1D" w:rsidRPr="00EF46F3" w:rsidRDefault="00C23E1D" w:rsidP="00C2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>202</w:t>
            </w:r>
            <w:r w:rsidR="0065732D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>2</w:t>
            </w:r>
            <w:r w:rsidRPr="00EF46F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 xml:space="preserve"> </w:t>
            </w:r>
            <w:r w:rsidR="000521AB" w:rsidRPr="00EF46F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 xml:space="preserve">Social Welfare </w:t>
            </w:r>
            <w:r w:rsidRPr="00EF46F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>Query Bre</w:t>
            </w:r>
            <w:r w:rsidR="000521AB" w:rsidRPr="00EF46F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>akdown</w:t>
            </w:r>
          </w:p>
        </w:tc>
        <w:tc>
          <w:tcPr>
            <w:tcW w:w="1560" w:type="dxa"/>
            <w:hideMark/>
          </w:tcPr>
          <w:p w14:paraId="22EA9D4F" w14:textId="1561F754" w:rsidR="00C23E1D" w:rsidRPr="00EF46F3" w:rsidRDefault="00C23E1D" w:rsidP="00C2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 xml:space="preserve"># </w:t>
            </w:r>
            <w:r w:rsidR="00F470A8" w:rsidRPr="00EF46F3">
              <w:rPr>
                <w:rFonts w:ascii="Calibri" w:eastAsia="Times New Roman" w:hAnsi="Calibri" w:cs="Calibri"/>
                <w:color w:val="auto"/>
                <w:lang w:eastAsia="en-IE"/>
              </w:rPr>
              <w:t>Of</w:t>
            </w: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 xml:space="preserve"> Queries</w:t>
            </w:r>
          </w:p>
        </w:tc>
        <w:tc>
          <w:tcPr>
            <w:tcW w:w="1507" w:type="dxa"/>
            <w:hideMark/>
          </w:tcPr>
          <w:p w14:paraId="1DA1B7AB" w14:textId="2438AC7D" w:rsidR="00C23E1D" w:rsidRPr="00EF46F3" w:rsidRDefault="00C23E1D" w:rsidP="00C2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 xml:space="preserve">% </w:t>
            </w:r>
            <w:r w:rsidR="004B3A3B" w:rsidRPr="00EF46F3">
              <w:rPr>
                <w:rFonts w:ascii="Calibri" w:eastAsia="Times New Roman" w:hAnsi="Calibri" w:cs="Calibri"/>
                <w:color w:val="auto"/>
                <w:lang w:eastAsia="en-IE"/>
              </w:rPr>
              <w:t>Of</w:t>
            </w: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 xml:space="preserve"> Social Welfare Sub-category</w:t>
            </w:r>
          </w:p>
        </w:tc>
      </w:tr>
      <w:tr w:rsidR="00EF46F3" w:rsidRPr="00EF46F3" w14:paraId="5593D63A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5ADFC4F5" w14:textId="4FAA1B07" w:rsidR="00C23E1D" w:rsidRPr="00EF46F3" w:rsidRDefault="00A40B20" w:rsidP="00C23E1D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Extra Social Welfare Benefits</w:t>
            </w:r>
          </w:p>
        </w:tc>
      </w:tr>
      <w:tr w:rsidR="00A40B20" w:rsidRPr="00EF46F3" w14:paraId="0636E52D" w14:textId="77777777" w:rsidTr="004C7AB4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38E4624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425891A" w14:textId="3FC73761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438" w:type="dxa"/>
            <w:noWrap/>
            <w:vAlign w:val="bottom"/>
            <w:hideMark/>
          </w:tcPr>
          <w:p w14:paraId="4F0982DC" w14:textId="32E56C05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Fuel Allowance</w:t>
            </w:r>
          </w:p>
        </w:tc>
        <w:tc>
          <w:tcPr>
            <w:tcW w:w="1560" w:type="dxa"/>
            <w:noWrap/>
            <w:hideMark/>
          </w:tcPr>
          <w:p w14:paraId="3AEE18A6" w14:textId="5BC7A0F0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32,912</w:t>
            </w:r>
          </w:p>
        </w:tc>
        <w:tc>
          <w:tcPr>
            <w:tcW w:w="1507" w:type="dxa"/>
            <w:noWrap/>
            <w:vAlign w:val="bottom"/>
            <w:hideMark/>
          </w:tcPr>
          <w:p w14:paraId="5B347344" w14:textId="0F1923C6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46.7</w:t>
            </w:r>
            <w:r w:rsidRPr="005C5E0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40B20" w:rsidRPr="00EF46F3" w14:paraId="285313B9" w14:textId="77777777" w:rsidTr="004C7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302B14A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1958115E" w14:textId="4B78F695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438" w:type="dxa"/>
            <w:noWrap/>
            <w:vAlign w:val="bottom"/>
            <w:hideMark/>
          </w:tcPr>
          <w:p w14:paraId="629F0071" w14:textId="4724F2F3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Household Benefits Package</w:t>
            </w:r>
          </w:p>
        </w:tc>
        <w:tc>
          <w:tcPr>
            <w:tcW w:w="1560" w:type="dxa"/>
            <w:noWrap/>
            <w:hideMark/>
          </w:tcPr>
          <w:p w14:paraId="08E0CFDD" w14:textId="7D2E0165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19,444</w:t>
            </w:r>
          </w:p>
        </w:tc>
        <w:tc>
          <w:tcPr>
            <w:tcW w:w="1507" w:type="dxa"/>
            <w:noWrap/>
            <w:vAlign w:val="bottom"/>
            <w:hideMark/>
          </w:tcPr>
          <w:p w14:paraId="3392F879" w14:textId="1E8EDA1E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C5E03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5C5E03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6</w:t>
            </w:r>
            <w:r w:rsidRPr="005C5E0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40B20" w:rsidRPr="00EF46F3" w14:paraId="79ECF716" w14:textId="77777777" w:rsidTr="004C7AB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6286AEA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79A4A28" w14:textId="18772D56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438" w:type="dxa"/>
            <w:noWrap/>
            <w:vAlign w:val="bottom"/>
            <w:hideMark/>
          </w:tcPr>
          <w:p w14:paraId="651BAE61" w14:textId="044C99FA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Living Alone Increase</w:t>
            </w:r>
          </w:p>
        </w:tc>
        <w:tc>
          <w:tcPr>
            <w:tcW w:w="1560" w:type="dxa"/>
            <w:noWrap/>
            <w:hideMark/>
          </w:tcPr>
          <w:p w14:paraId="71FDB4DF" w14:textId="02D1B658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  <w:r w:rsidRPr="00514EDC">
              <w:rPr>
                <w:rFonts w:ascii="Calibri" w:hAnsi="Calibri" w:cs="Calibri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sz w:val="20"/>
                <w:szCs w:val="20"/>
              </w:rPr>
              <w:t>833</w:t>
            </w:r>
          </w:p>
        </w:tc>
        <w:tc>
          <w:tcPr>
            <w:tcW w:w="1507" w:type="dxa"/>
            <w:noWrap/>
            <w:vAlign w:val="bottom"/>
            <w:hideMark/>
          </w:tcPr>
          <w:p w14:paraId="2D10D5F6" w14:textId="21680B21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11.1</w:t>
            </w:r>
            <w:r w:rsidRPr="005C5E0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40B20" w:rsidRPr="00EF46F3" w14:paraId="055AB128" w14:textId="77777777" w:rsidTr="004C7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2CFF417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4ED3DBD0" w14:textId="53C04242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438" w:type="dxa"/>
            <w:noWrap/>
            <w:vAlign w:val="bottom"/>
            <w:hideMark/>
          </w:tcPr>
          <w:p w14:paraId="30A4A304" w14:textId="42CEA2BC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Free Travel (Travel Card, Companion Card, etc)</w:t>
            </w:r>
          </w:p>
        </w:tc>
        <w:tc>
          <w:tcPr>
            <w:tcW w:w="1560" w:type="dxa"/>
            <w:noWrap/>
            <w:hideMark/>
          </w:tcPr>
          <w:p w14:paraId="370E8BDF" w14:textId="72271431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7,646</w:t>
            </w:r>
          </w:p>
        </w:tc>
        <w:tc>
          <w:tcPr>
            <w:tcW w:w="1507" w:type="dxa"/>
            <w:noWrap/>
            <w:vAlign w:val="bottom"/>
            <w:hideMark/>
          </w:tcPr>
          <w:p w14:paraId="4418C56D" w14:textId="5A7B408F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10.8</w:t>
            </w:r>
            <w:r w:rsidRPr="005C5E0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40B20" w:rsidRPr="00EF46F3" w14:paraId="40691A00" w14:textId="77777777" w:rsidTr="004C7AB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34AF4BF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D9BF31D" w14:textId="5ACB8CE7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438" w:type="dxa"/>
            <w:noWrap/>
            <w:vAlign w:val="bottom"/>
            <w:hideMark/>
          </w:tcPr>
          <w:p w14:paraId="12CA946E" w14:textId="0A5075E3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Telephone Support Allowance</w:t>
            </w:r>
          </w:p>
        </w:tc>
        <w:tc>
          <w:tcPr>
            <w:tcW w:w="1560" w:type="dxa"/>
            <w:noWrap/>
            <w:hideMark/>
          </w:tcPr>
          <w:p w14:paraId="00ACF1F1" w14:textId="34536D90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1,237</w:t>
            </w:r>
          </w:p>
        </w:tc>
        <w:tc>
          <w:tcPr>
            <w:tcW w:w="1507" w:type="dxa"/>
            <w:noWrap/>
            <w:vAlign w:val="bottom"/>
            <w:hideMark/>
          </w:tcPr>
          <w:p w14:paraId="05CA63F3" w14:textId="0E954660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C5E03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5C5E0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863BDA" w:rsidRPr="00EF46F3" w14:paraId="27AD5B52" w14:textId="77777777" w:rsidTr="004C7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1BC4521C" w14:textId="069F74D2" w:rsidR="00863BDA" w:rsidRPr="00EF46F3" w:rsidRDefault="00863BDA" w:rsidP="00863BDA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558EBC76" w14:textId="2E514F77" w:rsidR="00863BDA" w:rsidRPr="00EF46F3" w:rsidRDefault="00863BDA" w:rsidP="00863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438" w:type="dxa"/>
            <w:noWrap/>
            <w:vAlign w:val="bottom"/>
          </w:tcPr>
          <w:p w14:paraId="5FE0CEDC" w14:textId="0323C3D2" w:rsidR="00863BDA" w:rsidRPr="00514EDC" w:rsidRDefault="00863BDA" w:rsidP="00863B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Cost of Living Increase</w:t>
            </w:r>
          </w:p>
        </w:tc>
        <w:tc>
          <w:tcPr>
            <w:tcW w:w="1560" w:type="dxa"/>
            <w:noWrap/>
          </w:tcPr>
          <w:p w14:paraId="4E6CBF83" w14:textId="2E1B17F9" w:rsidR="00863BDA" w:rsidRDefault="00863BDA" w:rsidP="00863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610</w:t>
            </w:r>
          </w:p>
        </w:tc>
        <w:tc>
          <w:tcPr>
            <w:tcW w:w="1507" w:type="dxa"/>
            <w:noWrap/>
            <w:vAlign w:val="bottom"/>
          </w:tcPr>
          <w:p w14:paraId="3CFBEC84" w14:textId="61A97610" w:rsidR="00863BDA" w:rsidRPr="005C5E03" w:rsidRDefault="00863BDA" w:rsidP="00863B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0.9%</w:t>
            </w:r>
          </w:p>
        </w:tc>
      </w:tr>
      <w:tr w:rsidR="00A40B20" w:rsidRPr="00EF46F3" w14:paraId="19C1672B" w14:textId="77777777" w:rsidTr="004C7AB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B17443B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6A157EF" w14:textId="5BDAB992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438" w:type="dxa"/>
            <w:noWrap/>
            <w:vAlign w:val="bottom"/>
            <w:hideMark/>
          </w:tcPr>
          <w:p w14:paraId="56B7571F" w14:textId="42A66F25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Christmas Bonus</w:t>
            </w:r>
          </w:p>
        </w:tc>
        <w:tc>
          <w:tcPr>
            <w:tcW w:w="1560" w:type="dxa"/>
            <w:noWrap/>
            <w:hideMark/>
          </w:tcPr>
          <w:p w14:paraId="52961E4C" w14:textId="33A359F7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453</w:t>
            </w:r>
          </w:p>
        </w:tc>
        <w:tc>
          <w:tcPr>
            <w:tcW w:w="1507" w:type="dxa"/>
            <w:noWrap/>
            <w:vAlign w:val="bottom"/>
            <w:hideMark/>
          </w:tcPr>
          <w:p w14:paraId="641521DF" w14:textId="6B29BD8F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</w:t>
            </w:r>
            <w:r w:rsidRPr="005C5E0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40B20" w:rsidRPr="00EF46F3" w14:paraId="11D36375" w14:textId="77777777" w:rsidTr="004C7A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B9F9977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4CF3097" w14:textId="0609B50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438" w:type="dxa"/>
            <w:noWrap/>
            <w:vAlign w:val="bottom"/>
            <w:hideMark/>
          </w:tcPr>
          <w:p w14:paraId="3B87D9D6" w14:textId="6D8D05D2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Treatment Benefits</w:t>
            </w:r>
          </w:p>
        </w:tc>
        <w:tc>
          <w:tcPr>
            <w:tcW w:w="1560" w:type="dxa"/>
            <w:noWrap/>
            <w:hideMark/>
          </w:tcPr>
          <w:p w14:paraId="65BCBD6F" w14:textId="6E4DA648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356</w:t>
            </w:r>
          </w:p>
        </w:tc>
        <w:tc>
          <w:tcPr>
            <w:tcW w:w="1507" w:type="dxa"/>
            <w:noWrap/>
            <w:vAlign w:val="bottom"/>
            <w:hideMark/>
          </w:tcPr>
          <w:p w14:paraId="14BC2B3C" w14:textId="40469584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C5E03">
              <w:rPr>
                <w:rFonts w:ascii="Calibri" w:hAnsi="Calibri" w:cs="Calibri"/>
                <w:sz w:val="20"/>
                <w:szCs w:val="20"/>
              </w:rPr>
              <w:t>0.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  <w:r w:rsidRPr="005C5E0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F12851" w:rsidRPr="00EF46F3" w14:paraId="0BBE12A6" w14:textId="77777777" w:rsidTr="004C7AB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2BE37CC7" w14:textId="125B1716" w:rsidR="00F12851" w:rsidRPr="00EF46F3" w:rsidRDefault="00F12851" w:rsidP="00F12851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5136A7B9" w14:textId="4B915F1D" w:rsidR="00F12851" w:rsidRPr="00EF46F3" w:rsidRDefault="00F12851" w:rsidP="00F12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438" w:type="dxa"/>
            <w:noWrap/>
            <w:vAlign w:val="bottom"/>
          </w:tcPr>
          <w:p w14:paraId="38CD3E59" w14:textId="19D53B53" w:rsidR="00F12851" w:rsidRPr="00514EDC" w:rsidRDefault="00F12851" w:rsidP="00F12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Water Conservation Grant </w:t>
            </w:r>
          </w:p>
        </w:tc>
        <w:tc>
          <w:tcPr>
            <w:tcW w:w="1560" w:type="dxa"/>
            <w:noWrap/>
          </w:tcPr>
          <w:p w14:paraId="34DDA384" w14:textId="15DE27F9" w:rsidR="00F12851" w:rsidRDefault="00F12851" w:rsidP="00F12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07" w:type="dxa"/>
            <w:noWrap/>
            <w:vAlign w:val="bottom"/>
          </w:tcPr>
          <w:p w14:paraId="35D6C7DC" w14:textId="11B633B8" w:rsidR="00F12851" w:rsidRPr="005C5E03" w:rsidRDefault="00F12851" w:rsidP="00F128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0.0%</w:t>
            </w:r>
          </w:p>
        </w:tc>
      </w:tr>
      <w:tr w:rsidR="00A40B20" w:rsidRPr="00EF46F3" w14:paraId="2F1936D4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59B3DFE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5FA625D8" w14:textId="0754D251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5438" w:type="dxa"/>
            <w:noWrap/>
            <w:hideMark/>
          </w:tcPr>
          <w:p w14:paraId="0406B0F4" w14:textId="07645E95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0FBF402F" w14:textId="337760D8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70,492</w:t>
            </w:r>
          </w:p>
        </w:tc>
        <w:tc>
          <w:tcPr>
            <w:tcW w:w="1507" w:type="dxa"/>
            <w:noWrap/>
            <w:hideMark/>
          </w:tcPr>
          <w:p w14:paraId="370DFFC0" w14:textId="58DB3E1D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A40B20" w:rsidRPr="00EF46F3" w14:paraId="6543FC26" w14:textId="77777777" w:rsidTr="00A40B20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</w:tcPr>
          <w:p w14:paraId="44720559" w14:textId="788C7224" w:rsidR="00A40B20" w:rsidRPr="00514EDC" w:rsidRDefault="00A40B20" w:rsidP="00A40B20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Disability and Illness</w:t>
            </w:r>
          </w:p>
        </w:tc>
      </w:tr>
      <w:tr w:rsidR="00A40B20" w:rsidRPr="00EF46F3" w14:paraId="7B5AAA35" w14:textId="77777777" w:rsidTr="00225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3AB7A57E" w14:textId="322ADA6D" w:rsidR="00A40B20" w:rsidRPr="00EF46F3" w:rsidRDefault="00A40B20" w:rsidP="00A40B20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3254972F" w14:textId="310A46C3" w:rsidR="00A40B20" w:rsidRPr="00514EDC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438" w:type="dxa"/>
            <w:noWrap/>
          </w:tcPr>
          <w:p w14:paraId="7238B9B1" w14:textId="72498566" w:rsidR="00A40B20" w:rsidRPr="00514EDC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Disability Allowance</w:t>
            </w:r>
          </w:p>
        </w:tc>
        <w:tc>
          <w:tcPr>
            <w:tcW w:w="1560" w:type="dxa"/>
            <w:noWrap/>
          </w:tcPr>
          <w:p w14:paraId="0538B06B" w14:textId="098F7CBD" w:rsidR="00A40B20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24,741</w:t>
            </w:r>
          </w:p>
        </w:tc>
        <w:tc>
          <w:tcPr>
            <w:tcW w:w="1507" w:type="dxa"/>
            <w:noWrap/>
            <w:vAlign w:val="bottom"/>
          </w:tcPr>
          <w:p w14:paraId="6AD4A8BF" w14:textId="60B11AAD" w:rsidR="00A40B20" w:rsidRPr="00514EDC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sz w:val="20"/>
                <w:szCs w:val="20"/>
              </w:rPr>
              <w:t>4</w:t>
            </w:r>
            <w:r w:rsidRPr="00B90B6E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1%</w:t>
            </w:r>
          </w:p>
        </w:tc>
      </w:tr>
      <w:tr w:rsidR="00A40B20" w:rsidRPr="00EF46F3" w14:paraId="27607788" w14:textId="77777777" w:rsidTr="002258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308EB895" w14:textId="05594BA6" w:rsidR="00A40B20" w:rsidRPr="00EF46F3" w:rsidRDefault="00A40B20" w:rsidP="00A40B20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6E4BED50" w14:textId="4DB7C8E4" w:rsidR="00A40B20" w:rsidRPr="00514EDC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438" w:type="dxa"/>
            <w:noWrap/>
          </w:tcPr>
          <w:p w14:paraId="71DC1750" w14:textId="1EA2A567" w:rsidR="00A40B20" w:rsidRPr="00514EDC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Illness Benefit</w:t>
            </w:r>
          </w:p>
        </w:tc>
        <w:tc>
          <w:tcPr>
            <w:tcW w:w="1560" w:type="dxa"/>
            <w:noWrap/>
          </w:tcPr>
          <w:p w14:paraId="23773EA4" w14:textId="60B01A56" w:rsidR="00A40B20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15,907</w:t>
            </w:r>
          </w:p>
        </w:tc>
        <w:tc>
          <w:tcPr>
            <w:tcW w:w="1507" w:type="dxa"/>
            <w:noWrap/>
            <w:vAlign w:val="bottom"/>
          </w:tcPr>
          <w:p w14:paraId="30AAE6AE" w14:textId="5EEF3EBD" w:rsidR="00A40B20" w:rsidRPr="00514EDC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8</w:t>
            </w:r>
            <w:r w:rsidRPr="00B90B6E">
              <w:rPr>
                <w:rFonts w:ascii="Calibri" w:hAnsi="Calibri" w:cs="Calibri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>4%</w:t>
            </w:r>
          </w:p>
        </w:tc>
      </w:tr>
      <w:tr w:rsidR="00A40B20" w:rsidRPr="00EF46F3" w14:paraId="7ADE7C08" w14:textId="77777777" w:rsidTr="00225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192B5543" w14:textId="1B46CF46" w:rsidR="00A40B20" w:rsidRPr="00EF46F3" w:rsidRDefault="00A40B20" w:rsidP="00A40B20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2E729779" w14:textId="068A7884" w:rsidR="00A40B20" w:rsidRPr="00514EDC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438" w:type="dxa"/>
            <w:noWrap/>
          </w:tcPr>
          <w:p w14:paraId="7D29D645" w14:textId="093E0964" w:rsidR="00A40B20" w:rsidRPr="00514EDC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Invalidity Pension</w:t>
            </w:r>
          </w:p>
        </w:tc>
        <w:tc>
          <w:tcPr>
            <w:tcW w:w="1560" w:type="dxa"/>
            <w:noWrap/>
          </w:tcPr>
          <w:p w14:paraId="490E02B0" w14:textId="2BFB05F7" w:rsidR="00A40B20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11,373</w:t>
            </w:r>
          </w:p>
        </w:tc>
        <w:tc>
          <w:tcPr>
            <w:tcW w:w="1507" w:type="dxa"/>
            <w:noWrap/>
            <w:vAlign w:val="bottom"/>
          </w:tcPr>
          <w:p w14:paraId="3989E9E3" w14:textId="582096E4" w:rsidR="00A40B20" w:rsidRPr="00514EDC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0.3%</w:t>
            </w:r>
          </w:p>
        </w:tc>
      </w:tr>
      <w:tr w:rsidR="00A40B20" w:rsidRPr="00EF46F3" w14:paraId="31517467" w14:textId="77777777" w:rsidTr="002258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39874340" w14:textId="75499193" w:rsidR="00A40B20" w:rsidRPr="00EF46F3" w:rsidRDefault="00A40B20" w:rsidP="00A40B20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152BC22C" w14:textId="2262B20F" w:rsidR="00A40B20" w:rsidRPr="00514EDC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438" w:type="dxa"/>
            <w:noWrap/>
          </w:tcPr>
          <w:p w14:paraId="4AC4D63E" w14:textId="3F55B474" w:rsidR="00A40B20" w:rsidRPr="00514EDC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Partial Capacity Benefit</w:t>
            </w:r>
          </w:p>
        </w:tc>
        <w:tc>
          <w:tcPr>
            <w:tcW w:w="1560" w:type="dxa"/>
            <w:noWrap/>
          </w:tcPr>
          <w:p w14:paraId="7C5BF491" w14:textId="55F89929" w:rsidR="00A40B20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2,008</w:t>
            </w:r>
          </w:p>
        </w:tc>
        <w:tc>
          <w:tcPr>
            <w:tcW w:w="1507" w:type="dxa"/>
            <w:noWrap/>
            <w:vAlign w:val="bottom"/>
          </w:tcPr>
          <w:p w14:paraId="6EC25C07" w14:textId="3D189DA0" w:rsidR="00A40B20" w:rsidRPr="00514EDC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3.</w:t>
            </w:r>
            <w:r>
              <w:rPr>
                <w:rFonts w:ascii="Calibri" w:hAnsi="Calibri" w:cs="Calibri"/>
                <w:sz w:val="20"/>
                <w:szCs w:val="20"/>
              </w:rPr>
              <w:t>6%</w:t>
            </w:r>
          </w:p>
        </w:tc>
      </w:tr>
      <w:tr w:rsidR="00A40B20" w:rsidRPr="00EF46F3" w14:paraId="6614995E" w14:textId="77777777" w:rsidTr="00225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6531E981" w14:textId="7463D3E5" w:rsidR="00A40B20" w:rsidRPr="00EF46F3" w:rsidRDefault="00A40B20" w:rsidP="00A40B20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46D7DF04" w14:textId="34C4F10D" w:rsidR="00A40B20" w:rsidRPr="00514EDC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438" w:type="dxa"/>
            <w:noWrap/>
          </w:tcPr>
          <w:p w14:paraId="62937E88" w14:textId="0260591E" w:rsidR="00A40B20" w:rsidRPr="00514EDC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Injury Benefit</w:t>
            </w:r>
          </w:p>
        </w:tc>
        <w:tc>
          <w:tcPr>
            <w:tcW w:w="1560" w:type="dxa"/>
            <w:noWrap/>
          </w:tcPr>
          <w:p w14:paraId="4F6A1EB1" w14:textId="45477BC3" w:rsidR="00A40B20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801</w:t>
            </w:r>
          </w:p>
        </w:tc>
        <w:tc>
          <w:tcPr>
            <w:tcW w:w="1507" w:type="dxa"/>
            <w:noWrap/>
            <w:vAlign w:val="bottom"/>
          </w:tcPr>
          <w:p w14:paraId="35284CBC" w14:textId="6263B398" w:rsidR="00A40B20" w:rsidRPr="00514EDC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4%</w:t>
            </w:r>
          </w:p>
        </w:tc>
      </w:tr>
      <w:tr w:rsidR="00A40B20" w:rsidRPr="00EF46F3" w14:paraId="1D06C458" w14:textId="77777777" w:rsidTr="002258A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03D0BCDA" w14:textId="25EDB133" w:rsidR="00A40B20" w:rsidRPr="00EF46F3" w:rsidRDefault="00A40B20" w:rsidP="00A40B20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79E998AF" w14:textId="2AB3C958" w:rsidR="00A40B20" w:rsidRPr="00514EDC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438" w:type="dxa"/>
            <w:noWrap/>
          </w:tcPr>
          <w:p w14:paraId="11937933" w14:textId="4E400A50" w:rsidR="00A40B20" w:rsidRPr="00514EDC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Other Payment (Blind Pension/Other)</w:t>
            </w:r>
          </w:p>
        </w:tc>
        <w:tc>
          <w:tcPr>
            <w:tcW w:w="1560" w:type="dxa"/>
            <w:noWrap/>
          </w:tcPr>
          <w:p w14:paraId="619D444F" w14:textId="09D874A2" w:rsidR="00A40B20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643</w:t>
            </w:r>
          </w:p>
        </w:tc>
        <w:tc>
          <w:tcPr>
            <w:tcW w:w="1507" w:type="dxa"/>
            <w:noWrap/>
            <w:vAlign w:val="bottom"/>
          </w:tcPr>
          <w:p w14:paraId="69528009" w14:textId="4FFF2EF6" w:rsidR="00A40B20" w:rsidRPr="00514EDC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1.</w:t>
            </w:r>
            <w:r>
              <w:rPr>
                <w:rFonts w:ascii="Calibri" w:hAnsi="Calibri" w:cs="Calibri"/>
                <w:sz w:val="20"/>
                <w:szCs w:val="20"/>
              </w:rPr>
              <w:t>1%</w:t>
            </w:r>
          </w:p>
        </w:tc>
      </w:tr>
      <w:tr w:rsidR="00A40B20" w:rsidRPr="00EF46F3" w14:paraId="74C5581A" w14:textId="77777777" w:rsidTr="002258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358CE57C" w14:textId="0BB9717B" w:rsidR="00A40B20" w:rsidRPr="00EF46F3" w:rsidRDefault="00A40B20" w:rsidP="00A40B20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794C8F79" w14:textId="6443348D" w:rsidR="00A40B20" w:rsidRPr="00514EDC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438" w:type="dxa"/>
            <w:noWrap/>
          </w:tcPr>
          <w:p w14:paraId="09291576" w14:textId="01440042" w:rsidR="00A40B20" w:rsidRPr="00514EDC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Occupational Injuries Benefit Scheme</w:t>
            </w:r>
          </w:p>
        </w:tc>
        <w:tc>
          <w:tcPr>
            <w:tcW w:w="1560" w:type="dxa"/>
            <w:noWrap/>
          </w:tcPr>
          <w:p w14:paraId="08291721" w14:textId="28CAA132" w:rsidR="00A40B20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582</w:t>
            </w:r>
          </w:p>
        </w:tc>
        <w:tc>
          <w:tcPr>
            <w:tcW w:w="1507" w:type="dxa"/>
            <w:noWrap/>
            <w:vAlign w:val="bottom"/>
          </w:tcPr>
          <w:p w14:paraId="2B68F680" w14:textId="0096BE01" w:rsidR="00A40B20" w:rsidRPr="00514EDC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B90B6E">
              <w:rPr>
                <w:rFonts w:ascii="Calibri" w:hAnsi="Calibri" w:cs="Calibri"/>
                <w:sz w:val="20"/>
                <w:szCs w:val="20"/>
              </w:rPr>
              <w:t>1.0</w:t>
            </w:r>
            <w:r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</w:tr>
      <w:tr w:rsidR="00A40B20" w:rsidRPr="00EF46F3" w14:paraId="2C61397F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7899ED2C" w14:textId="3203EC3E" w:rsidR="00A40B20" w:rsidRPr="00EF46F3" w:rsidRDefault="00A40B20" w:rsidP="00A40B20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</w:tcPr>
          <w:p w14:paraId="442CB48F" w14:textId="5B8AC760" w:rsidR="00A40B20" w:rsidRPr="00514EDC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</w:tcPr>
          <w:p w14:paraId="0217AA4B" w14:textId="760F8816" w:rsidR="00A40B20" w:rsidRPr="00514EDC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</w:tcPr>
          <w:p w14:paraId="60ECB8A4" w14:textId="4CE4A881" w:rsidR="00A40B20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56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055</w:t>
            </w:r>
          </w:p>
        </w:tc>
        <w:tc>
          <w:tcPr>
            <w:tcW w:w="1507" w:type="dxa"/>
            <w:noWrap/>
          </w:tcPr>
          <w:p w14:paraId="74744AA9" w14:textId="7B214815" w:rsidR="00A40B20" w:rsidRPr="00514EDC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A40B20" w:rsidRPr="00EF46F3" w14:paraId="01264721" w14:textId="77777777" w:rsidTr="0091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</w:tcPr>
          <w:p w14:paraId="0C0D9BFF" w14:textId="6F6D22F2" w:rsidR="00A40B20" w:rsidRPr="00514EDC" w:rsidRDefault="00A40B20" w:rsidP="00A40B20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Older and Retired People</w:t>
            </w:r>
          </w:p>
        </w:tc>
      </w:tr>
      <w:tr w:rsidR="00A40B20" w:rsidRPr="00EF46F3" w14:paraId="140C63D0" w14:textId="77777777" w:rsidTr="007D17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4171A016" w14:textId="1FA84DCD" w:rsidR="00A40B20" w:rsidRPr="00EF46F3" w:rsidRDefault="00A40B20" w:rsidP="00A40B20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3F17438C" w14:textId="493302C2" w:rsidR="00A40B20" w:rsidRPr="00514EDC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5438" w:type="dxa"/>
            <w:noWrap/>
          </w:tcPr>
          <w:p w14:paraId="7A872208" w14:textId="44FDB6E0" w:rsidR="00A40B20" w:rsidRPr="00514EDC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State Pension/Contributory</w:t>
            </w:r>
          </w:p>
        </w:tc>
        <w:tc>
          <w:tcPr>
            <w:tcW w:w="1560" w:type="dxa"/>
            <w:noWrap/>
          </w:tcPr>
          <w:p w14:paraId="2D317462" w14:textId="545D8684" w:rsidR="00A40B20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24,975</w:t>
            </w:r>
          </w:p>
        </w:tc>
        <w:tc>
          <w:tcPr>
            <w:tcW w:w="1507" w:type="dxa"/>
            <w:noWrap/>
            <w:vAlign w:val="bottom"/>
          </w:tcPr>
          <w:p w14:paraId="5D4AA798" w14:textId="22FE594F" w:rsidR="00A40B20" w:rsidRPr="00514EDC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sz w:val="20"/>
                <w:szCs w:val="20"/>
              </w:rPr>
              <w:t>8.9%</w:t>
            </w:r>
          </w:p>
        </w:tc>
      </w:tr>
      <w:tr w:rsidR="00A40B20" w:rsidRPr="00EF46F3" w14:paraId="683D404B" w14:textId="77777777" w:rsidTr="007D1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7F4F96AB" w14:textId="16BD6AB9" w:rsidR="00A40B20" w:rsidRPr="00EF46F3" w:rsidRDefault="00A40B20" w:rsidP="00A40B20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2B542C43" w14:textId="12B4FFFF" w:rsidR="00A40B20" w:rsidRPr="00514EDC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5438" w:type="dxa"/>
            <w:noWrap/>
          </w:tcPr>
          <w:p w14:paraId="5732CFD8" w14:textId="44CD9A60" w:rsidR="00A40B20" w:rsidRPr="00514EDC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State Pension/Non-Contributory Pension</w:t>
            </w:r>
          </w:p>
        </w:tc>
        <w:tc>
          <w:tcPr>
            <w:tcW w:w="1560" w:type="dxa"/>
            <w:noWrap/>
          </w:tcPr>
          <w:p w14:paraId="535C7293" w14:textId="1EA82C52" w:rsidR="00A40B20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10,720</w:t>
            </w:r>
          </w:p>
        </w:tc>
        <w:tc>
          <w:tcPr>
            <w:tcW w:w="1507" w:type="dxa"/>
            <w:noWrap/>
            <w:vAlign w:val="bottom"/>
          </w:tcPr>
          <w:p w14:paraId="1CA45AD4" w14:textId="34B8F84B" w:rsidR="00A40B20" w:rsidRPr="00514EDC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2</w:t>
            </w:r>
            <w:r>
              <w:rPr>
                <w:rFonts w:ascii="Calibri" w:hAnsi="Calibri" w:cs="Calibri"/>
                <w:sz w:val="20"/>
                <w:szCs w:val="20"/>
              </w:rPr>
              <w:t>5.3%</w:t>
            </w:r>
          </w:p>
        </w:tc>
      </w:tr>
      <w:tr w:rsidR="00A40B20" w:rsidRPr="00EF46F3" w14:paraId="1A95F118" w14:textId="77777777" w:rsidTr="007D17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705EFB7F" w14:textId="7BB3FCFE" w:rsidR="00A40B20" w:rsidRPr="00EF46F3" w:rsidRDefault="00A40B20" w:rsidP="00A40B20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06E31C5E" w14:textId="371A190F" w:rsidR="00A40B20" w:rsidRPr="00514EDC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5438" w:type="dxa"/>
            <w:noWrap/>
          </w:tcPr>
          <w:p w14:paraId="51C404E9" w14:textId="7F4016AF" w:rsidR="00A40B20" w:rsidRPr="00514EDC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Payment for people who retire at 65</w:t>
            </w:r>
          </w:p>
        </w:tc>
        <w:tc>
          <w:tcPr>
            <w:tcW w:w="1560" w:type="dxa"/>
            <w:noWrap/>
          </w:tcPr>
          <w:p w14:paraId="67FD326A" w14:textId="58B3274B" w:rsidR="00A40B20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2,708</w:t>
            </w:r>
          </w:p>
        </w:tc>
        <w:tc>
          <w:tcPr>
            <w:tcW w:w="1507" w:type="dxa"/>
            <w:noWrap/>
            <w:vAlign w:val="bottom"/>
          </w:tcPr>
          <w:p w14:paraId="7783E931" w14:textId="6BF73B7D" w:rsidR="00A40B20" w:rsidRPr="00514EDC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6.4%</w:t>
            </w:r>
          </w:p>
        </w:tc>
      </w:tr>
      <w:tr w:rsidR="00A40B20" w:rsidRPr="00EF46F3" w14:paraId="3F807641" w14:textId="77777777" w:rsidTr="007D1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6DAB34C8" w14:textId="42FD888C" w:rsidR="00A40B20" w:rsidRPr="00EF46F3" w:rsidRDefault="00A40B20" w:rsidP="00A40B20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5C14D6B7" w14:textId="06B2230C" w:rsidR="00A40B20" w:rsidRPr="00514EDC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5438" w:type="dxa"/>
            <w:noWrap/>
          </w:tcPr>
          <w:p w14:paraId="267E0046" w14:textId="7AF747EA" w:rsidR="00A40B20" w:rsidRPr="00514EDC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Qualified Adults</w:t>
            </w:r>
          </w:p>
        </w:tc>
        <w:tc>
          <w:tcPr>
            <w:tcW w:w="1560" w:type="dxa"/>
            <w:noWrap/>
          </w:tcPr>
          <w:p w14:paraId="4ADD5672" w14:textId="7B8EE3ED" w:rsidR="00A40B20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2,125</w:t>
            </w:r>
          </w:p>
        </w:tc>
        <w:tc>
          <w:tcPr>
            <w:tcW w:w="1507" w:type="dxa"/>
            <w:noWrap/>
            <w:vAlign w:val="bottom"/>
          </w:tcPr>
          <w:p w14:paraId="284A252A" w14:textId="33CAE81F" w:rsidR="00A40B20" w:rsidRPr="00514EDC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5.</w:t>
            </w:r>
            <w:r>
              <w:rPr>
                <w:rFonts w:ascii="Calibri" w:hAnsi="Calibri" w:cs="Calibri"/>
                <w:sz w:val="20"/>
                <w:szCs w:val="20"/>
              </w:rPr>
              <w:t>0%</w:t>
            </w:r>
          </w:p>
        </w:tc>
      </w:tr>
    </w:tbl>
    <w:p w14:paraId="220CCB28" w14:textId="0DED8F06" w:rsidR="009359C4" w:rsidRPr="009359C4" w:rsidRDefault="009359C4" w:rsidP="009359C4">
      <w:pPr>
        <w:rPr>
          <w:sz w:val="17"/>
          <w:szCs w:val="17"/>
        </w:rPr>
      </w:pPr>
      <w:r>
        <w:rPr>
          <w:sz w:val="18"/>
          <w:szCs w:val="18"/>
        </w:rPr>
        <w:t>*</w:t>
      </w:r>
      <w:r w:rsidRPr="009359C4">
        <w:rPr>
          <w:sz w:val="17"/>
          <w:szCs w:val="17"/>
        </w:rPr>
        <w:t xml:space="preserve">Query sub-categories are presented in </w:t>
      </w:r>
      <w:r w:rsidR="00F12851">
        <w:rPr>
          <w:sz w:val="17"/>
          <w:szCs w:val="17"/>
        </w:rPr>
        <w:t>individual payment/scheme</w:t>
      </w:r>
      <w:r w:rsidRPr="009359C4">
        <w:rPr>
          <w:sz w:val="17"/>
          <w:szCs w:val="17"/>
        </w:rPr>
        <w:t xml:space="preserve"> categories, as recorded by CISs. The percentages in the right-hand column represent the percentage of queries for that data sub-category i.e., the Fuel Allowance percentage represents the queries recorded as a percentage of the Extra Social Welfare Benefits sub-category.</w:t>
      </w:r>
      <w:r w:rsidR="00F12851">
        <w:rPr>
          <w:sz w:val="17"/>
          <w:szCs w:val="17"/>
        </w:rPr>
        <w:t xml:space="preserve"> In some </w:t>
      </w:r>
      <w:r w:rsidR="002603CE">
        <w:rPr>
          <w:sz w:val="17"/>
          <w:szCs w:val="17"/>
        </w:rPr>
        <w:t>instances,</w:t>
      </w:r>
      <w:r w:rsidR="00F12851">
        <w:rPr>
          <w:sz w:val="17"/>
          <w:szCs w:val="17"/>
        </w:rPr>
        <w:t xml:space="preserve"> </w:t>
      </w:r>
      <w:r w:rsidR="00C6352A">
        <w:rPr>
          <w:sz w:val="17"/>
          <w:szCs w:val="17"/>
        </w:rPr>
        <w:t xml:space="preserve">where </w:t>
      </w:r>
      <w:r w:rsidR="00F12851">
        <w:rPr>
          <w:sz w:val="17"/>
          <w:szCs w:val="17"/>
        </w:rPr>
        <w:t xml:space="preserve">there </w:t>
      </w:r>
      <w:r w:rsidR="00DF6B46">
        <w:rPr>
          <w:sz w:val="17"/>
          <w:szCs w:val="17"/>
        </w:rPr>
        <w:t>are</w:t>
      </w:r>
      <w:r w:rsidR="00F12851">
        <w:rPr>
          <w:sz w:val="17"/>
          <w:szCs w:val="17"/>
        </w:rPr>
        <w:t xml:space="preserve"> no third level categories, the percentages are expressed as a % of the high level category.</w:t>
      </w:r>
    </w:p>
    <w:tbl>
      <w:tblPr>
        <w:tblStyle w:val="GridTable5Dark-Accent6"/>
        <w:tblW w:w="13835" w:type="dxa"/>
        <w:tblLook w:val="04A0" w:firstRow="1" w:lastRow="0" w:firstColumn="1" w:lastColumn="0" w:noHBand="0" w:noVBand="1"/>
        <w:tblCaption w:val="Table 3  Social Welfare Queries 2021"/>
        <w:tblDescription w:val="This table shows the data for the Social Welfare query sub-categories recorded by CISs during 2021."/>
      </w:tblPr>
      <w:tblGrid>
        <w:gridCol w:w="1555"/>
        <w:gridCol w:w="3775"/>
        <w:gridCol w:w="5438"/>
        <w:gridCol w:w="1560"/>
        <w:gridCol w:w="1507"/>
      </w:tblGrid>
      <w:tr w:rsidR="008B0F76" w:rsidRPr="00EF46F3" w14:paraId="0BF78B5A" w14:textId="77777777" w:rsidTr="007D1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0307B3B6" w14:textId="25F18704" w:rsidR="008B0F76" w:rsidRPr="00EF46F3" w:rsidRDefault="008B0F76" w:rsidP="008B0F76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3775" w:type="dxa"/>
            <w:noWrap/>
          </w:tcPr>
          <w:p w14:paraId="5985EDEF" w14:textId="3DD565A4" w:rsidR="008B0F76" w:rsidRPr="00EF46F3" w:rsidRDefault="008B0F76" w:rsidP="008B0F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9359C4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5438" w:type="dxa"/>
            <w:noWrap/>
          </w:tcPr>
          <w:p w14:paraId="0205D919" w14:textId="3EA91F77" w:rsidR="008B0F76" w:rsidRPr="00514EDC" w:rsidRDefault="008B0F76" w:rsidP="008B0F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0"/>
                <w:szCs w:val="20"/>
              </w:rPr>
            </w:pPr>
            <w:r w:rsidRPr="009359C4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UK Pensions/Brexit</w:t>
            </w:r>
          </w:p>
        </w:tc>
        <w:tc>
          <w:tcPr>
            <w:tcW w:w="1560" w:type="dxa"/>
            <w:noWrap/>
          </w:tcPr>
          <w:p w14:paraId="35665472" w14:textId="7928FEBB" w:rsidR="008B0F76" w:rsidRDefault="008B0F76" w:rsidP="008B0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359C4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1,301</w:t>
            </w:r>
          </w:p>
        </w:tc>
        <w:tc>
          <w:tcPr>
            <w:tcW w:w="1507" w:type="dxa"/>
            <w:noWrap/>
            <w:vAlign w:val="bottom"/>
          </w:tcPr>
          <w:p w14:paraId="31C27461" w14:textId="34C1385B" w:rsidR="008B0F76" w:rsidRDefault="008B0F76" w:rsidP="008B0F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9359C4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3.1%</w:t>
            </w:r>
          </w:p>
        </w:tc>
      </w:tr>
      <w:tr w:rsidR="00A40B20" w:rsidRPr="00EF46F3" w14:paraId="6BE6CF29" w14:textId="77777777" w:rsidTr="007D1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00A6DB5C" w14:textId="0B9E1614" w:rsidR="00A40B20" w:rsidRPr="00EF46F3" w:rsidRDefault="00847483" w:rsidP="00A40B20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1C3A09CD" w14:textId="5C87169C" w:rsidR="00A40B20" w:rsidRPr="00514EDC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5438" w:type="dxa"/>
            <w:noWrap/>
          </w:tcPr>
          <w:p w14:paraId="7996CBD8" w14:textId="457B3E21" w:rsidR="00A40B20" w:rsidRPr="00514EDC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EU/International Pensions</w:t>
            </w:r>
          </w:p>
        </w:tc>
        <w:tc>
          <w:tcPr>
            <w:tcW w:w="1560" w:type="dxa"/>
            <w:noWrap/>
          </w:tcPr>
          <w:p w14:paraId="29172906" w14:textId="240B6190" w:rsidR="00A40B20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601</w:t>
            </w:r>
          </w:p>
        </w:tc>
        <w:tc>
          <w:tcPr>
            <w:tcW w:w="1507" w:type="dxa"/>
            <w:noWrap/>
            <w:vAlign w:val="bottom"/>
          </w:tcPr>
          <w:p w14:paraId="788D9DAC" w14:textId="63AAA887" w:rsidR="00A40B20" w:rsidRPr="00514EDC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1.4%</w:t>
            </w:r>
          </w:p>
        </w:tc>
      </w:tr>
      <w:tr w:rsidR="00A40B20" w:rsidRPr="00EF46F3" w14:paraId="6E72BB0A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0D9BE6B9" w14:textId="77777777" w:rsidR="00A40B20" w:rsidRPr="00EF46F3" w:rsidRDefault="00A40B20" w:rsidP="00A40B20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3775" w:type="dxa"/>
            <w:noWrap/>
          </w:tcPr>
          <w:p w14:paraId="30EF0F4A" w14:textId="25102D5E" w:rsidR="00A40B20" w:rsidRPr="00514EDC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</w:tcPr>
          <w:p w14:paraId="5E2A59AE" w14:textId="78A93F52" w:rsidR="00A40B20" w:rsidRPr="00514EDC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</w:tcPr>
          <w:p w14:paraId="19BF5336" w14:textId="0FEF1445" w:rsidR="00A40B20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42,430</w:t>
            </w:r>
          </w:p>
        </w:tc>
        <w:tc>
          <w:tcPr>
            <w:tcW w:w="1507" w:type="dxa"/>
            <w:noWrap/>
          </w:tcPr>
          <w:p w14:paraId="5BE800C7" w14:textId="61E948B2" w:rsidR="00A40B20" w:rsidRPr="00514EDC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A40B20" w:rsidRPr="00EF46F3" w14:paraId="774D5F98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755920D4" w14:textId="77777777" w:rsidR="00A40B20" w:rsidRPr="00EF46F3" w:rsidRDefault="00A40B20" w:rsidP="00A40B2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Families and Children</w:t>
            </w:r>
          </w:p>
        </w:tc>
      </w:tr>
      <w:tr w:rsidR="00A40B20" w:rsidRPr="00EF46F3" w14:paraId="53D6B097" w14:textId="77777777" w:rsidTr="00431E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E5950B6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737A581D" w14:textId="77777777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3793566F" w14:textId="4338FB02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Working Family Payment (WFP) formerly FIS</w:t>
            </w:r>
          </w:p>
        </w:tc>
        <w:tc>
          <w:tcPr>
            <w:tcW w:w="1560" w:type="dxa"/>
            <w:noWrap/>
            <w:hideMark/>
          </w:tcPr>
          <w:p w14:paraId="2A67AA94" w14:textId="38988C8C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13,264</w:t>
            </w:r>
          </w:p>
        </w:tc>
        <w:tc>
          <w:tcPr>
            <w:tcW w:w="1507" w:type="dxa"/>
            <w:noWrap/>
            <w:vAlign w:val="bottom"/>
            <w:hideMark/>
          </w:tcPr>
          <w:p w14:paraId="6607C9D4" w14:textId="5E7BAF78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3</w:t>
            </w:r>
            <w:r>
              <w:rPr>
                <w:rFonts w:ascii="Calibri" w:hAnsi="Calibri" w:cs="Calibri"/>
                <w:sz w:val="20"/>
                <w:szCs w:val="20"/>
              </w:rPr>
              <w:t>1.9%</w:t>
            </w:r>
          </w:p>
        </w:tc>
      </w:tr>
      <w:tr w:rsidR="00A40B20" w:rsidRPr="00EF46F3" w14:paraId="24C5E318" w14:textId="77777777" w:rsidTr="00431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E41843E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27B343C" w14:textId="7777777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2B8FC96D" w14:textId="1B12C6EB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One Parent Family Payment (OFP)</w:t>
            </w:r>
          </w:p>
        </w:tc>
        <w:tc>
          <w:tcPr>
            <w:tcW w:w="1560" w:type="dxa"/>
            <w:noWrap/>
            <w:hideMark/>
          </w:tcPr>
          <w:p w14:paraId="462F1617" w14:textId="7E287EEA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8,191</w:t>
            </w:r>
          </w:p>
        </w:tc>
        <w:tc>
          <w:tcPr>
            <w:tcW w:w="1507" w:type="dxa"/>
            <w:noWrap/>
            <w:vAlign w:val="bottom"/>
            <w:hideMark/>
          </w:tcPr>
          <w:p w14:paraId="176F52BD" w14:textId="1A77C1AB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9.7%</w:t>
            </w:r>
          </w:p>
        </w:tc>
      </w:tr>
      <w:tr w:rsidR="00A40B20" w:rsidRPr="00EF46F3" w14:paraId="25F1B2BE" w14:textId="77777777" w:rsidTr="00431E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6A5DFAB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48275B1" w14:textId="77777777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0BE9E796" w14:textId="5BD0CDA1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Child Benefit</w:t>
            </w:r>
          </w:p>
        </w:tc>
        <w:tc>
          <w:tcPr>
            <w:tcW w:w="1560" w:type="dxa"/>
            <w:noWrap/>
            <w:hideMark/>
          </w:tcPr>
          <w:p w14:paraId="276628A1" w14:textId="0FDCC73B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5,587</w:t>
            </w:r>
          </w:p>
        </w:tc>
        <w:tc>
          <w:tcPr>
            <w:tcW w:w="1507" w:type="dxa"/>
            <w:noWrap/>
            <w:vAlign w:val="bottom"/>
            <w:hideMark/>
          </w:tcPr>
          <w:p w14:paraId="153178BD" w14:textId="0635E279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3.5%</w:t>
            </w:r>
          </w:p>
        </w:tc>
      </w:tr>
      <w:tr w:rsidR="00A40B20" w:rsidRPr="00EF46F3" w14:paraId="74615423" w14:textId="77777777" w:rsidTr="00431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462F2D2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30A4D4A" w14:textId="7777777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5D43D20B" w14:textId="51DA672E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Maternity/ Adoptive Benefit</w:t>
            </w:r>
          </w:p>
        </w:tc>
        <w:tc>
          <w:tcPr>
            <w:tcW w:w="1560" w:type="dxa"/>
            <w:noWrap/>
            <w:hideMark/>
          </w:tcPr>
          <w:p w14:paraId="0DDDD8C0" w14:textId="23D3DF81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3,308</w:t>
            </w:r>
          </w:p>
        </w:tc>
        <w:tc>
          <w:tcPr>
            <w:tcW w:w="1507" w:type="dxa"/>
            <w:noWrap/>
            <w:vAlign w:val="bottom"/>
            <w:hideMark/>
          </w:tcPr>
          <w:p w14:paraId="12D0EEAE" w14:textId="3D3E6DC0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8.0%</w:t>
            </w:r>
          </w:p>
        </w:tc>
      </w:tr>
      <w:tr w:rsidR="00A40B20" w:rsidRPr="00EF46F3" w14:paraId="5510BD25" w14:textId="77777777" w:rsidTr="00431E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4E5B521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0B629AEB" w14:textId="77777777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60DDDA5F" w14:textId="27783D99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Back to School Clothing &amp; Footwear Allowance (BTSCFA)</w:t>
            </w:r>
          </w:p>
        </w:tc>
        <w:tc>
          <w:tcPr>
            <w:tcW w:w="1560" w:type="dxa"/>
            <w:noWrap/>
            <w:hideMark/>
          </w:tcPr>
          <w:p w14:paraId="3A0F66C6" w14:textId="252077D2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3,257</w:t>
            </w:r>
          </w:p>
        </w:tc>
        <w:tc>
          <w:tcPr>
            <w:tcW w:w="1507" w:type="dxa"/>
            <w:noWrap/>
            <w:vAlign w:val="bottom"/>
            <w:hideMark/>
          </w:tcPr>
          <w:p w14:paraId="7BE681DC" w14:textId="00545F72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7.8%</w:t>
            </w:r>
          </w:p>
        </w:tc>
      </w:tr>
      <w:tr w:rsidR="00A40B20" w:rsidRPr="00EF46F3" w14:paraId="56508A41" w14:textId="77777777" w:rsidTr="00431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E3527C1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584305DB" w14:textId="7777777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1E448E62" w14:textId="4E73F71B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Increase for a Qualified Adult (IQA)</w:t>
            </w:r>
          </w:p>
        </w:tc>
        <w:tc>
          <w:tcPr>
            <w:tcW w:w="1560" w:type="dxa"/>
            <w:noWrap/>
            <w:hideMark/>
          </w:tcPr>
          <w:p w14:paraId="471707B0" w14:textId="75626026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2,595</w:t>
            </w:r>
          </w:p>
        </w:tc>
        <w:tc>
          <w:tcPr>
            <w:tcW w:w="1507" w:type="dxa"/>
            <w:noWrap/>
            <w:vAlign w:val="bottom"/>
            <w:hideMark/>
          </w:tcPr>
          <w:p w14:paraId="598ECCB8" w14:textId="4DACB0E8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6.</w:t>
            </w:r>
            <w:r>
              <w:rPr>
                <w:rFonts w:ascii="Calibri" w:hAnsi="Calibri" w:cs="Calibri"/>
                <w:sz w:val="20"/>
                <w:szCs w:val="20"/>
              </w:rPr>
              <w:t>2%</w:t>
            </w:r>
          </w:p>
        </w:tc>
      </w:tr>
      <w:tr w:rsidR="00A40B20" w:rsidRPr="00EF46F3" w14:paraId="20AF312C" w14:textId="77777777" w:rsidTr="00431E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AD4D087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0150C0FC" w14:textId="77777777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1208336E" w14:textId="59A5526C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Increase for a Qualified Child (IQC)</w:t>
            </w:r>
          </w:p>
        </w:tc>
        <w:tc>
          <w:tcPr>
            <w:tcW w:w="1560" w:type="dxa"/>
            <w:noWrap/>
            <w:hideMark/>
          </w:tcPr>
          <w:p w14:paraId="5FA9B90F" w14:textId="21BD4FEC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1,704</w:t>
            </w:r>
          </w:p>
        </w:tc>
        <w:tc>
          <w:tcPr>
            <w:tcW w:w="1507" w:type="dxa"/>
            <w:noWrap/>
            <w:vAlign w:val="bottom"/>
            <w:hideMark/>
          </w:tcPr>
          <w:p w14:paraId="0D2D5F56" w14:textId="2AAF2FBB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4.</w:t>
            </w:r>
            <w:r>
              <w:rPr>
                <w:rFonts w:ascii="Calibri" w:hAnsi="Calibri" w:cs="Calibri"/>
                <w:sz w:val="20"/>
                <w:szCs w:val="20"/>
              </w:rPr>
              <w:t>1%</w:t>
            </w:r>
          </w:p>
        </w:tc>
      </w:tr>
      <w:tr w:rsidR="00A40B20" w:rsidRPr="00EF46F3" w14:paraId="21619BF8" w14:textId="77777777" w:rsidTr="00431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BFE3109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1AC0E1E" w14:textId="7777777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20A68BD0" w14:textId="6F32231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Parent's Benefit</w:t>
            </w:r>
          </w:p>
        </w:tc>
        <w:tc>
          <w:tcPr>
            <w:tcW w:w="1560" w:type="dxa"/>
            <w:noWrap/>
            <w:hideMark/>
          </w:tcPr>
          <w:p w14:paraId="304E6828" w14:textId="52C19DDD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1,656</w:t>
            </w:r>
          </w:p>
        </w:tc>
        <w:tc>
          <w:tcPr>
            <w:tcW w:w="1507" w:type="dxa"/>
            <w:noWrap/>
            <w:vAlign w:val="bottom"/>
            <w:hideMark/>
          </w:tcPr>
          <w:p w14:paraId="4AFE85D8" w14:textId="27F12F1C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4.0%</w:t>
            </w:r>
          </w:p>
        </w:tc>
      </w:tr>
      <w:tr w:rsidR="00A40B20" w:rsidRPr="00EF46F3" w14:paraId="2F23876C" w14:textId="77777777" w:rsidTr="00431E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8A92D2B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4D36ADAD" w14:textId="77777777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45B1A4A2" w14:textId="72EFA097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Paternity Benefit</w:t>
            </w:r>
          </w:p>
        </w:tc>
        <w:tc>
          <w:tcPr>
            <w:tcW w:w="1560" w:type="dxa"/>
            <w:noWrap/>
            <w:hideMark/>
          </w:tcPr>
          <w:p w14:paraId="4B05AC13" w14:textId="68D1FCC7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872</w:t>
            </w:r>
          </w:p>
        </w:tc>
        <w:tc>
          <w:tcPr>
            <w:tcW w:w="1507" w:type="dxa"/>
            <w:noWrap/>
            <w:vAlign w:val="bottom"/>
            <w:hideMark/>
          </w:tcPr>
          <w:p w14:paraId="33A72AD9" w14:textId="4754FA82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2.1%</w:t>
            </w:r>
          </w:p>
        </w:tc>
      </w:tr>
      <w:tr w:rsidR="00A40B20" w:rsidRPr="00EF46F3" w14:paraId="23F9CE44" w14:textId="77777777" w:rsidTr="00431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10F03BE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80F4AC5" w14:textId="7777777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3DB42AA1" w14:textId="050D1BFE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Back to Work Family Dividend</w:t>
            </w:r>
          </w:p>
        </w:tc>
        <w:tc>
          <w:tcPr>
            <w:tcW w:w="1560" w:type="dxa"/>
            <w:noWrap/>
            <w:hideMark/>
          </w:tcPr>
          <w:p w14:paraId="43D4373B" w14:textId="5ADB41CC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790</w:t>
            </w:r>
          </w:p>
        </w:tc>
        <w:tc>
          <w:tcPr>
            <w:tcW w:w="1507" w:type="dxa"/>
            <w:noWrap/>
            <w:vAlign w:val="bottom"/>
            <w:hideMark/>
          </w:tcPr>
          <w:p w14:paraId="3F57BCFB" w14:textId="649EED96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1.9%</w:t>
            </w:r>
          </w:p>
        </w:tc>
      </w:tr>
      <w:tr w:rsidR="00A40B20" w:rsidRPr="00EF46F3" w14:paraId="55F28B00" w14:textId="77777777" w:rsidTr="00431E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16ABB74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6A6262F" w14:textId="77777777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1F13B922" w14:textId="63A8A82E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Health and Safety Benefit</w:t>
            </w:r>
          </w:p>
        </w:tc>
        <w:tc>
          <w:tcPr>
            <w:tcW w:w="1560" w:type="dxa"/>
            <w:noWrap/>
            <w:hideMark/>
          </w:tcPr>
          <w:p w14:paraId="52B221F2" w14:textId="213E1578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183</w:t>
            </w:r>
          </w:p>
        </w:tc>
        <w:tc>
          <w:tcPr>
            <w:tcW w:w="1507" w:type="dxa"/>
            <w:noWrap/>
            <w:vAlign w:val="bottom"/>
            <w:hideMark/>
          </w:tcPr>
          <w:p w14:paraId="16CD1D87" w14:textId="7E96A8EC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0.</w:t>
            </w:r>
            <w:r>
              <w:rPr>
                <w:rFonts w:ascii="Calibri" w:hAnsi="Calibri" w:cs="Calibri"/>
                <w:sz w:val="20"/>
                <w:szCs w:val="20"/>
              </w:rPr>
              <w:t>4%</w:t>
            </w:r>
          </w:p>
        </w:tc>
      </w:tr>
      <w:tr w:rsidR="00A40B20" w:rsidRPr="00EF46F3" w14:paraId="26C8EC65" w14:textId="77777777" w:rsidTr="00431E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4CB595D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183020E0" w14:textId="7777777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0969EDEC" w14:textId="218EC698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Deserted Wife's Benefit</w:t>
            </w:r>
          </w:p>
        </w:tc>
        <w:tc>
          <w:tcPr>
            <w:tcW w:w="1560" w:type="dxa"/>
            <w:noWrap/>
            <w:hideMark/>
          </w:tcPr>
          <w:p w14:paraId="3FD92138" w14:textId="1D2F570F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1507" w:type="dxa"/>
            <w:noWrap/>
            <w:vAlign w:val="bottom"/>
            <w:hideMark/>
          </w:tcPr>
          <w:p w14:paraId="07DC3AD0" w14:textId="0B4C9533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0.</w:t>
            </w:r>
            <w:r>
              <w:rPr>
                <w:rFonts w:ascii="Calibri" w:hAnsi="Calibri" w:cs="Calibri"/>
                <w:sz w:val="20"/>
                <w:szCs w:val="20"/>
              </w:rPr>
              <w:t>2%</w:t>
            </w:r>
          </w:p>
        </w:tc>
      </w:tr>
      <w:tr w:rsidR="00A40B20" w:rsidRPr="00EF46F3" w14:paraId="7905DC4B" w14:textId="77777777" w:rsidTr="00431E4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521A654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76F68A80" w14:textId="77777777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6B2C5439" w14:textId="0B8322F4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hAnsi="Calibri" w:cs="Calibri"/>
                <w:b/>
                <w:bCs/>
                <w:sz w:val="20"/>
                <w:szCs w:val="20"/>
              </w:rPr>
              <w:t>Deserted Wife's Allowance</w:t>
            </w:r>
          </w:p>
        </w:tc>
        <w:tc>
          <w:tcPr>
            <w:tcW w:w="1560" w:type="dxa"/>
            <w:noWrap/>
            <w:hideMark/>
          </w:tcPr>
          <w:p w14:paraId="1EA7F523" w14:textId="3C2B9B6A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1507" w:type="dxa"/>
            <w:noWrap/>
            <w:vAlign w:val="bottom"/>
            <w:hideMark/>
          </w:tcPr>
          <w:p w14:paraId="2C73FEE2" w14:textId="3D3319A3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8B3F88">
              <w:rPr>
                <w:rFonts w:ascii="Calibri" w:hAnsi="Calibri" w:cs="Calibri"/>
                <w:sz w:val="20"/>
                <w:szCs w:val="20"/>
              </w:rPr>
              <w:t>0.</w:t>
            </w:r>
            <w:r>
              <w:rPr>
                <w:rFonts w:ascii="Calibri" w:hAnsi="Calibri" w:cs="Calibri"/>
                <w:sz w:val="20"/>
                <w:szCs w:val="20"/>
              </w:rPr>
              <w:t>1%</w:t>
            </w:r>
          </w:p>
        </w:tc>
      </w:tr>
      <w:tr w:rsidR="00A40B20" w:rsidRPr="00EF46F3" w14:paraId="0079C715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0E1324A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0A532344" w14:textId="7777777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327CAE36" w14:textId="6B5E63C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74342488" w14:textId="2D8E6493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41,524</w:t>
            </w:r>
          </w:p>
        </w:tc>
        <w:tc>
          <w:tcPr>
            <w:tcW w:w="1507" w:type="dxa"/>
            <w:noWrap/>
            <w:hideMark/>
          </w:tcPr>
          <w:p w14:paraId="0F6A6A39" w14:textId="2430040D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14ED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100%</w:t>
            </w:r>
          </w:p>
        </w:tc>
      </w:tr>
      <w:tr w:rsidR="00A40B20" w:rsidRPr="00EF46F3" w14:paraId="07AE32B9" w14:textId="77777777" w:rsidTr="00864F18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5AD710D9" w14:textId="21A640CB" w:rsidR="00A40B20" w:rsidRPr="00EF46F3" w:rsidRDefault="00A40B20" w:rsidP="00A40B2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Carers</w:t>
            </w:r>
          </w:p>
        </w:tc>
      </w:tr>
      <w:tr w:rsidR="00A40B20" w:rsidRPr="00EF46F3" w14:paraId="7C9BDC11" w14:textId="77777777" w:rsidTr="00995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0DC92A3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68F2503A" w14:textId="59DDC205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5438" w:type="dxa"/>
            <w:noWrap/>
          </w:tcPr>
          <w:p w14:paraId="32FCB92E" w14:textId="2B691E86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Carer's Allowance</w:t>
            </w:r>
          </w:p>
        </w:tc>
        <w:tc>
          <w:tcPr>
            <w:tcW w:w="1560" w:type="dxa"/>
            <w:noWrap/>
          </w:tcPr>
          <w:p w14:paraId="2458FA12" w14:textId="7AC4B2F3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5,241</w:t>
            </w:r>
          </w:p>
        </w:tc>
        <w:tc>
          <w:tcPr>
            <w:tcW w:w="1507" w:type="dxa"/>
            <w:noWrap/>
          </w:tcPr>
          <w:p w14:paraId="047E4EA6" w14:textId="6711FDED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4.0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A40B20" w:rsidRPr="00EF46F3" w14:paraId="2323D451" w14:textId="77777777" w:rsidTr="009954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2566700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47BA10FD" w14:textId="38474B6F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5438" w:type="dxa"/>
            <w:noWrap/>
          </w:tcPr>
          <w:p w14:paraId="482A9746" w14:textId="2225AF1A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Carer's Benefit</w:t>
            </w:r>
          </w:p>
        </w:tc>
        <w:tc>
          <w:tcPr>
            <w:tcW w:w="1560" w:type="dxa"/>
            <w:noWrap/>
          </w:tcPr>
          <w:p w14:paraId="24FA2F59" w14:textId="1ABB40C1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,319</w:t>
            </w:r>
          </w:p>
        </w:tc>
        <w:tc>
          <w:tcPr>
            <w:tcW w:w="1507" w:type="dxa"/>
            <w:noWrap/>
          </w:tcPr>
          <w:p w14:paraId="2CF737C9" w14:textId="603CC430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="0084748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1.0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A40B20" w:rsidRPr="00EF46F3" w14:paraId="68AA5785" w14:textId="77777777" w:rsidTr="00995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094E70B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5B704CA3" w14:textId="23C242C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5438" w:type="dxa"/>
            <w:noWrap/>
          </w:tcPr>
          <w:p w14:paraId="7E38F987" w14:textId="6E888F93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Domiciliary Care Allowance (DCA)</w:t>
            </w:r>
          </w:p>
        </w:tc>
        <w:tc>
          <w:tcPr>
            <w:tcW w:w="1560" w:type="dxa"/>
            <w:noWrap/>
          </w:tcPr>
          <w:p w14:paraId="6AC9BAF5" w14:textId="07F8FEF4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4,166</w:t>
            </w:r>
          </w:p>
        </w:tc>
        <w:tc>
          <w:tcPr>
            <w:tcW w:w="1507" w:type="dxa"/>
            <w:noWrap/>
          </w:tcPr>
          <w:p w14:paraId="58164037" w14:textId="7659968D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10.6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A40B20" w:rsidRPr="00EF46F3" w14:paraId="57973B22" w14:textId="77777777" w:rsidTr="009954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9EC657A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2CFDE332" w14:textId="65F19D1A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5438" w:type="dxa"/>
            <w:noWrap/>
          </w:tcPr>
          <w:p w14:paraId="2301C1E5" w14:textId="0124CE48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Carer's Support Grant (Respite Care Grant)</w:t>
            </w:r>
          </w:p>
        </w:tc>
        <w:tc>
          <w:tcPr>
            <w:tcW w:w="1560" w:type="dxa"/>
            <w:noWrap/>
          </w:tcPr>
          <w:p w14:paraId="157821AC" w14:textId="7C0A5FD8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4,033</w:t>
            </w:r>
          </w:p>
        </w:tc>
        <w:tc>
          <w:tcPr>
            <w:tcW w:w="1507" w:type="dxa"/>
            <w:noWrap/>
          </w:tcPr>
          <w:p w14:paraId="3CB06ECB" w14:textId="350BCA72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A40B20" w:rsidRPr="00EF46F3" w14:paraId="347338F8" w14:textId="77777777" w:rsidTr="00995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FC47BF0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0FD3984E" w14:textId="206248DD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5438" w:type="dxa"/>
            <w:noWrap/>
          </w:tcPr>
          <w:p w14:paraId="4386B450" w14:textId="75920AC4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Half-rate Carer's Allowance</w:t>
            </w:r>
          </w:p>
        </w:tc>
        <w:tc>
          <w:tcPr>
            <w:tcW w:w="1560" w:type="dxa"/>
            <w:noWrap/>
          </w:tcPr>
          <w:p w14:paraId="21C041F2" w14:textId="7EB40227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1,668</w:t>
            </w:r>
          </w:p>
        </w:tc>
        <w:tc>
          <w:tcPr>
            <w:tcW w:w="1507" w:type="dxa"/>
            <w:noWrap/>
          </w:tcPr>
          <w:p w14:paraId="67AEB56E" w14:textId="57D5911E" w:rsidR="00A40B20" w:rsidRPr="00EF46F3" w:rsidRDefault="00847483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4.2</w:t>
            </w:r>
            <w:r w:rsidR="00A40B20"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A40B20" w:rsidRPr="00EF46F3" w14:paraId="3F0E18B3" w14:textId="77777777" w:rsidTr="0099546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35D4D2C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6D666AF9" w14:textId="198E7263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</w:tcPr>
          <w:p w14:paraId="0D22B212" w14:textId="08C6EE6D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</w:tcPr>
          <w:p w14:paraId="07160754" w14:textId="52B57063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9,427</w:t>
            </w:r>
          </w:p>
        </w:tc>
        <w:tc>
          <w:tcPr>
            <w:tcW w:w="1507" w:type="dxa"/>
            <w:noWrap/>
          </w:tcPr>
          <w:p w14:paraId="7323CA20" w14:textId="15A566ED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A40B20" w:rsidRPr="00EF46F3" w14:paraId="6F5106B3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3A191540" w14:textId="77777777" w:rsidR="00A40B20" w:rsidRPr="00EF46F3" w:rsidRDefault="00A40B20" w:rsidP="00A40B2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Unemployed People</w:t>
            </w:r>
          </w:p>
        </w:tc>
      </w:tr>
      <w:tr w:rsidR="00A40B20" w:rsidRPr="00EF46F3" w14:paraId="1C5313C2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27AE1B0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0F30DCB4" w14:textId="77777777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5438" w:type="dxa"/>
            <w:noWrap/>
            <w:hideMark/>
          </w:tcPr>
          <w:p w14:paraId="608FAEF8" w14:textId="77777777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Jobseeker's Allowance</w:t>
            </w:r>
          </w:p>
        </w:tc>
        <w:tc>
          <w:tcPr>
            <w:tcW w:w="1560" w:type="dxa"/>
            <w:noWrap/>
            <w:hideMark/>
          </w:tcPr>
          <w:p w14:paraId="0338482C" w14:textId="3FE30E0D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16,118</w:t>
            </w:r>
          </w:p>
        </w:tc>
        <w:tc>
          <w:tcPr>
            <w:tcW w:w="1507" w:type="dxa"/>
            <w:noWrap/>
            <w:hideMark/>
          </w:tcPr>
          <w:p w14:paraId="21357EED" w14:textId="4227F7EB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53.2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A40B20" w:rsidRPr="00EF46F3" w14:paraId="503B0F7D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A29B2CC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CBD1439" w14:textId="7777777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5438" w:type="dxa"/>
            <w:noWrap/>
            <w:hideMark/>
          </w:tcPr>
          <w:p w14:paraId="2CBDBFED" w14:textId="7777777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Jobseeker's Benefit</w:t>
            </w:r>
          </w:p>
        </w:tc>
        <w:tc>
          <w:tcPr>
            <w:tcW w:w="1560" w:type="dxa"/>
            <w:noWrap/>
            <w:hideMark/>
          </w:tcPr>
          <w:p w14:paraId="0678AC43" w14:textId="6574AADA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9,441</w:t>
            </w:r>
          </w:p>
        </w:tc>
        <w:tc>
          <w:tcPr>
            <w:tcW w:w="1507" w:type="dxa"/>
            <w:noWrap/>
            <w:hideMark/>
          </w:tcPr>
          <w:p w14:paraId="5E752C8D" w14:textId="3F2B2365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1.1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A40B20" w:rsidRPr="00EF46F3" w14:paraId="1E9BAEF2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4CE0854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F2230CA" w14:textId="77777777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5438" w:type="dxa"/>
            <w:noWrap/>
            <w:hideMark/>
          </w:tcPr>
          <w:p w14:paraId="0DB6B105" w14:textId="77777777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 Payments and Work</w:t>
            </w:r>
          </w:p>
        </w:tc>
        <w:tc>
          <w:tcPr>
            <w:tcW w:w="1560" w:type="dxa"/>
            <w:noWrap/>
            <w:hideMark/>
          </w:tcPr>
          <w:p w14:paraId="34B1B534" w14:textId="59E5E6EE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2,475</w:t>
            </w:r>
          </w:p>
        </w:tc>
        <w:tc>
          <w:tcPr>
            <w:tcW w:w="1507" w:type="dxa"/>
            <w:noWrap/>
            <w:hideMark/>
          </w:tcPr>
          <w:p w14:paraId="2081620F" w14:textId="2A5B1B87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8.2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A40B20" w:rsidRPr="00EF46F3" w14:paraId="65722183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593370E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0BB3F652" w14:textId="7777777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5438" w:type="dxa"/>
            <w:noWrap/>
            <w:hideMark/>
          </w:tcPr>
          <w:p w14:paraId="11FD604A" w14:textId="7777777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Jobseeker's Transitional Payment</w:t>
            </w:r>
          </w:p>
        </w:tc>
        <w:tc>
          <w:tcPr>
            <w:tcW w:w="1560" w:type="dxa"/>
            <w:noWrap/>
            <w:hideMark/>
          </w:tcPr>
          <w:p w14:paraId="4063A8B6" w14:textId="6A3D53F6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,991</w:t>
            </w:r>
          </w:p>
        </w:tc>
        <w:tc>
          <w:tcPr>
            <w:tcW w:w="1507" w:type="dxa"/>
            <w:noWrap/>
            <w:hideMark/>
          </w:tcPr>
          <w:p w14:paraId="4A4C1FF0" w14:textId="4D17246D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6.6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A40B20" w:rsidRPr="00EF46F3" w14:paraId="4A76C8BB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67C8AEF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52EAE5B0" w14:textId="77777777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5438" w:type="dxa"/>
            <w:noWrap/>
            <w:hideMark/>
          </w:tcPr>
          <w:p w14:paraId="187A7C3D" w14:textId="77777777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Unemployed following self-employment</w:t>
            </w:r>
          </w:p>
        </w:tc>
        <w:tc>
          <w:tcPr>
            <w:tcW w:w="1560" w:type="dxa"/>
            <w:noWrap/>
            <w:hideMark/>
          </w:tcPr>
          <w:p w14:paraId="2DFCE7D5" w14:textId="09F2E27E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97</w:t>
            </w:r>
          </w:p>
        </w:tc>
        <w:tc>
          <w:tcPr>
            <w:tcW w:w="1507" w:type="dxa"/>
            <w:noWrap/>
            <w:hideMark/>
          </w:tcPr>
          <w:p w14:paraId="5A56AEA5" w14:textId="61F5CCD7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1.0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A40B20" w:rsidRPr="00EF46F3" w14:paraId="4BB18E65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9FF9123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6C6FD86F" w14:textId="7777777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19CF09AC" w14:textId="7777777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36B2BBF7" w14:textId="543D0545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0,322</w:t>
            </w:r>
          </w:p>
        </w:tc>
        <w:tc>
          <w:tcPr>
            <w:tcW w:w="1507" w:type="dxa"/>
            <w:noWrap/>
            <w:hideMark/>
          </w:tcPr>
          <w:p w14:paraId="01E1BA37" w14:textId="77777777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A40B20" w:rsidRPr="00EF46F3" w14:paraId="32884BE3" w14:textId="77777777" w:rsidTr="00864F18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2DC325A7" w14:textId="372D0FDB" w:rsidR="00A40B20" w:rsidRPr="00EF46F3" w:rsidRDefault="00A40B20" w:rsidP="00A40B2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lastRenderedPageBreak/>
              <w:t>Supplementary Welfare Schemes</w:t>
            </w:r>
          </w:p>
        </w:tc>
      </w:tr>
      <w:tr w:rsidR="00A40B20" w:rsidRPr="00EF46F3" w14:paraId="3ED2525B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1D42399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2668025" w14:textId="7777777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5438" w:type="dxa"/>
            <w:noWrap/>
            <w:hideMark/>
          </w:tcPr>
          <w:p w14:paraId="214EE3EF" w14:textId="7777777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Basic Supplementary Welfare Allowance</w:t>
            </w:r>
          </w:p>
        </w:tc>
        <w:tc>
          <w:tcPr>
            <w:tcW w:w="1560" w:type="dxa"/>
            <w:noWrap/>
            <w:hideMark/>
          </w:tcPr>
          <w:p w14:paraId="6A8B0F27" w14:textId="237B49A3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13,554</w:t>
            </w:r>
          </w:p>
        </w:tc>
        <w:tc>
          <w:tcPr>
            <w:tcW w:w="1507" w:type="dxa"/>
            <w:noWrap/>
            <w:hideMark/>
          </w:tcPr>
          <w:p w14:paraId="73D1485F" w14:textId="3C02C8DB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46.0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A40B20" w:rsidRPr="00EF46F3" w14:paraId="622DCC06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38817218" w14:textId="7E862DFF" w:rsidR="00A40B20" w:rsidRPr="00EF46F3" w:rsidRDefault="00A40B20" w:rsidP="00A40B20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5902DD15" w14:textId="364E6382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5438" w:type="dxa"/>
            <w:noWrap/>
          </w:tcPr>
          <w:p w14:paraId="5DE84AB7" w14:textId="3C09FE8D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Additional Needs Payment</w:t>
            </w:r>
            <w:r w:rsidR="00C6352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*</w:t>
            </w:r>
          </w:p>
        </w:tc>
        <w:tc>
          <w:tcPr>
            <w:tcW w:w="1560" w:type="dxa"/>
            <w:noWrap/>
          </w:tcPr>
          <w:p w14:paraId="33873163" w14:textId="0EE085D5" w:rsidR="00A40B20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8,174</w:t>
            </w:r>
          </w:p>
        </w:tc>
        <w:tc>
          <w:tcPr>
            <w:tcW w:w="1507" w:type="dxa"/>
            <w:noWrap/>
          </w:tcPr>
          <w:p w14:paraId="647E73D0" w14:textId="4C3ED2DD" w:rsidR="00A40B20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27.8%</w:t>
            </w:r>
          </w:p>
        </w:tc>
      </w:tr>
      <w:tr w:rsidR="00A40B20" w:rsidRPr="00EF46F3" w14:paraId="7D4D277B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1BAB21EB" w14:textId="29A5042F" w:rsidR="00A40B20" w:rsidRPr="00EF46F3" w:rsidRDefault="00A40B20" w:rsidP="00A40B20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0F40F21E" w14:textId="3A9E595D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5438" w:type="dxa"/>
            <w:noWrap/>
          </w:tcPr>
          <w:p w14:paraId="49950FC9" w14:textId="67D719E7" w:rsidR="00A40B20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Rent Supplement (RS)</w:t>
            </w:r>
          </w:p>
        </w:tc>
        <w:tc>
          <w:tcPr>
            <w:tcW w:w="1560" w:type="dxa"/>
            <w:noWrap/>
          </w:tcPr>
          <w:p w14:paraId="768B7645" w14:textId="420999F2" w:rsidR="00A40B20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3,770</w:t>
            </w:r>
          </w:p>
        </w:tc>
        <w:tc>
          <w:tcPr>
            <w:tcW w:w="1507" w:type="dxa"/>
            <w:noWrap/>
          </w:tcPr>
          <w:p w14:paraId="5F45369E" w14:textId="0563A964" w:rsidR="00A40B20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12.8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A40B20" w:rsidRPr="00EF46F3" w14:paraId="2D372E17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5AE51FD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B8C2416" w14:textId="77777777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5438" w:type="dxa"/>
            <w:noWrap/>
            <w:hideMark/>
          </w:tcPr>
          <w:p w14:paraId="3A513D47" w14:textId="77777777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Exceptional/urgent needs payment</w:t>
            </w:r>
          </w:p>
        </w:tc>
        <w:tc>
          <w:tcPr>
            <w:tcW w:w="1560" w:type="dxa"/>
            <w:noWrap/>
            <w:hideMark/>
          </w:tcPr>
          <w:p w14:paraId="59A8AC1A" w14:textId="152ADC05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3,691</w:t>
            </w:r>
          </w:p>
        </w:tc>
        <w:tc>
          <w:tcPr>
            <w:tcW w:w="1507" w:type="dxa"/>
            <w:noWrap/>
            <w:hideMark/>
          </w:tcPr>
          <w:p w14:paraId="36DF3D15" w14:textId="1F678FD6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12.5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A40B20" w:rsidRPr="00EF46F3" w14:paraId="6F944CC2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68B307C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4CFCABB" w14:textId="7777777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5438" w:type="dxa"/>
            <w:noWrap/>
            <w:hideMark/>
          </w:tcPr>
          <w:p w14:paraId="52A13EED" w14:textId="7777777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Diet/Heating Supplement</w:t>
            </w:r>
          </w:p>
        </w:tc>
        <w:tc>
          <w:tcPr>
            <w:tcW w:w="1560" w:type="dxa"/>
            <w:noWrap/>
            <w:hideMark/>
          </w:tcPr>
          <w:p w14:paraId="0EF7DF85" w14:textId="54D97C28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243</w:t>
            </w:r>
          </w:p>
        </w:tc>
        <w:tc>
          <w:tcPr>
            <w:tcW w:w="1507" w:type="dxa"/>
            <w:noWrap/>
            <w:hideMark/>
          </w:tcPr>
          <w:p w14:paraId="5646A77D" w14:textId="4EA5B983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0.8%</w:t>
            </w:r>
          </w:p>
        </w:tc>
      </w:tr>
      <w:tr w:rsidR="00A40B20" w:rsidRPr="00EF46F3" w14:paraId="37EE5F88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751B354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045952F2" w14:textId="77777777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5438" w:type="dxa"/>
            <w:noWrap/>
            <w:hideMark/>
          </w:tcPr>
          <w:p w14:paraId="71CFAE95" w14:textId="77777777" w:rsidR="00A40B20" w:rsidRPr="00EF46F3" w:rsidRDefault="00A40B20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Mortgage Interest Supplement (MIS)</w:t>
            </w:r>
          </w:p>
        </w:tc>
        <w:tc>
          <w:tcPr>
            <w:tcW w:w="1560" w:type="dxa"/>
            <w:noWrap/>
            <w:hideMark/>
          </w:tcPr>
          <w:p w14:paraId="47696B76" w14:textId="7262CA63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1507" w:type="dxa"/>
            <w:noWrap/>
            <w:hideMark/>
          </w:tcPr>
          <w:p w14:paraId="324C65E9" w14:textId="46CAADCE" w:rsidR="00A40B20" w:rsidRPr="00EF46F3" w:rsidRDefault="00A40B2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0.1%</w:t>
            </w:r>
          </w:p>
        </w:tc>
      </w:tr>
      <w:tr w:rsidR="00A40B20" w:rsidRPr="00EF46F3" w14:paraId="5C3D5419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ED3AD9C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29B82545" w14:textId="7777777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187A9B9D" w14:textId="7777777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32B09DD1" w14:textId="64FFE7A9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29,455</w:t>
            </w:r>
          </w:p>
        </w:tc>
        <w:tc>
          <w:tcPr>
            <w:tcW w:w="1507" w:type="dxa"/>
            <w:noWrap/>
            <w:hideMark/>
          </w:tcPr>
          <w:p w14:paraId="3CA33537" w14:textId="77777777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A40B20" w:rsidRPr="00EF46F3" w14:paraId="0E507715" w14:textId="77777777" w:rsidTr="00864F18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34893203" w14:textId="77777777" w:rsidR="00A40B20" w:rsidRPr="00EF46F3" w:rsidRDefault="00A40B20" w:rsidP="00A40B2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 Miscellaneous</w:t>
            </w:r>
          </w:p>
        </w:tc>
      </w:tr>
      <w:tr w:rsidR="00A40B20" w:rsidRPr="00EF46F3" w14:paraId="5A1F85CC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FF519E0" w14:textId="77777777" w:rsidR="00A40B20" w:rsidRPr="00EF46F3" w:rsidRDefault="00A40B20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8EE7786" w14:textId="7777777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438" w:type="dxa"/>
            <w:noWrap/>
            <w:hideMark/>
          </w:tcPr>
          <w:p w14:paraId="2F6C1EA8" w14:textId="77777777" w:rsidR="00A40B20" w:rsidRPr="00EF46F3" w:rsidRDefault="00A40B20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560" w:type="dxa"/>
            <w:noWrap/>
            <w:hideMark/>
          </w:tcPr>
          <w:p w14:paraId="61E0D7BD" w14:textId="0289C4BD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6,485</w:t>
            </w:r>
          </w:p>
        </w:tc>
        <w:tc>
          <w:tcPr>
            <w:tcW w:w="1507" w:type="dxa"/>
            <w:noWrap/>
            <w:hideMark/>
          </w:tcPr>
          <w:p w14:paraId="09C15D28" w14:textId="3964A5D8" w:rsidR="00A40B20" w:rsidRPr="00EF46F3" w:rsidRDefault="00A40B20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31.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488DC1AF" w14:textId="77777777" w:rsidTr="008474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065CBAC8" w14:textId="615FA83A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2E762BB3" w14:textId="2DC5AE2F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438" w:type="dxa"/>
            <w:noWrap/>
          </w:tcPr>
          <w:p w14:paraId="06774FD7" w14:textId="13B8173F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Public Services Card</w:t>
            </w:r>
          </w:p>
        </w:tc>
        <w:tc>
          <w:tcPr>
            <w:tcW w:w="1560" w:type="dxa"/>
            <w:noWrap/>
          </w:tcPr>
          <w:p w14:paraId="2A3EAE78" w14:textId="18607B05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4,672</w:t>
            </w:r>
          </w:p>
        </w:tc>
        <w:tc>
          <w:tcPr>
            <w:tcW w:w="1507" w:type="dxa"/>
            <w:noWrap/>
          </w:tcPr>
          <w:p w14:paraId="41B7F062" w14:textId="485C2BF5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2.8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20DC5448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23047C8E" w14:textId="6378CC30" w:rsidR="00847483" w:rsidRPr="00EF46F3" w:rsidRDefault="00847483" w:rsidP="00847483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7E2B2986" w14:textId="2C3E354B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438" w:type="dxa"/>
            <w:noWrap/>
          </w:tcPr>
          <w:p w14:paraId="58E506FE" w14:textId="698F3F48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Means Tests</w:t>
            </w:r>
          </w:p>
        </w:tc>
        <w:tc>
          <w:tcPr>
            <w:tcW w:w="1560" w:type="dxa"/>
            <w:noWrap/>
          </w:tcPr>
          <w:p w14:paraId="654A2E4A" w14:textId="377BA079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,694</w:t>
            </w:r>
          </w:p>
        </w:tc>
        <w:tc>
          <w:tcPr>
            <w:tcW w:w="1507" w:type="dxa"/>
            <w:noWrap/>
          </w:tcPr>
          <w:p w14:paraId="69DEBBED" w14:textId="1CC80A57" w:rsidR="0084748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18.1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170ACE8C" w14:textId="77777777" w:rsidTr="008474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014C2780" w14:textId="73E25AC3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61941391" w14:textId="4DC0CDBF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438" w:type="dxa"/>
            <w:noWrap/>
          </w:tcPr>
          <w:p w14:paraId="08BF991E" w14:textId="78A1E93B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Habitual Residence Condition</w:t>
            </w:r>
          </w:p>
        </w:tc>
        <w:tc>
          <w:tcPr>
            <w:tcW w:w="1560" w:type="dxa"/>
            <w:noWrap/>
          </w:tcPr>
          <w:p w14:paraId="3961C102" w14:textId="767D7C42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2,413</w:t>
            </w:r>
          </w:p>
        </w:tc>
        <w:tc>
          <w:tcPr>
            <w:tcW w:w="1507" w:type="dxa"/>
            <w:noWrap/>
          </w:tcPr>
          <w:p w14:paraId="76362A89" w14:textId="4714EBAF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11.8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5E49DB0F" w14:textId="77777777" w:rsidTr="0084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14A27F3E" w14:textId="08A26E39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38F831B5" w14:textId="5A6B256C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438" w:type="dxa"/>
            <w:noWrap/>
          </w:tcPr>
          <w:p w14:paraId="2497D1D6" w14:textId="5B877A39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MyWelfare.ie</w:t>
            </w:r>
          </w:p>
        </w:tc>
        <w:tc>
          <w:tcPr>
            <w:tcW w:w="1560" w:type="dxa"/>
            <w:noWrap/>
          </w:tcPr>
          <w:p w14:paraId="6F59B37D" w14:textId="7768BC50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,503</w:t>
            </w:r>
          </w:p>
        </w:tc>
        <w:tc>
          <w:tcPr>
            <w:tcW w:w="1507" w:type="dxa"/>
            <w:noWrap/>
          </w:tcPr>
          <w:p w14:paraId="5F47BDD1" w14:textId="080D4094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7.3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7A8DFC3A" w14:textId="77777777" w:rsidTr="0084748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5265AA03" w14:textId="7F731673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21380D95" w14:textId="7D312BD1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438" w:type="dxa"/>
            <w:noWrap/>
          </w:tcPr>
          <w:p w14:paraId="7E6DD475" w14:textId="626ADC72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Overpayments</w:t>
            </w:r>
          </w:p>
        </w:tc>
        <w:tc>
          <w:tcPr>
            <w:tcW w:w="1560" w:type="dxa"/>
            <w:noWrap/>
          </w:tcPr>
          <w:p w14:paraId="567C89B5" w14:textId="3897F46E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62</w:t>
            </w:r>
          </w:p>
        </w:tc>
        <w:tc>
          <w:tcPr>
            <w:tcW w:w="1507" w:type="dxa"/>
            <w:noWrap/>
          </w:tcPr>
          <w:p w14:paraId="02BBD2AE" w14:textId="3888F2D5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2E73058D" w14:textId="77777777" w:rsidTr="0084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341244EB" w14:textId="70FC5C5F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3BEAC1EA" w14:textId="1C70A20C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438" w:type="dxa"/>
            <w:noWrap/>
          </w:tcPr>
          <w:p w14:paraId="381DFFFB" w14:textId="280571D0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UK Entitlements/Brexit</w:t>
            </w:r>
          </w:p>
        </w:tc>
        <w:tc>
          <w:tcPr>
            <w:tcW w:w="1560" w:type="dxa"/>
            <w:noWrap/>
          </w:tcPr>
          <w:p w14:paraId="71F20F15" w14:textId="73EC0F07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425</w:t>
            </w:r>
          </w:p>
        </w:tc>
        <w:tc>
          <w:tcPr>
            <w:tcW w:w="1507" w:type="dxa"/>
            <w:noWrap/>
          </w:tcPr>
          <w:p w14:paraId="6E397CBB" w14:textId="420970E9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2.1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06C366A0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DA8B031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1B7C0399" w14:textId="77777777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438" w:type="dxa"/>
            <w:noWrap/>
            <w:hideMark/>
          </w:tcPr>
          <w:p w14:paraId="7FA2B61B" w14:textId="77777777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EU Contributions and Entitlements</w:t>
            </w:r>
          </w:p>
        </w:tc>
        <w:tc>
          <w:tcPr>
            <w:tcW w:w="1560" w:type="dxa"/>
            <w:noWrap/>
            <w:hideMark/>
          </w:tcPr>
          <w:p w14:paraId="20312C7C" w14:textId="3A2A60CA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296</w:t>
            </w:r>
          </w:p>
        </w:tc>
        <w:tc>
          <w:tcPr>
            <w:tcW w:w="1507" w:type="dxa"/>
            <w:noWrap/>
            <w:hideMark/>
          </w:tcPr>
          <w:p w14:paraId="1984627F" w14:textId="2D2A0F90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5077C5B4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E54CF9D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6AD78AC" w14:textId="77777777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438" w:type="dxa"/>
            <w:noWrap/>
            <w:hideMark/>
          </w:tcPr>
          <w:p w14:paraId="27FB58FE" w14:textId="77777777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Late Claims</w:t>
            </w:r>
          </w:p>
        </w:tc>
        <w:tc>
          <w:tcPr>
            <w:tcW w:w="1560" w:type="dxa"/>
            <w:noWrap/>
            <w:hideMark/>
          </w:tcPr>
          <w:p w14:paraId="7091E16F" w14:textId="3EEDBB73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</w:t>
            </w:r>
          </w:p>
        </w:tc>
        <w:tc>
          <w:tcPr>
            <w:tcW w:w="1507" w:type="dxa"/>
            <w:noWrap/>
            <w:hideMark/>
          </w:tcPr>
          <w:p w14:paraId="2782655F" w14:textId="47148F36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6C04F091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DE85C37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76266AF1" w14:textId="77777777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438" w:type="dxa"/>
            <w:noWrap/>
            <w:hideMark/>
          </w:tcPr>
          <w:p w14:paraId="3AE18BE6" w14:textId="77777777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Insolvency Payments Scheme</w:t>
            </w:r>
          </w:p>
        </w:tc>
        <w:tc>
          <w:tcPr>
            <w:tcW w:w="1560" w:type="dxa"/>
            <w:noWrap/>
            <w:hideMark/>
          </w:tcPr>
          <w:p w14:paraId="79C0C334" w14:textId="59E1B5DC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1507" w:type="dxa"/>
            <w:noWrap/>
            <w:hideMark/>
          </w:tcPr>
          <w:p w14:paraId="730D9B1F" w14:textId="7AC6DF35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0.0%</w:t>
            </w:r>
          </w:p>
        </w:tc>
      </w:tr>
      <w:tr w:rsidR="00847483" w:rsidRPr="00EF46F3" w14:paraId="6392AA1C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48DD1B5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1FB2B6F1" w14:textId="77777777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2620F925" w14:textId="77777777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5A02BFC1" w14:textId="2A996301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20,464</w:t>
            </w:r>
          </w:p>
        </w:tc>
        <w:tc>
          <w:tcPr>
            <w:tcW w:w="1507" w:type="dxa"/>
            <w:noWrap/>
            <w:hideMark/>
          </w:tcPr>
          <w:p w14:paraId="36833B9C" w14:textId="77777777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847483" w:rsidRPr="00EF46F3" w14:paraId="233666EB" w14:textId="77777777" w:rsidTr="008407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</w:tcPr>
          <w:p w14:paraId="1584D043" w14:textId="7ED4A774" w:rsidR="00847483" w:rsidRPr="00EF46F3" w:rsidRDefault="00847483" w:rsidP="0084748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Insurance (PRSI)</w:t>
            </w:r>
          </w:p>
        </w:tc>
      </w:tr>
      <w:tr w:rsidR="00847483" w:rsidRPr="00EF46F3" w14:paraId="2080AED8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4516E566" w14:textId="10B98C0E" w:rsidR="00847483" w:rsidRPr="00EF46F3" w:rsidRDefault="00847483" w:rsidP="00847483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1A6B57CB" w14:textId="393EA50A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438" w:type="dxa"/>
            <w:noWrap/>
          </w:tcPr>
          <w:p w14:paraId="2313C324" w14:textId="334E5410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PRSI Records/Paid Contributions</w:t>
            </w:r>
          </w:p>
        </w:tc>
        <w:tc>
          <w:tcPr>
            <w:tcW w:w="1560" w:type="dxa"/>
            <w:noWrap/>
          </w:tcPr>
          <w:p w14:paraId="4831FEFD" w14:textId="5EFBC513" w:rsidR="0084748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,716</w:t>
            </w:r>
          </w:p>
        </w:tc>
        <w:tc>
          <w:tcPr>
            <w:tcW w:w="1507" w:type="dxa"/>
            <w:noWrap/>
          </w:tcPr>
          <w:p w14:paraId="4110119E" w14:textId="20E6D0FC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1.6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51533782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0CB13E2A" w14:textId="34C651EB" w:rsidR="00847483" w:rsidRPr="00EF46F3" w:rsidRDefault="00847483" w:rsidP="00847483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06AA7F1E" w14:textId="374179B7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438" w:type="dxa"/>
            <w:noWrap/>
          </w:tcPr>
          <w:p w14:paraId="55DB5BAB" w14:textId="65E7370C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PPS Number</w:t>
            </w:r>
          </w:p>
        </w:tc>
        <w:tc>
          <w:tcPr>
            <w:tcW w:w="1560" w:type="dxa"/>
            <w:noWrap/>
          </w:tcPr>
          <w:p w14:paraId="5B588AAF" w14:textId="7237B1D4" w:rsidR="0084748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4,487</w:t>
            </w:r>
          </w:p>
        </w:tc>
        <w:tc>
          <w:tcPr>
            <w:tcW w:w="1507" w:type="dxa"/>
            <w:noWrap/>
          </w:tcPr>
          <w:p w14:paraId="6ECD3410" w14:textId="5DAE167D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24.2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5A9AAA79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4B5FA634" w14:textId="7AA198A4" w:rsidR="00847483" w:rsidRPr="00EF46F3" w:rsidRDefault="00847483" w:rsidP="00847483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2F77F700" w14:textId="2469C69D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438" w:type="dxa"/>
            <w:noWrap/>
          </w:tcPr>
          <w:p w14:paraId="284B9A3C" w14:textId="08F53268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Credited Contributions</w:t>
            </w:r>
          </w:p>
        </w:tc>
        <w:tc>
          <w:tcPr>
            <w:tcW w:w="1560" w:type="dxa"/>
            <w:noWrap/>
          </w:tcPr>
          <w:p w14:paraId="7768C476" w14:textId="419B6A31" w:rsidR="0084748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1,951</w:t>
            </w:r>
          </w:p>
        </w:tc>
        <w:tc>
          <w:tcPr>
            <w:tcW w:w="1507" w:type="dxa"/>
            <w:noWrap/>
          </w:tcPr>
          <w:p w14:paraId="0945ECD0" w14:textId="0245AC4D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0.5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4BA671DB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35153C52" w14:textId="45EFB8ED" w:rsidR="00847483" w:rsidRPr="00EF46F3" w:rsidRDefault="00847483" w:rsidP="00847483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0AB7D8A1" w14:textId="1896235C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438" w:type="dxa"/>
            <w:noWrap/>
          </w:tcPr>
          <w:p w14:paraId="49FE4CDD" w14:textId="52D740EF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PRSI Classes</w:t>
            </w:r>
          </w:p>
        </w:tc>
        <w:tc>
          <w:tcPr>
            <w:tcW w:w="1560" w:type="dxa"/>
            <w:noWrap/>
          </w:tcPr>
          <w:p w14:paraId="3BD792DA" w14:textId="26E2F9BA" w:rsidR="0084748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,242</w:t>
            </w:r>
          </w:p>
        </w:tc>
        <w:tc>
          <w:tcPr>
            <w:tcW w:w="1507" w:type="dxa"/>
            <w:noWrap/>
          </w:tcPr>
          <w:p w14:paraId="5829837F" w14:textId="6C93136F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6.7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74976A9E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368EAA10" w14:textId="615D725F" w:rsidR="00847483" w:rsidRPr="00EF46F3" w:rsidRDefault="00847483" w:rsidP="00847483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1A1EF42B" w14:textId="58F999D3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438" w:type="dxa"/>
            <w:noWrap/>
          </w:tcPr>
          <w:p w14:paraId="3089CC9F" w14:textId="7A8F2265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Voluntary Contributions</w:t>
            </w:r>
          </w:p>
        </w:tc>
        <w:tc>
          <w:tcPr>
            <w:tcW w:w="1560" w:type="dxa"/>
            <w:noWrap/>
          </w:tcPr>
          <w:p w14:paraId="317BAFAD" w14:textId="6027685D" w:rsidR="0084748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,214</w:t>
            </w:r>
          </w:p>
        </w:tc>
        <w:tc>
          <w:tcPr>
            <w:tcW w:w="1507" w:type="dxa"/>
            <w:noWrap/>
          </w:tcPr>
          <w:p w14:paraId="710F575C" w14:textId="69238856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3F73B323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204D52B5" w14:textId="1C8B3782" w:rsidR="00847483" w:rsidRPr="00EF46F3" w:rsidRDefault="00847483" w:rsidP="00847483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516AB2CF" w14:textId="23DD2668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438" w:type="dxa"/>
            <w:noWrap/>
          </w:tcPr>
          <w:p w14:paraId="055A8CDD" w14:textId="1522271B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Homemakers Scheme</w:t>
            </w:r>
            <w:r w:rsidR="00863B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/HomeCaring</w:t>
            </w:r>
          </w:p>
        </w:tc>
        <w:tc>
          <w:tcPr>
            <w:tcW w:w="1560" w:type="dxa"/>
            <w:noWrap/>
          </w:tcPr>
          <w:p w14:paraId="7DDAAFB5" w14:textId="7375FC03" w:rsidR="0084748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1,040</w:t>
            </w:r>
          </w:p>
        </w:tc>
        <w:tc>
          <w:tcPr>
            <w:tcW w:w="1507" w:type="dxa"/>
            <w:noWrap/>
          </w:tcPr>
          <w:p w14:paraId="4993A026" w14:textId="1051E346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5.6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5E911514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166BCAAE" w14:textId="3088A25D" w:rsidR="00847483" w:rsidRPr="00EF46F3" w:rsidRDefault="00847483" w:rsidP="00847483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404B2324" w14:textId="04C98A87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438" w:type="dxa"/>
            <w:noWrap/>
          </w:tcPr>
          <w:p w14:paraId="1D90032F" w14:textId="42D40E1F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560" w:type="dxa"/>
            <w:noWrap/>
          </w:tcPr>
          <w:p w14:paraId="38D6D327" w14:textId="5C2E9420" w:rsidR="0084748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702</w:t>
            </w:r>
          </w:p>
        </w:tc>
        <w:tc>
          <w:tcPr>
            <w:tcW w:w="1507" w:type="dxa"/>
            <w:noWrap/>
          </w:tcPr>
          <w:p w14:paraId="246F5809" w14:textId="01F579CD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3.8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715764EA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3A0AA0C6" w14:textId="414E6FB6" w:rsidR="00847483" w:rsidRPr="00EF46F3" w:rsidRDefault="00847483" w:rsidP="00847483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44C69AAE" w14:textId="79206279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438" w:type="dxa"/>
            <w:noWrap/>
          </w:tcPr>
          <w:p w14:paraId="1228DB62" w14:textId="6A6EA621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Employer's PRSI</w:t>
            </w:r>
          </w:p>
        </w:tc>
        <w:tc>
          <w:tcPr>
            <w:tcW w:w="1560" w:type="dxa"/>
            <w:noWrap/>
          </w:tcPr>
          <w:p w14:paraId="4474EDBB" w14:textId="31E828AA" w:rsidR="0084748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180</w:t>
            </w:r>
          </w:p>
        </w:tc>
        <w:tc>
          <w:tcPr>
            <w:tcW w:w="1507" w:type="dxa"/>
            <w:noWrap/>
          </w:tcPr>
          <w:p w14:paraId="54D10270" w14:textId="326CD215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1.0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6FB5F458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45018177" w14:textId="13C43EAE" w:rsidR="00847483" w:rsidRPr="00EF46F3" w:rsidRDefault="00847483" w:rsidP="00847483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65D09AAE" w14:textId="6AA564E3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438" w:type="dxa"/>
            <w:noWrap/>
          </w:tcPr>
          <w:p w14:paraId="0ECAE6FF" w14:textId="661C43D6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 Plus</w:t>
            </w:r>
          </w:p>
        </w:tc>
        <w:tc>
          <w:tcPr>
            <w:tcW w:w="1560" w:type="dxa"/>
            <w:noWrap/>
          </w:tcPr>
          <w:p w14:paraId="190C79B0" w14:textId="65634DBE" w:rsidR="0084748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507" w:type="dxa"/>
            <w:noWrap/>
          </w:tcPr>
          <w:p w14:paraId="0EA51F7F" w14:textId="2DAA6C88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0.0%</w:t>
            </w:r>
          </w:p>
        </w:tc>
      </w:tr>
      <w:tr w:rsidR="00847483" w:rsidRPr="00EF46F3" w14:paraId="4F377F0D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7F8F77C8" w14:textId="7E127691" w:rsidR="00847483" w:rsidRPr="004F334D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</w:tcPr>
          <w:p w14:paraId="3DF33BBA" w14:textId="255B9EB9" w:rsidR="00847483" w:rsidRPr="004F334D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4F33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</w:tcPr>
          <w:p w14:paraId="37472304" w14:textId="46E4F766" w:rsidR="00847483" w:rsidRPr="004F334D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4F33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</w:tcPr>
          <w:p w14:paraId="3F171F21" w14:textId="58F3D5E0" w:rsidR="00847483" w:rsidRPr="004F334D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4F33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18,533</w:t>
            </w:r>
          </w:p>
        </w:tc>
        <w:tc>
          <w:tcPr>
            <w:tcW w:w="1507" w:type="dxa"/>
            <w:noWrap/>
          </w:tcPr>
          <w:p w14:paraId="7512042F" w14:textId="1D60D9B4" w:rsidR="00847483" w:rsidRPr="004F334D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4F334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</w:tbl>
    <w:p w14:paraId="76EECB75" w14:textId="741718D7" w:rsidR="004F334D" w:rsidRPr="004F334D" w:rsidRDefault="004F334D">
      <w:pPr>
        <w:rPr>
          <w:sz w:val="17"/>
          <w:szCs w:val="17"/>
        </w:rPr>
      </w:pPr>
      <w:r w:rsidRPr="004F334D">
        <w:rPr>
          <w:sz w:val="17"/>
          <w:szCs w:val="17"/>
        </w:rPr>
        <w:t xml:space="preserve">*Additional Needs Payment replaced and incorporated the exceptional needs payments </w:t>
      </w:r>
      <w:r>
        <w:rPr>
          <w:sz w:val="17"/>
          <w:szCs w:val="17"/>
        </w:rPr>
        <w:t xml:space="preserve">during </w:t>
      </w:r>
      <w:r w:rsidRPr="004F334D">
        <w:rPr>
          <w:sz w:val="17"/>
          <w:szCs w:val="17"/>
        </w:rPr>
        <w:t>2022.</w:t>
      </w:r>
    </w:p>
    <w:tbl>
      <w:tblPr>
        <w:tblStyle w:val="GridTable5Dark-Accent6"/>
        <w:tblW w:w="13835" w:type="dxa"/>
        <w:tblLook w:val="04A0" w:firstRow="1" w:lastRow="0" w:firstColumn="1" w:lastColumn="0" w:noHBand="0" w:noVBand="1"/>
        <w:tblCaption w:val="Table 3  Social Welfare Queries 2021"/>
        <w:tblDescription w:val="This table shows the data for the Social Welfare query sub-categories recorded by CISs during 2021."/>
      </w:tblPr>
      <w:tblGrid>
        <w:gridCol w:w="1555"/>
        <w:gridCol w:w="3775"/>
        <w:gridCol w:w="5438"/>
        <w:gridCol w:w="1560"/>
        <w:gridCol w:w="1507"/>
      </w:tblGrid>
      <w:tr w:rsidR="00847483" w:rsidRPr="00EF46F3" w14:paraId="4511AADB" w14:textId="77777777" w:rsidTr="00864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0C94D73B" w14:textId="28D46336" w:rsidR="00847483" w:rsidRPr="00EF46F3" w:rsidRDefault="00847483" w:rsidP="00847483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lastRenderedPageBreak/>
              <w:t>Activation Schemes, Education and Training</w:t>
            </w:r>
          </w:p>
        </w:tc>
      </w:tr>
      <w:tr w:rsidR="00847483" w:rsidRPr="00EF46F3" w14:paraId="5AC2F610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1D464C8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5C2B2299" w14:textId="77777777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438" w:type="dxa"/>
            <w:noWrap/>
            <w:hideMark/>
          </w:tcPr>
          <w:p w14:paraId="7DDB2E88" w14:textId="77777777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Back to Education Allowance (BTEA)</w:t>
            </w:r>
          </w:p>
        </w:tc>
        <w:tc>
          <w:tcPr>
            <w:tcW w:w="1560" w:type="dxa"/>
            <w:noWrap/>
            <w:hideMark/>
          </w:tcPr>
          <w:p w14:paraId="5C950746" w14:textId="3CEFDE81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2,360</w:t>
            </w:r>
          </w:p>
        </w:tc>
        <w:tc>
          <w:tcPr>
            <w:tcW w:w="1507" w:type="dxa"/>
            <w:noWrap/>
            <w:hideMark/>
          </w:tcPr>
          <w:p w14:paraId="5C44E99C" w14:textId="0FD5B5BA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0.0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58E4FAFE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3281CE01" w14:textId="41D63324" w:rsidR="00847483" w:rsidRPr="00EF46F3" w:rsidRDefault="00847483" w:rsidP="00847483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38C8DCDF" w14:textId="5174B223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438" w:type="dxa"/>
            <w:noWrap/>
          </w:tcPr>
          <w:p w14:paraId="0CCE2F0E" w14:textId="04E2BC30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Community Employment (CE)</w:t>
            </w:r>
          </w:p>
        </w:tc>
        <w:tc>
          <w:tcPr>
            <w:tcW w:w="1560" w:type="dxa"/>
            <w:noWrap/>
          </w:tcPr>
          <w:p w14:paraId="5CEFEFF8" w14:textId="095A3E41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,466</w:t>
            </w:r>
          </w:p>
        </w:tc>
        <w:tc>
          <w:tcPr>
            <w:tcW w:w="1507" w:type="dxa"/>
            <w:noWrap/>
          </w:tcPr>
          <w:p w14:paraId="7BD5ECA9" w14:textId="6612FBA8" w:rsidR="0084748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24.9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0730A46D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466AF57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726142D1" w14:textId="77777777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438" w:type="dxa"/>
            <w:noWrap/>
            <w:hideMark/>
          </w:tcPr>
          <w:p w14:paraId="184D3E32" w14:textId="77777777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Back to Work Enterprise Allowance (BTWEA)</w:t>
            </w:r>
          </w:p>
        </w:tc>
        <w:tc>
          <w:tcPr>
            <w:tcW w:w="1560" w:type="dxa"/>
            <w:noWrap/>
            <w:hideMark/>
          </w:tcPr>
          <w:p w14:paraId="6657B7CA" w14:textId="31167A91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,119</w:t>
            </w:r>
          </w:p>
        </w:tc>
        <w:tc>
          <w:tcPr>
            <w:tcW w:w="1507" w:type="dxa"/>
            <w:noWrap/>
            <w:hideMark/>
          </w:tcPr>
          <w:p w14:paraId="4E329FFE" w14:textId="2D5FC1DF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19.0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3631BE70" w14:textId="77777777" w:rsidTr="00C108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70209235" w14:textId="15CE4492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2C95E654" w14:textId="252951E2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438" w:type="dxa"/>
            <w:noWrap/>
          </w:tcPr>
          <w:p w14:paraId="0DB1EDB9" w14:textId="3D371176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Tús</w:t>
            </w:r>
          </w:p>
        </w:tc>
        <w:tc>
          <w:tcPr>
            <w:tcW w:w="1560" w:type="dxa"/>
            <w:noWrap/>
          </w:tcPr>
          <w:p w14:paraId="7DF99770" w14:textId="04A5A4DA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219</w:t>
            </w:r>
          </w:p>
        </w:tc>
        <w:tc>
          <w:tcPr>
            <w:tcW w:w="1507" w:type="dxa"/>
            <w:noWrap/>
          </w:tcPr>
          <w:p w14:paraId="6B339D98" w14:textId="61B1EF86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3.7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2D1640A1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D63B005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46487C8" w14:textId="77777777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438" w:type="dxa"/>
            <w:noWrap/>
            <w:hideMark/>
          </w:tcPr>
          <w:p w14:paraId="7FB9E6EF" w14:textId="688CBDC2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 Path – Seetec/Turas Nua</w:t>
            </w:r>
          </w:p>
        </w:tc>
        <w:tc>
          <w:tcPr>
            <w:tcW w:w="1560" w:type="dxa"/>
            <w:noWrap/>
            <w:hideMark/>
          </w:tcPr>
          <w:p w14:paraId="19DD5284" w14:textId="2C5C09DD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172</w:t>
            </w:r>
          </w:p>
        </w:tc>
        <w:tc>
          <w:tcPr>
            <w:tcW w:w="1507" w:type="dxa"/>
            <w:noWrap/>
            <w:hideMark/>
          </w:tcPr>
          <w:p w14:paraId="5AB356D0" w14:textId="528F2090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78468796" w14:textId="77777777" w:rsidTr="00C108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49BA3CE0" w14:textId="5260D9BB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08BE35CB" w14:textId="688DBAC4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438" w:type="dxa"/>
            <w:noWrap/>
          </w:tcPr>
          <w:p w14:paraId="04226D1D" w14:textId="2042D742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Short-Term Enterprise Allowance</w:t>
            </w:r>
          </w:p>
        </w:tc>
        <w:tc>
          <w:tcPr>
            <w:tcW w:w="1560" w:type="dxa"/>
            <w:noWrap/>
          </w:tcPr>
          <w:p w14:paraId="37C0A623" w14:textId="3F48C197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48</w:t>
            </w:r>
          </w:p>
        </w:tc>
        <w:tc>
          <w:tcPr>
            <w:tcW w:w="1507" w:type="dxa"/>
            <w:noWrap/>
          </w:tcPr>
          <w:p w14:paraId="74B253D2" w14:textId="653783B0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1517356F" w14:textId="77777777" w:rsidTr="00C10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44CC7FB3" w14:textId="1DC3DBDE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744BD9C1" w14:textId="7DD6A0D2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438" w:type="dxa"/>
            <w:noWrap/>
          </w:tcPr>
          <w:p w14:paraId="1CEDB840" w14:textId="2DE49BF1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Part-time Education Option (PTEO)</w:t>
            </w:r>
          </w:p>
        </w:tc>
        <w:tc>
          <w:tcPr>
            <w:tcW w:w="1560" w:type="dxa"/>
            <w:noWrap/>
          </w:tcPr>
          <w:p w14:paraId="66C241E5" w14:textId="363F2592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1507" w:type="dxa"/>
            <w:noWrap/>
          </w:tcPr>
          <w:p w14:paraId="4566D571" w14:textId="2F9134A5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0B0EF74D" w14:textId="77777777" w:rsidTr="00C108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36698D96" w14:textId="7FA3FBAB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0A69780E" w14:textId="50FADA43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438" w:type="dxa"/>
            <w:noWrap/>
          </w:tcPr>
          <w:p w14:paraId="0B2F6C48" w14:textId="42942205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Rural Social Scheme</w:t>
            </w:r>
          </w:p>
        </w:tc>
        <w:tc>
          <w:tcPr>
            <w:tcW w:w="1560" w:type="dxa"/>
            <w:noWrap/>
          </w:tcPr>
          <w:p w14:paraId="3559CCAA" w14:textId="47E9DFF3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104</w:t>
            </w:r>
          </w:p>
        </w:tc>
        <w:tc>
          <w:tcPr>
            <w:tcW w:w="1507" w:type="dxa"/>
            <w:noWrap/>
          </w:tcPr>
          <w:p w14:paraId="510D6CAD" w14:textId="724147B7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5F7F3D27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AB6C946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15457A0" w14:textId="77777777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438" w:type="dxa"/>
            <w:noWrap/>
            <w:hideMark/>
          </w:tcPr>
          <w:p w14:paraId="0BB25CC3" w14:textId="61B0F36A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 Plus</w:t>
            </w:r>
          </w:p>
        </w:tc>
        <w:tc>
          <w:tcPr>
            <w:tcW w:w="1560" w:type="dxa"/>
            <w:noWrap/>
            <w:hideMark/>
          </w:tcPr>
          <w:p w14:paraId="549D4AD4" w14:textId="1FA94E0F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86</w:t>
            </w:r>
          </w:p>
        </w:tc>
        <w:tc>
          <w:tcPr>
            <w:tcW w:w="1507" w:type="dxa"/>
            <w:noWrap/>
            <w:hideMark/>
          </w:tcPr>
          <w:p w14:paraId="314C8461" w14:textId="733811BE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495DF3A1" w14:textId="77777777" w:rsidTr="00C108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2F59D8B0" w14:textId="10D86228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24DA9169" w14:textId="583A4869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438" w:type="dxa"/>
            <w:noWrap/>
          </w:tcPr>
          <w:p w14:paraId="700928D5" w14:textId="4EF8C09B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Part-Time Job Incentive Scheme (PTJI)</w:t>
            </w:r>
          </w:p>
        </w:tc>
        <w:tc>
          <w:tcPr>
            <w:tcW w:w="1560" w:type="dxa"/>
            <w:noWrap/>
          </w:tcPr>
          <w:p w14:paraId="2A705C5B" w14:textId="3801D9B1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73</w:t>
            </w:r>
          </w:p>
        </w:tc>
        <w:tc>
          <w:tcPr>
            <w:tcW w:w="1507" w:type="dxa"/>
            <w:noWrap/>
          </w:tcPr>
          <w:p w14:paraId="3393D4F8" w14:textId="3A093DE8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1.2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04A794BB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458308B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64B2228" w14:textId="77777777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438" w:type="dxa"/>
            <w:noWrap/>
            <w:hideMark/>
          </w:tcPr>
          <w:p w14:paraId="7B6A3451" w14:textId="48BC146F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 Bridge/ First Steps - Youth Internship</w:t>
            </w:r>
          </w:p>
        </w:tc>
        <w:tc>
          <w:tcPr>
            <w:tcW w:w="1560" w:type="dxa"/>
            <w:noWrap/>
            <w:hideMark/>
          </w:tcPr>
          <w:p w14:paraId="3465F4D2" w14:textId="0A6FE67B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507" w:type="dxa"/>
            <w:noWrap/>
            <w:hideMark/>
          </w:tcPr>
          <w:p w14:paraId="466DFD9F" w14:textId="39BA7D6F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3B89196C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C0186DA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519F2685" w14:textId="77777777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438" w:type="dxa"/>
            <w:noWrap/>
            <w:hideMark/>
          </w:tcPr>
          <w:p w14:paraId="6195A789" w14:textId="77777777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Gateway</w:t>
            </w:r>
          </w:p>
        </w:tc>
        <w:tc>
          <w:tcPr>
            <w:tcW w:w="1560" w:type="dxa"/>
            <w:noWrap/>
            <w:hideMark/>
          </w:tcPr>
          <w:p w14:paraId="45493033" w14:textId="7F5C8C70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1507" w:type="dxa"/>
            <w:noWrap/>
            <w:hideMark/>
          </w:tcPr>
          <w:p w14:paraId="23CAF0EA" w14:textId="19BB2FDF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1E39B481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5A12AF7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62F9FA54" w14:textId="77777777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2B0555FD" w14:textId="77777777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06C08CDA" w14:textId="1BA14EE9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5,896</w:t>
            </w:r>
          </w:p>
        </w:tc>
        <w:tc>
          <w:tcPr>
            <w:tcW w:w="1507" w:type="dxa"/>
            <w:noWrap/>
            <w:hideMark/>
          </w:tcPr>
          <w:p w14:paraId="23E834AE" w14:textId="77777777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847483" w:rsidRPr="00EF46F3" w14:paraId="5B77B0BD" w14:textId="77777777" w:rsidTr="00864F18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26CE82AB" w14:textId="77777777" w:rsidR="00847483" w:rsidRPr="00EF46F3" w:rsidRDefault="00847483" w:rsidP="00847483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Death Related Benefits</w:t>
            </w:r>
          </w:p>
        </w:tc>
      </w:tr>
      <w:tr w:rsidR="00847483" w:rsidRPr="00EF46F3" w14:paraId="370D34A1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9C41B9A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1363ADBA" w14:textId="77777777" w:rsidR="00847483" w:rsidRPr="008B0F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B0F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5438" w:type="dxa"/>
            <w:noWrap/>
            <w:hideMark/>
          </w:tcPr>
          <w:p w14:paraId="720C76AF" w14:textId="2B2F0D81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Widow/Widower/Surviving Civil Partner's Pension (Contributory/ Non-Contributory).</w:t>
            </w:r>
          </w:p>
        </w:tc>
        <w:tc>
          <w:tcPr>
            <w:tcW w:w="1560" w:type="dxa"/>
            <w:noWrap/>
            <w:hideMark/>
          </w:tcPr>
          <w:p w14:paraId="633207AA" w14:textId="01E5A8BA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,827</w:t>
            </w:r>
          </w:p>
        </w:tc>
        <w:tc>
          <w:tcPr>
            <w:tcW w:w="1507" w:type="dxa"/>
            <w:noWrap/>
            <w:hideMark/>
          </w:tcPr>
          <w:p w14:paraId="115CFAC6" w14:textId="210C125F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.6%</w:t>
            </w:r>
          </w:p>
        </w:tc>
      </w:tr>
      <w:tr w:rsidR="00847483" w:rsidRPr="00EF46F3" w14:paraId="57B46124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3E5D2B07" w14:textId="6441E642" w:rsidR="00847483" w:rsidRPr="00EF46F3" w:rsidRDefault="00847483" w:rsidP="00847483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17488E00" w14:textId="4F2B7147" w:rsidR="00847483" w:rsidRPr="008B0F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B0F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5438" w:type="dxa"/>
            <w:noWrap/>
          </w:tcPr>
          <w:p w14:paraId="557C6366" w14:textId="50A5A1EF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Help with Funeral Costs</w:t>
            </w:r>
          </w:p>
        </w:tc>
        <w:tc>
          <w:tcPr>
            <w:tcW w:w="1560" w:type="dxa"/>
            <w:noWrap/>
          </w:tcPr>
          <w:p w14:paraId="1FFE323F" w14:textId="7D42324D" w:rsidR="0084748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559</w:t>
            </w:r>
          </w:p>
        </w:tc>
        <w:tc>
          <w:tcPr>
            <w:tcW w:w="1507" w:type="dxa"/>
            <w:noWrap/>
          </w:tcPr>
          <w:p w14:paraId="75DA6DD4" w14:textId="6F90A410" w:rsidR="0084748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11.0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7BC5A20A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0A8CEE5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715E8D4" w14:textId="77777777" w:rsidR="00847483" w:rsidRPr="008B0F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B0F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5438" w:type="dxa"/>
            <w:noWrap/>
            <w:hideMark/>
          </w:tcPr>
          <w:p w14:paraId="5E91EB59" w14:textId="77777777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Widow/Widower/Surviving Civil Partner Grant</w:t>
            </w:r>
          </w:p>
        </w:tc>
        <w:tc>
          <w:tcPr>
            <w:tcW w:w="1560" w:type="dxa"/>
            <w:noWrap/>
            <w:hideMark/>
          </w:tcPr>
          <w:p w14:paraId="1EFEA979" w14:textId="65A1F2FE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430</w:t>
            </w:r>
          </w:p>
        </w:tc>
        <w:tc>
          <w:tcPr>
            <w:tcW w:w="1507" w:type="dxa"/>
            <w:noWrap/>
            <w:hideMark/>
          </w:tcPr>
          <w:p w14:paraId="2AB84F44" w14:textId="39E5AC6D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8.5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431944E0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C13FAF0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58EA832" w14:textId="77777777" w:rsidR="00847483" w:rsidRPr="008B0F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B0F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5438" w:type="dxa"/>
            <w:noWrap/>
            <w:hideMark/>
          </w:tcPr>
          <w:p w14:paraId="2CD76C4B" w14:textId="77777777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Guardian's Payment</w:t>
            </w:r>
          </w:p>
        </w:tc>
        <w:tc>
          <w:tcPr>
            <w:tcW w:w="1560" w:type="dxa"/>
            <w:noWrap/>
            <w:hideMark/>
          </w:tcPr>
          <w:p w14:paraId="5F6242D3" w14:textId="3C96C11E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07</w:t>
            </w:r>
          </w:p>
        </w:tc>
        <w:tc>
          <w:tcPr>
            <w:tcW w:w="1507" w:type="dxa"/>
            <w:noWrap/>
            <w:hideMark/>
          </w:tcPr>
          <w:p w14:paraId="57AA80BA" w14:textId="60767A60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4.1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35293506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B740F08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E716E96" w14:textId="77777777" w:rsidR="00847483" w:rsidRPr="008B0F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B0F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5438" w:type="dxa"/>
            <w:noWrap/>
            <w:hideMark/>
          </w:tcPr>
          <w:p w14:paraId="10AC51AD" w14:textId="77777777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Special Funeral Grant (Occ. Injuries Scheme only)</w:t>
            </w:r>
          </w:p>
        </w:tc>
        <w:tc>
          <w:tcPr>
            <w:tcW w:w="1560" w:type="dxa"/>
            <w:noWrap/>
            <w:hideMark/>
          </w:tcPr>
          <w:p w14:paraId="3DC623F4" w14:textId="0012DEAC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38</w:t>
            </w:r>
          </w:p>
        </w:tc>
        <w:tc>
          <w:tcPr>
            <w:tcW w:w="1507" w:type="dxa"/>
            <w:noWrap/>
            <w:hideMark/>
          </w:tcPr>
          <w:p w14:paraId="755E13C4" w14:textId="596C78F2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17AF877A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8E3F389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2C0285C5" w14:textId="77777777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77D2967A" w14:textId="77777777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64E3C433" w14:textId="0A6C6063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5,061</w:t>
            </w:r>
          </w:p>
        </w:tc>
        <w:tc>
          <w:tcPr>
            <w:tcW w:w="1507" w:type="dxa"/>
            <w:noWrap/>
            <w:hideMark/>
          </w:tcPr>
          <w:p w14:paraId="10EAB85D" w14:textId="77777777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847483" w:rsidRPr="00EF46F3" w14:paraId="796F37A7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43ED15EF" w14:textId="77777777" w:rsidR="00847483" w:rsidRPr="00EF46F3" w:rsidRDefault="00847483" w:rsidP="00847483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 Appeals</w:t>
            </w:r>
          </w:p>
        </w:tc>
      </w:tr>
      <w:tr w:rsidR="00847483" w:rsidRPr="00EF46F3" w14:paraId="6479F9F9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AB70CF6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1B79069F" w14:textId="77777777" w:rsidR="00847483" w:rsidRPr="008B0F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B0F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  <w:hideMark/>
          </w:tcPr>
          <w:p w14:paraId="0CFFBFA8" w14:textId="77777777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1560" w:type="dxa"/>
            <w:noWrap/>
            <w:hideMark/>
          </w:tcPr>
          <w:p w14:paraId="4A6844DB" w14:textId="04BAE4C2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,670</w:t>
            </w:r>
          </w:p>
        </w:tc>
        <w:tc>
          <w:tcPr>
            <w:tcW w:w="1507" w:type="dxa"/>
            <w:noWrap/>
            <w:hideMark/>
          </w:tcPr>
          <w:p w14:paraId="1D266193" w14:textId="54ACA4C7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33.1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14E3BC48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0625E868" w14:textId="7A510EE2" w:rsidR="00847483" w:rsidRPr="00EF46F3" w:rsidRDefault="00847483" w:rsidP="00847483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77517F92" w14:textId="12B4E7DE" w:rsidR="00847483" w:rsidRPr="008B0F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B0F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</w:tcPr>
          <w:p w14:paraId="0C98012C" w14:textId="412FFB8D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Carer's Allowance/Benefit</w:t>
            </w:r>
          </w:p>
        </w:tc>
        <w:tc>
          <w:tcPr>
            <w:tcW w:w="1560" w:type="dxa"/>
            <w:noWrap/>
          </w:tcPr>
          <w:p w14:paraId="3E71B5A6" w14:textId="68D22A22" w:rsidR="0084748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934</w:t>
            </w:r>
          </w:p>
        </w:tc>
        <w:tc>
          <w:tcPr>
            <w:tcW w:w="1507" w:type="dxa"/>
            <w:noWrap/>
          </w:tcPr>
          <w:p w14:paraId="2B5271C7" w14:textId="61A7595A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8.5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1F4D11B2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677C0CA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B2BDE79" w14:textId="77777777" w:rsidR="00847483" w:rsidRPr="008B0F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B0F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  <w:hideMark/>
          </w:tcPr>
          <w:p w14:paraId="4D02A0AC" w14:textId="77777777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Invalidity Pension</w:t>
            </w:r>
          </w:p>
        </w:tc>
        <w:tc>
          <w:tcPr>
            <w:tcW w:w="1560" w:type="dxa"/>
            <w:noWrap/>
            <w:hideMark/>
          </w:tcPr>
          <w:p w14:paraId="78DAC2B8" w14:textId="594C11E8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717</w:t>
            </w:r>
          </w:p>
        </w:tc>
        <w:tc>
          <w:tcPr>
            <w:tcW w:w="1507" w:type="dxa"/>
            <w:noWrap/>
            <w:hideMark/>
          </w:tcPr>
          <w:p w14:paraId="7B6CFDAF" w14:textId="49278ED4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4.2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2431A743" w14:textId="77777777" w:rsidTr="007F0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6AAC9B86" w14:textId="6715717A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7AD756EB" w14:textId="3CAF42CB" w:rsidR="00847483" w:rsidRPr="008B0F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B0F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</w:tcPr>
          <w:p w14:paraId="322E5D26" w14:textId="2AA227AF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560" w:type="dxa"/>
            <w:noWrap/>
          </w:tcPr>
          <w:p w14:paraId="37B8444F" w14:textId="29D9386C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41</w:t>
            </w:r>
          </w:p>
        </w:tc>
        <w:tc>
          <w:tcPr>
            <w:tcW w:w="1507" w:type="dxa"/>
            <w:noWrap/>
          </w:tcPr>
          <w:p w14:paraId="33216BCF" w14:textId="0D564487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8.7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2D170091" w14:textId="77777777" w:rsidTr="007F08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1FEA7E9F" w14:textId="418FB8D9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020865F8" w14:textId="41B33373" w:rsidR="00847483" w:rsidRPr="008B0F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B0F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</w:tcPr>
          <w:p w14:paraId="173C8428" w14:textId="12C99BB8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Jobseeker's Allowance</w:t>
            </w:r>
          </w:p>
        </w:tc>
        <w:tc>
          <w:tcPr>
            <w:tcW w:w="1560" w:type="dxa"/>
            <w:noWrap/>
          </w:tcPr>
          <w:p w14:paraId="07A6BAB1" w14:textId="5B67AC9F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320</w:t>
            </w:r>
          </w:p>
        </w:tc>
        <w:tc>
          <w:tcPr>
            <w:tcW w:w="1507" w:type="dxa"/>
            <w:noWrap/>
          </w:tcPr>
          <w:p w14:paraId="2254DFB6" w14:textId="3356343E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6.3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04D7652C" w14:textId="77777777" w:rsidTr="007F0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667D7E09" w14:textId="3C68BEE4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7759046B" w14:textId="197016A9" w:rsidR="00847483" w:rsidRPr="008B0F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B0F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</w:tcPr>
          <w:p w14:paraId="2D0B8551" w14:textId="7C21FF19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Domiciliary Care Allowance</w:t>
            </w:r>
          </w:p>
        </w:tc>
        <w:tc>
          <w:tcPr>
            <w:tcW w:w="1560" w:type="dxa"/>
            <w:noWrap/>
          </w:tcPr>
          <w:p w14:paraId="2E06456D" w14:textId="3F445AA4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206</w:t>
            </w:r>
          </w:p>
        </w:tc>
        <w:tc>
          <w:tcPr>
            <w:tcW w:w="1507" w:type="dxa"/>
            <w:noWrap/>
          </w:tcPr>
          <w:p w14:paraId="41A227A3" w14:textId="3C562975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4.1%</w:t>
            </w:r>
          </w:p>
        </w:tc>
      </w:tr>
      <w:tr w:rsidR="00847483" w:rsidRPr="00EF46F3" w14:paraId="68DD710B" w14:textId="77777777" w:rsidTr="007F08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5650EB00" w14:textId="0D1E0E1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79544AAB" w14:textId="550F378F" w:rsidR="00847483" w:rsidRPr="008B0F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B0F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</w:tcPr>
          <w:p w14:paraId="31C18300" w14:textId="43D35EED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State Pension (Non-Contributory)</w:t>
            </w:r>
          </w:p>
        </w:tc>
        <w:tc>
          <w:tcPr>
            <w:tcW w:w="1560" w:type="dxa"/>
            <w:noWrap/>
          </w:tcPr>
          <w:p w14:paraId="67CB5AA8" w14:textId="1EED7088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139</w:t>
            </w:r>
          </w:p>
        </w:tc>
        <w:tc>
          <w:tcPr>
            <w:tcW w:w="1507" w:type="dxa"/>
            <w:noWrap/>
          </w:tcPr>
          <w:p w14:paraId="7F61E00E" w14:textId="5F8FEEA0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.8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3CEDB264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246ABDC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C3BC9E0" w14:textId="77777777" w:rsidR="00847483" w:rsidRPr="008B0F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B0F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  <w:hideMark/>
          </w:tcPr>
          <w:p w14:paraId="5CBC5DA1" w14:textId="77777777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Supplementary Welfare Allowance</w:t>
            </w:r>
          </w:p>
        </w:tc>
        <w:tc>
          <w:tcPr>
            <w:tcW w:w="1560" w:type="dxa"/>
            <w:noWrap/>
            <w:hideMark/>
          </w:tcPr>
          <w:p w14:paraId="4160DFBA" w14:textId="35E180FF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1507" w:type="dxa"/>
            <w:noWrap/>
            <w:hideMark/>
          </w:tcPr>
          <w:p w14:paraId="3C73AE2C" w14:textId="01AC4538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2.4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02E604DA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C5B4CDF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15A0E99F" w14:textId="77777777" w:rsidR="00847483" w:rsidRPr="008B0F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B0F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  <w:hideMark/>
          </w:tcPr>
          <w:p w14:paraId="592F2DBC" w14:textId="77777777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State Pension (Contributory)</w:t>
            </w:r>
          </w:p>
        </w:tc>
        <w:tc>
          <w:tcPr>
            <w:tcW w:w="1560" w:type="dxa"/>
            <w:noWrap/>
            <w:hideMark/>
          </w:tcPr>
          <w:p w14:paraId="01FA6F40" w14:textId="07B36D6A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1507" w:type="dxa"/>
            <w:noWrap/>
            <w:hideMark/>
          </w:tcPr>
          <w:p w14:paraId="7F8A9794" w14:textId="27788F9E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1.9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4282CD8D" w14:textId="77777777" w:rsidTr="007F0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4D54E1F5" w14:textId="3D7BE7B9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3775" w:type="dxa"/>
            <w:noWrap/>
          </w:tcPr>
          <w:p w14:paraId="4C6D47C7" w14:textId="55757547" w:rsidR="00847483" w:rsidRPr="008B0F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B0F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</w:tcPr>
          <w:p w14:paraId="17676A9F" w14:textId="1621132A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Child Benefit</w:t>
            </w:r>
          </w:p>
        </w:tc>
        <w:tc>
          <w:tcPr>
            <w:tcW w:w="1560" w:type="dxa"/>
            <w:noWrap/>
          </w:tcPr>
          <w:p w14:paraId="75721A9E" w14:textId="0DE8FB17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85</w:t>
            </w:r>
          </w:p>
        </w:tc>
        <w:tc>
          <w:tcPr>
            <w:tcW w:w="1507" w:type="dxa"/>
            <w:noWrap/>
          </w:tcPr>
          <w:p w14:paraId="35741CD4" w14:textId="3DF56A1C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1.7%</w:t>
            </w:r>
          </w:p>
        </w:tc>
      </w:tr>
      <w:tr w:rsidR="00847483" w:rsidRPr="00EF46F3" w14:paraId="261CCD32" w14:textId="77777777" w:rsidTr="007F08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2F148093" w14:textId="000EE5FF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409565E3" w14:textId="569A0A07" w:rsidR="00847483" w:rsidRPr="008B0F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B0F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</w:tcPr>
          <w:p w14:paraId="3E72912D" w14:textId="6E7F96B1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Jobseeker's Benefit</w:t>
            </w:r>
          </w:p>
        </w:tc>
        <w:tc>
          <w:tcPr>
            <w:tcW w:w="1560" w:type="dxa"/>
            <w:noWrap/>
          </w:tcPr>
          <w:p w14:paraId="4C3851C6" w14:textId="2FC4FE36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77</w:t>
            </w:r>
          </w:p>
        </w:tc>
        <w:tc>
          <w:tcPr>
            <w:tcW w:w="1507" w:type="dxa"/>
            <w:noWrap/>
          </w:tcPr>
          <w:p w14:paraId="27A5FE62" w14:textId="33592579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32787585" w14:textId="77777777" w:rsidTr="007F08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39F8B79A" w14:textId="15E0DF7F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15A870E1" w14:textId="6EEAB671" w:rsidR="00847483" w:rsidRPr="008B0F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B0F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</w:tcPr>
          <w:p w14:paraId="79FF2AB9" w14:textId="3D660CCE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Illness Benefit</w:t>
            </w:r>
          </w:p>
        </w:tc>
        <w:tc>
          <w:tcPr>
            <w:tcW w:w="1560" w:type="dxa"/>
            <w:noWrap/>
          </w:tcPr>
          <w:p w14:paraId="4D16E3E2" w14:textId="0F060924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74</w:t>
            </w:r>
          </w:p>
        </w:tc>
        <w:tc>
          <w:tcPr>
            <w:tcW w:w="1507" w:type="dxa"/>
            <w:noWrap/>
          </w:tcPr>
          <w:p w14:paraId="02312581" w14:textId="7599566F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6DC53CEA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2D0FD9C3" w14:textId="4F3AF34B" w:rsidR="00847483" w:rsidRPr="00EF46F3" w:rsidRDefault="00847483" w:rsidP="00847483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5421E8BA" w14:textId="2394594B" w:rsidR="00847483" w:rsidRPr="008B0F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B0F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</w:tcPr>
          <w:p w14:paraId="33EA0E13" w14:textId="0D324BF2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Working Family Payment (WFP)</w:t>
            </w:r>
          </w:p>
        </w:tc>
        <w:tc>
          <w:tcPr>
            <w:tcW w:w="1560" w:type="dxa"/>
            <w:noWrap/>
          </w:tcPr>
          <w:p w14:paraId="352AB4F6" w14:textId="5D983125" w:rsidR="0084748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72</w:t>
            </w:r>
          </w:p>
        </w:tc>
        <w:tc>
          <w:tcPr>
            <w:tcW w:w="1507" w:type="dxa"/>
            <w:noWrap/>
          </w:tcPr>
          <w:p w14:paraId="426D14D6" w14:textId="32A2350E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1.4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48209025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24136E0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AE30BC3" w14:textId="77777777" w:rsidR="00847483" w:rsidRPr="008B0F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B0F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  <w:hideMark/>
          </w:tcPr>
          <w:p w14:paraId="63471041" w14:textId="77777777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One Parent Family Payment (OFP)</w:t>
            </w:r>
          </w:p>
        </w:tc>
        <w:tc>
          <w:tcPr>
            <w:tcW w:w="1560" w:type="dxa"/>
            <w:noWrap/>
            <w:hideMark/>
          </w:tcPr>
          <w:p w14:paraId="38477457" w14:textId="54CD14F1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56</w:t>
            </w:r>
          </w:p>
        </w:tc>
        <w:tc>
          <w:tcPr>
            <w:tcW w:w="1507" w:type="dxa"/>
            <w:noWrap/>
            <w:hideMark/>
          </w:tcPr>
          <w:p w14:paraId="28470892" w14:textId="130334CA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1CA0182A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3121A17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87FA29E" w14:textId="77777777" w:rsidR="00847483" w:rsidRPr="008B0F76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B0F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  <w:hideMark/>
          </w:tcPr>
          <w:p w14:paraId="038E856F" w14:textId="77777777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Carer's Support Grant</w:t>
            </w:r>
          </w:p>
        </w:tc>
        <w:tc>
          <w:tcPr>
            <w:tcW w:w="1560" w:type="dxa"/>
            <w:noWrap/>
            <w:hideMark/>
          </w:tcPr>
          <w:p w14:paraId="0DA1AB60" w14:textId="5EF7ACE7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25</w:t>
            </w:r>
          </w:p>
        </w:tc>
        <w:tc>
          <w:tcPr>
            <w:tcW w:w="1507" w:type="dxa"/>
            <w:noWrap/>
            <w:hideMark/>
          </w:tcPr>
          <w:p w14:paraId="0E383042" w14:textId="0CCC1978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03D96506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4CBC1F9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57DD4892" w14:textId="77777777" w:rsidR="00847483" w:rsidRPr="008B0F76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B0F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  <w:hideMark/>
          </w:tcPr>
          <w:p w14:paraId="5F35DE15" w14:textId="77777777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Widow/Widower/surviving Civil Partner Pension</w:t>
            </w:r>
          </w:p>
        </w:tc>
        <w:tc>
          <w:tcPr>
            <w:tcW w:w="1560" w:type="dxa"/>
            <w:noWrap/>
            <w:hideMark/>
          </w:tcPr>
          <w:p w14:paraId="3095ABB0" w14:textId="1EBBEB00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1507" w:type="dxa"/>
            <w:noWrap/>
            <w:hideMark/>
          </w:tcPr>
          <w:p w14:paraId="78E85387" w14:textId="63D8643D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349B9630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60537C6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5139814B" w14:textId="77777777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2621F656" w14:textId="77777777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7FF3FDC8" w14:textId="50F08A93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5,052</w:t>
            </w:r>
          </w:p>
        </w:tc>
        <w:tc>
          <w:tcPr>
            <w:tcW w:w="1507" w:type="dxa"/>
            <w:noWrap/>
            <w:hideMark/>
          </w:tcPr>
          <w:p w14:paraId="4E5BD8DE" w14:textId="77777777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0D5675" w:rsidRPr="00EF46F3" w14:paraId="0AB97833" w14:textId="77777777" w:rsidTr="00AA1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</w:tcPr>
          <w:p w14:paraId="7C05EF47" w14:textId="7EC65FC0" w:rsidR="000D5675" w:rsidRPr="00EF46F3" w:rsidRDefault="000D5675" w:rsidP="0084748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IE"/>
              </w:rPr>
            </w:pPr>
            <w:r w:rsidRPr="000D567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Payments and Work</w:t>
            </w:r>
          </w:p>
        </w:tc>
      </w:tr>
      <w:tr w:rsidR="000D5675" w:rsidRPr="00EF46F3" w14:paraId="0508714B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68CC1C86" w14:textId="34B1EA91" w:rsidR="000D5675" w:rsidRPr="00EF46F3" w:rsidRDefault="000D5675" w:rsidP="000D5675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D0709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796F303F" w14:textId="7AF94DC8" w:rsidR="000D5675" w:rsidRPr="00EF46F3" w:rsidRDefault="000D5675" w:rsidP="000D5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Payments and Work</w:t>
            </w:r>
          </w:p>
        </w:tc>
        <w:tc>
          <w:tcPr>
            <w:tcW w:w="5438" w:type="dxa"/>
            <w:noWrap/>
          </w:tcPr>
          <w:p w14:paraId="399ACC7C" w14:textId="45E09168" w:rsidR="000D5675" w:rsidRPr="00EF46F3" w:rsidRDefault="000D5675" w:rsidP="000D5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Payments and Work</w:t>
            </w:r>
          </w:p>
        </w:tc>
        <w:tc>
          <w:tcPr>
            <w:tcW w:w="1560" w:type="dxa"/>
            <w:noWrap/>
          </w:tcPr>
          <w:p w14:paraId="02A38499" w14:textId="170E13B0" w:rsidR="000D5675" w:rsidRPr="000D5675" w:rsidRDefault="000D5675" w:rsidP="000D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0D5675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2816</w:t>
            </w:r>
          </w:p>
        </w:tc>
        <w:tc>
          <w:tcPr>
            <w:tcW w:w="1507" w:type="dxa"/>
            <w:noWrap/>
          </w:tcPr>
          <w:p w14:paraId="56228300" w14:textId="254F82BC" w:rsidR="000D5675" w:rsidRPr="000D5675" w:rsidRDefault="000D5675" w:rsidP="000D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0D5675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0D5675" w:rsidRPr="00EF46F3" w14:paraId="6373F0AB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2FE1269B" w14:textId="4929ECEA" w:rsidR="000D5675" w:rsidRPr="00EF46F3" w:rsidRDefault="000D5675" w:rsidP="000D5675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3775" w:type="dxa"/>
            <w:noWrap/>
          </w:tcPr>
          <w:p w14:paraId="6B92D808" w14:textId="77777777" w:rsidR="000D5675" w:rsidRPr="00EF46F3" w:rsidRDefault="000D5675" w:rsidP="000D5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5438" w:type="dxa"/>
            <w:noWrap/>
          </w:tcPr>
          <w:p w14:paraId="7B768EEF" w14:textId="54A3E218" w:rsidR="000D5675" w:rsidRPr="00EF46F3" w:rsidRDefault="000D5675" w:rsidP="000D5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</w:tcPr>
          <w:p w14:paraId="0E56538C" w14:textId="5F17A4BA" w:rsidR="000D5675" w:rsidRDefault="000D5675" w:rsidP="000D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2816</w:t>
            </w:r>
          </w:p>
        </w:tc>
        <w:tc>
          <w:tcPr>
            <w:tcW w:w="1507" w:type="dxa"/>
            <w:noWrap/>
          </w:tcPr>
          <w:p w14:paraId="20CFEAEB" w14:textId="29174C83" w:rsidR="000D5675" w:rsidRPr="00EF46F3" w:rsidRDefault="000D5675" w:rsidP="000D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3E0884" w:rsidRPr="00EF46F3" w14:paraId="5229D173" w14:textId="77777777" w:rsidTr="009A02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</w:tcPr>
          <w:p w14:paraId="6C173A70" w14:textId="0E537E74" w:rsidR="003E0884" w:rsidRPr="00EF46F3" w:rsidRDefault="003E0884" w:rsidP="0084748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 Benefits Check</w:t>
            </w:r>
          </w:p>
        </w:tc>
      </w:tr>
      <w:tr w:rsidR="003E0884" w:rsidRPr="00EF46F3" w14:paraId="23E4049B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50665808" w14:textId="6DECD29E" w:rsidR="003E0884" w:rsidRPr="00EF46F3" w:rsidRDefault="003E0884" w:rsidP="003E0884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>Social Welfare</w:t>
            </w:r>
          </w:p>
        </w:tc>
        <w:tc>
          <w:tcPr>
            <w:tcW w:w="3775" w:type="dxa"/>
            <w:noWrap/>
          </w:tcPr>
          <w:p w14:paraId="014C01D4" w14:textId="3158F7AD" w:rsidR="003E0884" w:rsidRPr="00EF46F3" w:rsidRDefault="003E0884" w:rsidP="003E0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8B0F7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Benefits Check</w:t>
            </w:r>
          </w:p>
        </w:tc>
        <w:tc>
          <w:tcPr>
            <w:tcW w:w="5438" w:type="dxa"/>
            <w:noWrap/>
          </w:tcPr>
          <w:p w14:paraId="5BEECA1A" w14:textId="3D22807D" w:rsidR="003E0884" w:rsidRPr="00EF46F3" w:rsidRDefault="003E0884" w:rsidP="003E08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Benefits Check</w:t>
            </w:r>
          </w:p>
        </w:tc>
        <w:tc>
          <w:tcPr>
            <w:tcW w:w="1560" w:type="dxa"/>
            <w:noWrap/>
          </w:tcPr>
          <w:p w14:paraId="72CC281A" w14:textId="6FA810AD" w:rsidR="003E0884" w:rsidRDefault="003E0884" w:rsidP="003E08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,551</w:t>
            </w:r>
          </w:p>
        </w:tc>
        <w:tc>
          <w:tcPr>
            <w:tcW w:w="1507" w:type="dxa"/>
            <w:noWrap/>
          </w:tcPr>
          <w:p w14:paraId="1D2B5EE4" w14:textId="1D94B1D0" w:rsidR="003E0884" w:rsidRPr="00EF46F3" w:rsidRDefault="003E0884" w:rsidP="003E08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3E0884" w:rsidRPr="00EF46F3" w14:paraId="7B4913A4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</w:tcPr>
          <w:p w14:paraId="44BC24AF" w14:textId="6C7640DE" w:rsidR="003E0884" w:rsidRPr="00EF46F3" w:rsidRDefault="003E0884" w:rsidP="003E0884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</w:tcPr>
          <w:p w14:paraId="00D824DF" w14:textId="0FA3695B" w:rsidR="003E0884" w:rsidRPr="00EF46F3" w:rsidRDefault="003E0884" w:rsidP="003E0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</w:tcPr>
          <w:p w14:paraId="7F0B2393" w14:textId="0B0D8055" w:rsidR="003E0884" w:rsidRPr="00EF46F3" w:rsidRDefault="003E0884" w:rsidP="003E08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</w:tcPr>
          <w:p w14:paraId="6960B0D1" w14:textId="2001002B" w:rsidR="003E0884" w:rsidRDefault="003E0884" w:rsidP="003E08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,511</w:t>
            </w:r>
          </w:p>
        </w:tc>
        <w:tc>
          <w:tcPr>
            <w:tcW w:w="1507" w:type="dxa"/>
            <w:noWrap/>
          </w:tcPr>
          <w:p w14:paraId="3D6C3564" w14:textId="61702971" w:rsidR="003E0884" w:rsidRPr="00EF46F3" w:rsidRDefault="003E0884" w:rsidP="003E08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847483" w:rsidRPr="00EF46F3" w14:paraId="01415676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4FDD8B99" w14:textId="77777777" w:rsidR="00847483" w:rsidRPr="00EF46F3" w:rsidRDefault="00847483" w:rsidP="00847483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 and Farmers</w:t>
            </w:r>
          </w:p>
        </w:tc>
      </w:tr>
      <w:tr w:rsidR="00847483" w:rsidRPr="00EF46F3" w14:paraId="567B38DE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29E933B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58831846" w14:textId="77777777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Farmers</w:t>
            </w:r>
          </w:p>
        </w:tc>
        <w:tc>
          <w:tcPr>
            <w:tcW w:w="5438" w:type="dxa"/>
            <w:noWrap/>
            <w:hideMark/>
          </w:tcPr>
          <w:p w14:paraId="38471291" w14:textId="77777777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Farm Assist</w:t>
            </w:r>
          </w:p>
        </w:tc>
        <w:tc>
          <w:tcPr>
            <w:tcW w:w="1560" w:type="dxa"/>
            <w:noWrap/>
            <w:hideMark/>
          </w:tcPr>
          <w:p w14:paraId="19A0160D" w14:textId="4EFE59BA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96</w:t>
            </w:r>
          </w:p>
        </w:tc>
        <w:tc>
          <w:tcPr>
            <w:tcW w:w="1507" w:type="dxa"/>
            <w:noWrap/>
            <w:hideMark/>
          </w:tcPr>
          <w:p w14:paraId="2D7AAE3E" w14:textId="7D051421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0.6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6AA9301F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0418D44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7DD543C3" w14:textId="77777777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Farmers</w:t>
            </w:r>
          </w:p>
        </w:tc>
        <w:tc>
          <w:tcPr>
            <w:tcW w:w="5438" w:type="dxa"/>
            <w:noWrap/>
            <w:hideMark/>
          </w:tcPr>
          <w:p w14:paraId="79959CC7" w14:textId="77777777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560" w:type="dxa"/>
            <w:noWrap/>
            <w:hideMark/>
          </w:tcPr>
          <w:p w14:paraId="7BAC71C1" w14:textId="7AAF436A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62</w:t>
            </w:r>
          </w:p>
        </w:tc>
        <w:tc>
          <w:tcPr>
            <w:tcW w:w="1507" w:type="dxa"/>
            <w:noWrap/>
            <w:hideMark/>
          </w:tcPr>
          <w:p w14:paraId="2194F5DF" w14:textId="7858FD17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</w:t>
            </w: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EF46F3" w14:paraId="38E06A29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7A7F35E" w14:textId="77777777" w:rsidR="00847483" w:rsidRPr="00EF46F3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013062C0" w14:textId="77777777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38490E22" w14:textId="77777777" w:rsidR="00847483" w:rsidRPr="00EF46F3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65AFF289" w14:textId="6D32C723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58</w:t>
            </w:r>
          </w:p>
        </w:tc>
        <w:tc>
          <w:tcPr>
            <w:tcW w:w="1507" w:type="dxa"/>
            <w:noWrap/>
            <w:hideMark/>
          </w:tcPr>
          <w:p w14:paraId="29F86250" w14:textId="77777777" w:rsidR="00847483" w:rsidRPr="00EF46F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847483" w:rsidRPr="00EF46F3" w14:paraId="057FA54C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8B9249A" w14:textId="77777777" w:rsidR="00847483" w:rsidRPr="00EF46F3" w:rsidRDefault="00847483" w:rsidP="00847483">
            <w:pPr>
              <w:rPr>
                <w:rFonts w:ascii="Tw Cen MT" w:eastAsia="Times New Roman" w:hAnsi="Tw Cen MT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Tw Cen MT" w:eastAsia="Times New Roman" w:hAnsi="Tw Cen MT" w:cs="Calibri"/>
                <w:color w:val="auto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71BE23BA" w14:textId="77777777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266D8A30" w14:textId="77777777" w:rsidR="00847483" w:rsidRPr="00EF46F3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 Total Social Welfare Queries</w:t>
            </w:r>
          </w:p>
        </w:tc>
        <w:tc>
          <w:tcPr>
            <w:tcW w:w="1560" w:type="dxa"/>
            <w:noWrap/>
            <w:hideMark/>
          </w:tcPr>
          <w:p w14:paraId="535B1167" w14:textId="674FF564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lang w:eastAsia="en-IE"/>
              </w:rPr>
              <w:t>71</w:t>
            </w:r>
            <w:r w:rsidRPr="00EF46F3">
              <w:rPr>
                <w:rFonts w:ascii="Calibri" w:eastAsia="Times New Roman" w:hAnsi="Calibri" w:cs="Calibri"/>
                <w:b/>
                <w:bCs/>
                <w:lang w:eastAsia="en-IE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lang w:eastAsia="en-IE"/>
              </w:rPr>
              <w:t>736</w:t>
            </w:r>
          </w:p>
        </w:tc>
        <w:tc>
          <w:tcPr>
            <w:tcW w:w="1507" w:type="dxa"/>
            <w:noWrap/>
            <w:hideMark/>
          </w:tcPr>
          <w:p w14:paraId="67B77E92" w14:textId="77777777" w:rsidR="00847483" w:rsidRPr="00EF46F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100.00%</w:t>
            </w:r>
          </w:p>
        </w:tc>
      </w:tr>
    </w:tbl>
    <w:p w14:paraId="24E6BDBC" w14:textId="4505918F" w:rsidR="00C23E1D" w:rsidRPr="00EF46F3" w:rsidRDefault="00C23E1D" w:rsidP="000B2A34"/>
    <w:p w14:paraId="01AE01E8" w14:textId="5A50A5FC" w:rsidR="00C23E1D" w:rsidRDefault="00C23E1D" w:rsidP="000B2A34"/>
    <w:p w14:paraId="62FCA5E9" w14:textId="7E799682" w:rsidR="00C23E1D" w:rsidRDefault="00C23E1D" w:rsidP="000B2A34"/>
    <w:p w14:paraId="1990056C" w14:textId="1A996949" w:rsidR="00C23E1D" w:rsidRDefault="00C23E1D" w:rsidP="000B2A34"/>
    <w:p w14:paraId="56A61C54" w14:textId="77777777" w:rsidR="00166F0C" w:rsidRDefault="00166F0C">
      <w:pPr>
        <w:rPr>
          <w:rFonts w:asciiTheme="majorHAnsi" w:eastAsiaTheme="majorEastAsia" w:hAnsiTheme="majorHAnsi" w:cstheme="majorBidi"/>
          <w:color w:val="1481AB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14:paraId="582E0642" w14:textId="49B6D93B" w:rsidR="007302B3" w:rsidRPr="00CE4690" w:rsidRDefault="00AD435D" w:rsidP="00D859B4">
      <w:pPr>
        <w:pStyle w:val="Heading1"/>
        <w:rPr>
          <w:sz w:val="28"/>
          <w:szCs w:val="28"/>
        </w:rPr>
      </w:pPr>
      <w:r w:rsidRPr="00CE4690">
        <w:rPr>
          <w:sz w:val="28"/>
          <w:szCs w:val="28"/>
        </w:rPr>
        <w:lastRenderedPageBreak/>
        <w:t>Housing Queries 202</w:t>
      </w:r>
      <w:r w:rsidR="00166F0C">
        <w:rPr>
          <w:sz w:val="28"/>
          <w:szCs w:val="28"/>
        </w:rPr>
        <w:t>2</w:t>
      </w:r>
    </w:p>
    <w:p w14:paraId="78B2FD7F" w14:textId="4BDBC9B4" w:rsidR="009C2A52" w:rsidRDefault="007302B3" w:rsidP="008834FB">
      <w:pPr>
        <w:jc w:val="both"/>
        <w:rPr>
          <w:rFonts w:ascii="Calibri" w:hAnsi="Calibri" w:cs="Calibri"/>
        </w:rPr>
      </w:pPr>
      <w:r w:rsidRPr="00D859B4">
        <w:rPr>
          <w:rFonts w:ascii="Calibri" w:hAnsi="Calibri" w:cs="Calibri"/>
        </w:rPr>
        <w:t xml:space="preserve">There </w:t>
      </w:r>
      <w:r w:rsidRPr="00914570">
        <w:rPr>
          <w:rFonts w:ascii="Calibri" w:hAnsi="Calibri" w:cs="Calibri"/>
        </w:rPr>
        <w:t xml:space="preserve">were </w:t>
      </w:r>
      <w:r w:rsidR="00AF5757">
        <w:rPr>
          <w:rFonts w:ascii="Calibri" w:hAnsi="Calibri" w:cs="Calibri"/>
        </w:rPr>
        <w:t xml:space="preserve">75,414 </w:t>
      </w:r>
      <w:r w:rsidR="00D859B4" w:rsidRPr="00562A08">
        <w:rPr>
          <w:rFonts w:ascii="Calibri" w:hAnsi="Calibri" w:cs="Calibri"/>
          <w:b/>
          <w:bCs/>
        </w:rPr>
        <w:t>H</w:t>
      </w:r>
      <w:r w:rsidR="00914570" w:rsidRPr="00562A08">
        <w:rPr>
          <w:rFonts w:ascii="Calibri" w:hAnsi="Calibri" w:cs="Calibri"/>
          <w:b/>
          <w:bCs/>
        </w:rPr>
        <w:t>ousing</w:t>
      </w:r>
      <w:r w:rsidR="00914570">
        <w:rPr>
          <w:rFonts w:ascii="Calibri" w:hAnsi="Calibri" w:cs="Calibri"/>
        </w:rPr>
        <w:t xml:space="preserve"> queries in 202</w:t>
      </w:r>
      <w:r w:rsidR="00AF5757">
        <w:rPr>
          <w:rFonts w:ascii="Calibri" w:hAnsi="Calibri" w:cs="Calibri"/>
        </w:rPr>
        <w:t>2</w:t>
      </w:r>
      <w:r w:rsidR="00914570">
        <w:rPr>
          <w:rFonts w:ascii="Calibri" w:hAnsi="Calibri" w:cs="Calibri"/>
        </w:rPr>
        <w:t xml:space="preserve">, representing </w:t>
      </w:r>
      <w:r w:rsidR="00166F0C">
        <w:rPr>
          <w:rFonts w:ascii="Calibri" w:hAnsi="Calibri" w:cs="Calibri"/>
        </w:rPr>
        <w:t>9.6</w:t>
      </w:r>
      <w:r w:rsidR="00914570">
        <w:rPr>
          <w:rFonts w:ascii="Calibri" w:hAnsi="Calibri" w:cs="Calibri"/>
        </w:rPr>
        <w:t>% of all queries</w:t>
      </w:r>
      <w:r w:rsidR="00863BDA">
        <w:rPr>
          <w:rFonts w:ascii="Calibri" w:hAnsi="Calibri" w:cs="Calibri"/>
        </w:rPr>
        <w:t xml:space="preserve"> and an increase of 2</w:t>
      </w:r>
      <w:r w:rsidR="007C39FE">
        <w:rPr>
          <w:rFonts w:ascii="Calibri" w:hAnsi="Calibri" w:cs="Calibri"/>
        </w:rPr>
        <w:t>2.5</w:t>
      </w:r>
      <w:r w:rsidR="00863BDA">
        <w:rPr>
          <w:rFonts w:ascii="Calibri" w:hAnsi="Calibri" w:cs="Calibri"/>
        </w:rPr>
        <w:t xml:space="preserve">% compared to </w:t>
      </w:r>
      <w:r w:rsidR="0026631E">
        <w:rPr>
          <w:rFonts w:ascii="Calibri" w:hAnsi="Calibri" w:cs="Calibri"/>
        </w:rPr>
        <w:t>the number of queries in 2021.</w:t>
      </w:r>
    </w:p>
    <w:p w14:paraId="05B3E415" w14:textId="72F21A91" w:rsidR="007302B3" w:rsidRDefault="00D859B4" w:rsidP="008834FB">
      <w:pPr>
        <w:jc w:val="both"/>
        <w:rPr>
          <w:rFonts w:ascii="Calibri" w:hAnsi="Calibri" w:cs="Calibri"/>
        </w:rPr>
      </w:pPr>
      <w:r w:rsidRPr="00914570">
        <w:rPr>
          <w:rFonts w:ascii="Calibri" w:hAnsi="Calibri" w:cs="Calibri"/>
        </w:rPr>
        <w:t>Q</w:t>
      </w:r>
      <w:r w:rsidR="00AA2D25" w:rsidRPr="00914570">
        <w:rPr>
          <w:rFonts w:ascii="Calibri" w:hAnsi="Calibri" w:cs="Calibri"/>
        </w:rPr>
        <w:t xml:space="preserve">ueries </w:t>
      </w:r>
      <w:r w:rsidR="0026631E">
        <w:rPr>
          <w:rFonts w:ascii="Calibri" w:hAnsi="Calibri" w:cs="Calibri"/>
        </w:rPr>
        <w:t xml:space="preserve">related to </w:t>
      </w:r>
      <w:r w:rsidR="0026631E" w:rsidRPr="00562A08">
        <w:rPr>
          <w:rFonts w:ascii="Calibri" w:hAnsi="Calibri" w:cs="Calibri"/>
          <w:b/>
          <w:bCs/>
          <w:i/>
          <w:iCs/>
        </w:rPr>
        <w:t>Local Authority and Social Housing</w:t>
      </w:r>
      <w:r w:rsidR="00AA2D25" w:rsidRPr="00914570">
        <w:rPr>
          <w:rFonts w:ascii="Calibri" w:hAnsi="Calibri" w:cs="Calibri"/>
        </w:rPr>
        <w:t xml:space="preserve"> </w:t>
      </w:r>
      <w:r w:rsidRPr="00914570">
        <w:rPr>
          <w:rFonts w:ascii="Calibri" w:hAnsi="Calibri" w:cs="Calibri"/>
        </w:rPr>
        <w:t>represented</w:t>
      </w:r>
      <w:r w:rsidR="007302B3" w:rsidRPr="00914570">
        <w:rPr>
          <w:rFonts w:ascii="Calibri" w:hAnsi="Calibri" w:cs="Calibri"/>
        </w:rPr>
        <w:t xml:space="preserve"> </w:t>
      </w:r>
      <w:r w:rsidR="00F12851">
        <w:rPr>
          <w:rFonts w:ascii="Calibri" w:hAnsi="Calibri" w:cs="Calibri"/>
        </w:rPr>
        <w:t>over half</w:t>
      </w:r>
      <w:r w:rsidR="007302B3" w:rsidRPr="00914570">
        <w:rPr>
          <w:rFonts w:ascii="Calibri" w:hAnsi="Calibri" w:cs="Calibri"/>
        </w:rPr>
        <w:t xml:space="preserve"> of this query </w:t>
      </w:r>
      <w:r w:rsidR="00562A08" w:rsidRPr="00914570">
        <w:rPr>
          <w:rFonts w:ascii="Calibri" w:hAnsi="Calibri" w:cs="Calibri"/>
        </w:rPr>
        <w:t>area and</w:t>
      </w:r>
      <w:r w:rsidR="00F12851">
        <w:rPr>
          <w:rFonts w:ascii="Calibri" w:hAnsi="Calibri" w:cs="Calibri"/>
        </w:rPr>
        <w:t xml:space="preserve"> saw an increase of 26.7% </w:t>
      </w:r>
      <w:r w:rsidR="00C6352A">
        <w:rPr>
          <w:rFonts w:ascii="Calibri" w:hAnsi="Calibri" w:cs="Calibri"/>
        </w:rPr>
        <w:t>on last</w:t>
      </w:r>
      <w:r w:rsidR="00F12851">
        <w:rPr>
          <w:rFonts w:ascii="Calibri" w:hAnsi="Calibri" w:cs="Calibri"/>
        </w:rPr>
        <w:t xml:space="preserve"> year -</w:t>
      </w:r>
      <w:r w:rsidR="0026631E">
        <w:rPr>
          <w:rFonts w:ascii="Calibri" w:hAnsi="Calibri" w:cs="Calibri"/>
        </w:rPr>
        <w:t xml:space="preserve">followed by </w:t>
      </w:r>
      <w:r w:rsidR="0026631E" w:rsidRPr="00562A08">
        <w:rPr>
          <w:rFonts w:ascii="Calibri" w:hAnsi="Calibri" w:cs="Calibri"/>
          <w:b/>
          <w:bCs/>
          <w:i/>
          <w:iCs/>
        </w:rPr>
        <w:t>Renting a Home</w:t>
      </w:r>
      <w:r w:rsidR="0026631E">
        <w:rPr>
          <w:rFonts w:ascii="Calibri" w:hAnsi="Calibri" w:cs="Calibri"/>
        </w:rPr>
        <w:t xml:space="preserve"> (1</w:t>
      </w:r>
      <w:r w:rsidR="007C39FE">
        <w:rPr>
          <w:rFonts w:ascii="Calibri" w:hAnsi="Calibri" w:cs="Calibri"/>
        </w:rPr>
        <w:t>5.5</w:t>
      </w:r>
      <w:r w:rsidR="0026631E">
        <w:rPr>
          <w:rFonts w:ascii="Calibri" w:hAnsi="Calibri" w:cs="Calibri"/>
        </w:rPr>
        <w:t>%) and</w:t>
      </w:r>
      <w:r w:rsidR="007302B3" w:rsidRPr="00914570">
        <w:rPr>
          <w:rFonts w:ascii="Calibri" w:hAnsi="Calibri" w:cs="Calibri"/>
        </w:rPr>
        <w:t xml:space="preserve"> </w:t>
      </w:r>
      <w:r w:rsidR="007302B3" w:rsidRPr="00562A08">
        <w:rPr>
          <w:rFonts w:ascii="Calibri" w:hAnsi="Calibri" w:cs="Calibri"/>
          <w:b/>
          <w:bCs/>
          <w:i/>
        </w:rPr>
        <w:t xml:space="preserve">Housing </w:t>
      </w:r>
      <w:r w:rsidR="00166F0C" w:rsidRPr="00562A08">
        <w:rPr>
          <w:rFonts w:ascii="Calibri" w:hAnsi="Calibri" w:cs="Calibri"/>
          <w:b/>
          <w:bCs/>
          <w:i/>
        </w:rPr>
        <w:t>Grants and Schemes</w:t>
      </w:r>
      <w:r w:rsidR="007302B3" w:rsidRPr="00914570">
        <w:rPr>
          <w:rFonts w:ascii="Calibri" w:hAnsi="Calibri" w:cs="Calibri"/>
        </w:rPr>
        <w:t xml:space="preserve"> </w:t>
      </w:r>
      <w:r w:rsidRPr="00914570">
        <w:rPr>
          <w:rFonts w:ascii="Calibri" w:hAnsi="Calibri" w:cs="Calibri"/>
        </w:rPr>
        <w:t>(</w:t>
      </w:r>
      <w:r w:rsidR="00166F0C">
        <w:rPr>
          <w:rFonts w:ascii="Calibri" w:hAnsi="Calibri" w:cs="Calibri"/>
        </w:rPr>
        <w:t>15</w:t>
      </w:r>
      <w:r w:rsidR="007C39FE">
        <w:rPr>
          <w:rFonts w:ascii="Calibri" w:hAnsi="Calibri" w:cs="Calibri"/>
        </w:rPr>
        <w:t>.3</w:t>
      </w:r>
      <w:r w:rsidR="00914570" w:rsidRPr="00914570">
        <w:rPr>
          <w:rFonts w:ascii="Calibri" w:hAnsi="Calibri" w:cs="Calibri"/>
        </w:rPr>
        <w:t>%</w:t>
      </w:r>
      <w:r w:rsidRPr="00914570">
        <w:rPr>
          <w:rFonts w:ascii="Calibri" w:hAnsi="Calibri" w:cs="Calibri"/>
        </w:rPr>
        <w:t>)</w:t>
      </w:r>
      <w:r w:rsidR="007302B3" w:rsidRPr="00914570">
        <w:rPr>
          <w:rFonts w:ascii="Calibri" w:hAnsi="Calibri" w:cs="Calibri"/>
        </w:rPr>
        <w:t>.</w:t>
      </w:r>
    </w:p>
    <w:p w14:paraId="1E2152CB" w14:textId="27C9F879" w:rsidR="00F12851" w:rsidRDefault="00F12851" w:rsidP="008834FB">
      <w:pPr>
        <w:jc w:val="both"/>
        <w:rPr>
          <w:rFonts w:ascii="Calibri" w:hAnsi="Calibri" w:cs="Calibri"/>
        </w:rPr>
      </w:pPr>
      <w:r w:rsidRPr="00562A08">
        <w:rPr>
          <w:rFonts w:ascii="Calibri" w:hAnsi="Calibri" w:cs="Calibri"/>
          <w:i/>
          <w:iCs/>
        </w:rPr>
        <w:t xml:space="preserve">Applying for </w:t>
      </w:r>
      <w:r w:rsidR="00844BFF">
        <w:rPr>
          <w:rFonts w:ascii="Calibri" w:hAnsi="Calibri" w:cs="Calibri"/>
          <w:i/>
          <w:iCs/>
        </w:rPr>
        <w:t>S</w:t>
      </w:r>
      <w:r w:rsidRPr="00562A08">
        <w:rPr>
          <w:rFonts w:ascii="Calibri" w:hAnsi="Calibri" w:cs="Calibri"/>
          <w:i/>
          <w:iCs/>
        </w:rPr>
        <w:t xml:space="preserve">ocial </w:t>
      </w:r>
      <w:r w:rsidR="00844BFF">
        <w:rPr>
          <w:rFonts w:ascii="Calibri" w:hAnsi="Calibri" w:cs="Calibri"/>
          <w:i/>
          <w:iCs/>
        </w:rPr>
        <w:t>H</w:t>
      </w:r>
      <w:r w:rsidRPr="00562A08">
        <w:rPr>
          <w:rFonts w:ascii="Calibri" w:hAnsi="Calibri" w:cs="Calibri"/>
          <w:i/>
          <w:iCs/>
        </w:rPr>
        <w:t>ousin</w:t>
      </w:r>
      <w:r>
        <w:rPr>
          <w:rFonts w:ascii="Calibri" w:hAnsi="Calibri" w:cs="Calibri"/>
        </w:rPr>
        <w:t xml:space="preserve">g was where most assistance was sought from CISs in relation to housing need.  </w:t>
      </w:r>
      <w:r w:rsidRPr="00562A08">
        <w:rPr>
          <w:rFonts w:ascii="Calibri" w:hAnsi="Calibri" w:cs="Calibri"/>
          <w:i/>
          <w:iCs/>
        </w:rPr>
        <w:t>Housing Assistance Payment (HAP</w:t>
      </w:r>
      <w:r>
        <w:rPr>
          <w:rFonts w:ascii="Calibri" w:hAnsi="Calibri" w:cs="Calibri"/>
        </w:rPr>
        <w:t>) queries remain consistent as the 2</w:t>
      </w:r>
      <w:r w:rsidRPr="005B1480">
        <w:rPr>
          <w:rFonts w:ascii="Calibri" w:hAnsi="Calibri" w:cs="Calibri"/>
          <w:vertAlign w:val="superscript"/>
        </w:rPr>
        <w:t>nd</w:t>
      </w:r>
      <w:r>
        <w:rPr>
          <w:rFonts w:ascii="Calibri" w:hAnsi="Calibri" w:cs="Calibri"/>
        </w:rPr>
        <w:t xml:space="preserve"> highest query area, with over 11,500 enquiries in 2022.</w:t>
      </w:r>
    </w:p>
    <w:p w14:paraId="21E3F7A7" w14:textId="57D26D77" w:rsidR="00F12851" w:rsidRDefault="00F12851" w:rsidP="008834F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Under the </w:t>
      </w:r>
      <w:r w:rsidRPr="00562A08">
        <w:rPr>
          <w:rFonts w:ascii="Calibri" w:hAnsi="Calibri" w:cs="Calibri"/>
          <w:b/>
          <w:bCs/>
          <w:i/>
          <w:iCs/>
        </w:rPr>
        <w:t>Renting a Home</w:t>
      </w:r>
      <w:r>
        <w:rPr>
          <w:rFonts w:ascii="Calibri" w:hAnsi="Calibri" w:cs="Calibri"/>
        </w:rPr>
        <w:t xml:space="preserve"> category, notices to quit/evictions/disputes were the top query area.</w:t>
      </w:r>
    </w:p>
    <w:p w14:paraId="1524B7BE" w14:textId="75082677" w:rsidR="00A40B20" w:rsidRPr="00D859B4" w:rsidRDefault="00A753F1" w:rsidP="008834F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</w:t>
      </w:r>
      <w:r w:rsidR="001C337D">
        <w:rPr>
          <w:rFonts w:ascii="Calibri" w:hAnsi="Calibri" w:cs="Calibri"/>
        </w:rPr>
        <w:t xml:space="preserve">% of </w:t>
      </w:r>
      <w:r w:rsidR="00057856">
        <w:rPr>
          <w:rFonts w:ascii="Calibri" w:hAnsi="Calibri" w:cs="Calibri"/>
        </w:rPr>
        <w:t xml:space="preserve">Housing </w:t>
      </w:r>
      <w:r w:rsidR="00F12851">
        <w:rPr>
          <w:rFonts w:ascii="Calibri" w:hAnsi="Calibri" w:cs="Calibri"/>
        </w:rPr>
        <w:t>q</w:t>
      </w:r>
      <w:r w:rsidR="00057856">
        <w:rPr>
          <w:rFonts w:ascii="Calibri" w:hAnsi="Calibri" w:cs="Calibri"/>
        </w:rPr>
        <w:t>ueries were made by th</w:t>
      </w:r>
      <w:r w:rsidR="00F12851">
        <w:rPr>
          <w:rFonts w:ascii="Calibri" w:hAnsi="Calibri" w:cs="Calibri"/>
        </w:rPr>
        <w:t>ose in the</w:t>
      </w:r>
      <w:r w:rsidR="00057856">
        <w:rPr>
          <w:rFonts w:ascii="Calibri" w:hAnsi="Calibri" w:cs="Calibri"/>
        </w:rPr>
        <w:t xml:space="preserve"> 26-45 age bracket.</w:t>
      </w:r>
      <w:r w:rsidR="004A529D">
        <w:rPr>
          <w:rFonts w:ascii="Calibri" w:hAnsi="Calibri" w:cs="Calibri"/>
        </w:rPr>
        <w:t xml:space="preserve"> </w:t>
      </w:r>
      <w:r w:rsidR="00057856">
        <w:rPr>
          <w:rFonts w:ascii="Calibri" w:hAnsi="Calibri" w:cs="Calibri"/>
        </w:rPr>
        <w:t>The 66 and Over age category</w:t>
      </w:r>
      <w:r w:rsidR="00562A08">
        <w:rPr>
          <w:rFonts w:ascii="Calibri" w:hAnsi="Calibri" w:cs="Calibri"/>
        </w:rPr>
        <w:t xml:space="preserve"> represented 11.1% of the Housing queries</w:t>
      </w:r>
      <w:r w:rsidR="004434AD">
        <w:rPr>
          <w:rFonts w:ascii="Calibri" w:hAnsi="Calibri" w:cs="Calibri"/>
        </w:rPr>
        <w:t xml:space="preserve"> up from 6.6% in 2021. This</w:t>
      </w:r>
      <w:r w:rsidR="00057856">
        <w:rPr>
          <w:rFonts w:ascii="Calibri" w:hAnsi="Calibri" w:cs="Calibri"/>
        </w:rPr>
        <w:t xml:space="preserve"> was the only age </w:t>
      </w:r>
      <w:r w:rsidR="00F12851">
        <w:rPr>
          <w:rFonts w:ascii="Calibri" w:hAnsi="Calibri" w:cs="Calibri"/>
        </w:rPr>
        <w:t>group</w:t>
      </w:r>
      <w:r w:rsidR="00057856">
        <w:rPr>
          <w:rFonts w:ascii="Calibri" w:hAnsi="Calibri" w:cs="Calibri"/>
        </w:rPr>
        <w:t xml:space="preserve"> not</w:t>
      </w:r>
      <w:r w:rsidR="00F12851">
        <w:rPr>
          <w:rFonts w:ascii="Calibri" w:hAnsi="Calibri" w:cs="Calibri"/>
        </w:rPr>
        <w:t xml:space="preserve"> </w:t>
      </w:r>
      <w:r w:rsidR="008834FB">
        <w:rPr>
          <w:rFonts w:ascii="Calibri" w:hAnsi="Calibri" w:cs="Calibri"/>
        </w:rPr>
        <w:t>to have</w:t>
      </w:r>
      <w:r w:rsidR="00057856">
        <w:rPr>
          <w:rFonts w:ascii="Calibri" w:hAnsi="Calibri" w:cs="Calibri"/>
        </w:rPr>
        <w:t xml:space="preserve"> </w:t>
      </w:r>
      <w:r w:rsidR="00873479" w:rsidRPr="00562A08">
        <w:rPr>
          <w:rFonts w:ascii="Calibri" w:hAnsi="Calibri" w:cs="Calibri"/>
          <w:b/>
          <w:bCs/>
          <w:i/>
          <w:iCs/>
        </w:rPr>
        <w:t>L</w:t>
      </w:r>
      <w:r w:rsidR="00057856" w:rsidRPr="00562A08">
        <w:rPr>
          <w:rFonts w:ascii="Calibri" w:hAnsi="Calibri" w:cs="Calibri"/>
          <w:b/>
          <w:bCs/>
          <w:i/>
          <w:iCs/>
        </w:rPr>
        <w:t xml:space="preserve">ocal </w:t>
      </w:r>
      <w:r w:rsidR="00873479" w:rsidRPr="00562A08">
        <w:rPr>
          <w:rFonts w:ascii="Calibri" w:hAnsi="Calibri" w:cs="Calibri"/>
          <w:b/>
          <w:bCs/>
          <w:i/>
          <w:iCs/>
        </w:rPr>
        <w:t>A</w:t>
      </w:r>
      <w:r w:rsidR="00057856" w:rsidRPr="00562A08">
        <w:rPr>
          <w:rFonts w:ascii="Calibri" w:hAnsi="Calibri" w:cs="Calibri"/>
          <w:b/>
          <w:bCs/>
          <w:i/>
          <w:iCs/>
        </w:rPr>
        <w:t xml:space="preserve">uthority and </w:t>
      </w:r>
      <w:r w:rsidR="00873479" w:rsidRPr="00562A08">
        <w:rPr>
          <w:rFonts w:ascii="Calibri" w:hAnsi="Calibri" w:cs="Calibri"/>
          <w:b/>
          <w:bCs/>
          <w:i/>
          <w:iCs/>
        </w:rPr>
        <w:t>S</w:t>
      </w:r>
      <w:r w:rsidR="00057856" w:rsidRPr="00562A08">
        <w:rPr>
          <w:rFonts w:ascii="Calibri" w:hAnsi="Calibri" w:cs="Calibri"/>
          <w:b/>
          <w:bCs/>
          <w:i/>
          <w:iCs/>
        </w:rPr>
        <w:t xml:space="preserve">ocial </w:t>
      </w:r>
      <w:r w:rsidR="00873479" w:rsidRPr="00562A08">
        <w:rPr>
          <w:rFonts w:ascii="Calibri" w:hAnsi="Calibri" w:cs="Calibri"/>
          <w:b/>
          <w:bCs/>
          <w:i/>
          <w:iCs/>
        </w:rPr>
        <w:t>H</w:t>
      </w:r>
      <w:r w:rsidR="00057856" w:rsidRPr="00562A08">
        <w:rPr>
          <w:rFonts w:ascii="Calibri" w:hAnsi="Calibri" w:cs="Calibri"/>
          <w:b/>
          <w:bCs/>
          <w:i/>
          <w:iCs/>
        </w:rPr>
        <w:t>ousing</w:t>
      </w:r>
      <w:r w:rsidR="00057856">
        <w:rPr>
          <w:rFonts w:ascii="Calibri" w:hAnsi="Calibri" w:cs="Calibri"/>
        </w:rPr>
        <w:t xml:space="preserve"> as the</w:t>
      </w:r>
      <w:r w:rsidR="00873479">
        <w:rPr>
          <w:rFonts w:ascii="Calibri" w:hAnsi="Calibri" w:cs="Calibri"/>
        </w:rPr>
        <w:t>ir</w:t>
      </w:r>
      <w:r w:rsidR="00057856">
        <w:rPr>
          <w:rFonts w:ascii="Calibri" w:hAnsi="Calibri" w:cs="Calibri"/>
        </w:rPr>
        <w:t xml:space="preserve"> most queried </w:t>
      </w:r>
      <w:r w:rsidR="00F12851">
        <w:rPr>
          <w:rFonts w:ascii="Calibri" w:hAnsi="Calibri" w:cs="Calibri"/>
        </w:rPr>
        <w:t xml:space="preserve">housing </w:t>
      </w:r>
      <w:r w:rsidR="00057856">
        <w:rPr>
          <w:rFonts w:ascii="Calibri" w:hAnsi="Calibri" w:cs="Calibri"/>
        </w:rPr>
        <w:t>category</w:t>
      </w:r>
      <w:r w:rsidR="00873479" w:rsidRPr="00562A08">
        <w:rPr>
          <w:rFonts w:ascii="Calibri" w:hAnsi="Calibri" w:cs="Calibri"/>
          <w:b/>
          <w:bCs/>
          <w:i/>
          <w:iCs/>
        </w:rPr>
        <w:t>;</w:t>
      </w:r>
      <w:r w:rsidR="00057856" w:rsidRPr="00562A08">
        <w:rPr>
          <w:rFonts w:ascii="Calibri" w:hAnsi="Calibri" w:cs="Calibri"/>
          <w:b/>
          <w:bCs/>
          <w:i/>
          <w:iCs/>
        </w:rPr>
        <w:t xml:space="preserve"> </w:t>
      </w:r>
      <w:r w:rsidR="00617FA2">
        <w:rPr>
          <w:rFonts w:ascii="Calibri" w:hAnsi="Calibri" w:cs="Calibri"/>
          <w:b/>
          <w:bCs/>
          <w:i/>
          <w:iCs/>
        </w:rPr>
        <w:t>H</w:t>
      </w:r>
      <w:r w:rsidR="00057856" w:rsidRPr="00562A08">
        <w:rPr>
          <w:rFonts w:ascii="Calibri" w:hAnsi="Calibri" w:cs="Calibri"/>
          <w:b/>
          <w:bCs/>
          <w:i/>
          <w:iCs/>
        </w:rPr>
        <w:t>ousing grants and schemes</w:t>
      </w:r>
      <w:r w:rsidR="00057856">
        <w:rPr>
          <w:rFonts w:ascii="Calibri" w:hAnsi="Calibri" w:cs="Calibri"/>
        </w:rPr>
        <w:t xml:space="preserve"> was the</w:t>
      </w:r>
      <w:r w:rsidR="008834FB">
        <w:rPr>
          <w:rFonts w:ascii="Calibri" w:hAnsi="Calibri" w:cs="Calibri"/>
        </w:rPr>
        <w:t xml:space="preserve"> highest housing </w:t>
      </w:r>
      <w:r w:rsidR="00057856">
        <w:rPr>
          <w:rFonts w:ascii="Calibri" w:hAnsi="Calibri" w:cs="Calibri"/>
        </w:rPr>
        <w:t>quer</w:t>
      </w:r>
      <w:r w:rsidR="00873479">
        <w:rPr>
          <w:rFonts w:ascii="Calibri" w:hAnsi="Calibri" w:cs="Calibri"/>
        </w:rPr>
        <w:t>y area for this cohort</w:t>
      </w:r>
      <w:r w:rsidR="00057856">
        <w:rPr>
          <w:rFonts w:ascii="Calibri" w:hAnsi="Calibri" w:cs="Calibri"/>
        </w:rPr>
        <w:t>.</w:t>
      </w:r>
    </w:p>
    <w:p w14:paraId="1ABB4A32" w14:textId="6E9F8D23" w:rsidR="00D859B4" w:rsidRPr="00914570" w:rsidRDefault="00013C42" w:rsidP="00914570">
      <w:pPr>
        <w:pStyle w:val="Heading1"/>
        <w:rPr>
          <w:sz w:val="24"/>
          <w:szCs w:val="24"/>
        </w:rPr>
      </w:pPr>
      <w:r w:rsidRPr="00914570">
        <w:rPr>
          <w:sz w:val="24"/>
          <w:szCs w:val="24"/>
        </w:rPr>
        <w:t>Table 4 - Housing Queries 202</w:t>
      </w:r>
      <w:r w:rsidR="00166F0C">
        <w:rPr>
          <w:sz w:val="24"/>
          <w:szCs w:val="24"/>
        </w:rPr>
        <w:t>2</w:t>
      </w:r>
    </w:p>
    <w:tbl>
      <w:tblPr>
        <w:tblStyle w:val="GridTable5Dark-Accent6"/>
        <w:tblW w:w="13791" w:type="dxa"/>
        <w:tblLook w:val="04A0" w:firstRow="1" w:lastRow="0" w:firstColumn="1" w:lastColumn="0" w:noHBand="0" w:noVBand="1"/>
        <w:tblCaption w:val="Table 4 Housng Queries 2021"/>
        <w:tblDescription w:val="This table shows the data for the Housing query sub-categories recorded by CISs during 2021."/>
      </w:tblPr>
      <w:tblGrid>
        <w:gridCol w:w="1227"/>
        <w:gridCol w:w="4515"/>
        <w:gridCol w:w="5132"/>
        <w:gridCol w:w="1520"/>
        <w:gridCol w:w="1397"/>
      </w:tblGrid>
      <w:tr w:rsidR="00914570" w:rsidRPr="00914570" w14:paraId="273D1F23" w14:textId="77777777" w:rsidTr="00DF2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14:paraId="5961FB91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Category</w:t>
            </w:r>
          </w:p>
        </w:tc>
        <w:tc>
          <w:tcPr>
            <w:tcW w:w="4515" w:type="dxa"/>
            <w:hideMark/>
          </w:tcPr>
          <w:p w14:paraId="1EFCDD71" w14:textId="77777777" w:rsidR="00914570" w:rsidRPr="0022769B" w:rsidRDefault="00914570" w:rsidP="009145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Sub-category</w:t>
            </w:r>
          </w:p>
        </w:tc>
        <w:tc>
          <w:tcPr>
            <w:tcW w:w="5132" w:type="dxa"/>
            <w:hideMark/>
          </w:tcPr>
          <w:p w14:paraId="65C803E0" w14:textId="0F38481F" w:rsidR="00914570" w:rsidRPr="0022769B" w:rsidRDefault="00914570" w:rsidP="004A0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 w:val="0"/>
                <w:bCs w:val="0"/>
                <w:color w:val="auto"/>
                <w:sz w:val="28"/>
                <w:szCs w:val="28"/>
                <w:lang w:eastAsia="en-IE"/>
              </w:rPr>
              <w:t xml:space="preserve"> </w:t>
            </w:r>
            <w:r w:rsidRPr="0022769B">
              <w:rPr>
                <w:rFonts w:ascii="Calibri" w:eastAsia="Times New Roman" w:hAnsi="Calibri" w:cs="Calibri"/>
                <w:bCs w:val="0"/>
                <w:color w:val="auto"/>
                <w:sz w:val="28"/>
                <w:szCs w:val="28"/>
                <w:lang w:eastAsia="en-IE"/>
              </w:rPr>
              <w:t>202</w:t>
            </w:r>
            <w:r w:rsidR="0065732D">
              <w:rPr>
                <w:rFonts w:ascii="Calibri" w:eastAsia="Times New Roman" w:hAnsi="Calibri" w:cs="Calibri"/>
                <w:bCs w:val="0"/>
                <w:color w:val="auto"/>
                <w:sz w:val="28"/>
                <w:szCs w:val="28"/>
                <w:lang w:eastAsia="en-IE"/>
              </w:rPr>
              <w:t>2</w:t>
            </w:r>
            <w:r w:rsidRPr="0022769B">
              <w:rPr>
                <w:rFonts w:ascii="Calibri" w:eastAsia="Times New Roman" w:hAnsi="Calibri" w:cs="Calibri"/>
                <w:bCs w:val="0"/>
                <w:color w:val="auto"/>
                <w:sz w:val="28"/>
                <w:szCs w:val="28"/>
                <w:lang w:eastAsia="en-IE"/>
              </w:rPr>
              <w:t xml:space="preserve"> Housing</w:t>
            </w:r>
            <w:r w:rsidR="000521AB" w:rsidRPr="0022769B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 xml:space="preserve"> Query Breakdown</w:t>
            </w:r>
          </w:p>
        </w:tc>
        <w:tc>
          <w:tcPr>
            <w:tcW w:w="1520" w:type="dxa"/>
            <w:hideMark/>
          </w:tcPr>
          <w:p w14:paraId="4549A1AF" w14:textId="56B050C8" w:rsidR="00914570" w:rsidRPr="0022769B" w:rsidRDefault="00914570" w:rsidP="009145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 xml:space="preserve"># </w:t>
            </w:r>
            <w:r w:rsidR="00DB30BE"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Of</w:t>
            </w: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 xml:space="preserve"> Queries</w:t>
            </w:r>
          </w:p>
        </w:tc>
        <w:tc>
          <w:tcPr>
            <w:tcW w:w="1397" w:type="dxa"/>
            <w:hideMark/>
          </w:tcPr>
          <w:p w14:paraId="34CC9356" w14:textId="3FBADAEC" w:rsidR="00914570" w:rsidRPr="0022769B" w:rsidRDefault="00914570" w:rsidP="009145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 xml:space="preserve">% </w:t>
            </w:r>
            <w:r w:rsidR="00DB30BE"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Of</w:t>
            </w: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 xml:space="preserve"> Housing Sub-category</w:t>
            </w:r>
          </w:p>
        </w:tc>
      </w:tr>
      <w:tr w:rsidR="00914570" w:rsidRPr="00914570" w14:paraId="2EFD1594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1" w:type="dxa"/>
            <w:gridSpan w:val="5"/>
            <w:noWrap/>
            <w:hideMark/>
          </w:tcPr>
          <w:p w14:paraId="6EE053D5" w14:textId="77777777" w:rsidR="00914570" w:rsidRPr="0022769B" w:rsidRDefault="00914570" w:rsidP="0091457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Local Authority and Social Housing</w:t>
            </w:r>
          </w:p>
        </w:tc>
      </w:tr>
      <w:tr w:rsidR="00914570" w:rsidRPr="00914570" w14:paraId="48B031F5" w14:textId="77777777" w:rsidTr="00DF2E7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3E31AAB4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126E905D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132" w:type="dxa"/>
            <w:noWrap/>
            <w:hideMark/>
          </w:tcPr>
          <w:p w14:paraId="36A4F283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Applying for Local Authority/Social Housing</w:t>
            </w:r>
          </w:p>
        </w:tc>
        <w:tc>
          <w:tcPr>
            <w:tcW w:w="1520" w:type="dxa"/>
            <w:noWrap/>
            <w:hideMark/>
          </w:tcPr>
          <w:p w14:paraId="70F8644D" w14:textId="52A3CE90" w:rsidR="00914570" w:rsidRPr="0022769B" w:rsidRDefault="00914570" w:rsidP="00A65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="00166F0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9,590</w:t>
            </w:r>
          </w:p>
        </w:tc>
        <w:tc>
          <w:tcPr>
            <w:tcW w:w="1397" w:type="dxa"/>
            <w:noWrap/>
            <w:hideMark/>
          </w:tcPr>
          <w:p w14:paraId="042CE094" w14:textId="1F261857" w:rsidR="00914570" w:rsidRPr="0022769B" w:rsidRDefault="00A86B0B" w:rsidP="00A65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49.8</w:t>
            </w:r>
            <w:r w:rsidR="00914570"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914570" w:rsidRPr="00914570" w14:paraId="32B8BECC" w14:textId="77777777" w:rsidTr="00DF2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2A795394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0B882ADD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132" w:type="dxa"/>
            <w:noWrap/>
            <w:hideMark/>
          </w:tcPr>
          <w:p w14:paraId="01E10873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 Assistance Payment (HAP)</w:t>
            </w:r>
          </w:p>
        </w:tc>
        <w:tc>
          <w:tcPr>
            <w:tcW w:w="1520" w:type="dxa"/>
            <w:noWrap/>
            <w:hideMark/>
          </w:tcPr>
          <w:p w14:paraId="310DE50B" w14:textId="713311AE" w:rsidR="00914570" w:rsidRPr="0022769B" w:rsidRDefault="00914570" w:rsidP="00A65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</w:t>
            </w:r>
            <w:r w:rsidR="0083460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,552</w:t>
            </w:r>
          </w:p>
        </w:tc>
        <w:tc>
          <w:tcPr>
            <w:tcW w:w="1397" w:type="dxa"/>
            <w:noWrap/>
            <w:hideMark/>
          </w:tcPr>
          <w:p w14:paraId="7D18927D" w14:textId="54C0F5D7" w:rsidR="00914570" w:rsidRPr="0022769B" w:rsidRDefault="0083460D" w:rsidP="00A65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29.4</w:t>
            </w:r>
            <w:r w:rsidR="00914570"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914570" w:rsidRPr="00914570" w14:paraId="4D3736ED" w14:textId="77777777" w:rsidTr="00DF2E7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747C5579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60E7FA17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132" w:type="dxa"/>
            <w:noWrap/>
            <w:hideMark/>
          </w:tcPr>
          <w:p w14:paraId="3E723D5D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520" w:type="dxa"/>
            <w:noWrap/>
            <w:hideMark/>
          </w:tcPr>
          <w:p w14:paraId="3FA90009" w14:textId="68DE7992" w:rsidR="00914570" w:rsidRPr="0022769B" w:rsidRDefault="00914570" w:rsidP="00A65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  <w:r w:rsidR="0083460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,931</w:t>
            </w:r>
          </w:p>
        </w:tc>
        <w:tc>
          <w:tcPr>
            <w:tcW w:w="1397" w:type="dxa"/>
            <w:noWrap/>
            <w:hideMark/>
          </w:tcPr>
          <w:p w14:paraId="51733EA6" w14:textId="48D0EE2D" w:rsidR="00914570" w:rsidRPr="0022769B" w:rsidRDefault="00914570" w:rsidP="00A65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7.</w:t>
            </w:r>
            <w:r w:rsidR="0083460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914570" w:rsidRPr="00914570" w14:paraId="469708DC" w14:textId="77777777" w:rsidTr="00DF2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5A430D05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59575A5F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132" w:type="dxa"/>
            <w:noWrap/>
            <w:hideMark/>
          </w:tcPr>
          <w:p w14:paraId="0732DB63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Differential Rent</w:t>
            </w:r>
          </w:p>
        </w:tc>
        <w:tc>
          <w:tcPr>
            <w:tcW w:w="1520" w:type="dxa"/>
            <w:noWrap/>
            <w:hideMark/>
          </w:tcPr>
          <w:p w14:paraId="45171585" w14:textId="401F9D92" w:rsidR="00914570" w:rsidRPr="0022769B" w:rsidRDefault="00914570" w:rsidP="00A65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="0083460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,713</w:t>
            </w:r>
          </w:p>
        </w:tc>
        <w:tc>
          <w:tcPr>
            <w:tcW w:w="1397" w:type="dxa"/>
            <w:noWrap/>
            <w:hideMark/>
          </w:tcPr>
          <w:p w14:paraId="21A15DC5" w14:textId="4251F5B7" w:rsidR="00914570" w:rsidRPr="0022769B" w:rsidRDefault="00914570" w:rsidP="00A65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</w:t>
            </w:r>
            <w:r w:rsidR="00A86B0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914570" w:rsidRPr="00914570" w14:paraId="56527960" w14:textId="77777777" w:rsidTr="00DF2E7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2B3BC5E7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2F23EA90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132" w:type="dxa"/>
            <w:noWrap/>
            <w:hideMark/>
          </w:tcPr>
          <w:p w14:paraId="0FEA6045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LA Transfers</w:t>
            </w:r>
          </w:p>
        </w:tc>
        <w:tc>
          <w:tcPr>
            <w:tcW w:w="1520" w:type="dxa"/>
            <w:noWrap/>
            <w:hideMark/>
          </w:tcPr>
          <w:p w14:paraId="2D7BF542" w14:textId="0E4E832C" w:rsidR="00914570" w:rsidRPr="0022769B" w:rsidRDefault="0083460D" w:rsidP="00A65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828</w:t>
            </w:r>
          </w:p>
        </w:tc>
        <w:tc>
          <w:tcPr>
            <w:tcW w:w="1397" w:type="dxa"/>
            <w:noWrap/>
            <w:hideMark/>
          </w:tcPr>
          <w:p w14:paraId="077CB5AE" w14:textId="3B8091CE" w:rsidR="00914570" w:rsidRPr="0022769B" w:rsidRDefault="00914570" w:rsidP="00A65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</w:t>
            </w:r>
            <w:r w:rsidR="0083460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914570" w:rsidRPr="00914570" w14:paraId="005C54D4" w14:textId="77777777" w:rsidTr="00DF2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35073550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709504F1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132" w:type="dxa"/>
            <w:noWrap/>
            <w:hideMark/>
          </w:tcPr>
          <w:p w14:paraId="1FEB8B50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Standards/Repairs</w:t>
            </w:r>
          </w:p>
        </w:tc>
        <w:tc>
          <w:tcPr>
            <w:tcW w:w="1520" w:type="dxa"/>
            <w:noWrap/>
            <w:hideMark/>
          </w:tcPr>
          <w:p w14:paraId="2A4C35FC" w14:textId="56CD9016" w:rsidR="00914570" w:rsidRPr="0022769B" w:rsidRDefault="00914570" w:rsidP="00A65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</w:t>
            </w:r>
            <w:r w:rsidR="0083460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46</w:t>
            </w:r>
          </w:p>
        </w:tc>
        <w:tc>
          <w:tcPr>
            <w:tcW w:w="1397" w:type="dxa"/>
            <w:noWrap/>
            <w:hideMark/>
          </w:tcPr>
          <w:p w14:paraId="48BFC7AF" w14:textId="131D265D" w:rsidR="00914570" w:rsidRPr="0022769B" w:rsidRDefault="00914570" w:rsidP="00A65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</w:t>
            </w:r>
            <w:r w:rsidR="0083460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A86B0B" w:rsidRPr="00914570" w14:paraId="542E1682" w14:textId="77777777" w:rsidTr="00DF2E7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</w:tcPr>
          <w:p w14:paraId="0DB47ADF" w14:textId="78B3976D" w:rsidR="00A86B0B" w:rsidRPr="0022769B" w:rsidRDefault="00A86B0B" w:rsidP="00A86B0B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</w:tcPr>
          <w:p w14:paraId="5FDA737C" w14:textId="1CC5233E" w:rsidR="00A86B0B" w:rsidRPr="0022769B" w:rsidRDefault="00A86B0B" w:rsidP="00A86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132" w:type="dxa"/>
            <w:noWrap/>
          </w:tcPr>
          <w:p w14:paraId="5A8D37E8" w14:textId="51E5B1B4" w:rsidR="00A86B0B" w:rsidRPr="0022769B" w:rsidRDefault="00A86B0B" w:rsidP="00A86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Notice/Eviction/Disputes</w:t>
            </w:r>
          </w:p>
        </w:tc>
        <w:tc>
          <w:tcPr>
            <w:tcW w:w="1520" w:type="dxa"/>
            <w:noWrap/>
          </w:tcPr>
          <w:p w14:paraId="76A6B3A4" w14:textId="73DF185C" w:rsidR="00A86B0B" w:rsidRPr="0022769B" w:rsidRDefault="00A86B0B" w:rsidP="00A86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71</w:t>
            </w:r>
          </w:p>
        </w:tc>
        <w:tc>
          <w:tcPr>
            <w:tcW w:w="1397" w:type="dxa"/>
            <w:noWrap/>
          </w:tcPr>
          <w:p w14:paraId="74469E26" w14:textId="50B676AF" w:rsidR="00A86B0B" w:rsidRPr="0022769B" w:rsidRDefault="00A86B0B" w:rsidP="00A86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1.2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A86B0B" w:rsidRPr="00914570" w14:paraId="38C8C3F6" w14:textId="77777777" w:rsidTr="00A86B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</w:tcPr>
          <w:p w14:paraId="712EEABB" w14:textId="0A614CE5" w:rsidR="00A86B0B" w:rsidRPr="0022769B" w:rsidRDefault="00A86B0B" w:rsidP="00A86B0B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</w:tcPr>
          <w:p w14:paraId="2FEFFE19" w14:textId="51CFB220" w:rsidR="00A86B0B" w:rsidRPr="0022769B" w:rsidRDefault="00A86B0B" w:rsidP="00A86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132" w:type="dxa"/>
            <w:noWrap/>
          </w:tcPr>
          <w:p w14:paraId="24F3D82E" w14:textId="27F153A9" w:rsidR="00A86B0B" w:rsidRPr="0022769B" w:rsidRDefault="00A86B0B" w:rsidP="00A86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Rent Arrears/Rent Problems</w:t>
            </w:r>
          </w:p>
        </w:tc>
        <w:tc>
          <w:tcPr>
            <w:tcW w:w="1520" w:type="dxa"/>
            <w:noWrap/>
          </w:tcPr>
          <w:p w14:paraId="39B9210C" w14:textId="702352A8" w:rsidR="00A86B0B" w:rsidRPr="0022769B" w:rsidRDefault="00A86B0B" w:rsidP="00A86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460</w:t>
            </w:r>
          </w:p>
        </w:tc>
        <w:tc>
          <w:tcPr>
            <w:tcW w:w="1397" w:type="dxa"/>
            <w:noWrap/>
          </w:tcPr>
          <w:p w14:paraId="0E359604" w14:textId="1626F630" w:rsidR="00A86B0B" w:rsidRPr="0022769B" w:rsidRDefault="00A86B0B" w:rsidP="00A86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A86B0B" w:rsidRPr="00914570" w14:paraId="3B6C6B20" w14:textId="77777777" w:rsidTr="00A86B0B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</w:tcPr>
          <w:p w14:paraId="09128A2A" w14:textId="0B23EE16" w:rsidR="00A86B0B" w:rsidRPr="0022769B" w:rsidRDefault="00A86B0B" w:rsidP="00A86B0B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</w:tcPr>
          <w:p w14:paraId="274B1FE9" w14:textId="7C717431" w:rsidR="00A86B0B" w:rsidRPr="0022769B" w:rsidRDefault="00A86B0B" w:rsidP="00A86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132" w:type="dxa"/>
            <w:noWrap/>
          </w:tcPr>
          <w:p w14:paraId="0813FF65" w14:textId="27837077" w:rsidR="00A86B0B" w:rsidRPr="0022769B" w:rsidRDefault="00A86B0B" w:rsidP="00A86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Rental Accommodation Scheme (RAS)</w:t>
            </w:r>
          </w:p>
        </w:tc>
        <w:tc>
          <w:tcPr>
            <w:tcW w:w="1520" w:type="dxa"/>
            <w:noWrap/>
          </w:tcPr>
          <w:p w14:paraId="02397FB1" w14:textId="787E5806" w:rsidR="00A86B0B" w:rsidRPr="0022769B" w:rsidRDefault="00A86B0B" w:rsidP="00A86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384</w:t>
            </w:r>
          </w:p>
        </w:tc>
        <w:tc>
          <w:tcPr>
            <w:tcW w:w="1397" w:type="dxa"/>
            <w:noWrap/>
          </w:tcPr>
          <w:p w14:paraId="72E44D0A" w14:textId="2203D35F" w:rsidR="00A86B0B" w:rsidRPr="0022769B" w:rsidRDefault="00A86B0B" w:rsidP="00A86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1.0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914570" w:rsidRPr="00914570" w14:paraId="330E81AA" w14:textId="77777777" w:rsidTr="00DF2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50E2B39B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24111A53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132" w:type="dxa"/>
            <w:noWrap/>
            <w:hideMark/>
          </w:tcPr>
          <w:p w14:paraId="3F2BB3E6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Tenant Purchase (Incremental Scheme)</w:t>
            </w:r>
          </w:p>
        </w:tc>
        <w:tc>
          <w:tcPr>
            <w:tcW w:w="1520" w:type="dxa"/>
            <w:noWrap/>
            <w:hideMark/>
          </w:tcPr>
          <w:p w14:paraId="0AA15EEB" w14:textId="178F12CE" w:rsidR="00914570" w:rsidRPr="0022769B" w:rsidRDefault="0083460D" w:rsidP="00A65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305</w:t>
            </w:r>
          </w:p>
        </w:tc>
        <w:tc>
          <w:tcPr>
            <w:tcW w:w="1397" w:type="dxa"/>
            <w:noWrap/>
            <w:hideMark/>
          </w:tcPr>
          <w:p w14:paraId="6BC3011C" w14:textId="64628C2F" w:rsidR="00914570" w:rsidRPr="0022769B" w:rsidRDefault="00914570" w:rsidP="00A65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</w:t>
            </w:r>
            <w:r w:rsidR="00A86B0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DF2E74" w:rsidRPr="00914570" w14:paraId="7E0DBE2B" w14:textId="77777777" w:rsidTr="00DF2E7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</w:tcPr>
          <w:p w14:paraId="138BACED" w14:textId="2EA1B6A8" w:rsidR="00DF2E74" w:rsidRPr="0022769B" w:rsidRDefault="00DF2E74" w:rsidP="00DF2E74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</w:tcPr>
          <w:p w14:paraId="7075B5BE" w14:textId="0CE90AB9" w:rsidR="00DF2E74" w:rsidRPr="0022769B" w:rsidRDefault="00DF2E74" w:rsidP="00DF2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132" w:type="dxa"/>
            <w:noWrap/>
          </w:tcPr>
          <w:p w14:paraId="6ECA3C52" w14:textId="0AE05596" w:rsidR="00DF2E74" w:rsidRDefault="00DF2E74" w:rsidP="00DF2E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Medical Priority</w:t>
            </w:r>
          </w:p>
        </w:tc>
        <w:tc>
          <w:tcPr>
            <w:tcW w:w="1520" w:type="dxa"/>
            <w:noWrap/>
          </w:tcPr>
          <w:p w14:paraId="5F791132" w14:textId="144CD531" w:rsidR="00DF2E74" w:rsidRDefault="00DF2E74" w:rsidP="00DF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257</w:t>
            </w:r>
          </w:p>
        </w:tc>
        <w:tc>
          <w:tcPr>
            <w:tcW w:w="1397" w:type="dxa"/>
            <w:noWrap/>
          </w:tcPr>
          <w:p w14:paraId="42958B4C" w14:textId="23CAD6CF" w:rsidR="00DF2E74" w:rsidRDefault="00A86B0B" w:rsidP="00DF2E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0.7%</w:t>
            </w:r>
          </w:p>
        </w:tc>
      </w:tr>
      <w:tr w:rsidR="00DF2E74" w:rsidRPr="00914570" w14:paraId="595DE1BF" w14:textId="77777777" w:rsidTr="00DF2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</w:tcPr>
          <w:p w14:paraId="4E1E9A25" w14:textId="74B64A55" w:rsidR="00DF2E74" w:rsidRPr="0022769B" w:rsidRDefault="00DF2E74" w:rsidP="00DF2E74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</w:tcPr>
          <w:p w14:paraId="070C6200" w14:textId="104E8B87" w:rsidR="00DF2E74" w:rsidRPr="0022769B" w:rsidRDefault="00DF2E74" w:rsidP="00DF2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132" w:type="dxa"/>
            <w:noWrap/>
          </w:tcPr>
          <w:p w14:paraId="01184457" w14:textId="139764F9" w:rsidR="00DF2E74" w:rsidRPr="0022769B" w:rsidRDefault="00DF2E74" w:rsidP="00DF2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Choice Based Lettings</w:t>
            </w:r>
          </w:p>
        </w:tc>
        <w:tc>
          <w:tcPr>
            <w:tcW w:w="1520" w:type="dxa"/>
            <w:noWrap/>
          </w:tcPr>
          <w:p w14:paraId="1B0262C6" w14:textId="50F3D0B7" w:rsidR="00DF2E74" w:rsidRPr="0022769B" w:rsidRDefault="00DF2E74" w:rsidP="00DF2E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161</w:t>
            </w:r>
          </w:p>
        </w:tc>
        <w:tc>
          <w:tcPr>
            <w:tcW w:w="1397" w:type="dxa"/>
            <w:noWrap/>
          </w:tcPr>
          <w:p w14:paraId="4593FD01" w14:textId="591F850D" w:rsidR="00DF2E74" w:rsidRPr="0022769B" w:rsidRDefault="00DF2E74" w:rsidP="00DF2E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</w:t>
            </w:r>
            <w:r w:rsidR="00A86B0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4%</w:t>
            </w:r>
          </w:p>
        </w:tc>
      </w:tr>
      <w:tr w:rsidR="00914570" w:rsidRPr="00914570" w14:paraId="7DC7AC5A" w14:textId="77777777" w:rsidTr="00DF2E7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4E911F37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15" w:type="dxa"/>
            <w:noWrap/>
            <w:hideMark/>
          </w:tcPr>
          <w:p w14:paraId="30674D42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32" w:type="dxa"/>
            <w:noWrap/>
            <w:hideMark/>
          </w:tcPr>
          <w:p w14:paraId="060BB35F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20" w:type="dxa"/>
            <w:noWrap/>
            <w:hideMark/>
          </w:tcPr>
          <w:p w14:paraId="09ED078D" w14:textId="531392B8" w:rsidR="00914570" w:rsidRPr="0022769B" w:rsidRDefault="00914570" w:rsidP="00A65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</w:t>
            </w:r>
            <w:r w:rsidR="008346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9,298</w:t>
            </w:r>
          </w:p>
        </w:tc>
        <w:tc>
          <w:tcPr>
            <w:tcW w:w="1397" w:type="dxa"/>
            <w:noWrap/>
            <w:hideMark/>
          </w:tcPr>
          <w:p w14:paraId="65475D00" w14:textId="77777777" w:rsidR="00914570" w:rsidRPr="0022769B" w:rsidRDefault="00914570" w:rsidP="00A65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6123AADF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1" w:type="dxa"/>
            <w:gridSpan w:val="5"/>
            <w:noWrap/>
            <w:hideMark/>
          </w:tcPr>
          <w:p w14:paraId="702BF35A" w14:textId="77777777" w:rsidR="00914570" w:rsidRPr="0022769B" w:rsidRDefault="00914570" w:rsidP="00A65EA8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Renting a Home</w:t>
            </w:r>
          </w:p>
        </w:tc>
      </w:tr>
      <w:tr w:rsidR="00914570" w:rsidRPr="00914570" w14:paraId="794D9905" w14:textId="77777777" w:rsidTr="00DF2E7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305F0B7F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4948E2D9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132" w:type="dxa"/>
            <w:noWrap/>
            <w:hideMark/>
          </w:tcPr>
          <w:p w14:paraId="0C338543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Notice/Eviction/Disputes</w:t>
            </w:r>
          </w:p>
        </w:tc>
        <w:tc>
          <w:tcPr>
            <w:tcW w:w="1520" w:type="dxa"/>
            <w:noWrap/>
            <w:hideMark/>
          </w:tcPr>
          <w:p w14:paraId="2F8C1A6E" w14:textId="30EBF814" w:rsidR="00914570" w:rsidRPr="0022769B" w:rsidRDefault="0083460D" w:rsidP="00A65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3,209</w:t>
            </w:r>
          </w:p>
        </w:tc>
        <w:tc>
          <w:tcPr>
            <w:tcW w:w="1397" w:type="dxa"/>
            <w:noWrap/>
            <w:hideMark/>
          </w:tcPr>
          <w:p w14:paraId="2CDEC58E" w14:textId="66E859C0" w:rsidR="00914570" w:rsidRPr="0022769B" w:rsidRDefault="00914570" w:rsidP="00A65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  <w:r w:rsidR="0083460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7.4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C003E0" w:rsidRPr="00914570" w14:paraId="21CEC126" w14:textId="77777777" w:rsidTr="00DF2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</w:tcPr>
          <w:p w14:paraId="09CA08E9" w14:textId="1A35734B" w:rsidR="00C003E0" w:rsidRPr="0022769B" w:rsidRDefault="00C003E0" w:rsidP="00C003E0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</w:tcPr>
          <w:p w14:paraId="26C48A9E" w14:textId="0F94BCD2" w:rsidR="00C003E0" w:rsidRPr="0022769B" w:rsidRDefault="00C003E0" w:rsidP="00C00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132" w:type="dxa"/>
            <w:noWrap/>
          </w:tcPr>
          <w:p w14:paraId="5D069D2C" w14:textId="581C7D15" w:rsidR="00C003E0" w:rsidRPr="0022769B" w:rsidRDefault="00C003E0" w:rsidP="00C00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RTB (Residential Tenancies Board)</w:t>
            </w:r>
          </w:p>
        </w:tc>
        <w:tc>
          <w:tcPr>
            <w:tcW w:w="1520" w:type="dxa"/>
            <w:noWrap/>
          </w:tcPr>
          <w:p w14:paraId="61C88FA7" w14:textId="57F782B1" w:rsidR="00C003E0" w:rsidRPr="0022769B" w:rsidRDefault="00C003E0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,834</w:t>
            </w:r>
          </w:p>
        </w:tc>
        <w:tc>
          <w:tcPr>
            <w:tcW w:w="1397" w:type="dxa"/>
            <w:noWrap/>
          </w:tcPr>
          <w:p w14:paraId="663BDE5F" w14:textId="4D5DA800" w:rsidR="00C003E0" w:rsidRPr="0022769B" w:rsidRDefault="00C003E0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5.7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C003E0" w:rsidRPr="00914570" w14:paraId="3E2967E6" w14:textId="77777777" w:rsidTr="00DF2E7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30F45D1D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29A4E499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132" w:type="dxa"/>
            <w:noWrap/>
            <w:hideMark/>
          </w:tcPr>
          <w:p w14:paraId="35E28ADD" w14:textId="24FF3785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Tenant’s Rights and Obligations</w:t>
            </w:r>
          </w:p>
        </w:tc>
        <w:tc>
          <w:tcPr>
            <w:tcW w:w="1520" w:type="dxa"/>
            <w:noWrap/>
            <w:hideMark/>
          </w:tcPr>
          <w:p w14:paraId="4EF60C7D" w14:textId="7F1ECAD0" w:rsidR="00914570" w:rsidRPr="0022769B" w:rsidRDefault="00914570" w:rsidP="00A65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="0083460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,776</w:t>
            </w:r>
          </w:p>
        </w:tc>
        <w:tc>
          <w:tcPr>
            <w:tcW w:w="1397" w:type="dxa"/>
            <w:noWrap/>
            <w:hideMark/>
          </w:tcPr>
          <w:p w14:paraId="5049E6D5" w14:textId="4CE6510D" w:rsidR="00914570" w:rsidRPr="0022769B" w:rsidRDefault="00914570" w:rsidP="00A65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="0083460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5.2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C003E0" w:rsidRPr="00914570" w14:paraId="5FF0D358" w14:textId="77777777" w:rsidTr="00DF2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5583B952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lastRenderedPageBreak/>
              <w:t>Housing</w:t>
            </w:r>
          </w:p>
        </w:tc>
        <w:tc>
          <w:tcPr>
            <w:tcW w:w="4515" w:type="dxa"/>
            <w:noWrap/>
            <w:hideMark/>
          </w:tcPr>
          <w:p w14:paraId="396965AB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132" w:type="dxa"/>
            <w:noWrap/>
            <w:hideMark/>
          </w:tcPr>
          <w:p w14:paraId="1B6E13A9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Landlords Rights &amp; Obligations</w:t>
            </w:r>
          </w:p>
        </w:tc>
        <w:tc>
          <w:tcPr>
            <w:tcW w:w="1520" w:type="dxa"/>
            <w:noWrap/>
            <w:hideMark/>
          </w:tcPr>
          <w:p w14:paraId="68F4F942" w14:textId="5097FBB3" w:rsidR="00914570" w:rsidRPr="0022769B" w:rsidRDefault="00914570" w:rsidP="00A65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="0083460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,652</w:t>
            </w:r>
          </w:p>
        </w:tc>
        <w:tc>
          <w:tcPr>
            <w:tcW w:w="1397" w:type="dxa"/>
            <w:noWrap/>
            <w:hideMark/>
          </w:tcPr>
          <w:p w14:paraId="190B4207" w14:textId="1B8E08D0" w:rsidR="00914570" w:rsidRPr="0022769B" w:rsidRDefault="00914570" w:rsidP="00A65E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="0083460D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4.1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C003E0" w:rsidRPr="00914570" w14:paraId="4377F6F1" w14:textId="77777777" w:rsidTr="00C003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</w:tcPr>
          <w:p w14:paraId="34E8B7C7" w14:textId="7FAF6697" w:rsidR="00C003E0" w:rsidRPr="0022769B" w:rsidRDefault="00C003E0" w:rsidP="00C003E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</w:tcPr>
          <w:p w14:paraId="5EDF1AD8" w14:textId="06FFB3C8" w:rsidR="00C003E0" w:rsidRPr="0022769B" w:rsidRDefault="00C003E0" w:rsidP="00C00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132" w:type="dxa"/>
            <w:noWrap/>
          </w:tcPr>
          <w:p w14:paraId="3015AA3C" w14:textId="1AA0BC20" w:rsidR="00C003E0" w:rsidRPr="0022769B" w:rsidRDefault="00C003E0" w:rsidP="00C00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Rent Review</w:t>
            </w:r>
          </w:p>
        </w:tc>
        <w:tc>
          <w:tcPr>
            <w:tcW w:w="1520" w:type="dxa"/>
            <w:noWrap/>
          </w:tcPr>
          <w:p w14:paraId="4A308A80" w14:textId="235DE182" w:rsidR="00C003E0" w:rsidRPr="0022769B" w:rsidRDefault="00C003E0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1,080</w:t>
            </w:r>
          </w:p>
        </w:tc>
        <w:tc>
          <w:tcPr>
            <w:tcW w:w="1397" w:type="dxa"/>
            <w:noWrap/>
          </w:tcPr>
          <w:p w14:paraId="433E2E03" w14:textId="63A0EF72" w:rsidR="00C003E0" w:rsidRPr="0022769B" w:rsidRDefault="00C003E0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9.2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C003E0" w:rsidRPr="00914570" w14:paraId="08E6E90E" w14:textId="77777777" w:rsidTr="00C00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</w:tcPr>
          <w:p w14:paraId="6C494AD3" w14:textId="300EE399" w:rsidR="00C003E0" w:rsidRPr="0022769B" w:rsidRDefault="00C003E0" w:rsidP="00C003E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</w:tcPr>
          <w:p w14:paraId="52C8613C" w14:textId="463E2FBC" w:rsidR="00C003E0" w:rsidRPr="0022769B" w:rsidRDefault="00C003E0" w:rsidP="00C00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132" w:type="dxa"/>
            <w:noWrap/>
          </w:tcPr>
          <w:p w14:paraId="6C4719E1" w14:textId="5ABA2041" w:rsidR="00C003E0" w:rsidRPr="0022769B" w:rsidRDefault="00C003E0" w:rsidP="00C00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Standards/Repairs</w:t>
            </w:r>
          </w:p>
        </w:tc>
        <w:tc>
          <w:tcPr>
            <w:tcW w:w="1520" w:type="dxa"/>
            <w:noWrap/>
          </w:tcPr>
          <w:p w14:paraId="7EB8B9D5" w14:textId="3174391A" w:rsidR="00C003E0" w:rsidRPr="0022769B" w:rsidRDefault="00C003E0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</w:t>
            </w:r>
          </w:p>
        </w:tc>
        <w:tc>
          <w:tcPr>
            <w:tcW w:w="1397" w:type="dxa"/>
            <w:noWrap/>
          </w:tcPr>
          <w:p w14:paraId="0FBE0C34" w14:textId="52BF6BF7" w:rsidR="00C003E0" w:rsidRPr="0022769B" w:rsidRDefault="00C003E0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5.2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C003E0" w:rsidRPr="00914570" w14:paraId="3283D9B3" w14:textId="77777777" w:rsidTr="00C003E0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</w:tcPr>
          <w:p w14:paraId="1D87807A" w14:textId="149DD48D" w:rsidR="00C003E0" w:rsidRPr="0022769B" w:rsidRDefault="00C003E0" w:rsidP="00C003E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</w:tcPr>
          <w:p w14:paraId="7258793F" w14:textId="05EFD555" w:rsidR="00C003E0" w:rsidRPr="0022769B" w:rsidRDefault="00C003E0" w:rsidP="00C00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132" w:type="dxa"/>
            <w:noWrap/>
          </w:tcPr>
          <w:p w14:paraId="4730572E" w14:textId="5CD7C284" w:rsidR="00C003E0" w:rsidRPr="0022769B" w:rsidRDefault="00C003E0" w:rsidP="00C00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Rent Arrears/Rent Problems</w:t>
            </w:r>
          </w:p>
        </w:tc>
        <w:tc>
          <w:tcPr>
            <w:tcW w:w="1520" w:type="dxa"/>
            <w:noWrap/>
          </w:tcPr>
          <w:p w14:paraId="248D4BC4" w14:textId="5C4E3B56" w:rsidR="00C003E0" w:rsidRPr="0022769B" w:rsidRDefault="00C003E0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92</w:t>
            </w:r>
          </w:p>
        </w:tc>
        <w:tc>
          <w:tcPr>
            <w:tcW w:w="1397" w:type="dxa"/>
            <w:noWrap/>
          </w:tcPr>
          <w:p w14:paraId="5BA05FB0" w14:textId="404735F9" w:rsidR="00C003E0" w:rsidRPr="0022769B" w:rsidRDefault="00C003E0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C003E0" w:rsidRPr="00914570" w14:paraId="60BEE34D" w14:textId="77777777" w:rsidTr="00C00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</w:tcPr>
          <w:p w14:paraId="07437E0C" w14:textId="71AAFBA6" w:rsidR="00C003E0" w:rsidRPr="0022769B" w:rsidRDefault="00C003E0" w:rsidP="00C003E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</w:tcPr>
          <w:p w14:paraId="434759EB" w14:textId="47850BFC" w:rsidR="00C003E0" w:rsidRPr="0022769B" w:rsidRDefault="00C003E0" w:rsidP="00C00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132" w:type="dxa"/>
            <w:noWrap/>
          </w:tcPr>
          <w:p w14:paraId="235151C2" w14:textId="5629A5FA" w:rsidR="00C003E0" w:rsidRPr="0022769B" w:rsidRDefault="00C003E0" w:rsidP="00C00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Deposit Retention</w:t>
            </w:r>
          </w:p>
        </w:tc>
        <w:tc>
          <w:tcPr>
            <w:tcW w:w="1520" w:type="dxa"/>
            <w:noWrap/>
          </w:tcPr>
          <w:p w14:paraId="01BA3A99" w14:textId="16D14316" w:rsidR="00C003E0" w:rsidRPr="0022769B" w:rsidRDefault="00C003E0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441</w:t>
            </w:r>
          </w:p>
        </w:tc>
        <w:tc>
          <w:tcPr>
            <w:tcW w:w="1397" w:type="dxa"/>
            <w:noWrap/>
          </w:tcPr>
          <w:p w14:paraId="6066BF1F" w14:textId="75075F9B" w:rsidR="00C003E0" w:rsidRPr="0022769B" w:rsidRDefault="00C003E0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3.8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A86B0B" w:rsidRPr="00914570" w14:paraId="5426A11D" w14:textId="77777777" w:rsidTr="00A86B0B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</w:tcPr>
          <w:p w14:paraId="0EE4B985" w14:textId="75CB867E" w:rsidR="00A86B0B" w:rsidRPr="0022769B" w:rsidRDefault="00A86B0B" w:rsidP="00A86B0B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</w:tcPr>
          <w:p w14:paraId="77ADD7FD" w14:textId="1BF39526" w:rsidR="00A86B0B" w:rsidRPr="0022769B" w:rsidRDefault="00A86B0B" w:rsidP="00A86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132" w:type="dxa"/>
            <w:noWrap/>
          </w:tcPr>
          <w:p w14:paraId="6343F959" w14:textId="52B226AE" w:rsidR="00A86B0B" w:rsidRPr="0022769B" w:rsidRDefault="00A86B0B" w:rsidP="00A86B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 xml:space="preserve">Finding </w:t>
            </w:r>
            <w:r w:rsidR="00C003E0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Accommodation</w:t>
            </w:r>
          </w:p>
        </w:tc>
        <w:tc>
          <w:tcPr>
            <w:tcW w:w="1520" w:type="dxa"/>
            <w:noWrap/>
          </w:tcPr>
          <w:p w14:paraId="41C1AFA9" w14:textId="65D57262" w:rsidR="00A86B0B" w:rsidRDefault="00A86B0B" w:rsidP="00A86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354</w:t>
            </w:r>
          </w:p>
        </w:tc>
        <w:tc>
          <w:tcPr>
            <w:tcW w:w="1397" w:type="dxa"/>
            <w:noWrap/>
          </w:tcPr>
          <w:p w14:paraId="3E7CC88D" w14:textId="54A2D080" w:rsidR="00A86B0B" w:rsidRDefault="00A86B0B" w:rsidP="00A86B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3.0%</w:t>
            </w:r>
          </w:p>
        </w:tc>
      </w:tr>
      <w:tr w:rsidR="00A86B0B" w:rsidRPr="00914570" w14:paraId="721FA873" w14:textId="77777777" w:rsidTr="00DF2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</w:tcPr>
          <w:p w14:paraId="7B9D5E9B" w14:textId="635511CD" w:rsidR="00A86B0B" w:rsidRPr="0022769B" w:rsidRDefault="00A86B0B" w:rsidP="00A86B0B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</w:tcPr>
          <w:p w14:paraId="5F4355DF" w14:textId="5198C382" w:rsidR="00A86B0B" w:rsidRPr="0022769B" w:rsidRDefault="00A86B0B" w:rsidP="00A86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132" w:type="dxa"/>
            <w:noWrap/>
          </w:tcPr>
          <w:p w14:paraId="354225B4" w14:textId="67697760" w:rsidR="00A86B0B" w:rsidRPr="0022769B" w:rsidRDefault="00A86B0B" w:rsidP="00A86B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Licensee</w:t>
            </w:r>
          </w:p>
        </w:tc>
        <w:tc>
          <w:tcPr>
            <w:tcW w:w="1520" w:type="dxa"/>
            <w:noWrap/>
          </w:tcPr>
          <w:p w14:paraId="45AD2E20" w14:textId="6B410397" w:rsidR="00A86B0B" w:rsidRDefault="00A86B0B" w:rsidP="00A86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165</w:t>
            </w:r>
          </w:p>
        </w:tc>
        <w:tc>
          <w:tcPr>
            <w:tcW w:w="1397" w:type="dxa"/>
            <w:noWrap/>
          </w:tcPr>
          <w:p w14:paraId="1FCF6342" w14:textId="4797C0ED" w:rsidR="00A86B0B" w:rsidRDefault="00C003E0" w:rsidP="00A86B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1.4%</w:t>
            </w:r>
          </w:p>
        </w:tc>
      </w:tr>
      <w:tr w:rsidR="00A86B0B" w:rsidRPr="00914570" w14:paraId="09880902" w14:textId="77777777" w:rsidTr="00DF2E7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333BFDBA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15" w:type="dxa"/>
            <w:noWrap/>
            <w:hideMark/>
          </w:tcPr>
          <w:p w14:paraId="1F81A2F0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32" w:type="dxa"/>
            <w:noWrap/>
            <w:hideMark/>
          </w:tcPr>
          <w:p w14:paraId="4B5486E9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20" w:type="dxa"/>
            <w:noWrap/>
            <w:hideMark/>
          </w:tcPr>
          <w:p w14:paraId="04C87B8E" w14:textId="2E9EACA3" w:rsidR="00914570" w:rsidRPr="0022769B" w:rsidRDefault="00914570" w:rsidP="00A65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</w:t>
            </w:r>
            <w:r w:rsidR="0083460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1,713</w:t>
            </w:r>
          </w:p>
        </w:tc>
        <w:tc>
          <w:tcPr>
            <w:tcW w:w="1397" w:type="dxa"/>
            <w:noWrap/>
            <w:hideMark/>
          </w:tcPr>
          <w:p w14:paraId="1A38A113" w14:textId="77777777" w:rsidR="00914570" w:rsidRPr="0022769B" w:rsidRDefault="00914570" w:rsidP="00A65E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7D8F7594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1" w:type="dxa"/>
            <w:gridSpan w:val="5"/>
            <w:noWrap/>
            <w:hideMark/>
          </w:tcPr>
          <w:p w14:paraId="42CE408F" w14:textId="77777777" w:rsidR="00914570" w:rsidRPr="0022769B" w:rsidRDefault="00914570" w:rsidP="0091457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 Grants and Schemes</w:t>
            </w:r>
          </w:p>
        </w:tc>
      </w:tr>
      <w:tr w:rsidR="00A86B0B" w:rsidRPr="00914570" w14:paraId="1F98B097" w14:textId="77777777" w:rsidTr="00DF2E7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039EA17C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77A5C91E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Housing Grants and Schemes</w:t>
            </w:r>
          </w:p>
        </w:tc>
        <w:tc>
          <w:tcPr>
            <w:tcW w:w="5132" w:type="dxa"/>
            <w:noWrap/>
            <w:hideMark/>
          </w:tcPr>
          <w:p w14:paraId="2E217125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Housing Grants and Schemes</w:t>
            </w:r>
          </w:p>
        </w:tc>
        <w:tc>
          <w:tcPr>
            <w:tcW w:w="1520" w:type="dxa"/>
            <w:noWrap/>
            <w:hideMark/>
          </w:tcPr>
          <w:p w14:paraId="53FE6BFC" w14:textId="7BBEB260" w:rsidR="00914570" w:rsidRPr="0022769B" w:rsidRDefault="0083460D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11,507</w:t>
            </w:r>
          </w:p>
        </w:tc>
        <w:tc>
          <w:tcPr>
            <w:tcW w:w="1397" w:type="dxa"/>
            <w:noWrap/>
            <w:hideMark/>
          </w:tcPr>
          <w:p w14:paraId="628190B1" w14:textId="77777777" w:rsidR="00914570" w:rsidRPr="0022769B" w:rsidRDefault="00914570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A86B0B" w:rsidRPr="00914570" w14:paraId="6609FCB0" w14:textId="77777777" w:rsidTr="00DF2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3FBB65F9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15" w:type="dxa"/>
            <w:noWrap/>
            <w:hideMark/>
          </w:tcPr>
          <w:p w14:paraId="1343E87D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32" w:type="dxa"/>
            <w:noWrap/>
            <w:hideMark/>
          </w:tcPr>
          <w:p w14:paraId="2F3AAD85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20" w:type="dxa"/>
            <w:noWrap/>
            <w:hideMark/>
          </w:tcPr>
          <w:p w14:paraId="791FA44D" w14:textId="1E6A72ED" w:rsidR="00914570" w:rsidRPr="0022769B" w:rsidRDefault="0083460D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11,507</w:t>
            </w:r>
          </w:p>
        </w:tc>
        <w:tc>
          <w:tcPr>
            <w:tcW w:w="1397" w:type="dxa"/>
            <w:noWrap/>
            <w:hideMark/>
          </w:tcPr>
          <w:p w14:paraId="4DEF07C5" w14:textId="77777777" w:rsidR="00914570" w:rsidRPr="0022769B" w:rsidRDefault="00914570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4C614DDA" w14:textId="77777777" w:rsidTr="00E320B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1" w:type="dxa"/>
            <w:gridSpan w:val="5"/>
            <w:noWrap/>
            <w:hideMark/>
          </w:tcPr>
          <w:p w14:paraId="282FC9E6" w14:textId="77777777" w:rsidR="00914570" w:rsidRPr="0022769B" w:rsidRDefault="00914570" w:rsidP="0091457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Other</w:t>
            </w:r>
          </w:p>
        </w:tc>
      </w:tr>
      <w:tr w:rsidR="00A86B0B" w:rsidRPr="00914570" w14:paraId="234ECA49" w14:textId="77777777" w:rsidTr="00DF2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4BF4811B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7E09CBA3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5132" w:type="dxa"/>
            <w:noWrap/>
            <w:hideMark/>
          </w:tcPr>
          <w:p w14:paraId="58D61C75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520" w:type="dxa"/>
            <w:noWrap/>
            <w:hideMark/>
          </w:tcPr>
          <w:p w14:paraId="290E923E" w14:textId="7FD03CA1" w:rsidR="00914570" w:rsidRPr="0022769B" w:rsidRDefault="00914570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  <w:r w:rsidR="004F2799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,823</w:t>
            </w:r>
          </w:p>
        </w:tc>
        <w:tc>
          <w:tcPr>
            <w:tcW w:w="1397" w:type="dxa"/>
            <w:noWrap/>
            <w:hideMark/>
          </w:tcPr>
          <w:p w14:paraId="2F0D10EB" w14:textId="77777777" w:rsidR="00914570" w:rsidRPr="0022769B" w:rsidRDefault="00914570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A86B0B" w:rsidRPr="00914570" w14:paraId="1FC33742" w14:textId="77777777" w:rsidTr="00DF2E7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20B30DDD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15" w:type="dxa"/>
            <w:noWrap/>
            <w:hideMark/>
          </w:tcPr>
          <w:p w14:paraId="1027ABBC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32" w:type="dxa"/>
            <w:noWrap/>
            <w:hideMark/>
          </w:tcPr>
          <w:p w14:paraId="5CF3F39B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20" w:type="dxa"/>
            <w:noWrap/>
            <w:hideMark/>
          </w:tcPr>
          <w:p w14:paraId="15D576E0" w14:textId="547826AF" w:rsidR="00914570" w:rsidRPr="0022769B" w:rsidRDefault="00914570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3,</w:t>
            </w:r>
            <w:r w:rsidR="004F27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823</w:t>
            </w:r>
          </w:p>
        </w:tc>
        <w:tc>
          <w:tcPr>
            <w:tcW w:w="1397" w:type="dxa"/>
            <w:noWrap/>
            <w:hideMark/>
          </w:tcPr>
          <w:p w14:paraId="393E22A0" w14:textId="77777777" w:rsidR="00914570" w:rsidRPr="0022769B" w:rsidRDefault="00914570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6767493F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1" w:type="dxa"/>
            <w:gridSpan w:val="5"/>
            <w:noWrap/>
            <w:hideMark/>
          </w:tcPr>
          <w:p w14:paraId="1F2B9E5E" w14:textId="77777777" w:rsidR="00914570" w:rsidRPr="0022769B" w:rsidRDefault="00914570" w:rsidP="0091457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Homelessness</w:t>
            </w:r>
          </w:p>
        </w:tc>
      </w:tr>
      <w:tr w:rsidR="00A86B0B" w:rsidRPr="00914570" w14:paraId="66A9E1E9" w14:textId="77777777" w:rsidTr="00DF2E7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0071F292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2E73881B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Homelessness</w:t>
            </w:r>
          </w:p>
        </w:tc>
        <w:tc>
          <w:tcPr>
            <w:tcW w:w="5132" w:type="dxa"/>
            <w:noWrap/>
            <w:hideMark/>
          </w:tcPr>
          <w:p w14:paraId="21394F13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Homelessness</w:t>
            </w:r>
          </w:p>
        </w:tc>
        <w:tc>
          <w:tcPr>
            <w:tcW w:w="1520" w:type="dxa"/>
            <w:noWrap/>
            <w:hideMark/>
          </w:tcPr>
          <w:p w14:paraId="2E9B5406" w14:textId="5A6AAE9E" w:rsidR="00914570" w:rsidRPr="0022769B" w:rsidRDefault="004F2799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3,157</w:t>
            </w:r>
          </w:p>
        </w:tc>
        <w:tc>
          <w:tcPr>
            <w:tcW w:w="1397" w:type="dxa"/>
            <w:noWrap/>
            <w:hideMark/>
          </w:tcPr>
          <w:p w14:paraId="17F32A49" w14:textId="77777777" w:rsidR="00914570" w:rsidRPr="0022769B" w:rsidRDefault="00914570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A86B0B" w:rsidRPr="00914570" w14:paraId="25CFC3F0" w14:textId="77777777" w:rsidTr="00DF2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1E4C905C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15" w:type="dxa"/>
            <w:noWrap/>
            <w:hideMark/>
          </w:tcPr>
          <w:p w14:paraId="7A4ADA02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32" w:type="dxa"/>
            <w:noWrap/>
            <w:hideMark/>
          </w:tcPr>
          <w:p w14:paraId="249A6E99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20" w:type="dxa"/>
            <w:noWrap/>
            <w:hideMark/>
          </w:tcPr>
          <w:p w14:paraId="53919E66" w14:textId="017A8B3F" w:rsidR="00914570" w:rsidRPr="0022769B" w:rsidRDefault="004F2799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3,157</w:t>
            </w:r>
          </w:p>
        </w:tc>
        <w:tc>
          <w:tcPr>
            <w:tcW w:w="1397" w:type="dxa"/>
            <w:noWrap/>
            <w:hideMark/>
          </w:tcPr>
          <w:p w14:paraId="14769F73" w14:textId="77777777" w:rsidR="00914570" w:rsidRPr="0022769B" w:rsidRDefault="00914570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0D5675" w:rsidRPr="00914570" w14:paraId="098998DC" w14:textId="77777777" w:rsidTr="0070034B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1" w:type="dxa"/>
            <w:gridSpan w:val="5"/>
            <w:noWrap/>
          </w:tcPr>
          <w:p w14:paraId="46ECE7E8" w14:textId="618C2E1F" w:rsidR="000D5675" w:rsidRPr="0022769B" w:rsidRDefault="000D5675" w:rsidP="00C003E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IE"/>
              </w:rPr>
            </w:pPr>
            <w:r w:rsidRPr="000D567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Home Energy</w:t>
            </w:r>
            <w: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Grants</w:t>
            </w:r>
            <w:r w:rsidRPr="000D5675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 xml:space="preserve"> (SEAI)</w:t>
            </w:r>
          </w:p>
        </w:tc>
      </w:tr>
      <w:tr w:rsidR="000D5675" w:rsidRPr="00914570" w14:paraId="74A31C41" w14:textId="77777777" w:rsidTr="00DF2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</w:tcPr>
          <w:p w14:paraId="45178CE9" w14:textId="599A24C3" w:rsidR="000D5675" w:rsidRPr="0022769B" w:rsidRDefault="000D5675" w:rsidP="000D5675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</w:tcPr>
          <w:p w14:paraId="3385AF2C" w14:textId="01EBCDC0" w:rsidR="000D5675" w:rsidRPr="000D5675" w:rsidRDefault="000D5675" w:rsidP="000D5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0D5675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Home Energy Grants (SEAI)</w:t>
            </w:r>
          </w:p>
        </w:tc>
        <w:tc>
          <w:tcPr>
            <w:tcW w:w="5132" w:type="dxa"/>
            <w:noWrap/>
          </w:tcPr>
          <w:p w14:paraId="2A9DED5F" w14:textId="4E40E650" w:rsidR="000D5675" w:rsidRPr="000D5675" w:rsidRDefault="000D5675" w:rsidP="000D56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0D5675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Home Energy Grants (SEAI)</w:t>
            </w:r>
          </w:p>
        </w:tc>
        <w:tc>
          <w:tcPr>
            <w:tcW w:w="1520" w:type="dxa"/>
            <w:noWrap/>
          </w:tcPr>
          <w:p w14:paraId="07A82CCF" w14:textId="3329CEB8" w:rsidR="000D5675" w:rsidRPr="000D5675" w:rsidRDefault="000D5675" w:rsidP="000D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0D5675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2,407</w:t>
            </w:r>
          </w:p>
        </w:tc>
        <w:tc>
          <w:tcPr>
            <w:tcW w:w="1397" w:type="dxa"/>
            <w:noWrap/>
          </w:tcPr>
          <w:p w14:paraId="59CBA5C3" w14:textId="78B028E5" w:rsidR="000D5675" w:rsidRPr="0022769B" w:rsidRDefault="000D5675" w:rsidP="000D56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0D5675" w:rsidRPr="00914570" w14:paraId="6AAB2E83" w14:textId="77777777" w:rsidTr="00DF2E7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</w:tcPr>
          <w:p w14:paraId="53F9A5A3" w14:textId="77777777" w:rsidR="000D5675" w:rsidRPr="0022769B" w:rsidRDefault="000D5675" w:rsidP="000D5675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4515" w:type="dxa"/>
            <w:noWrap/>
          </w:tcPr>
          <w:p w14:paraId="2B544146" w14:textId="77777777" w:rsidR="000D5675" w:rsidRPr="0022769B" w:rsidRDefault="000D5675" w:rsidP="000D5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5132" w:type="dxa"/>
            <w:noWrap/>
          </w:tcPr>
          <w:p w14:paraId="5A58D2D9" w14:textId="5E7166D7" w:rsidR="000D5675" w:rsidRPr="0022769B" w:rsidRDefault="000D5675" w:rsidP="000D56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20" w:type="dxa"/>
            <w:noWrap/>
          </w:tcPr>
          <w:p w14:paraId="1C9DC66C" w14:textId="1630E6D4" w:rsidR="000D5675" w:rsidRDefault="000D5675" w:rsidP="000D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2,407</w:t>
            </w:r>
          </w:p>
        </w:tc>
        <w:tc>
          <w:tcPr>
            <w:tcW w:w="1397" w:type="dxa"/>
            <w:noWrap/>
          </w:tcPr>
          <w:p w14:paraId="6BD1CCD0" w14:textId="191DD354" w:rsidR="000D5675" w:rsidRPr="0022769B" w:rsidRDefault="000D5675" w:rsidP="000D56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48EA1D1B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1" w:type="dxa"/>
            <w:gridSpan w:val="5"/>
            <w:noWrap/>
            <w:hideMark/>
          </w:tcPr>
          <w:p w14:paraId="2E9C9AC4" w14:textId="77777777" w:rsidR="00914570" w:rsidRPr="0022769B" w:rsidRDefault="00914570" w:rsidP="0091457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Buying a Home</w:t>
            </w:r>
          </w:p>
        </w:tc>
      </w:tr>
      <w:tr w:rsidR="00A86B0B" w:rsidRPr="00914570" w14:paraId="414D8F97" w14:textId="77777777" w:rsidTr="00DF2E7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586B6EB9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2C8387D9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Buying a Home</w:t>
            </w:r>
          </w:p>
        </w:tc>
        <w:tc>
          <w:tcPr>
            <w:tcW w:w="5132" w:type="dxa"/>
            <w:noWrap/>
            <w:hideMark/>
          </w:tcPr>
          <w:p w14:paraId="4CFF651A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Buying a Home</w:t>
            </w:r>
          </w:p>
        </w:tc>
        <w:tc>
          <w:tcPr>
            <w:tcW w:w="1520" w:type="dxa"/>
            <w:noWrap/>
            <w:hideMark/>
          </w:tcPr>
          <w:p w14:paraId="7CD6650B" w14:textId="655C2620" w:rsidR="00914570" w:rsidRPr="0022769B" w:rsidRDefault="00914570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="004F2799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,871</w:t>
            </w:r>
          </w:p>
        </w:tc>
        <w:tc>
          <w:tcPr>
            <w:tcW w:w="1397" w:type="dxa"/>
            <w:noWrap/>
            <w:hideMark/>
          </w:tcPr>
          <w:p w14:paraId="47EF4597" w14:textId="77777777" w:rsidR="00914570" w:rsidRPr="0022769B" w:rsidRDefault="00914570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A86B0B" w:rsidRPr="00914570" w14:paraId="799754CF" w14:textId="77777777" w:rsidTr="00DF2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578A769C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15" w:type="dxa"/>
            <w:noWrap/>
            <w:hideMark/>
          </w:tcPr>
          <w:p w14:paraId="75F527F1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32" w:type="dxa"/>
            <w:noWrap/>
            <w:hideMark/>
          </w:tcPr>
          <w:p w14:paraId="590A509F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20" w:type="dxa"/>
            <w:noWrap/>
            <w:hideMark/>
          </w:tcPr>
          <w:p w14:paraId="7BC3B834" w14:textId="28577171" w:rsidR="00914570" w:rsidRPr="0022769B" w:rsidRDefault="00914570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1,</w:t>
            </w:r>
            <w:r w:rsidR="004F27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871</w:t>
            </w:r>
          </w:p>
        </w:tc>
        <w:tc>
          <w:tcPr>
            <w:tcW w:w="1397" w:type="dxa"/>
            <w:noWrap/>
            <w:hideMark/>
          </w:tcPr>
          <w:p w14:paraId="1E7E97EE" w14:textId="77777777" w:rsidR="00914570" w:rsidRPr="0022769B" w:rsidRDefault="00914570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5BFB50C9" w14:textId="77777777" w:rsidTr="00E320B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1" w:type="dxa"/>
            <w:gridSpan w:val="5"/>
            <w:noWrap/>
            <w:hideMark/>
          </w:tcPr>
          <w:p w14:paraId="3D9D70C0" w14:textId="77777777" w:rsidR="00914570" w:rsidRPr="0022769B" w:rsidRDefault="00914570" w:rsidP="0091457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Planning Permission</w:t>
            </w:r>
          </w:p>
        </w:tc>
      </w:tr>
      <w:tr w:rsidR="00A86B0B" w:rsidRPr="00914570" w14:paraId="36C78077" w14:textId="77777777" w:rsidTr="00DF2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53572375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50F823AF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Planning Permission</w:t>
            </w:r>
          </w:p>
        </w:tc>
        <w:tc>
          <w:tcPr>
            <w:tcW w:w="5132" w:type="dxa"/>
            <w:noWrap/>
            <w:hideMark/>
          </w:tcPr>
          <w:p w14:paraId="5A7DC4CB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Planning Permission</w:t>
            </w:r>
          </w:p>
        </w:tc>
        <w:tc>
          <w:tcPr>
            <w:tcW w:w="1520" w:type="dxa"/>
            <w:noWrap/>
            <w:hideMark/>
          </w:tcPr>
          <w:p w14:paraId="25F37FE2" w14:textId="2CAA0A9A" w:rsidR="00914570" w:rsidRPr="0022769B" w:rsidRDefault="00914570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</w:t>
            </w:r>
            <w:r w:rsidR="004F2799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05</w:t>
            </w:r>
          </w:p>
        </w:tc>
        <w:tc>
          <w:tcPr>
            <w:tcW w:w="1397" w:type="dxa"/>
            <w:noWrap/>
            <w:hideMark/>
          </w:tcPr>
          <w:p w14:paraId="097DB64E" w14:textId="77777777" w:rsidR="00914570" w:rsidRPr="0022769B" w:rsidRDefault="00914570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A86B0B" w:rsidRPr="00914570" w14:paraId="286232C8" w14:textId="77777777" w:rsidTr="00DF2E7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1E981C91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15" w:type="dxa"/>
            <w:noWrap/>
            <w:hideMark/>
          </w:tcPr>
          <w:p w14:paraId="4C8C9727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32" w:type="dxa"/>
            <w:noWrap/>
            <w:hideMark/>
          </w:tcPr>
          <w:p w14:paraId="488FA103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20" w:type="dxa"/>
            <w:noWrap/>
            <w:hideMark/>
          </w:tcPr>
          <w:p w14:paraId="4920D4DE" w14:textId="5ADA08CB" w:rsidR="00914570" w:rsidRPr="0022769B" w:rsidRDefault="00914570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5</w:t>
            </w:r>
            <w:r w:rsidR="004F27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05</w:t>
            </w:r>
          </w:p>
        </w:tc>
        <w:tc>
          <w:tcPr>
            <w:tcW w:w="1397" w:type="dxa"/>
            <w:noWrap/>
            <w:hideMark/>
          </w:tcPr>
          <w:p w14:paraId="0B932E41" w14:textId="77777777" w:rsidR="00914570" w:rsidRPr="0022769B" w:rsidRDefault="00914570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51D2BFE0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1" w:type="dxa"/>
            <w:gridSpan w:val="5"/>
            <w:noWrap/>
            <w:hideMark/>
          </w:tcPr>
          <w:p w14:paraId="5A42DADA" w14:textId="77777777" w:rsidR="00914570" w:rsidRPr="0022769B" w:rsidRDefault="00914570" w:rsidP="0091457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Losing Your Home</w:t>
            </w:r>
          </w:p>
        </w:tc>
      </w:tr>
      <w:tr w:rsidR="00A86B0B" w:rsidRPr="00914570" w14:paraId="5D5BCA5A" w14:textId="77777777" w:rsidTr="00DF2E7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1D17D6AF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3693B70A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Losing your Home</w:t>
            </w:r>
          </w:p>
        </w:tc>
        <w:tc>
          <w:tcPr>
            <w:tcW w:w="5132" w:type="dxa"/>
            <w:noWrap/>
            <w:hideMark/>
          </w:tcPr>
          <w:p w14:paraId="5BE1CEB3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Losing your Home</w:t>
            </w:r>
          </w:p>
        </w:tc>
        <w:tc>
          <w:tcPr>
            <w:tcW w:w="1520" w:type="dxa"/>
            <w:noWrap/>
            <w:hideMark/>
          </w:tcPr>
          <w:p w14:paraId="00C3A197" w14:textId="2B6B2294" w:rsidR="00914570" w:rsidRPr="0022769B" w:rsidRDefault="00914570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  <w:r w:rsidR="004F2799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1397" w:type="dxa"/>
            <w:noWrap/>
            <w:hideMark/>
          </w:tcPr>
          <w:p w14:paraId="6C1ADB4B" w14:textId="77777777" w:rsidR="00914570" w:rsidRPr="0022769B" w:rsidRDefault="00914570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A86B0B" w:rsidRPr="00914570" w14:paraId="1B4BEDA7" w14:textId="77777777" w:rsidTr="00DF2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256EB8B0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15" w:type="dxa"/>
            <w:noWrap/>
            <w:hideMark/>
          </w:tcPr>
          <w:p w14:paraId="23AFF12F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32" w:type="dxa"/>
            <w:noWrap/>
            <w:hideMark/>
          </w:tcPr>
          <w:p w14:paraId="2FC46939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20" w:type="dxa"/>
            <w:noWrap/>
            <w:hideMark/>
          </w:tcPr>
          <w:p w14:paraId="1D057EAF" w14:textId="36395354" w:rsidR="00914570" w:rsidRPr="0022769B" w:rsidRDefault="00914570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</w:t>
            </w:r>
            <w:r w:rsidR="004F27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6</w:t>
            </w: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1397" w:type="dxa"/>
            <w:noWrap/>
            <w:hideMark/>
          </w:tcPr>
          <w:p w14:paraId="76D9C448" w14:textId="77777777" w:rsidR="00914570" w:rsidRPr="0022769B" w:rsidRDefault="00914570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847483" w:rsidRPr="00914570" w14:paraId="69BEE9EE" w14:textId="77777777" w:rsidTr="00DD1C78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1" w:type="dxa"/>
            <w:gridSpan w:val="5"/>
            <w:noWrap/>
          </w:tcPr>
          <w:p w14:paraId="3762F0DC" w14:textId="4E779BEE" w:rsidR="00847483" w:rsidRPr="0022769B" w:rsidRDefault="00847483" w:rsidP="00C003E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Emergency Accommodation</w:t>
            </w:r>
          </w:p>
        </w:tc>
      </w:tr>
      <w:tr w:rsidR="00847483" w:rsidRPr="00914570" w14:paraId="1576DAB9" w14:textId="77777777" w:rsidTr="00DF2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</w:tcPr>
          <w:p w14:paraId="1B70F32C" w14:textId="0925212A" w:rsidR="00847483" w:rsidRPr="0022769B" w:rsidRDefault="00847483" w:rsidP="00847483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</w:tcPr>
          <w:p w14:paraId="572DB1DB" w14:textId="7075FE94" w:rsidR="00847483" w:rsidRPr="0022769B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lang w:eastAsia="en-IE"/>
              </w:rPr>
              <w:t>Emergency Accommodation</w:t>
            </w:r>
          </w:p>
        </w:tc>
        <w:tc>
          <w:tcPr>
            <w:tcW w:w="5132" w:type="dxa"/>
            <w:noWrap/>
          </w:tcPr>
          <w:p w14:paraId="0F0CF45B" w14:textId="79B4680D" w:rsidR="00847483" w:rsidRPr="0022769B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Emergency Accommodation</w:t>
            </w:r>
          </w:p>
        </w:tc>
        <w:tc>
          <w:tcPr>
            <w:tcW w:w="1520" w:type="dxa"/>
            <w:noWrap/>
          </w:tcPr>
          <w:p w14:paraId="7F06F9B5" w14:textId="1908B755" w:rsidR="00847483" w:rsidRPr="0022769B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323</w:t>
            </w:r>
          </w:p>
        </w:tc>
        <w:tc>
          <w:tcPr>
            <w:tcW w:w="1397" w:type="dxa"/>
            <w:noWrap/>
          </w:tcPr>
          <w:p w14:paraId="49A68CDD" w14:textId="7E6DEE0C" w:rsidR="00847483" w:rsidRPr="0022769B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847483" w:rsidRPr="00914570" w14:paraId="288DCFE6" w14:textId="77777777" w:rsidTr="00DF2E7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</w:tcPr>
          <w:p w14:paraId="5489CCF6" w14:textId="5A524F13" w:rsidR="00847483" w:rsidRPr="0022769B" w:rsidRDefault="00847483" w:rsidP="00847483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15" w:type="dxa"/>
            <w:noWrap/>
          </w:tcPr>
          <w:p w14:paraId="4588E544" w14:textId="22B06A8A" w:rsidR="00847483" w:rsidRPr="0022769B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32" w:type="dxa"/>
            <w:noWrap/>
          </w:tcPr>
          <w:p w14:paraId="2FD02AC2" w14:textId="64F3F36B" w:rsidR="00847483" w:rsidRPr="0022769B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20" w:type="dxa"/>
            <w:noWrap/>
          </w:tcPr>
          <w:p w14:paraId="60053223" w14:textId="7DCE2E0D" w:rsidR="00847483" w:rsidRPr="0022769B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323</w:t>
            </w:r>
          </w:p>
        </w:tc>
        <w:tc>
          <w:tcPr>
            <w:tcW w:w="1397" w:type="dxa"/>
            <w:noWrap/>
          </w:tcPr>
          <w:p w14:paraId="42614481" w14:textId="69C9B549" w:rsidR="00847483" w:rsidRPr="0022769B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6296F17D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1" w:type="dxa"/>
            <w:gridSpan w:val="5"/>
            <w:noWrap/>
            <w:hideMark/>
          </w:tcPr>
          <w:p w14:paraId="4AE8DDEF" w14:textId="77777777" w:rsidR="00914570" w:rsidRPr="0022769B" w:rsidRDefault="00914570" w:rsidP="0091457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Building or Altering a Home</w:t>
            </w:r>
          </w:p>
        </w:tc>
      </w:tr>
      <w:tr w:rsidR="00A86B0B" w:rsidRPr="00914570" w14:paraId="10832F5F" w14:textId="77777777" w:rsidTr="00DF2E7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53BB362E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lastRenderedPageBreak/>
              <w:t>Housing</w:t>
            </w:r>
          </w:p>
        </w:tc>
        <w:tc>
          <w:tcPr>
            <w:tcW w:w="4515" w:type="dxa"/>
            <w:noWrap/>
            <w:hideMark/>
          </w:tcPr>
          <w:p w14:paraId="501A6085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Building or Altering a Home</w:t>
            </w:r>
          </w:p>
        </w:tc>
        <w:tc>
          <w:tcPr>
            <w:tcW w:w="5132" w:type="dxa"/>
            <w:noWrap/>
            <w:hideMark/>
          </w:tcPr>
          <w:p w14:paraId="1EF5B80B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Building or Altering a Home</w:t>
            </w:r>
          </w:p>
        </w:tc>
        <w:tc>
          <w:tcPr>
            <w:tcW w:w="1520" w:type="dxa"/>
            <w:noWrap/>
            <w:hideMark/>
          </w:tcPr>
          <w:p w14:paraId="53A23CC9" w14:textId="09DA2B69" w:rsidR="00914570" w:rsidRPr="0022769B" w:rsidRDefault="00914570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  <w:r w:rsidR="004F2799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397" w:type="dxa"/>
            <w:noWrap/>
            <w:hideMark/>
          </w:tcPr>
          <w:p w14:paraId="1202CD1B" w14:textId="77777777" w:rsidR="00914570" w:rsidRPr="0022769B" w:rsidRDefault="00914570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A86B0B" w:rsidRPr="00914570" w14:paraId="19A684FF" w14:textId="77777777" w:rsidTr="00DF2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13BD0996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15" w:type="dxa"/>
            <w:noWrap/>
            <w:hideMark/>
          </w:tcPr>
          <w:p w14:paraId="56256A33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32" w:type="dxa"/>
            <w:noWrap/>
            <w:hideMark/>
          </w:tcPr>
          <w:p w14:paraId="746814E5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20" w:type="dxa"/>
            <w:noWrap/>
            <w:hideMark/>
          </w:tcPr>
          <w:p w14:paraId="57F68462" w14:textId="0FDB3CFD" w:rsidR="00914570" w:rsidRPr="0022769B" w:rsidRDefault="00914570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</w:t>
            </w:r>
            <w:r w:rsidR="004F279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</w:t>
            </w: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397" w:type="dxa"/>
            <w:noWrap/>
            <w:hideMark/>
          </w:tcPr>
          <w:p w14:paraId="274192B9" w14:textId="77777777" w:rsidR="00914570" w:rsidRPr="0022769B" w:rsidRDefault="00914570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7F57BFF8" w14:textId="77777777" w:rsidTr="00E320B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1" w:type="dxa"/>
            <w:gridSpan w:val="5"/>
            <w:noWrap/>
            <w:hideMark/>
          </w:tcPr>
          <w:p w14:paraId="1021E4EB" w14:textId="77777777" w:rsidR="00914570" w:rsidRPr="0022769B" w:rsidRDefault="00914570" w:rsidP="0091457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Equality/Housing Discrimination</w:t>
            </w:r>
          </w:p>
        </w:tc>
      </w:tr>
      <w:tr w:rsidR="00A86B0B" w:rsidRPr="00914570" w14:paraId="360A1520" w14:textId="77777777" w:rsidTr="00DF2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646C7A90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30A6CEB0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Equality/Housing Discrimination</w:t>
            </w:r>
          </w:p>
        </w:tc>
        <w:tc>
          <w:tcPr>
            <w:tcW w:w="5132" w:type="dxa"/>
            <w:noWrap/>
            <w:hideMark/>
          </w:tcPr>
          <w:p w14:paraId="0A5410C1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Equality/Housing Discrimination</w:t>
            </w:r>
          </w:p>
        </w:tc>
        <w:tc>
          <w:tcPr>
            <w:tcW w:w="1520" w:type="dxa"/>
            <w:noWrap/>
            <w:hideMark/>
          </w:tcPr>
          <w:p w14:paraId="56137548" w14:textId="6B122804" w:rsidR="00914570" w:rsidRPr="0022769B" w:rsidRDefault="004F2799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90</w:t>
            </w:r>
          </w:p>
        </w:tc>
        <w:tc>
          <w:tcPr>
            <w:tcW w:w="1397" w:type="dxa"/>
            <w:noWrap/>
            <w:hideMark/>
          </w:tcPr>
          <w:p w14:paraId="43873BB3" w14:textId="77777777" w:rsidR="00914570" w:rsidRPr="0022769B" w:rsidRDefault="00914570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A86B0B" w:rsidRPr="00914570" w14:paraId="467E9E7D" w14:textId="77777777" w:rsidTr="00DF2E7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3BD930F6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15" w:type="dxa"/>
            <w:noWrap/>
            <w:hideMark/>
          </w:tcPr>
          <w:p w14:paraId="16381A06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32" w:type="dxa"/>
            <w:noWrap/>
            <w:hideMark/>
          </w:tcPr>
          <w:p w14:paraId="014B04B1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20" w:type="dxa"/>
            <w:noWrap/>
            <w:hideMark/>
          </w:tcPr>
          <w:p w14:paraId="35FFA9BB" w14:textId="4F58E196" w:rsidR="00914570" w:rsidRPr="0022769B" w:rsidRDefault="00C003E0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90</w:t>
            </w:r>
          </w:p>
        </w:tc>
        <w:tc>
          <w:tcPr>
            <w:tcW w:w="1397" w:type="dxa"/>
            <w:noWrap/>
            <w:hideMark/>
          </w:tcPr>
          <w:p w14:paraId="2C1F43F3" w14:textId="77777777" w:rsidR="00914570" w:rsidRPr="0022769B" w:rsidRDefault="00914570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26631E" w:rsidRPr="00914570" w14:paraId="180ACE0C" w14:textId="77777777" w:rsidTr="009216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1" w:type="dxa"/>
            <w:gridSpan w:val="5"/>
            <w:noWrap/>
          </w:tcPr>
          <w:p w14:paraId="0C724D43" w14:textId="4C3E5261" w:rsidR="0026631E" w:rsidRPr="00562A08" w:rsidRDefault="0026631E" w:rsidP="00C003E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562A08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Management Companies</w:t>
            </w:r>
          </w:p>
        </w:tc>
      </w:tr>
      <w:tr w:rsidR="00705502" w:rsidRPr="00914570" w14:paraId="3FD53D82" w14:textId="77777777" w:rsidTr="00DF2E74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</w:tcPr>
          <w:p w14:paraId="4E6AB2D1" w14:textId="3275E912" w:rsidR="00705502" w:rsidRPr="00562A08" w:rsidRDefault="00705502" w:rsidP="00705502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562A08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 xml:space="preserve">Housing </w:t>
            </w:r>
          </w:p>
        </w:tc>
        <w:tc>
          <w:tcPr>
            <w:tcW w:w="4515" w:type="dxa"/>
            <w:noWrap/>
          </w:tcPr>
          <w:p w14:paraId="6E5AC8F3" w14:textId="3CB1B8D7" w:rsidR="00705502" w:rsidRPr="0022769B" w:rsidRDefault="00705502" w:rsidP="0070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Management Companies</w:t>
            </w:r>
          </w:p>
        </w:tc>
        <w:tc>
          <w:tcPr>
            <w:tcW w:w="5132" w:type="dxa"/>
            <w:noWrap/>
          </w:tcPr>
          <w:p w14:paraId="2BDC07FE" w14:textId="538388D5" w:rsidR="00705502" w:rsidRPr="0022769B" w:rsidRDefault="00705502" w:rsidP="0070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Management Companies</w:t>
            </w:r>
          </w:p>
        </w:tc>
        <w:tc>
          <w:tcPr>
            <w:tcW w:w="1520" w:type="dxa"/>
            <w:noWrap/>
          </w:tcPr>
          <w:p w14:paraId="332B5C89" w14:textId="473B9862" w:rsidR="00705502" w:rsidRDefault="00705502" w:rsidP="00705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47</w:t>
            </w:r>
          </w:p>
        </w:tc>
        <w:tc>
          <w:tcPr>
            <w:tcW w:w="1397" w:type="dxa"/>
            <w:noWrap/>
          </w:tcPr>
          <w:p w14:paraId="2189D5A1" w14:textId="05659B95" w:rsidR="00705502" w:rsidRPr="0022769B" w:rsidRDefault="00705502" w:rsidP="00705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F589C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705502" w:rsidRPr="00914570" w14:paraId="69B2DBE3" w14:textId="77777777" w:rsidTr="00DF2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</w:tcPr>
          <w:p w14:paraId="4D8AC62D" w14:textId="77777777" w:rsidR="00705502" w:rsidRPr="0022769B" w:rsidRDefault="00705502" w:rsidP="00705502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4515" w:type="dxa"/>
            <w:noWrap/>
          </w:tcPr>
          <w:p w14:paraId="5FE19745" w14:textId="77777777" w:rsidR="00705502" w:rsidRPr="0022769B" w:rsidRDefault="00705502" w:rsidP="0070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5132" w:type="dxa"/>
            <w:noWrap/>
          </w:tcPr>
          <w:p w14:paraId="6C75139F" w14:textId="5F6A6755" w:rsidR="00705502" w:rsidRPr="0022769B" w:rsidRDefault="00705502" w:rsidP="00705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20" w:type="dxa"/>
            <w:noWrap/>
          </w:tcPr>
          <w:p w14:paraId="627EA7A1" w14:textId="15D9F89B" w:rsidR="00705502" w:rsidRPr="005E2CF4" w:rsidRDefault="00705502" w:rsidP="00705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E2CF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47</w:t>
            </w:r>
          </w:p>
        </w:tc>
        <w:tc>
          <w:tcPr>
            <w:tcW w:w="1397" w:type="dxa"/>
            <w:noWrap/>
          </w:tcPr>
          <w:p w14:paraId="2FF1C8D8" w14:textId="0CE70376" w:rsidR="00705502" w:rsidRPr="005E2CF4" w:rsidRDefault="00705502" w:rsidP="007055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5E2CF4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A86B0B" w:rsidRPr="00914570" w14:paraId="4BE8316E" w14:textId="77777777" w:rsidTr="00DF2E74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0292F9C1" w14:textId="77777777" w:rsidR="00914570" w:rsidRPr="0022769B" w:rsidRDefault="00914570" w:rsidP="00914570">
            <w:pPr>
              <w:rPr>
                <w:rFonts w:ascii="Tw Cen MT" w:eastAsia="Times New Roman" w:hAnsi="Tw Cen MT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Tw Cen MT" w:eastAsia="Times New Roman" w:hAnsi="Tw Cen MT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15" w:type="dxa"/>
            <w:noWrap/>
            <w:hideMark/>
          </w:tcPr>
          <w:p w14:paraId="5B841A82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sz w:val="20"/>
                <w:szCs w:val="20"/>
                <w:lang w:eastAsia="en-IE"/>
              </w:rPr>
            </w:pPr>
            <w:r w:rsidRPr="0022769B">
              <w:rPr>
                <w:rFonts w:ascii="Tw Cen MT" w:eastAsia="Times New Roman" w:hAnsi="Tw Cen MT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32" w:type="dxa"/>
            <w:noWrap/>
            <w:hideMark/>
          </w:tcPr>
          <w:p w14:paraId="75F9CC4F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 Housing Queries</w:t>
            </w:r>
          </w:p>
        </w:tc>
        <w:tc>
          <w:tcPr>
            <w:tcW w:w="1520" w:type="dxa"/>
            <w:noWrap/>
            <w:hideMark/>
          </w:tcPr>
          <w:p w14:paraId="0B1FF6CD" w14:textId="0ECF5256" w:rsidR="00914570" w:rsidRPr="0022769B" w:rsidRDefault="004F2799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75,414</w:t>
            </w:r>
          </w:p>
        </w:tc>
        <w:tc>
          <w:tcPr>
            <w:tcW w:w="1397" w:type="dxa"/>
            <w:noWrap/>
            <w:hideMark/>
          </w:tcPr>
          <w:p w14:paraId="644BD2F0" w14:textId="77777777" w:rsidR="00914570" w:rsidRPr="0022769B" w:rsidRDefault="00914570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100.00%</w:t>
            </w:r>
          </w:p>
        </w:tc>
      </w:tr>
    </w:tbl>
    <w:p w14:paraId="3F4A3B26" w14:textId="0B667E31" w:rsidR="00C003E0" w:rsidRDefault="00C003E0">
      <w:pPr>
        <w:rPr>
          <w:rFonts w:asciiTheme="majorHAnsi" w:eastAsiaTheme="majorEastAsia" w:hAnsiTheme="majorHAnsi" w:cstheme="majorBidi"/>
          <w:color w:val="1481AB" w:themeColor="accent1" w:themeShade="BF"/>
          <w:sz w:val="28"/>
          <w:szCs w:val="28"/>
        </w:rPr>
      </w:pPr>
    </w:p>
    <w:p w14:paraId="64254CAE" w14:textId="77777777" w:rsidR="00705502" w:rsidRDefault="00705502">
      <w:pPr>
        <w:rPr>
          <w:rFonts w:asciiTheme="majorHAnsi" w:eastAsiaTheme="majorEastAsia" w:hAnsiTheme="majorHAnsi" w:cstheme="majorBidi"/>
          <w:color w:val="1481AB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14:paraId="11221FE3" w14:textId="157C7F1E" w:rsidR="006F3565" w:rsidRPr="00CE4690" w:rsidRDefault="00847483" w:rsidP="006F3565">
      <w:pPr>
        <w:pStyle w:val="Heading1"/>
        <w:rPr>
          <w:sz w:val="28"/>
          <w:szCs w:val="28"/>
        </w:rPr>
      </w:pPr>
      <w:r>
        <w:rPr>
          <w:sz w:val="28"/>
          <w:szCs w:val="28"/>
        </w:rPr>
        <w:lastRenderedPageBreak/>
        <w:t>H</w:t>
      </w:r>
      <w:r w:rsidR="006F3565" w:rsidRPr="00CE4690">
        <w:rPr>
          <w:sz w:val="28"/>
          <w:szCs w:val="28"/>
        </w:rPr>
        <w:t>ealth Queries 202</w:t>
      </w:r>
      <w:r w:rsidR="006F3565">
        <w:rPr>
          <w:sz w:val="28"/>
          <w:szCs w:val="28"/>
        </w:rPr>
        <w:t>2</w:t>
      </w:r>
    </w:p>
    <w:p w14:paraId="652E0AE6" w14:textId="47329BAF" w:rsidR="006F3565" w:rsidRPr="00595910" w:rsidRDefault="006F3565" w:rsidP="00873479">
      <w:pPr>
        <w:jc w:val="both"/>
        <w:rPr>
          <w:rFonts w:ascii="Calibri" w:hAnsi="Calibri" w:cs="Calibri"/>
          <w:lang w:val="en-US"/>
        </w:rPr>
      </w:pPr>
      <w:r w:rsidRPr="00BA0A6D">
        <w:rPr>
          <w:rFonts w:ascii="Calibri" w:hAnsi="Calibri" w:cs="Calibri"/>
          <w:lang w:val="en-US"/>
        </w:rPr>
        <w:t xml:space="preserve">CISs dealt with </w:t>
      </w:r>
      <w:r>
        <w:rPr>
          <w:rFonts w:ascii="Calibri" w:eastAsia="Times New Roman" w:hAnsi="Calibri" w:cs="Calibri"/>
          <w:color w:val="000000"/>
          <w:lang w:eastAsia="en-IE"/>
        </w:rPr>
        <w:t>57,059</w:t>
      </w:r>
      <w:r w:rsidRPr="00BA0A6D"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Pr="00BA0A6D">
        <w:rPr>
          <w:rFonts w:ascii="Calibri" w:hAnsi="Calibri" w:cs="Calibri"/>
          <w:lang w:val="en-US"/>
        </w:rPr>
        <w:t>Health queries in 202</w:t>
      </w:r>
      <w:r>
        <w:rPr>
          <w:rFonts w:ascii="Calibri" w:hAnsi="Calibri" w:cs="Calibri"/>
          <w:lang w:val="en-US"/>
        </w:rPr>
        <w:t>2</w:t>
      </w:r>
      <w:r w:rsidRPr="00BA0A6D">
        <w:rPr>
          <w:rFonts w:ascii="Calibri" w:hAnsi="Calibri" w:cs="Calibri"/>
          <w:lang w:val="en-US"/>
        </w:rPr>
        <w:t xml:space="preserve">, </w:t>
      </w:r>
      <w:r>
        <w:rPr>
          <w:rFonts w:ascii="Calibri" w:hAnsi="Calibri" w:cs="Calibri"/>
          <w:lang w:val="en-US"/>
        </w:rPr>
        <w:t>7.2</w:t>
      </w:r>
      <w:r w:rsidRPr="00BA0A6D">
        <w:rPr>
          <w:rFonts w:ascii="Calibri" w:hAnsi="Calibri" w:cs="Calibri"/>
          <w:lang w:val="en-US"/>
        </w:rPr>
        <w:t>% of all queries received by services</w:t>
      </w:r>
      <w:r w:rsidR="00873479">
        <w:rPr>
          <w:rFonts w:ascii="Calibri" w:hAnsi="Calibri" w:cs="Calibri"/>
          <w:lang w:val="en-US"/>
        </w:rPr>
        <w:t>, and a 31% increase on last year’s queries.</w:t>
      </w:r>
      <w:r w:rsidRPr="00BA0A6D">
        <w:rPr>
          <w:rFonts w:ascii="Calibri" w:hAnsi="Calibri" w:cs="Calibri"/>
          <w:lang w:val="en-US"/>
        </w:rPr>
        <w:t xml:space="preserve"> Most queries in th</w:t>
      </w:r>
      <w:r w:rsidR="00873479">
        <w:rPr>
          <w:rFonts w:ascii="Calibri" w:hAnsi="Calibri" w:cs="Calibri"/>
          <w:lang w:val="en-US"/>
        </w:rPr>
        <w:t>is</w:t>
      </w:r>
      <w:r w:rsidRPr="00BA0A6D">
        <w:rPr>
          <w:rFonts w:ascii="Calibri" w:hAnsi="Calibri" w:cs="Calibri"/>
          <w:lang w:val="en-US"/>
        </w:rPr>
        <w:t xml:space="preserve"> category were about the </w:t>
      </w:r>
      <w:r w:rsidRPr="00E320B2">
        <w:rPr>
          <w:rFonts w:ascii="Calibri" w:hAnsi="Calibri" w:cs="Calibri"/>
          <w:i/>
          <w:lang w:val="en-US"/>
        </w:rPr>
        <w:t>Medical Card</w:t>
      </w:r>
      <w:r>
        <w:rPr>
          <w:rFonts w:ascii="Calibri" w:hAnsi="Calibri" w:cs="Calibri"/>
          <w:lang w:val="en-US"/>
        </w:rPr>
        <w:t xml:space="preserve"> (36,438</w:t>
      </w:r>
      <w:r w:rsidRPr="00BA0A6D">
        <w:rPr>
          <w:rFonts w:ascii="Calibri" w:hAnsi="Calibri" w:cs="Calibri"/>
          <w:lang w:val="en-US"/>
        </w:rPr>
        <w:t xml:space="preserve">), which represented </w:t>
      </w:r>
      <w:r>
        <w:rPr>
          <w:rFonts w:ascii="Calibri" w:hAnsi="Calibri" w:cs="Calibri"/>
          <w:lang w:val="en-US"/>
        </w:rPr>
        <w:t>63.9% of all H</w:t>
      </w:r>
      <w:r w:rsidRPr="00BA0A6D">
        <w:rPr>
          <w:rFonts w:ascii="Calibri" w:hAnsi="Calibri" w:cs="Calibri"/>
          <w:lang w:val="en-US"/>
        </w:rPr>
        <w:t>ealth queries recorded</w:t>
      </w:r>
      <w:r>
        <w:rPr>
          <w:rFonts w:ascii="Calibri" w:hAnsi="Calibri" w:cs="Calibri"/>
          <w:lang w:val="en-US"/>
        </w:rPr>
        <w:t xml:space="preserve"> by services</w:t>
      </w:r>
      <w:r w:rsidR="00873479">
        <w:rPr>
          <w:rFonts w:ascii="Calibri" w:hAnsi="Calibri" w:cs="Calibri"/>
          <w:lang w:val="en-US"/>
        </w:rPr>
        <w:t xml:space="preserve"> and </w:t>
      </w:r>
      <w:r w:rsidR="00401848">
        <w:rPr>
          <w:rFonts w:ascii="Calibri" w:hAnsi="Calibri" w:cs="Calibri"/>
          <w:lang w:val="en-US"/>
        </w:rPr>
        <w:t xml:space="preserve">saw </w:t>
      </w:r>
      <w:r w:rsidR="00873479">
        <w:rPr>
          <w:rFonts w:ascii="Calibri" w:hAnsi="Calibri" w:cs="Calibri"/>
          <w:lang w:val="en-US"/>
        </w:rPr>
        <w:t xml:space="preserve">an increase of 43% compared to </w:t>
      </w:r>
      <w:r w:rsidR="00873479" w:rsidRPr="00844BFF">
        <w:rPr>
          <w:rFonts w:ascii="Calibri" w:hAnsi="Calibri" w:cs="Calibri"/>
          <w:i/>
          <w:iCs/>
          <w:lang w:val="en-US"/>
        </w:rPr>
        <w:t>Medical Card</w:t>
      </w:r>
      <w:r w:rsidR="00873479">
        <w:rPr>
          <w:rFonts w:ascii="Calibri" w:hAnsi="Calibri" w:cs="Calibri"/>
          <w:lang w:val="en-US"/>
        </w:rPr>
        <w:t xml:space="preserve"> queries in 2021. This was followed by the </w:t>
      </w:r>
      <w:r w:rsidR="00873479" w:rsidRPr="00844BFF">
        <w:rPr>
          <w:rFonts w:ascii="Calibri" w:hAnsi="Calibri" w:cs="Calibri"/>
          <w:i/>
          <w:iCs/>
          <w:lang w:val="en-US"/>
        </w:rPr>
        <w:t>Fair Deal and Home Care Package</w:t>
      </w:r>
      <w:r w:rsidR="00873479">
        <w:rPr>
          <w:rFonts w:ascii="Calibri" w:hAnsi="Calibri" w:cs="Calibri"/>
          <w:lang w:val="en-US"/>
        </w:rPr>
        <w:t xml:space="preserve"> with 3,293 queries, and </w:t>
      </w:r>
      <w:r w:rsidR="00873479" w:rsidRPr="00844BFF">
        <w:rPr>
          <w:rFonts w:ascii="Calibri" w:hAnsi="Calibri" w:cs="Calibri"/>
          <w:i/>
          <w:iCs/>
          <w:lang w:val="en-US"/>
        </w:rPr>
        <w:t xml:space="preserve">GP </w:t>
      </w:r>
      <w:r w:rsidR="00844BFF" w:rsidRPr="00844BFF">
        <w:rPr>
          <w:rFonts w:ascii="Calibri" w:hAnsi="Calibri" w:cs="Calibri"/>
          <w:i/>
          <w:iCs/>
          <w:lang w:val="en-US"/>
        </w:rPr>
        <w:t>S</w:t>
      </w:r>
      <w:r w:rsidR="00873479" w:rsidRPr="00844BFF">
        <w:rPr>
          <w:rFonts w:ascii="Calibri" w:hAnsi="Calibri" w:cs="Calibri"/>
          <w:i/>
          <w:iCs/>
          <w:lang w:val="en-US"/>
        </w:rPr>
        <w:t>ervices</w:t>
      </w:r>
      <w:r w:rsidR="00873479">
        <w:rPr>
          <w:rFonts w:ascii="Calibri" w:hAnsi="Calibri" w:cs="Calibri"/>
          <w:lang w:val="en-US"/>
        </w:rPr>
        <w:t xml:space="preserve"> with 3,282 queries.</w:t>
      </w:r>
    </w:p>
    <w:p w14:paraId="08EB7D1D" w14:textId="456FCA32" w:rsidR="006F3565" w:rsidRPr="001C337D" w:rsidRDefault="006F3565" w:rsidP="001C337D">
      <w:pPr>
        <w:pStyle w:val="Heading1"/>
        <w:rPr>
          <w:sz w:val="24"/>
          <w:szCs w:val="24"/>
        </w:rPr>
      </w:pPr>
      <w:r w:rsidRPr="00BA0A6D">
        <w:rPr>
          <w:sz w:val="24"/>
          <w:szCs w:val="24"/>
        </w:rPr>
        <w:t xml:space="preserve">Table </w:t>
      </w:r>
      <w:r>
        <w:rPr>
          <w:sz w:val="24"/>
          <w:szCs w:val="24"/>
        </w:rPr>
        <w:t>5</w:t>
      </w:r>
      <w:r w:rsidRPr="00BA0A6D">
        <w:rPr>
          <w:sz w:val="24"/>
          <w:szCs w:val="24"/>
        </w:rPr>
        <w:t xml:space="preserve"> - Health Queries 202</w:t>
      </w:r>
      <w:r>
        <w:rPr>
          <w:sz w:val="24"/>
          <w:szCs w:val="24"/>
        </w:rPr>
        <w:t>2</w:t>
      </w:r>
    </w:p>
    <w:tbl>
      <w:tblPr>
        <w:tblStyle w:val="GridTable5Dark-Accent6"/>
        <w:tblW w:w="13858" w:type="dxa"/>
        <w:tblLook w:val="04A0" w:firstRow="1" w:lastRow="0" w:firstColumn="1" w:lastColumn="0" w:noHBand="0" w:noVBand="1"/>
        <w:tblCaption w:val="Table 6 Health Queries 2021"/>
        <w:tblDescription w:val="This table shows the data for the Health query sub-categories recorded by CISs during 2021."/>
      </w:tblPr>
      <w:tblGrid>
        <w:gridCol w:w="1328"/>
        <w:gridCol w:w="3909"/>
        <w:gridCol w:w="5826"/>
        <w:gridCol w:w="1457"/>
        <w:gridCol w:w="1338"/>
      </w:tblGrid>
      <w:tr w:rsidR="006F3565" w:rsidRPr="00BA0A6D" w14:paraId="39DB604F" w14:textId="77777777" w:rsidTr="005D1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4E4544F6" w14:textId="77777777" w:rsidR="006F3565" w:rsidRPr="0022769B" w:rsidRDefault="006F3565" w:rsidP="005D1B0E">
            <w:pPr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Category</w:t>
            </w:r>
          </w:p>
        </w:tc>
        <w:tc>
          <w:tcPr>
            <w:tcW w:w="3909" w:type="dxa"/>
            <w:noWrap/>
            <w:hideMark/>
          </w:tcPr>
          <w:p w14:paraId="527360B7" w14:textId="77777777" w:rsidR="006F3565" w:rsidRPr="0022769B" w:rsidRDefault="006F3565" w:rsidP="005D1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Sub-Category</w:t>
            </w:r>
          </w:p>
        </w:tc>
        <w:tc>
          <w:tcPr>
            <w:tcW w:w="5826" w:type="dxa"/>
            <w:noWrap/>
            <w:hideMark/>
          </w:tcPr>
          <w:p w14:paraId="2F523408" w14:textId="58D3CC70" w:rsidR="006F3565" w:rsidRPr="0022769B" w:rsidRDefault="006F3565" w:rsidP="005D1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>202</w:t>
            </w:r>
            <w:r w:rsidR="008805E7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>2</w:t>
            </w:r>
            <w:r w:rsidRPr="0022769B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 xml:space="preserve"> Health Query Breakdown</w:t>
            </w:r>
          </w:p>
        </w:tc>
        <w:tc>
          <w:tcPr>
            <w:tcW w:w="1457" w:type="dxa"/>
            <w:hideMark/>
          </w:tcPr>
          <w:p w14:paraId="7FA2F1CA" w14:textId="77777777" w:rsidR="006F3565" w:rsidRPr="0022769B" w:rsidRDefault="006F3565" w:rsidP="005D1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# Of Queries</w:t>
            </w:r>
          </w:p>
        </w:tc>
        <w:tc>
          <w:tcPr>
            <w:tcW w:w="1338" w:type="dxa"/>
            <w:hideMark/>
          </w:tcPr>
          <w:p w14:paraId="2922DF40" w14:textId="77777777" w:rsidR="006F3565" w:rsidRPr="0022769B" w:rsidRDefault="006F3565" w:rsidP="005D1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% Of Health Queries</w:t>
            </w:r>
          </w:p>
        </w:tc>
      </w:tr>
      <w:tr w:rsidR="006F3565" w:rsidRPr="00BA0A6D" w14:paraId="5720E5B7" w14:textId="77777777" w:rsidTr="005D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300A8A2C" w14:textId="77777777" w:rsidR="006F3565" w:rsidRPr="0022769B" w:rsidRDefault="006F3565" w:rsidP="005D1B0E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bookmarkStart w:id="2" w:name="_Hlk125383815"/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1F637ACD" w14:textId="77777777" w:rsidR="006F3565" w:rsidRPr="0022769B" w:rsidRDefault="006F3565" w:rsidP="005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5826" w:type="dxa"/>
            <w:noWrap/>
            <w:hideMark/>
          </w:tcPr>
          <w:p w14:paraId="466AC285" w14:textId="77777777" w:rsidR="006F3565" w:rsidRPr="0022769B" w:rsidRDefault="006F3565" w:rsidP="005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1457" w:type="dxa"/>
            <w:noWrap/>
            <w:hideMark/>
          </w:tcPr>
          <w:p w14:paraId="08B53D10" w14:textId="77777777" w:rsidR="006F3565" w:rsidRPr="0022769B" w:rsidRDefault="006F3565" w:rsidP="005D1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36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,4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38</w:t>
            </w:r>
          </w:p>
        </w:tc>
        <w:tc>
          <w:tcPr>
            <w:tcW w:w="1338" w:type="dxa"/>
            <w:noWrap/>
            <w:hideMark/>
          </w:tcPr>
          <w:p w14:paraId="2BF45300" w14:textId="77777777" w:rsidR="006F3565" w:rsidRPr="0022769B" w:rsidRDefault="006F3565" w:rsidP="005D1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63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6F3565" w:rsidRPr="00BA0A6D" w14:paraId="3940DC5E" w14:textId="77777777" w:rsidTr="005D1B0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24197898" w14:textId="77777777" w:rsidR="006F3565" w:rsidRPr="0022769B" w:rsidRDefault="006F3565" w:rsidP="005D1B0E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00343444" w14:textId="77777777" w:rsidR="006F3565" w:rsidRPr="0022769B" w:rsidRDefault="006F3565" w:rsidP="005D1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Fair Deal &amp; Home Care Package</w:t>
            </w:r>
          </w:p>
        </w:tc>
        <w:tc>
          <w:tcPr>
            <w:tcW w:w="5826" w:type="dxa"/>
            <w:noWrap/>
            <w:hideMark/>
          </w:tcPr>
          <w:p w14:paraId="6DC5CE65" w14:textId="77777777" w:rsidR="006F3565" w:rsidRPr="0022769B" w:rsidRDefault="006F3565" w:rsidP="005D1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Fair Deal &amp; Home Care Package</w:t>
            </w:r>
          </w:p>
        </w:tc>
        <w:tc>
          <w:tcPr>
            <w:tcW w:w="1457" w:type="dxa"/>
            <w:noWrap/>
            <w:hideMark/>
          </w:tcPr>
          <w:p w14:paraId="588BF3A6" w14:textId="77777777" w:rsidR="006F3565" w:rsidRPr="0022769B" w:rsidRDefault="006F3565" w:rsidP="005D1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3,293</w:t>
            </w:r>
          </w:p>
        </w:tc>
        <w:tc>
          <w:tcPr>
            <w:tcW w:w="1338" w:type="dxa"/>
            <w:noWrap/>
            <w:hideMark/>
          </w:tcPr>
          <w:p w14:paraId="0C0F1261" w14:textId="77777777" w:rsidR="006F3565" w:rsidRPr="0022769B" w:rsidRDefault="006F3565" w:rsidP="005D1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5.8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6F3565" w:rsidRPr="00BA0A6D" w14:paraId="566176A5" w14:textId="77777777" w:rsidTr="005D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0852E6C8" w14:textId="77777777" w:rsidR="006F3565" w:rsidRPr="0022769B" w:rsidRDefault="006F3565" w:rsidP="005D1B0E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6F6C37F5" w14:textId="77777777" w:rsidR="006F3565" w:rsidRPr="0022769B" w:rsidRDefault="006F3565" w:rsidP="005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GP Services</w:t>
            </w:r>
          </w:p>
        </w:tc>
        <w:tc>
          <w:tcPr>
            <w:tcW w:w="5826" w:type="dxa"/>
            <w:noWrap/>
            <w:hideMark/>
          </w:tcPr>
          <w:p w14:paraId="25AB9FC7" w14:textId="77777777" w:rsidR="006F3565" w:rsidRPr="0022769B" w:rsidRDefault="006F3565" w:rsidP="005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GP Services</w:t>
            </w:r>
          </w:p>
        </w:tc>
        <w:tc>
          <w:tcPr>
            <w:tcW w:w="1457" w:type="dxa"/>
            <w:noWrap/>
            <w:hideMark/>
          </w:tcPr>
          <w:p w14:paraId="441D4CD1" w14:textId="77777777" w:rsidR="006F3565" w:rsidRPr="0022769B" w:rsidRDefault="006F3565" w:rsidP="005D1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3,282</w:t>
            </w:r>
          </w:p>
        </w:tc>
        <w:tc>
          <w:tcPr>
            <w:tcW w:w="1338" w:type="dxa"/>
            <w:noWrap/>
            <w:hideMark/>
          </w:tcPr>
          <w:p w14:paraId="3318B841" w14:textId="77777777" w:rsidR="006F3565" w:rsidRPr="0022769B" w:rsidRDefault="006F3565" w:rsidP="005D1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5.8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6F3565" w:rsidRPr="00BA0A6D" w14:paraId="483D899B" w14:textId="77777777" w:rsidTr="005D1B0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74117A65" w14:textId="77777777" w:rsidR="006F3565" w:rsidRPr="0022769B" w:rsidRDefault="006F3565" w:rsidP="005D1B0E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5D916874" w14:textId="77777777" w:rsidR="006F3565" w:rsidRPr="0022769B" w:rsidRDefault="006F3565" w:rsidP="005D1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5826" w:type="dxa"/>
            <w:noWrap/>
            <w:hideMark/>
          </w:tcPr>
          <w:p w14:paraId="2E611C68" w14:textId="77777777" w:rsidR="006F3565" w:rsidRPr="0022769B" w:rsidRDefault="006F3565" w:rsidP="005D1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457" w:type="dxa"/>
            <w:noWrap/>
            <w:hideMark/>
          </w:tcPr>
          <w:p w14:paraId="5E8B9BB2" w14:textId="77777777" w:rsidR="006F3565" w:rsidRPr="0022769B" w:rsidRDefault="006F3565" w:rsidP="005D1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752</w:t>
            </w:r>
          </w:p>
        </w:tc>
        <w:tc>
          <w:tcPr>
            <w:tcW w:w="1338" w:type="dxa"/>
            <w:noWrap/>
            <w:hideMark/>
          </w:tcPr>
          <w:p w14:paraId="2CE0D44E" w14:textId="77777777" w:rsidR="006F3565" w:rsidRPr="0022769B" w:rsidRDefault="006F3565" w:rsidP="005D1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4.8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6F3565" w:rsidRPr="00BA0A6D" w14:paraId="22C9B138" w14:textId="77777777" w:rsidTr="005D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7BD4CDE8" w14:textId="77777777" w:rsidR="006F3565" w:rsidRPr="0022769B" w:rsidRDefault="006F3565" w:rsidP="005D1B0E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2DEC2BE0" w14:textId="77777777" w:rsidR="006F3565" w:rsidRPr="0022769B" w:rsidRDefault="006F3565" w:rsidP="005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Dental, Aural and Optical Health</w:t>
            </w:r>
          </w:p>
        </w:tc>
        <w:tc>
          <w:tcPr>
            <w:tcW w:w="5826" w:type="dxa"/>
            <w:noWrap/>
            <w:hideMark/>
          </w:tcPr>
          <w:p w14:paraId="585C0E1C" w14:textId="77777777" w:rsidR="006F3565" w:rsidRPr="0022769B" w:rsidRDefault="006F3565" w:rsidP="005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Dental, Aural and Optical Health</w:t>
            </w:r>
          </w:p>
        </w:tc>
        <w:tc>
          <w:tcPr>
            <w:tcW w:w="1457" w:type="dxa"/>
            <w:noWrap/>
            <w:hideMark/>
          </w:tcPr>
          <w:p w14:paraId="5E962AED" w14:textId="77777777" w:rsidR="006F3565" w:rsidRPr="0022769B" w:rsidRDefault="006F3565" w:rsidP="005D1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257</w:t>
            </w:r>
          </w:p>
        </w:tc>
        <w:tc>
          <w:tcPr>
            <w:tcW w:w="1338" w:type="dxa"/>
            <w:noWrap/>
            <w:hideMark/>
          </w:tcPr>
          <w:p w14:paraId="41F9AF5F" w14:textId="77777777" w:rsidR="006F3565" w:rsidRPr="0022769B" w:rsidRDefault="006F3565" w:rsidP="005D1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2.2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BA0A6D" w14:paraId="4B6D333D" w14:textId="77777777" w:rsidTr="005D1B0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</w:tcPr>
          <w:p w14:paraId="54CFE200" w14:textId="16476967" w:rsidR="00847483" w:rsidRPr="0022769B" w:rsidRDefault="00847483" w:rsidP="00847483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</w:tcPr>
          <w:p w14:paraId="461DEEF8" w14:textId="4CA35036" w:rsidR="00847483" w:rsidRPr="0022769B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Drugs/Medicines</w:t>
            </w:r>
          </w:p>
        </w:tc>
        <w:tc>
          <w:tcPr>
            <w:tcW w:w="5826" w:type="dxa"/>
            <w:noWrap/>
          </w:tcPr>
          <w:p w14:paraId="05657930" w14:textId="3048FF82" w:rsidR="00847483" w:rsidRPr="0022769B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Drugs Payment Scheme</w:t>
            </w:r>
          </w:p>
        </w:tc>
        <w:tc>
          <w:tcPr>
            <w:tcW w:w="1457" w:type="dxa"/>
            <w:noWrap/>
          </w:tcPr>
          <w:p w14:paraId="20E6D8CB" w14:textId="7B7EFA89" w:rsidR="00847483" w:rsidRPr="0022769B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1,139</w:t>
            </w:r>
          </w:p>
        </w:tc>
        <w:tc>
          <w:tcPr>
            <w:tcW w:w="1338" w:type="dxa"/>
            <w:noWrap/>
          </w:tcPr>
          <w:p w14:paraId="5317999E" w14:textId="515E5194" w:rsidR="0084748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2.0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6F3565" w:rsidRPr="00BA0A6D" w14:paraId="1A628241" w14:textId="77777777" w:rsidTr="0084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2EA085CA" w14:textId="77777777" w:rsidR="006F3565" w:rsidRPr="0022769B" w:rsidRDefault="006F3565" w:rsidP="005D1B0E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5F39650E" w14:textId="77777777" w:rsidR="006F3565" w:rsidRPr="0022769B" w:rsidRDefault="006F3565" w:rsidP="005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Health Services for Older People</w:t>
            </w:r>
          </w:p>
        </w:tc>
        <w:tc>
          <w:tcPr>
            <w:tcW w:w="5826" w:type="dxa"/>
            <w:noWrap/>
            <w:hideMark/>
          </w:tcPr>
          <w:p w14:paraId="37E6BFA6" w14:textId="77777777" w:rsidR="006F3565" w:rsidRPr="0022769B" w:rsidRDefault="006F3565" w:rsidP="005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Health Services for Older People</w:t>
            </w:r>
          </w:p>
        </w:tc>
        <w:tc>
          <w:tcPr>
            <w:tcW w:w="1457" w:type="dxa"/>
            <w:noWrap/>
            <w:hideMark/>
          </w:tcPr>
          <w:p w14:paraId="2A531CEC" w14:textId="77777777" w:rsidR="006F3565" w:rsidRPr="0022769B" w:rsidRDefault="006F3565" w:rsidP="005D1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103</w:t>
            </w:r>
          </w:p>
        </w:tc>
        <w:tc>
          <w:tcPr>
            <w:tcW w:w="1338" w:type="dxa"/>
            <w:noWrap/>
            <w:hideMark/>
          </w:tcPr>
          <w:p w14:paraId="51894680" w14:textId="77777777" w:rsidR="006F3565" w:rsidRPr="0022769B" w:rsidRDefault="006F3565" w:rsidP="005D1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1.9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BA0A6D" w14:paraId="289184D0" w14:textId="77777777" w:rsidTr="005D1B0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</w:tcPr>
          <w:p w14:paraId="60D3532B" w14:textId="0E3D3A98" w:rsidR="00847483" w:rsidRPr="0022769B" w:rsidRDefault="00847483" w:rsidP="00847483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</w:tcPr>
          <w:p w14:paraId="262A7E9A" w14:textId="5DFD85E0" w:rsidR="00847483" w:rsidRPr="0022769B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EU Healthcare</w:t>
            </w:r>
          </w:p>
        </w:tc>
        <w:tc>
          <w:tcPr>
            <w:tcW w:w="5826" w:type="dxa"/>
            <w:noWrap/>
          </w:tcPr>
          <w:p w14:paraId="47479597" w14:textId="6205C61A" w:rsidR="00847483" w:rsidRPr="0022769B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EU Healthcare</w:t>
            </w:r>
          </w:p>
        </w:tc>
        <w:tc>
          <w:tcPr>
            <w:tcW w:w="1457" w:type="dxa"/>
            <w:noWrap/>
          </w:tcPr>
          <w:p w14:paraId="20428BD0" w14:textId="128DCA96" w:rsidR="0084748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1,039</w:t>
            </w:r>
          </w:p>
        </w:tc>
        <w:tc>
          <w:tcPr>
            <w:tcW w:w="1338" w:type="dxa"/>
            <w:noWrap/>
          </w:tcPr>
          <w:p w14:paraId="33FA68C1" w14:textId="64A1889F" w:rsidR="00847483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1.8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6F3565" w:rsidRPr="00BA0A6D" w14:paraId="00B35F0C" w14:textId="77777777" w:rsidTr="005D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502BC4B7" w14:textId="77777777" w:rsidR="006F3565" w:rsidRPr="0022769B" w:rsidRDefault="006F3565" w:rsidP="005D1B0E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3A2676CC" w14:textId="77777777" w:rsidR="006F3565" w:rsidRPr="0022769B" w:rsidRDefault="006F3565" w:rsidP="005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Care in your Community</w:t>
            </w:r>
          </w:p>
        </w:tc>
        <w:tc>
          <w:tcPr>
            <w:tcW w:w="5826" w:type="dxa"/>
            <w:noWrap/>
            <w:hideMark/>
          </w:tcPr>
          <w:p w14:paraId="70A85389" w14:textId="77777777" w:rsidR="006F3565" w:rsidRPr="0022769B" w:rsidRDefault="006F3565" w:rsidP="005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Care in your Community</w:t>
            </w:r>
          </w:p>
        </w:tc>
        <w:tc>
          <w:tcPr>
            <w:tcW w:w="1457" w:type="dxa"/>
            <w:noWrap/>
            <w:hideMark/>
          </w:tcPr>
          <w:p w14:paraId="0499B066" w14:textId="77777777" w:rsidR="006F3565" w:rsidRPr="0022769B" w:rsidRDefault="006F3565" w:rsidP="005D1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972</w:t>
            </w:r>
          </w:p>
        </w:tc>
        <w:tc>
          <w:tcPr>
            <w:tcW w:w="1338" w:type="dxa"/>
            <w:noWrap/>
            <w:hideMark/>
          </w:tcPr>
          <w:p w14:paraId="1710F5D3" w14:textId="77777777" w:rsidR="006F3565" w:rsidRPr="0022769B" w:rsidRDefault="006F3565" w:rsidP="005D1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1.7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6F3565" w:rsidRPr="00BA0A6D" w14:paraId="4917F825" w14:textId="77777777" w:rsidTr="005D1B0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7C51F618" w14:textId="77777777" w:rsidR="006F3565" w:rsidRPr="0022769B" w:rsidRDefault="006F3565" w:rsidP="005D1B0E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6F5AF366" w14:textId="77777777" w:rsidR="006F3565" w:rsidRPr="0022769B" w:rsidRDefault="006F3565" w:rsidP="005D1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Hospital Services</w:t>
            </w:r>
          </w:p>
        </w:tc>
        <w:tc>
          <w:tcPr>
            <w:tcW w:w="5826" w:type="dxa"/>
            <w:noWrap/>
            <w:hideMark/>
          </w:tcPr>
          <w:p w14:paraId="0F387F07" w14:textId="77777777" w:rsidR="006F3565" w:rsidRPr="0022769B" w:rsidRDefault="006F3565" w:rsidP="005D1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Hospital Services</w:t>
            </w:r>
          </w:p>
        </w:tc>
        <w:tc>
          <w:tcPr>
            <w:tcW w:w="1457" w:type="dxa"/>
            <w:noWrap/>
            <w:hideMark/>
          </w:tcPr>
          <w:p w14:paraId="056DE379" w14:textId="77777777" w:rsidR="006F3565" w:rsidRPr="0022769B" w:rsidRDefault="006F3565" w:rsidP="005D1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95</w:t>
            </w:r>
          </w:p>
        </w:tc>
        <w:tc>
          <w:tcPr>
            <w:tcW w:w="1338" w:type="dxa"/>
            <w:noWrap/>
            <w:hideMark/>
          </w:tcPr>
          <w:p w14:paraId="63BC47B6" w14:textId="77777777" w:rsidR="006F3565" w:rsidRPr="0022769B" w:rsidRDefault="006F3565" w:rsidP="005D1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1.7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6F3565" w:rsidRPr="00BA0A6D" w14:paraId="42B7D219" w14:textId="77777777" w:rsidTr="005D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0CAEF0F9" w14:textId="77777777" w:rsidR="006F3565" w:rsidRPr="0022769B" w:rsidRDefault="006F3565" w:rsidP="005D1B0E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2E5F3CED" w14:textId="77777777" w:rsidR="006F3565" w:rsidRPr="0022769B" w:rsidRDefault="006F3565" w:rsidP="005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Health Services for People with Disabilities</w:t>
            </w:r>
          </w:p>
        </w:tc>
        <w:tc>
          <w:tcPr>
            <w:tcW w:w="5826" w:type="dxa"/>
            <w:noWrap/>
            <w:hideMark/>
          </w:tcPr>
          <w:p w14:paraId="16B119FB" w14:textId="77777777" w:rsidR="006F3565" w:rsidRPr="0022769B" w:rsidRDefault="006F3565" w:rsidP="005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Health Services for People with Disabilities</w:t>
            </w:r>
          </w:p>
        </w:tc>
        <w:tc>
          <w:tcPr>
            <w:tcW w:w="1457" w:type="dxa"/>
            <w:noWrap/>
            <w:hideMark/>
          </w:tcPr>
          <w:p w14:paraId="233E6968" w14:textId="77777777" w:rsidR="006F3565" w:rsidRPr="0022769B" w:rsidRDefault="006F3565" w:rsidP="005D1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848</w:t>
            </w:r>
          </w:p>
        </w:tc>
        <w:tc>
          <w:tcPr>
            <w:tcW w:w="1338" w:type="dxa"/>
            <w:noWrap/>
            <w:hideMark/>
          </w:tcPr>
          <w:p w14:paraId="2C5E8F9A" w14:textId="77777777" w:rsidR="006F3565" w:rsidRPr="0022769B" w:rsidRDefault="006F3565" w:rsidP="005D1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1.5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6F3565" w:rsidRPr="00BA0A6D" w14:paraId="4EF80D79" w14:textId="77777777" w:rsidTr="005D1B0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2103EA0B" w14:textId="77777777" w:rsidR="006F3565" w:rsidRPr="0022769B" w:rsidRDefault="006F3565" w:rsidP="005D1B0E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2E365D1F" w14:textId="77777777" w:rsidR="006F3565" w:rsidRPr="0022769B" w:rsidRDefault="006F3565" w:rsidP="005D1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Mental Health</w:t>
            </w:r>
          </w:p>
        </w:tc>
        <w:tc>
          <w:tcPr>
            <w:tcW w:w="5826" w:type="dxa"/>
            <w:noWrap/>
            <w:hideMark/>
          </w:tcPr>
          <w:p w14:paraId="769F3FC8" w14:textId="77777777" w:rsidR="006F3565" w:rsidRPr="0022769B" w:rsidRDefault="006F3565" w:rsidP="005D1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Mental Health</w:t>
            </w:r>
          </w:p>
        </w:tc>
        <w:tc>
          <w:tcPr>
            <w:tcW w:w="1457" w:type="dxa"/>
            <w:noWrap/>
            <w:hideMark/>
          </w:tcPr>
          <w:p w14:paraId="565ECD79" w14:textId="77777777" w:rsidR="006F3565" w:rsidRPr="0022769B" w:rsidRDefault="006F3565" w:rsidP="005D1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22</w:t>
            </w:r>
          </w:p>
        </w:tc>
        <w:tc>
          <w:tcPr>
            <w:tcW w:w="1338" w:type="dxa"/>
            <w:noWrap/>
            <w:hideMark/>
          </w:tcPr>
          <w:p w14:paraId="0DFD7181" w14:textId="77777777" w:rsidR="006F3565" w:rsidRPr="0022769B" w:rsidRDefault="006F3565" w:rsidP="005D1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1.3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BA0A6D" w14:paraId="62141486" w14:textId="77777777" w:rsidTr="0084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</w:tcPr>
          <w:p w14:paraId="1D29A9DC" w14:textId="3D99A576" w:rsidR="00847483" w:rsidRPr="0022769B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</w:tcPr>
          <w:p w14:paraId="62661AA9" w14:textId="4A6D7B5B" w:rsidR="00847483" w:rsidRPr="0022769B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Drugs/Medicines</w:t>
            </w:r>
          </w:p>
        </w:tc>
        <w:tc>
          <w:tcPr>
            <w:tcW w:w="5826" w:type="dxa"/>
            <w:noWrap/>
          </w:tcPr>
          <w:p w14:paraId="0219B903" w14:textId="65222394" w:rsidR="00847483" w:rsidRPr="0022769B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Long-term Illness Scheme</w:t>
            </w:r>
          </w:p>
        </w:tc>
        <w:tc>
          <w:tcPr>
            <w:tcW w:w="1457" w:type="dxa"/>
            <w:noWrap/>
          </w:tcPr>
          <w:p w14:paraId="2FDB65FB" w14:textId="69BBD694" w:rsidR="00847483" w:rsidRPr="0022769B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400</w:t>
            </w:r>
          </w:p>
        </w:tc>
        <w:tc>
          <w:tcPr>
            <w:tcW w:w="1338" w:type="dxa"/>
            <w:noWrap/>
          </w:tcPr>
          <w:p w14:paraId="0EE42961" w14:textId="6623E898" w:rsidR="00847483" w:rsidRPr="0022769B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BA0A6D" w14:paraId="54FDE815" w14:textId="77777777" w:rsidTr="0084748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</w:tcPr>
          <w:p w14:paraId="376451EA" w14:textId="747B3AB5" w:rsidR="00847483" w:rsidRPr="0022769B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</w:tcPr>
          <w:p w14:paraId="1EA753CE" w14:textId="3688219F" w:rsidR="00847483" w:rsidRPr="0022769B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Legal Matters and Health</w:t>
            </w:r>
          </w:p>
        </w:tc>
        <w:tc>
          <w:tcPr>
            <w:tcW w:w="5826" w:type="dxa"/>
            <w:noWrap/>
          </w:tcPr>
          <w:p w14:paraId="1446B87E" w14:textId="1F7EB1F2" w:rsidR="00847483" w:rsidRPr="0022769B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Legal Matters and Health</w:t>
            </w:r>
          </w:p>
        </w:tc>
        <w:tc>
          <w:tcPr>
            <w:tcW w:w="1457" w:type="dxa"/>
            <w:noWrap/>
          </w:tcPr>
          <w:p w14:paraId="78206527" w14:textId="5A7D5AF1" w:rsidR="00847483" w:rsidRPr="0022769B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68</w:t>
            </w:r>
          </w:p>
        </w:tc>
        <w:tc>
          <w:tcPr>
            <w:tcW w:w="1338" w:type="dxa"/>
            <w:noWrap/>
          </w:tcPr>
          <w:p w14:paraId="0DD58FE4" w14:textId="1616BB13" w:rsidR="00847483" w:rsidRPr="0022769B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BA0A6D" w14:paraId="0CE5CAEB" w14:textId="77777777" w:rsidTr="008474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</w:tcPr>
          <w:p w14:paraId="4DD540BC" w14:textId="5686D384" w:rsidR="00847483" w:rsidRPr="0022769B" w:rsidRDefault="00847483" w:rsidP="00847483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</w:tcPr>
          <w:p w14:paraId="0921477D" w14:textId="0D6D46EC" w:rsidR="00847483" w:rsidRPr="0022769B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Health Insurance</w:t>
            </w:r>
          </w:p>
        </w:tc>
        <w:tc>
          <w:tcPr>
            <w:tcW w:w="5826" w:type="dxa"/>
            <w:noWrap/>
          </w:tcPr>
          <w:p w14:paraId="5CC03C0F" w14:textId="344688A7" w:rsidR="00847483" w:rsidRPr="0022769B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Health Insurance</w:t>
            </w:r>
          </w:p>
        </w:tc>
        <w:tc>
          <w:tcPr>
            <w:tcW w:w="1457" w:type="dxa"/>
            <w:noWrap/>
          </w:tcPr>
          <w:p w14:paraId="55CCE763" w14:textId="10F53BFF" w:rsidR="00847483" w:rsidRPr="0022769B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338" w:type="dxa"/>
            <w:noWrap/>
          </w:tcPr>
          <w:p w14:paraId="30D595EF" w14:textId="2B0B6A7F" w:rsidR="00847483" w:rsidRPr="0022769B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BA0A6D" w14:paraId="40D607D1" w14:textId="77777777" w:rsidTr="0084748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</w:tcPr>
          <w:p w14:paraId="2BBD47B2" w14:textId="7DA9E1AE" w:rsidR="00847483" w:rsidRPr="0022769B" w:rsidRDefault="00847483" w:rsidP="0084748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</w:tcPr>
          <w:p w14:paraId="177437E1" w14:textId="7943DB80" w:rsidR="00847483" w:rsidRPr="0022769B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Entitlement to Health Services</w:t>
            </w:r>
          </w:p>
        </w:tc>
        <w:tc>
          <w:tcPr>
            <w:tcW w:w="5826" w:type="dxa"/>
            <w:noWrap/>
          </w:tcPr>
          <w:p w14:paraId="60907FC3" w14:textId="3B48B11D" w:rsidR="00847483" w:rsidRPr="0022769B" w:rsidRDefault="00847483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Entitlement to Health Services</w:t>
            </w:r>
          </w:p>
        </w:tc>
        <w:tc>
          <w:tcPr>
            <w:tcW w:w="1457" w:type="dxa"/>
            <w:noWrap/>
          </w:tcPr>
          <w:p w14:paraId="2282518E" w14:textId="6EBF89DD" w:rsidR="00847483" w:rsidRPr="0022769B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45</w:t>
            </w:r>
          </w:p>
        </w:tc>
        <w:tc>
          <w:tcPr>
            <w:tcW w:w="1338" w:type="dxa"/>
            <w:noWrap/>
          </w:tcPr>
          <w:p w14:paraId="7C7F75C5" w14:textId="4518C571" w:rsidR="00847483" w:rsidRPr="0022769B" w:rsidRDefault="00847483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BA0A6D" w14:paraId="6A1B868D" w14:textId="77777777" w:rsidTr="005D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6DF6C380" w14:textId="77777777" w:rsidR="006F3565" w:rsidRPr="0022769B" w:rsidRDefault="006F3565" w:rsidP="005D1B0E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2EB6F8E4" w14:textId="77777777" w:rsidR="006F3565" w:rsidRPr="0022769B" w:rsidRDefault="006F3565" w:rsidP="005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Children's Health</w:t>
            </w:r>
          </w:p>
        </w:tc>
        <w:tc>
          <w:tcPr>
            <w:tcW w:w="5826" w:type="dxa"/>
            <w:noWrap/>
            <w:hideMark/>
          </w:tcPr>
          <w:p w14:paraId="3C77122D" w14:textId="77777777" w:rsidR="006F3565" w:rsidRPr="0022769B" w:rsidRDefault="006F3565" w:rsidP="005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Children's Health</w:t>
            </w:r>
          </w:p>
        </w:tc>
        <w:tc>
          <w:tcPr>
            <w:tcW w:w="1457" w:type="dxa"/>
            <w:noWrap/>
            <w:hideMark/>
          </w:tcPr>
          <w:p w14:paraId="3F012FE6" w14:textId="77777777" w:rsidR="006F3565" w:rsidRPr="0022769B" w:rsidRDefault="006F3565" w:rsidP="005D1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44</w:t>
            </w:r>
          </w:p>
        </w:tc>
        <w:tc>
          <w:tcPr>
            <w:tcW w:w="1338" w:type="dxa"/>
            <w:noWrap/>
            <w:hideMark/>
          </w:tcPr>
          <w:p w14:paraId="2B976572" w14:textId="77777777" w:rsidR="006F3565" w:rsidRPr="0022769B" w:rsidRDefault="006F3565" w:rsidP="005D1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BA0A6D" w14:paraId="37BA9251" w14:textId="77777777" w:rsidTr="005D1B0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5E00D24A" w14:textId="77777777" w:rsidR="006F3565" w:rsidRPr="0022769B" w:rsidRDefault="006F3565" w:rsidP="005D1B0E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60903B3F" w14:textId="77777777" w:rsidR="006F3565" w:rsidRPr="0022769B" w:rsidRDefault="006F3565" w:rsidP="005D1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Health-Related Benefits and Entitlements</w:t>
            </w:r>
          </w:p>
        </w:tc>
        <w:tc>
          <w:tcPr>
            <w:tcW w:w="5826" w:type="dxa"/>
            <w:noWrap/>
            <w:hideMark/>
          </w:tcPr>
          <w:p w14:paraId="183DBBFA" w14:textId="77777777" w:rsidR="006F3565" w:rsidRPr="0022769B" w:rsidRDefault="006F3565" w:rsidP="005D1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Health-Related Benefits and Entitlements</w:t>
            </w:r>
          </w:p>
        </w:tc>
        <w:tc>
          <w:tcPr>
            <w:tcW w:w="1457" w:type="dxa"/>
            <w:noWrap/>
            <w:hideMark/>
          </w:tcPr>
          <w:p w14:paraId="1361225E" w14:textId="77777777" w:rsidR="006F3565" w:rsidRPr="0022769B" w:rsidRDefault="006F3565" w:rsidP="005D1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331</w:t>
            </w:r>
          </w:p>
        </w:tc>
        <w:tc>
          <w:tcPr>
            <w:tcW w:w="1338" w:type="dxa"/>
            <w:noWrap/>
            <w:hideMark/>
          </w:tcPr>
          <w:p w14:paraId="10701AA3" w14:textId="77777777" w:rsidR="006F3565" w:rsidRPr="0022769B" w:rsidRDefault="006F3565" w:rsidP="005D1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BA0A6D" w14:paraId="0EC86AC3" w14:textId="77777777" w:rsidTr="005D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0B8C029F" w14:textId="77777777" w:rsidR="006F3565" w:rsidRPr="0022769B" w:rsidRDefault="006F3565" w:rsidP="005D1B0E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154D5565" w14:textId="77777777" w:rsidR="006F3565" w:rsidRPr="0022769B" w:rsidRDefault="006F3565" w:rsidP="005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Cancer Services</w:t>
            </w:r>
          </w:p>
        </w:tc>
        <w:tc>
          <w:tcPr>
            <w:tcW w:w="5826" w:type="dxa"/>
            <w:noWrap/>
            <w:hideMark/>
          </w:tcPr>
          <w:p w14:paraId="52D1D00B" w14:textId="77777777" w:rsidR="006F3565" w:rsidRPr="0022769B" w:rsidRDefault="006F3565" w:rsidP="005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Cancer Services</w:t>
            </w:r>
          </w:p>
        </w:tc>
        <w:tc>
          <w:tcPr>
            <w:tcW w:w="1457" w:type="dxa"/>
            <w:noWrap/>
            <w:hideMark/>
          </w:tcPr>
          <w:p w14:paraId="5627135B" w14:textId="77777777" w:rsidR="006F3565" w:rsidRPr="0022769B" w:rsidRDefault="006F3565" w:rsidP="005D1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91</w:t>
            </w:r>
          </w:p>
        </w:tc>
        <w:tc>
          <w:tcPr>
            <w:tcW w:w="1338" w:type="dxa"/>
            <w:noWrap/>
            <w:hideMark/>
          </w:tcPr>
          <w:p w14:paraId="341E7056" w14:textId="77777777" w:rsidR="006F3565" w:rsidRPr="0022769B" w:rsidRDefault="006F3565" w:rsidP="005D1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BA0A6D" w14:paraId="766C7A81" w14:textId="77777777" w:rsidTr="005D1B0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39B47450" w14:textId="77777777" w:rsidR="006F3565" w:rsidRPr="0022769B" w:rsidRDefault="006F3565" w:rsidP="005D1B0E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5ADEE0C0" w14:textId="77777777" w:rsidR="006F3565" w:rsidRPr="0022769B" w:rsidRDefault="006F3565" w:rsidP="005D1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Health Service Agencies</w:t>
            </w:r>
          </w:p>
        </w:tc>
        <w:tc>
          <w:tcPr>
            <w:tcW w:w="5826" w:type="dxa"/>
            <w:noWrap/>
            <w:hideMark/>
          </w:tcPr>
          <w:p w14:paraId="33610EBA" w14:textId="77777777" w:rsidR="006F3565" w:rsidRPr="0022769B" w:rsidRDefault="006F3565" w:rsidP="005D1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Health Service Agencies</w:t>
            </w:r>
          </w:p>
        </w:tc>
        <w:tc>
          <w:tcPr>
            <w:tcW w:w="1457" w:type="dxa"/>
            <w:noWrap/>
            <w:hideMark/>
          </w:tcPr>
          <w:p w14:paraId="2D7EBB68" w14:textId="77777777" w:rsidR="006F3565" w:rsidRPr="0022769B" w:rsidRDefault="006F3565" w:rsidP="005D1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97</w:t>
            </w:r>
          </w:p>
        </w:tc>
        <w:tc>
          <w:tcPr>
            <w:tcW w:w="1338" w:type="dxa"/>
            <w:noWrap/>
            <w:hideMark/>
          </w:tcPr>
          <w:p w14:paraId="71E84358" w14:textId="77777777" w:rsidR="006F3565" w:rsidRPr="0022769B" w:rsidRDefault="006F3565" w:rsidP="005D1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BA0A6D" w14:paraId="0AD67EA0" w14:textId="77777777" w:rsidTr="005D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3AA4AAAA" w14:textId="77777777" w:rsidR="006F3565" w:rsidRPr="0022769B" w:rsidRDefault="006F3565" w:rsidP="005D1B0E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5A3402B7" w14:textId="77777777" w:rsidR="006F3565" w:rsidRPr="0022769B" w:rsidRDefault="006F3565" w:rsidP="005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Aids and Appliances</w:t>
            </w:r>
          </w:p>
        </w:tc>
        <w:tc>
          <w:tcPr>
            <w:tcW w:w="5826" w:type="dxa"/>
            <w:noWrap/>
            <w:hideMark/>
          </w:tcPr>
          <w:p w14:paraId="185900D9" w14:textId="77777777" w:rsidR="006F3565" w:rsidRPr="0022769B" w:rsidRDefault="006F3565" w:rsidP="005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Aids and Appliances</w:t>
            </w:r>
          </w:p>
        </w:tc>
        <w:tc>
          <w:tcPr>
            <w:tcW w:w="1457" w:type="dxa"/>
            <w:noWrap/>
            <w:hideMark/>
          </w:tcPr>
          <w:p w14:paraId="29823A8F" w14:textId="77777777" w:rsidR="006F3565" w:rsidRPr="0022769B" w:rsidRDefault="006F3565" w:rsidP="005D1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61</w:t>
            </w:r>
          </w:p>
        </w:tc>
        <w:tc>
          <w:tcPr>
            <w:tcW w:w="1338" w:type="dxa"/>
            <w:noWrap/>
            <w:hideMark/>
          </w:tcPr>
          <w:p w14:paraId="040D3C7F" w14:textId="77777777" w:rsidR="006F3565" w:rsidRPr="0022769B" w:rsidRDefault="006F3565" w:rsidP="005D1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BA0A6D" w14:paraId="67CCC40A" w14:textId="77777777" w:rsidTr="005D1B0E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61C47339" w14:textId="77777777" w:rsidR="006F3565" w:rsidRPr="0022769B" w:rsidRDefault="006F3565" w:rsidP="005D1B0E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48854D43" w14:textId="77777777" w:rsidR="006F3565" w:rsidRPr="0022769B" w:rsidRDefault="006F3565" w:rsidP="005D1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Alcohol and Drug Treatment Services</w:t>
            </w:r>
          </w:p>
        </w:tc>
        <w:tc>
          <w:tcPr>
            <w:tcW w:w="5826" w:type="dxa"/>
            <w:noWrap/>
            <w:hideMark/>
          </w:tcPr>
          <w:p w14:paraId="3CF1F156" w14:textId="77777777" w:rsidR="006F3565" w:rsidRPr="0022769B" w:rsidRDefault="006F3565" w:rsidP="005D1B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Alcohol and Drug Treatment Services</w:t>
            </w:r>
          </w:p>
        </w:tc>
        <w:tc>
          <w:tcPr>
            <w:tcW w:w="1457" w:type="dxa"/>
            <w:noWrap/>
            <w:hideMark/>
          </w:tcPr>
          <w:p w14:paraId="28C43C99" w14:textId="77777777" w:rsidR="006F3565" w:rsidRPr="0022769B" w:rsidRDefault="006F3565" w:rsidP="005D1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31</w:t>
            </w:r>
          </w:p>
        </w:tc>
        <w:tc>
          <w:tcPr>
            <w:tcW w:w="1338" w:type="dxa"/>
            <w:noWrap/>
            <w:hideMark/>
          </w:tcPr>
          <w:p w14:paraId="0B557095" w14:textId="77777777" w:rsidR="006F3565" w:rsidRPr="0022769B" w:rsidRDefault="006F3565" w:rsidP="005D1B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BA0A6D" w14:paraId="378753CE" w14:textId="77777777" w:rsidTr="005D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3589B183" w14:textId="77777777" w:rsidR="006F3565" w:rsidRPr="0022769B" w:rsidRDefault="006F3565" w:rsidP="005D1B0E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7E6BCE6B" w14:textId="77777777" w:rsidR="006F3565" w:rsidRPr="0022769B" w:rsidRDefault="006F3565" w:rsidP="005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Women's Health</w:t>
            </w:r>
          </w:p>
        </w:tc>
        <w:tc>
          <w:tcPr>
            <w:tcW w:w="5826" w:type="dxa"/>
            <w:noWrap/>
            <w:hideMark/>
          </w:tcPr>
          <w:p w14:paraId="08DAEB4A" w14:textId="77777777" w:rsidR="006F3565" w:rsidRPr="0022769B" w:rsidRDefault="006F3565" w:rsidP="005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Women's Health</w:t>
            </w:r>
          </w:p>
        </w:tc>
        <w:tc>
          <w:tcPr>
            <w:tcW w:w="1457" w:type="dxa"/>
            <w:noWrap/>
            <w:hideMark/>
          </w:tcPr>
          <w:p w14:paraId="518138A5" w14:textId="77777777" w:rsidR="006F3565" w:rsidRPr="0022769B" w:rsidRDefault="006F3565" w:rsidP="005D1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29</w:t>
            </w:r>
          </w:p>
        </w:tc>
        <w:tc>
          <w:tcPr>
            <w:tcW w:w="1338" w:type="dxa"/>
            <w:noWrap/>
            <w:hideMark/>
          </w:tcPr>
          <w:p w14:paraId="6566E5B6" w14:textId="77777777" w:rsidR="006F3565" w:rsidRPr="0022769B" w:rsidRDefault="006F3565" w:rsidP="005D1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705502" w:rsidRPr="00BA0A6D" w14:paraId="35FC5C52" w14:textId="77777777" w:rsidTr="00847483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</w:tcPr>
          <w:p w14:paraId="4ECDFBA8" w14:textId="5E5FBB8C" w:rsidR="00705502" w:rsidRPr="0022769B" w:rsidRDefault="00705502" w:rsidP="00847483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05502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</w:tcPr>
          <w:p w14:paraId="4F3C3798" w14:textId="77777777" w:rsidR="00705502" w:rsidRPr="0022769B" w:rsidRDefault="00705502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5826" w:type="dxa"/>
            <w:noWrap/>
          </w:tcPr>
          <w:p w14:paraId="542D9AB5" w14:textId="74281A27" w:rsidR="00705502" w:rsidRPr="0022769B" w:rsidRDefault="00705502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 xml:space="preserve">All other sub-categories </w:t>
            </w:r>
          </w:p>
        </w:tc>
        <w:tc>
          <w:tcPr>
            <w:tcW w:w="1457" w:type="dxa"/>
            <w:noWrap/>
          </w:tcPr>
          <w:p w14:paraId="7494FF72" w14:textId="6AD8E942" w:rsidR="00705502" w:rsidRDefault="00705502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157</w:t>
            </w:r>
          </w:p>
        </w:tc>
        <w:tc>
          <w:tcPr>
            <w:tcW w:w="1338" w:type="dxa"/>
            <w:noWrap/>
          </w:tcPr>
          <w:p w14:paraId="1318B59F" w14:textId="6D4651F3" w:rsidR="00705502" w:rsidRPr="0022769B" w:rsidRDefault="00705502" w:rsidP="008474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0.3%</w:t>
            </w:r>
          </w:p>
        </w:tc>
      </w:tr>
      <w:bookmarkEnd w:id="2"/>
      <w:tr w:rsidR="00847483" w:rsidRPr="00BA0A6D" w14:paraId="0629C490" w14:textId="77777777" w:rsidTr="005D1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10CA5EEB" w14:textId="77777777" w:rsidR="006F3565" w:rsidRPr="0022769B" w:rsidRDefault="006F3565" w:rsidP="005D1B0E">
            <w:pPr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</w:p>
        </w:tc>
        <w:tc>
          <w:tcPr>
            <w:tcW w:w="3909" w:type="dxa"/>
            <w:noWrap/>
            <w:hideMark/>
          </w:tcPr>
          <w:p w14:paraId="3EA81305" w14:textId="77777777" w:rsidR="006F3565" w:rsidRPr="0022769B" w:rsidRDefault="006F3565" w:rsidP="005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826" w:type="dxa"/>
            <w:noWrap/>
            <w:hideMark/>
          </w:tcPr>
          <w:p w14:paraId="50EE82C1" w14:textId="77777777" w:rsidR="006F3565" w:rsidRPr="0022769B" w:rsidRDefault="006F3565" w:rsidP="005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Total Health Queries</w:t>
            </w:r>
          </w:p>
        </w:tc>
        <w:tc>
          <w:tcPr>
            <w:tcW w:w="1457" w:type="dxa"/>
            <w:noWrap/>
            <w:hideMark/>
          </w:tcPr>
          <w:p w14:paraId="691AFB14" w14:textId="77777777" w:rsidR="006F3565" w:rsidRPr="0022769B" w:rsidRDefault="006F3565" w:rsidP="005D1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57,059</w:t>
            </w:r>
          </w:p>
        </w:tc>
        <w:tc>
          <w:tcPr>
            <w:tcW w:w="1338" w:type="dxa"/>
            <w:noWrap/>
            <w:hideMark/>
          </w:tcPr>
          <w:p w14:paraId="4B1F2DB8" w14:textId="77777777" w:rsidR="006F3565" w:rsidRPr="0022769B" w:rsidRDefault="006F3565" w:rsidP="005D1B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100.00%</w:t>
            </w:r>
          </w:p>
        </w:tc>
      </w:tr>
    </w:tbl>
    <w:p w14:paraId="2AA31ABB" w14:textId="3EFE63F8" w:rsidR="006F3565" w:rsidRPr="002603CE" w:rsidRDefault="002603CE" w:rsidP="00705502">
      <w:pPr>
        <w:rPr>
          <w:sz w:val="17"/>
          <w:szCs w:val="17"/>
        </w:rPr>
      </w:pPr>
      <w:r>
        <w:rPr>
          <w:sz w:val="18"/>
          <w:szCs w:val="18"/>
        </w:rPr>
        <w:t>*</w:t>
      </w:r>
      <w:r w:rsidRPr="009359C4">
        <w:rPr>
          <w:sz w:val="17"/>
          <w:szCs w:val="17"/>
        </w:rPr>
        <w:t xml:space="preserve">Query sub-categories are presented in </w:t>
      </w:r>
      <w:r>
        <w:rPr>
          <w:sz w:val="17"/>
          <w:szCs w:val="17"/>
        </w:rPr>
        <w:t>individual payment/scheme</w:t>
      </w:r>
      <w:r w:rsidRPr="009359C4">
        <w:rPr>
          <w:sz w:val="17"/>
          <w:szCs w:val="17"/>
        </w:rPr>
        <w:t xml:space="preserve"> categories, as recorded by CISs. </w:t>
      </w:r>
      <w:r>
        <w:rPr>
          <w:sz w:val="17"/>
          <w:szCs w:val="17"/>
        </w:rPr>
        <w:t xml:space="preserve">In Health, there is no third level categories, the percentages are expressed as a % of the total health queries level. </w:t>
      </w:r>
      <w:r w:rsidR="00705502" w:rsidRPr="002603CE">
        <w:rPr>
          <w:sz w:val="17"/>
          <w:szCs w:val="17"/>
        </w:rPr>
        <w:t xml:space="preserve">All other sub-categories include the following areas: How Health Services are Organised, Emergency Health Services, Environmental Health, Blood and Organ Donation and Alternative Health </w:t>
      </w:r>
    </w:p>
    <w:p w14:paraId="508D9D81" w14:textId="587FCAFC" w:rsidR="00AD435D" w:rsidRPr="00CE4690" w:rsidRDefault="006F3565" w:rsidP="00705502">
      <w:pPr>
        <w:pStyle w:val="Heading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5087" w:rsidRPr="00CE4690">
        <w:rPr>
          <w:sz w:val="28"/>
          <w:szCs w:val="28"/>
        </w:rPr>
        <w:lastRenderedPageBreak/>
        <w:t>Employment Queries 202</w:t>
      </w:r>
      <w:r w:rsidR="00BB0C65">
        <w:rPr>
          <w:sz w:val="28"/>
          <w:szCs w:val="28"/>
        </w:rPr>
        <w:t>2</w:t>
      </w:r>
    </w:p>
    <w:p w14:paraId="63E03826" w14:textId="790E51B8" w:rsidR="00A35087" w:rsidRPr="00D859B4" w:rsidRDefault="00A35087" w:rsidP="00401848">
      <w:pPr>
        <w:jc w:val="both"/>
        <w:rPr>
          <w:rFonts w:ascii="Calibri" w:hAnsi="Calibri" w:cs="Calibri"/>
        </w:rPr>
      </w:pPr>
      <w:r w:rsidRPr="00D859B4">
        <w:rPr>
          <w:rFonts w:ascii="Calibri" w:hAnsi="Calibri" w:cs="Calibri"/>
        </w:rPr>
        <w:t xml:space="preserve">There were </w:t>
      </w:r>
      <w:r w:rsidR="00BB0C65">
        <w:rPr>
          <w:rFonts w:ascii="Calibri" w:hAnsi="Calibri" w:cs="Calibri"/>
          <w:b/>
        </w:rPr>
        <w:t>49,667</w:t>
      </w:r>
      <w:r w:rsidRPr="00434C45">
        <w:rPr>
          <w:rFonts w:ascii="Calibri" w:hAnsi="Calibri" w:cs="Calibri"/>
          <w:b/>
        </w:rPr>
        <w:t xml:space="preserve"> </w:t>
      </w:r>
      <w:r w:rsidRPr="00434C45">
        <w:rPr>
          <w:rFonts w:ascii="Calibri" w:hAnsi="Calibri" w:cs="Calibri"/>
        </w:rPr>
        <w:t>queries</w:t>
      </w:r>
      <w:r w:rsidRPr="00D859B4">
        <w:rPr>
          <w:rFonts w:ascii="Calibri" w:hAnsi="Calibri" w:cs="Calibri"/>
        </w:rPr>
        <w:t xml:space="preserve"> about Employment in 202</w:t>
      </w:r>
      <w:r w:rsidR="00BB0C65">
        <w:rPr>
          <w:rFonts w:ascii="Calibri" w:hAnsi="Calibri" w:cs="Calibri"/>
        </w:rPr>
        <w:t>2</w:t>
      </w:r>
      <w:r w:rsidRPr="00F410C0">
        <w:rPr>
          <w:rFonts w:ascii="Calibri" w:hAnsi="Calibri" w:cs="Calibri"/>
        </w:rPr>
        <w:t xml:space="preserve">, </w:t>
      </w:r>
      <w:r w:rsidR="00BB0C65">
        <w:rPr>
          <w:rFonts w:ascii="Calibri" w:hAnsi="Calibri" w:cs="Calibri"/>
        </w:rPr>
        <w:t>6.3</w:t>
      </w:r>
      <w:r w:rsidRPr="00F410C0">
        <w:rPr>
          <w:rFonts w:ascii="Calibri" w:hAnsi="Calibri" w:cs="Calibri"/>
        </w:rPr>
        <w:t>%</w:t>
      </w:r>
      <w:r w:rsidRPr="00D859B4">
        <w:rPr>
          <w:rFonts w:ascii="Calibri" w:hAnsi="Calibri" w:cs="Calibri"/>
        </w:rPr>
        <w:t xml:space="preserve"> of all queries dealt with by </w:t>
      </w:r>
      <w:r w:rsidR="00D859B4" w:rsidRPr="00D859B4">
        <w:rPr>
          <w:rFonts w:ascii="Calibri" w:hAnsi="Calibri" w:cs="Calibri"/>
        </w:rPr>
        <w:t>CISs</w:t>
      </w:r>
      <w:r w:rsidRPr="00D859B4">
        <w:rPr>
          <w:rFonts w:ascii="Calibri" w:hAnsi="Calibri" w:cs="Calibri"/>
        </w:rPr>
        <w:t xml:space="preserve">. </w:t>
      </w:r>
    </w:p>
    <w:p w14:paraId="60C4FD73" w14:textId="006B60C6" w:rsidR="00720476" w:rsidRPr="009C2A52" w:rsidRDefault="00A35087" w:rsidP="00401848">
      <w:pPr>
        <w:jc w:val="both"/>
        <w:rPr>
          <w:rFonts w:ascii="Calibri" w:hAnsi="Calibri" w:cs="Calibri"/>
        </w:rPr>
      </w:pPr>
      <w:r w:rsidRPr="00D859B4">
        <w:rPr>
          <w:rFonts w:ascii="Calibri" w:hAnsi="Calibri" w:cs="Calibri"/>
        </w:rPr>
        <w:t xml:space="preserve">The largest sub-category of Employment queries </w:t>
      </w:r>
      <w:r w:rsidR="003254EE">
        <w:rPr>
          <w:rFonts w:ascii="Calibri" w:hAnsi="Calibri" w:cs="Calibri"/>
        </w:rPr>
        <w:t>in 202</w:t>
      </w:r>
      <w:r w:rsidR="00705502">
        <w:rPr>
          <w:rFonts w:ascii="Calibri" w:hAnsi="Calibri" w:cs="Calibri"/>
        </w:rPr>
        <w:t>2</w:t>
      </w:r>
      <w:r w:rsidR="003254EE">
        <w:rPr>
          <w:rFonts w:ascii="Calibri" w:hAnsi="Calibri" w:cs="Calibri"/>
        </w:rPr>
        <w:t xml:space="preserve"> </w:t>
      </w:r>
      <w:r w:rsidRPr="00D859B4">
        <w:rPr>
          <w:rFonts w:ascii="Calibri" w:hAnsi="Calibri" w:cs="Calibri"/>
        </w:rPr>
        <w:t xml:space="preserve">was </w:t>
      </w:r>
      <w:r w:rsidRPr="00D859B4">
        <w:rPr>
          <w:rFonts w:ascii="Calibri" w:hAnsi="Calibri" w:cs="Calibri"/>
          <w:b/>
        </w:rPr>
        <w:t xml:space="preserve">Employment Rights and Conditions </w:t>
      </w:r>
      <w:r w:rsidR="00F410C0">
        <w:rPr>
          <w:rFonts w:ascii="Calibri" w:hAnsi="Calibri" w:cs="Calibri"/>
        </w:rPr>
        <w:t>(3</w:t>
      </w:r>
      <w:r w:rsidR="00BB0C65">
        <w:rPr>
          <w:rFonts w:ascii="Calibri" w:hAnsi="Calibri" w:cs="Calibri"/>
        </w:rPr>
        <w:t>2,073</w:t>
      </w:r>
      <w:r w:rsidR="00F410C0">
        <w:rPr>
          <w:rFonts w:ascii="Calibri" w:hAnsi="Calibri" w:cs="Calibri"/>
        </w:rPr>
        <w:t xml:space="preserve"> queries),</w:t>
      </w:r>
      <w:r w:rsidRPr="00D859B4"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="00401848">
        <w:rPr>
          <w:rFonts w:ascii="Calibri" w:eastAsia="Times New Roman" w:hAnsi="Calibri" w:cs="Calibri"/>
          <w:color w:val="000000"/>
          <w:lang w:eastAsia="en-IE"/>
        </w:rPr>
        <w:t xml:space="preserve">representing two thirds of all queries in this category - </w:t>
      </w:r>
      <w:r w:rsidRPr="001C337D">
        <w:rPr>
          <w:rFonts w:ascii="Calibri" w:eastAsia="Times New Roman" w:hAnsi="Calibri" w:cs="Calibri"/>
          <w:color w:val="000000"/>
          <w:lang w:eastAsia="en-IE"/>
        </w:rPr>
        <w:t xml:space="preserve">which included </w:t>
      </w:r>
      <w:r w:rsidRPr="00844BFF">
        <w:rPr>
          <w:rFonts w:ascii="Calibri" w:hAnsi="Calibri" w:cs="Calibri"/>
          <w:i/>
          <w:iCs/>
        </w:rPr>
        <w:t>Leave and Holidays</w:t>
      </w:r>
      <w:r w:rsidR="00080329" w:rsidRPr="001C337D">
        <w:rPr>
          <w:rFonts w:ascii="Calibri" w:hAnsi="Calibri" w:cs="Calibri"/>
        </w:rPr>
        <w:t xml:space="preserve"> (</w:t>
      </w:r>
      <w:r w:rsidR="004B3A3B" w:rsidRPr="001C337D">
        <w:rPr>
          <w:rFonts w:ascii="Calibri" w:hAnsi="Calibri" w:cs="Calibri"/>
        </w:rPr>
        <w:t>8,886</w:t>
      </w:r>
      <w:r w:rsidR="00F410C0" w:rsidRPr="001C337D">
        <w:rPr>
          <w:rFonts w:ascii="Calibri" w:hAnsi="Calibri" w:cs="Calibri"/>
        </w:rPr>
        <w:t>)</w:t>
      </w:r>
      <w:r w:rsidR="00401848">
        <w:rPr>
          <w:rFonts w:ascii="Calibri" w:hAnsi="Calibri" w:cs="Calibri"/>
        </w:rPr>
        <w:t xml:space="preserve"> and </w:t>
      </w:r>
      <w:r w:rsidR="00401848" w:rsidRPr="00844BFF">
        <w:rPr>
          <w:rFonts w:ascii="Calibri" w:hAnsi="Calibri" w:cs="Calibri"/>
          <w:i/>
          <w:iCs/>
        </w:rPr>
        <w:t>Contracts of Employment</w:t>
      </w:r>
      <w:r w:rsidR="00401848">
        <w:rPr>
          <w:rFonts w:ascii="Calibri" w:hAnsi="Calibri" w:cs="Calibri"/>
        </w:rPr>
        <w:t xml:space="preserve"> (5,460)</w:t>
      </w:r>
      <w:r w:rsidR="00F410C0" w:rsidRPr="001C337D">
        <w:rPr>
          <w:rFonts w:ascii="Calibri" w:hAnsi="Calibri" w:cs="Calibri"/>
        </w:rPr>
        <w:t xml:space="preserve">. </w:t>
      </w:r>
      <w:r w:rsidR="001C337D" w:rsidRPr="00844BFF">
        <w:rPr>
          <w:rFonts w:ascii="Calibri" w:hAnsi="Calibri" w:cs="Calibri"/>
          <w:i/>
          <w:iCs/>
        </w:rPr>
        <w:t>Unemployment and Redundancy</w:t>
      </w:r>
      <w:r w:rsidR="00873479">
        <w:rPr>
          <w:rFonts w:ascii="Calibri" w:hAnsi="Calibri" w:cs="Calibri"/>
        </w:rPr>
        <w:t xml:space="preserve"> (4,370</w:t>
      </w:r>
      <w:r w:rsidR="00873479" w:rsidRPr="00873479">
        <w:rPr>
          <w:rFonts w:ascii="Calibri" w:hAnsi="Calibri" w:cs="Calibri"/>
        </w:rPr>
        <w:t xml:space="preserve"> </w:t>
      </w:r>
      <w:r w:rsidR="00873479">
        <w:rPr>
          <w:rFonts w:ascii="Calibri" w:hAnsi="Calibri" w:cs="Calibri"/>
        </w:rPr>
        <w:t>queries)</w:t>
      </w:r>
      <w:r w:rsidR="001C337D">
        <w:rPr>
          <w:rFonts w:ascii="Calibri" w:hAnsi="Calibri" w:cs="Calibri"/>
        </w:rPr>
        <w:t xml:space="preserve"> </w:t>
      </w:r>
      <w:r w:rsidR="00401848">
        <w:rPr>
          <w:rFonts w:ascii="Calibri" w:hAnsi="Calibri" w:cs="Calibri"/>
        </w:rPr>
        <w:t>represented</w:t>
      </w:r>
      <w:r w:rsidR="001C337D">
        <w:rPr>
          <w:rFonts w:ascii="Calibri" w:hAnsi="Calibri" w:cs="Calibri"/>
        </w:rPr>
        <w:t xml:space="preserve"> the second largest </w:t>
      </w:r>
      <w:r w:rsidR="00401848">
        <w:rPr>
          <w:rFonts w:ascii="Calibri" w:hAnsi="Calibri" w:cs="Calibri"/>
        </w:rPr>
        <w:t xml:space="preserve">sub-category, </w:t>
      </w:r>
      <w:r w:rsidR="001C337D">
        <w:rPr>
          <w:rFonts w:ascii="Calibri" w:hAnsi="Calibri" w:cs="Calibri"/>
        </w:rPr>
        <w:t xml:space="preserve">followed by </w:t>
      </w:r>
      <w:r w:rsidR="00844BFF" w:rsidRPr="00844BFF">
        <w:rPr>
          <w:rFonts w:ascii="Calibri" w:hAnsi="Calibri" w:cs="Calibri"/>
          <w:i/>
          <w:iCs/>
        </w:rPr>
        <w:t>S</w:t>
      </w:r>
      <w:r w:rsidR="001C337D" w:rsidRPr="00844BFF">
        <w:rPr>
          <w:rFonts w:ascii="Calibri" w:hAnsi="Calibri" w:cs="Calibri"/>
          <w:i/>
          <w:iCs/>
        </w:rPr>
        <w:t>elf-employment</w:t>
      </w:r>
      <w:r w:rsidR="00873479">
        <w:rPr>
          <w:rFonts w:ascii="Calibri" w:hAnsi="Calibri" w:cs="Calibri"/>
        </w:rPr>
        <w:t xml:space="preserve"> (3,306 queries)</w:t>
      </w:r>
      <w:r w:rsidR="001C337D">
        <w:rPr>
          <w:rFonts w:ascii="Calibri" w:hAnsi="Calibri" w:cs="Calibri"/>
        </w:rPr>
        <w:t>.</w:t>
      </w:r>
    </w:p>
    <w:p w14:paraId="7A3EF6AB" w14:textId="255B2516" w:rsidR="002A75B8" w:rsidRPr="00F410C0" w:rsidRDefault="00F410C0" w:rsidP="002A75B8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Table </w:t>
      </w:r>
      <w:r w:rsidR="006F3565">
        <w:rPr>
          <w:sz w:val="24"/>
          <w:szCs w:val="24"/>
        </w:rPr>
        <w:t>6</w:t>
      </w:r>
      <w:r>
        <w:rPr>
          <w:sz w:val="24"/>
          <w:szCs w:val="24"/>
        </w:rPr>
        <w:t xml:space="preserve"> - Employment Queries </w:t>
      </w:r>
      <w:r w:rsidR="00013C42" w:rsidRPr="00F410C0">
        <w:rPr>
          <w:sz w:val="24"/>
          <w:szCs w:val="24"/>
        </w:rPr>
        <w:t>202</w:t>
      </w:r>
      <w:r w:rsidR="006F3565">
        <w:rPr>
          <w:sz w:val="24"/>
          <w:szCs w:val="24"/>
        </w:rPr>
        <w:t>2</w:t>
      </w:r>
    </w:p>
    <w:tbl>
      <w:tblPr>
        <w:tblStyle w:val="GridTable5Dark-Accent6"/>
        <w:tblW w:w="13944" w:type="dxa"/>
        <w:tblLook w:val="04A0" w:firstRow="1" w:lastRow="0" w:firstColumn="1" w:lastColumn="0" w:noHBand="0" w:noVBand="1"/>
        <w:tblCaption w:val="Table 5 Employment Queries 2021"/>
        <w:tblDescription w:val="This table shows the data for the Employment query sub-categories recorded by CISs during 2021."/>
      </w:tblPr>
      <w:tblGrid>
        <w:gridCol w:w="1595"/>
        <w:gridCol w:w="4070"/>
        <w:gridCol w:w="4541"/>
        <w:gridCol w:w="2002"/>
        <w:gridCol w:w="1736"/>
      </w:tblGrid>
      <w:tr w:rsidR="00F410C0" w:rsidRPr="00F410C0" w14:paraId="3632CF46" w14:textId="77777777" w:rsidTr="00520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hideMark/>
          </w:tcPr>
          <w:p w14:paraId="66F97126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Category</w:t>
            </w:r>
          </w:p>
        </w:tc>
        <w:tc>
          <w:tcPr>
            <w:tcW w:w="4070" w:type="dxa"/>
            <w:hideMark/>
          </w:tcPr>
          <w:p w14:paraId="0A76A9E1" w14:textId="77777777" w:rsidR="00F410C0" w:rsidRPr="0022769B" w:rsidRDefault="00F410C0" w:rsidP="00F41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Sub-category</w:t>
            </w:r>
          </w:p>
        </w:tc>
        <w:tc>
          <w:tcPr>
            <w:tcW w:w="4541" w:type="dxa"/>
            <w:hideMark/>
          </w:tcPr>
          <w:p w14:paraId="055FE5DF" w14:textId="342BCF4E" w:rsidR="00F410C0" w:rsidRPr="0022769B" w:rsidRDefault="00F410C0" w:rsidP="00F41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>202</w:t>
            </w:r>
            <w:r w:rsidR="00630D4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>2</w:t>
            </w:r>
            <w:r w:rsidRPr="0022769B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 xml:space="preserve"> Employment </w:t>
            </w:r>
            <w:r w:rsidR="000521AB" w:rsidRPr="0022769B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>Query Breakdown</w:t>
            </w:r>
          </w:p>
        </w:tc>
        <w:tc>
          <w:tcPr>
            <w:tcW w:w="2002" w:type="dxa"/>
            <w:hideMark/>
          </w:tcPr>
          <w:p w14:paraId="4B025A47" w14:textId="022A6899" w:rsidR="00F410C0" w:rsidRPr="0022769B" w:rsidRDefault="00F410C0" w:rsidP="00F41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 xml:space="preserve"># </w:t>
            </w:r>
            <w:r w:rsidR="00DB30BE"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Of</w:t>
            </w: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 xml:space="preserve"> Queries</w:t>
            </w:r>
          </w:p>
        </w:tc>
        <w:tc>
          <w:tcPr>
            <w:tcW w:w="1736" w:type="dxa"/>
            <w:hideMark/>
          </w:tcPr>
          <w:p w14:paraId="344E2D76" w14:textId="45DFA4EE" w:rsidR="00F410C0" w:rsidRPr="0022769B" w:rsidRDefault="00F410C0" w:rsidP="00F41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 xml:space="preserve">% </w:t>
            </w:r>
            <w:r w:rsidR="00DB30BE"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Of</w:t>
            </w: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 xml:space="preserve"> Employment Sub-category</w:t>
            </w:r>
          </w:p>
        </w:tc>
      </w:tr>
      <w:tr w:rsidR="00F410C0" w:rsidRPr="00F410C0" w14:paraId="6BCBA3E2" w14:textId="77777777" w:rsidTr="006A5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56468E3D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 Rights and Conditions</w:t>
            </w:r>
          </w:p>
        </w:tc>
      </w:tr>
      <w:tr w:rsidR="00F410C0" w:rsidRPr="00F410C0" w14:paraId="0024143B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7E5AFA40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033F71D9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33FF4A67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Leave and Holidays</w:t>
            </w:r>
          </w:p>
        </w:tc>
        <w:tc>
          <w:tcPr>
            <w:tcW w:w="2002" w:type="dxa"/>
            <w:noWrap/>
            <w:hideMark/>
          </w:tcPr>
          <w:p w14:paraId="63D63094" w14:textId="656A5675" w:rsidR="00F410C0" w:rsidRPr="0022769B" w:rsidRDefault="00BB0C65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8,886</w:t>
            </w:r>
          </w:p>
        </w:tc>
        <w:tc>
          <w:tcPr>
            <w:tcW w:w="1736" w:type="dxa"/>
            <w:noWrap/>
            <w:hideMark/>
          </w:tcPr>
          <w:p w14:paraId="2B128279" w14:textId="459E6E1E" w:rsidR="00F410C0" w:rsidRPr="0022769B" w:rsidRDefault="00BB0C65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27.8</w:t>
            </w:r>
            <w:r w:rsidR="00F410C0"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F410C0" w:rsidRPr="00F410C0" w14:paraId="7AC4FCCE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0328DEB9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51F51708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42815C1F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Contracts of Employment</w:t>
            </w:r>
          </w:p>
        </w:tc>
        <w:tc>
          <w:tcPr>
            <w:tcW w:w="2002" w:type="dxa"/>
            <w:noWrap/>
            <w:hideMark/>
          </w:tcPr>
          <w:p w14:paraId="77B7DD16" w14:textId="22D65A4C" w:rsidR="00F410C0" w:rsidRPr="0022769B" w:rsidRDefault="00BB0C65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5,460</w:t>
            </w:r>
          </w:p>
        </w:tc>
        <w:tc>
          <w:tcPr>
            <w:tcW w:w="1736" w:type="dxa"/>
            <w:noWrap/>
            <w:hideMark/>
          </w:tcPr>
          <w:p w14:paraId="63A98E4D" w14:textId="61B608D5" w:rsidR="00F410C0" w:rsidRPr="0022769B" w:rsidRDefault="00F410C0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17.</w:t>
            </w:r>
            <w:r w:rsidR="00BB0C65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F410C0" w:rsidRPr="00F410C0" w14:paraId="08E472AE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72236D0F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541BCCF6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4992E497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2002" w:type="dxa"/>
            <w:noWrap/>
            <w:hideMark/>
          </w:tcPr>
          <w:p w14:paraId="23584BED" w14:textId="7E8F4B02" w:rsidR="00F410C0" w:rsidRPr="0022769B" w:rsidRDefault="00BB0C65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4,156</w:t>
            </w:r>
          </w:p>
        </w:tc>
        <w:tc>
          <w:tcPr>
            <w:tcW w:w="1736" w:type="dxa"/>
            <w:noWrap/>
            <w:hideMark/>
          </w:tcPr>
          <w:p w14:paraId="0D657920" w14:textId="363D3AD5" w:rsidR="00F410C0" w:rsidRPr="0022769B" w:rsidRDefault="00BB0C65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13.0</w:t>
            </w:r>
            <w:r w:rsidR="00F410C0"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F410C0" w:rsidRPr="00F410C0" w14:paraId="7DB5A5BD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3F103D93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6D170B5D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281BDC42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Pay/Wages</w:t>
            </w:r>
          </w:p>
        </w:tc>
        <w:tc>
          <w:tcPr>
            <w:tcW w:w="2002" w:type="dxa"/>
            <w:noWrap/>
            <w:hideMark/>
          </w:tcPr>
          <w:p w14:paraId="4FDD91FD" w14:textId="51876EDD" w:rsidR="00F410C0" w:rsidRPr="0022769B" w:rsidRDefault="00F410C0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  <w:r w:rsidR="00BB0C65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,615</w:t>
            </w:r>
          </w:p>
        </w:tc>
        <w:tc>
          <w:tcPr>
            <w:tcW w:w="1736" w:type="dxa"/>
            <w:noWrap/>
            <w:hideMark/>
          </w:tcPr>
          <w:p w14:paraId="023671BA" w14:textId="4ED53ED8" w:rsidR="00F410C0" w:rsidRPr="0022769B" w:rsidRDefault="00BB0C65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11.3</w:t>
            </w:r>
            <w:r w:rsidR="00F410C0"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F410C0" w:rsidRPr="00F410C0" w14:paraId="41F40B1B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3CA43435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02739911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27C3E36A" w14:textId="0567E764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Dismissal (unfair, constructive etc.)</w:t>
            </w:r>
          </w:p>
        </w:tc>
        <w:tc>
          <w:tcPr>
            <w:tcW w:w="2002" w:type="dxa"/>
            <w:noWrap/>
            <w:hideMark/>
          </w:tcPr>
          <w:p w14:paraId="20F822DE" w14:textId="10EAD56C" w:rsidR="00F410C0" w:rsidRPr="0022769B" w:rsidRDefault="00F410C0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  <w:r w:rsidR="00BB0C65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,398</w:t>
            </w:r>
          </w:p>
        </w:tc>
        <w:tc>
          <w:tcPr>
            <w:tcW w:w="1736" w:type="dxa"/>
            <w:noWrap/>
            <w:hideMark/>
          </w:tcPr>
          <w:p w14:paraId="6A5E6275" w14:textId="11DE3E00" w:rsidR="00F410C0" w:rsidRPr="0022769B" w:rsidRDefault="00BB0C65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7.5</w:t>
            </w:r>
            <w:r w:rsidR="00F410C0"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7483" w:rsidRPr="00F410C0" w14:paraId="3A3DB599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5B45FA7A" w14:textId="23549FF6" w:rsidR="00847483" w:rsidRPr="0022769B" w:rsidRDefault="00847483" w:rsidP="00847483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26A6EE2B" w14:textId="00896934" w:rsidR="00847483" w:rsidRPr="0022769B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6D0BA4E9" w14:textId="32959249" w:rsidR="00847483" w:rsidRPr="0022769B" w:rsidRDefault="00847483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Hours of Work</w:t>
            </w:r>
          </w:p>
        </w:tc>
        <w:tc>
          <w:tcPr>
            <w:tcW w:w="2002" w:type="dxa"/>
            <w:noWrap/>
          </w:tcPr>
          <w:p w14:paraId="72C26ECF" w14:textId="2F19BC4F" w:rsidR="00847483" w:rsidRPr="0022769B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,494</w:t>
            </w:r>
          </w:p>
        </w:tc>
        <w:tc>
          <w:tcPr>
            <w:tcW w:w="1736" w:type="dxa"/>
            <w:noWrap/>
          </w:tcPr>
          <w:p w14:paraId="2821F842" w14:textId="0959F41D" w:rsidR="00847483" w:rsidRDefault="00847483" w:rsidP="008474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F410C0" w:rsidRPr="00F410C0" w14:paraId="4A5E0B44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4A5AD42A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198A226E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6357A143" w14:textId="65198CDF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Notice Period</w:t>
            </w:r>
          </w:p>
        </w:tc>
        <w:tc>
          <w:tcPr>
            <w:tcW w:w="2002" w:type="dxa"/>
            <w:noWrap/>
            <w:hideMark/>
          </w:tcPr>
          <w:p w14:paraId="33D2763C" w14:textId="5CE8C9CE" w:rsidR="00F410C0" w:rsidRPr="0022769B" w:rsidRDefault="00F410C0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="00BB0C65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,454</w:t>
            </w:r>
          </w:p>
        </w:tc>
        <w:tc>
          <w:tcPr>
            <w:tcW w:w="1736" w:type="dxa"/>
            <w:noWrap/>
            <w:hideMark/>
          </w:tcPr>
          <w:p w14:paraId="2C0EAF0B" w14:textId="79E3AF73" w:rsidR="00F410C0" w:rsidRPr="0022769B" w:rsidRDefault="00BB0C65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4.5</w:t>
            </w:r>
            <w:r w:rsidR="00F410C0"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F410C0" w:rsidRPr="00F410C0" w14:paraId="1BEE8909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0F4889BB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6CD8836D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4936EB27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Health and Safety</w:t>
            </w:r>
          </w:p>
        </w:tc>
        <w:tc>
          <w:tcPr>
            <w:tcW w:w="2002" w:type="dxa"/>
            <w:noWrap/>
            <w:hideMark/>
          </w:tcPr>
          <w:p w14:paraId="5AE80910" w14:textId="42B34E69" w:rsidR="00F410C0" w:rsidRPr="0022769B" w:rsidRDefault="00BB0C65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905</w:t>
            </w:r>
          </w:p>
        </w:tc>
        <w:tc>
          <w:tcPr>
            <w:tcW w:w="1736" w:type="dxa"/>
            <w:noWrap/>
            <w:hideMark/>
          </w:tcPr>
          <w:p w14:paraId="12B0991C" w14:textId="39D88D76" w:rsidR="00F410C0" w:rsidRPr="0022769B" w:rsidRDefault="00BB0C65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2.8</w:t>
            </w:r>
            <w:r w:rsidR="00F410C0"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F65B40" w:rsidRPr="00F410C0" w14:paraId="676E80C0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3EC39BFB" w14:textId="6B3687AB" w:rsidR="00F65B40" w:rsidRPr="0022769B" w:rsidRDefault="00F65B40" w:rsidP="00F65B40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7143D3A8" w14:textId="25FFA1BC" w:rsidR="00F65B40" w:rsidRPr="0022769B" w:rsidRDefault="00F65B40" w:rsidP="00F65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521BCE50" w14:textId="338BBC29" w:rsidR="00F65B40" w:rsidRPr="0022769B" w:rsidRDefault="00F65B40" w:rsidP="00F65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Sick Leave and Sick Pay Schemes</w:t>
            </w:r>
          </w:p>
        </w:tc>
        <w:tc>
          <w:tcPr>
            <w:tcW w:w="2002" w:type="dxa"/>
            <w:noWrap/>
          </w:tcPr>
          <w:p w14:paraId="0FC6BDB0" w14:textId="6F797ABE" w:rsidR="00F65B40" w:rsidRDefault="00F65B40" w:rsidP="00F65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884</w:t>
            </w:r>
          </w:p>
        </w:tc>
        <w:tc>
          <w:tcPr>
            <w:tcW w:w="1736" w:type="dxa"/>
            <w:noWrap/>
          </w:tcPr>
          <w:p w14:paraId="5667CE9F" w14:textId="4E52F4AF" w:rsidR="00F65B40" w:rsidRDefault="008402C6" w:rsidP="00F65B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2.8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4B3A3B" w:rsidRPr="00F410C0" w14:paraId="731C43E4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6AC26D63" w14:textId="0ECD87C1" w:rsidR="004B3A3B" w:rsidRPr="0022769B" w:rsidRDefault="004B3A3B" w:rsidP="004B3A3B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3FEB51F2" w14:textId="7DDDC1AA" w:rsidR="004B3A3B" w:rsidRPr="0022769B" w:rsidRDefault="004B3A3B" w:rsidP="004B3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41B388BB" w14:textId="5DFF3066" w:rsidR="004B3A3B" w:rsidRDefault="004B3A3B" w:rsidP="004B3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Maternity Leave</w:t>
            </w:r>
          </w:p>
        </w:tc>
        <w:tc>
          <w:tcPr>
            <w:tcW w:w="2002" w:type="dxa"/>
            <w:noWrap/>
          </w:tcPr>
          <w:p w14:paraId="1F914347" w14:textId="6E88F39E" w:rsidR="004B3A3B" w:rsidRDefault="004B3A3B" w:rsidP="004B3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859</w:t>
            </w:r>
          </w:p>
        </w:tc>
        <w:tc>
          <w:tcPr>
            <w:tcW w:w="1736" w:type="dxa"/>
            <w:noWrap/>
          </w:tcPr>
          <w:p w14:paraId="22CED05D" w14:textId="299170D6" w:rsidR="004B3A3B" w:rsidRDefault="004B3A3B" w:rsidP="004B3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2.7%</w:t>
            </w:r>
          </w:p>
        </w:tc>
      </w:tr>
      <w:tr w:rsidR="004B3A3B" w:rsidRPr="00F410C0" w14:paraId="66DAE60B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7839D284" w14:textId="3F5B8CB2" w:rsidR="004B3A3B" w:rsidRPr="0022769B" w:rsidRDefault="004B3A3B" w:rsidP="004B3A3B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5D4DFF92" w14:textId="36315EE8" w:rsidR="004B3A3B" w:rsidRPr="0022769B" w:rsidRDefault="004B3A3B" w:rsidP="004B3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14527A5B" w14:textId="4C6903CE" w:rsidR="004B3A3B" w:rsidRDefault="004B3A3B" w:rsidP="004B3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Carer’s Leave</w:t>
            </w:r>
          </w:p>
        </w:tc>
        <w:tc>
          <w:tcPr>
            <w:tcW w:w="2002" w:type="dxa"/>
            <w:noWrap/>
          </w:tcPr>
          <w:p w14:paraId="3B2CA144" w14:textId="13DA4EEE" w:rsidR="004B3A3B" w:rsidRDefault="004B3A3B" w:rsidP="004B3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615</w:t>
            </w:r>
          </w:p>
        </w:tc>
        <w:tc>
          <w:tcPr>
            <w:tcW w:w="1736" w:type="dxa"/>
            <w:noWrap/>
          </w:tcPr>
          <w:p w14:paraId="3A338DFD" w14:textId="5D90E22C" w:rsidR="004B3A3B" w:rsidRDefault="004B3A3B" w:rsidP="004B3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1.9%</w:t>
            </w:r>
          </w:p>
        </w:tc>
      </w:tr>
      <w:tr w:rsidR="00F65B40" w:rsidRPr="00F410C0" w14:paraId="18F94494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4A56AF16" w14:textId="59C5AD58" w:rsidR="00F65B40" w:rsidRPr="0022769B" w:rsidRDefault="00F65B40" w:rsidP="00F65B40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7A87AFB0" w14:textId="0F97F6BE" w:rsidR="00F65B40" w:rsidRPr="0022769B" w:rsidRDefault="00F65B40" w:rsidP="00F6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426BE4D4" w14:textId="18DA84A6" w:rsidR="00F65B40" w:rsidRDefault="00F65B40" w:rsidP="00F6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Parent’s Leave</w:t>
            </w:r>
          </w:p>
        </w:tc>
        <w:tc>
          <w:tcPr>
            <w:tcW w:w="2002" w:type="dxa"/>
            <w:noWrap/>
          </w:tcPr>
          <w:p w14:paraId="40367674" w14:textId="5E94BAC4" w:rsidR="00F65B40" w:rsidRDefault="00F65B40" w:rsidP="00F65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500</w:t>
            </w:r>
          </w:p>
        </w:tc>
        <w:tc>
          <w:tcPr>
            <w:tcW w:w="1736" w:type="dxa"/>
            <w:noWrap/>
          </w:tcPr>
          <w:p w14:paraId="046B0707" w14:textId="223274DD" w:rsidR="00F65B40" w:rsidRDefault="008402C6" w:rsidP="00F65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1.6%</w:t>
            </w:r>
          </w:p>
        </w:tc>
      </w:tr>
      <w:tr w:rsidR="004B3A3B" w:rsidRPr="00F410C0" w14:paraId="6E85FEA7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1F6CD6D5" w14:textId="15EA9B32" w:rsidR="004B3A3B" w:rsidRPr="0022769B" w:rsidRDefault="004B3A3B" w:rsidP="004B3A3B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2D7A7236" w14:textId="6450989D" w:rsidR="004B3A3B" w:rsidRPr="0022769B" w:rsidRDefault="004B3A3B" w:rsidP="004B3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4D7C4A5F" w14:textId="49FCB009" w:rsidR="004B3A3B" w:rsidRDefault="004B3A3B" w:rsidP="004B3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Parental Leave</w:t>
            </w:r>
          </w:p>
        </w:tc>
        <w:tc>
          <w:tcPr>
            <w:tcW w:w="2002" w:type="dxa"/>
            <w:noWrap/>
          </w:tcPr>
          <w:p w14:paraId="343E06AA" w14:textId="22B98C36" w:rsidR="004B3A3B" w:rsidRDefault="004B3A3B" w:rsidP="004B3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488</w:t>
            </w:r>
          </w:p>
        </w:tc>
        <w:tc>
          <w:tcPr>
            <w:tcW w:w="1736" w:type="dxa"/>
            <w:noWrap/>
          </w:tcPr>
          <w:p w14:paraId="4A926DAA" w14:textId="39501D2F" w:rsidR="004B3A3B" w:rsidRDefault="004B3A3B" w:rsidP="004B3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1.5%</w:t>
            </w:r>
          </w:p>
        </w:tc>
      </w:tr>
      <w:tr w:rsidR="00F65B40" w:rsidRPr="00F410C0" w14:paraId="16FD41B9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09F5F89E" w14:textId="53E18E78" w:rsidR="00F65B40" w:rsidRPr="0022769B" w:rsidRDefault="00F65B40" w:rsidP="00F65B40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3C4F70C8" w14:textId="0F237B52" w:rsidR="00F65B40" w:rsidRPr="0022769B" w:rsidRDefault="00F65B40" w:rsidP="00F6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4EA68903" w14:textId="178A8926" w:rsidR="00F65B40" w:rsidRDefault="00F65B40" w:rsidP="00F65B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Paternity Leave</w:t>
            </w:r>
          </w:p>
        </w:tc>
        <w:tc>
          <w:tcPr>
            <w:tcW w:w="2002" w:type="dxa"/>
            <w:noWrap/>
          </w:tcPr>
          <w:p w14:paraId="65E3288E" w14:textId="580E46D0" w:rsidR="00F65B40" w:rsidRDefault="00F65B40" w:rsidP="00F65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165</w:t>
            </w:r>
          </w:p>
        </w:tc>
        <w:tc>
          <w:tcPr>
            <w:tcW w:w="1736" w:type="dxa"/>
            <w:noWrap/>
          </w:tcPr>
          <w:p w14:paraId="5697C213" w14:textId="3564118F" w:rsidR="00F65B40" w:rsidRDefault="008402C6" w:rsidP="00F65B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0.5%</w:t>
            </w:r>
          </w:p>
        </w:tc>
      </w:tr>
      <w:tr w:rsidR="00847483" w:rsidRPr="00F410C0" w14:paraId="7992001C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290BEB26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4948D238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09B577C7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Garda Vetting</w:t>
            </w:r>
          </w:p>
        </w:tc>
        <w:tc>
          <w:tcPr>
            <w:tcW w:w="2002" w:type="dxa"/>
            <w:noWrap/>
            <w:hideMark/>
          </w:tcPr>
          <w:p w14:paraId="11C0C112" w14:textId="59095AE5" w:rsidR="00F410C0" w:rsidRPr="0022769B" w:rsidRDefault="00BB0C65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126</w:t>
            </w:r>
          </w:p>
        </w:tc>
        <w:tc>
          <w:tcPr>
            <w:tcW w:w="1736" w:type="dxa"/>
            <w:noWrap/>
            <w:hideMark/>
          </w:tcPr>
          <w:p w14:paraId="2ABB96B9" w14:textId="565E3845" w:rsidR="00F410C0" w:rsidRPr="0022769B" w:rsidRDefault="00F410C0" w:rsidP="00C003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</w:t>
            </w:r>
            <w:r w:rsidR="00BB0C65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4B3A3B" w:rsidRPr="00F410C0" w14:paraId="669B93BD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7EBAD9F6" w14:textId="71199730" w:rsidR="004B3A3B" w:rsidRPr="0022769B" w:rsidRDefault="004B3A3B" w:rsidP="004B3A3B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6148BF15" w14:textId="7DCA0631" w:rsidR="004B3A3B" w:rsidRPr="0022769B" w:rsidRDefault="004B3A3B" w:rsidP="004B3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3ED772A7" w14:textId="78A64510" w:rsidR="004B3A3B" w:rsidRPr="0022769B" w:rsidRDefault="004B3A3B" w:rsidP="004B3A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Force Majeure Leave</w:t>
            </w:r>
          </w:p>
        </w:tc>
        <w:tc>
          <w:tcPr>
            <w:tcW w:w="2002" w:type="dxa"/>
            <w:noWrap/>
          </w:tcPr>
          <w:p w14:paraId="6A564B54" w14:textId="58976D59" w:rsidR="004B3A3B" w:rsidRDefault="004B3A3B" w:rsidP="004B3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62</w:t>
            </w:r>
          </w:p>
        </w:tc>
        <w:tc>
          <w:tcPr>
            <w:tcW w:w="1736" w:type="dxa"/>
            <w:noWrap/>
          </w:tcPr>
          <w:p w14:paraId="0B94CD7B" w14:textId="4A596486" w:rsidR="004B3A3B" w:rsidRPr="0022769B" w:rsidRDefault="004B3A3B" w:rsidP="004B3A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0.2%</w:t>
            </w:r>
          </w:p>
        </w:tc>
      </w:tr>
      <w:tr w:rsidR="004B3A3B" w:rsidRPr="00F410C0" w14:paraId="06FD083B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614520EF" w14:textId="4A5C8C72" w:rsidR="004B3A3B" w:rsidRPr="0022769B" w:rsidRDefault="004B3A3B" w:rsidP="004B3A3B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340D5BE6" w14:textId="5B84DAFD" w:rsidR="004B3A3B" w:rsidRPr="0022769B" w:rsidRDefault="004B3A3B" w:rsidP="004B3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</w:tcPr>
          <w:p w14:paraId="7F8B4FAE" w14:textId="314D2A4F" w:rsidR="004B3A3B" w:rsidRDefault="004B3A3B" w:rsidP="004B3A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Adoptive Leave</w:t>
            </w:r>
          </w:p>
        </w:tc>
        <w:tc>
          <w:tcPr>
            <w:tcW w:w="2002" w:type="dxa"/>
            <w:noWrap/>
          </w:tcPr>
          <w:p w14:paraId="1E7CD135" w14:textId="785CE80C" w:rsidR="004B3A3B" w:rsidRDefault="004B3A3B" w:rsidP="004B3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</w:t>
            </w:r>
          </w:p>
        </w:tc>
        <w:tc>
          <w:tcPr>
            <w:tcW w:w="1736" w:type="dxa"/>
            <w:noWrap/>
          </w:tcPr>
          <w:p w14:paraId="35728FA2" w14:textId="75CFBEBD" w:rsidR="004B3A3B" w:rsidRPr="0022769B" w:rsidRDefault="004B3A3B" w:rsidP="004B3A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0.0%</w:t>
            </w:r>
          </w:p>
        </w:tc>
      </w:tr>
      <w:tr w:rsidR="008402C6" w:rsidRPr="00F410C0" w14:paraId="7F271FB6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711B2842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39E45002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06DE2317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12F4CBFA" w14:textId="3364D5CC" w:rsidR="00F410C0" w:rsidRPr="0022769B" w:rsidRDefault="00F410C0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</w:t>
            </w:r>
            <w:r w:rsidR="00BB0C6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2,073</w:t>
            </w:r>
          </w:p>
        </w:tc>
        <w:tc>
          <w:tcPr>
            <w:tcW w:w="1736" w:type="dxa"/>
            <w:noWrap/>
            <w:hideMark/>
          </w:tcPr>
          <w:p w14:paraId="5441E626" w14:textId="1E611035" w:rsidR="00F410C0" w:rsidRPr="00A21849" w:rsidRDefault="00A21849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410C0" w:rsidRPr="00F410C0" w14:paraId="48D901A5" w14:textId="77777777" w:rsidTr="006A542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1AF87624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Unemployment and Redundancy</w:t>
            </w:r>
          </w:p>
        </w:tc>
      </w:tr>
      <w:tr w:rsidR="00187BD3" w:rsidRPr="00F410C0" w14:paraId="791B92F8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4820E41E" w14:textId="77777777" w:rsidR="00187BD3" w:rsidRPr="0022769B" w:rsidRDefault="00187BD3" w:rsidP="00187BD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30DC302F" w14:textId="77777777" w:rsidR="00187BD3" w:rsidRPr="0022769B" w:rsidRDefault="00187BD3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Unemployment and Redundancy</w:t>
            </w:r>
          </w:p>
        </w:tc>
        <w:tc>
          <w:tcPr>
            <w:tcW w:w="4541" w:type="dxa"/>
            <w:noWrap/>
            <w:hideMark/>
          </w:tcPr>
          <w:p w14:paraId="0A315A63" w14:textId="77777777" w:rsidR="00187BD3" w:rsidRPr="0022769B" w:rsidRDefault="00187BD3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Unemployment and Redundancy</w:t>
            </w:r>
          </w:p>
        </w:tc>
        <w:tc>
          <w:tcPr>
            <w:tcW w:w="2002" w:type="dxa"/>
            <w:noWrap/>
            <w:hideMark/>
          </w:tcPr>
          <w:p w14:paraId="22653D3E" w14:textId="3FA0DD11" w:rsidR="00187BD3" w:rsidRPr="0022769B" w:rsidRDefault="00187BD3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4,370</w:t>
            </w:r>
          </w:p>
        </w:tc>
        <w:tc>
          <w:tcPr>
            <w:tcW w:w="1736" w:type="dxa"/>
            <w:noWrap/>
            <w:hideMark/>
          </w:tcPr>
          <w:p w14:paraId="20EB2C9F" w14:textId="52E2C799" w:rsidR="00187BD3" w:rsidRPr="0022769B" w:rsidRDefault="00187BD3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6407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187BD3" w:rsidRPr="00F410C0" w14:paraId="1BDDE983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31E231AD" w14:textId="77777777" w:rsidR="00187BD3" w:rsidRPr="0022769B" w:rsidRDefault="00187BD3" w:rsidP="00187BD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4D987DCF" w14:textId="77777777" w:rsidR="00187BD3" w:rsidRPr="0022769B" w:rsidRDefault="00187BD3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6E1F3E5F" w14:textId="77777777" w:rsidR="00187BD3" w:rsidRPr="0022769B" w:rsidRDefault="00187BD3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3FA8A9FD" w14:textId="20D370A3" w:rsidR="00187BD3" w:rsidRPr="0022769B" w:rsidRDefault="00187BD3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4,370</w:t>
            </w:r>
          </w:p>
        </w:tc>
        <w:tc>
          <w:tcPr>
            <w:tcW w:w="1736" w:type="dxa"/>
            <w:noWrap/>
            <w:hideMark/>
          </w:tcPr>
          <w:p w14:paraId="448E22E8" w14:textId="43DE4588" w:rsidR="00187BD3" w:rsidRPr="00A21849" w:rsidRDefault="00187BD3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410C0" w:rsidRPr="00F410C0" w14:paraId="51C99789" w14:textId="77777777" w:rsidTr="006A5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2B540827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Self-Employment</w:t>
            </w:r>
          </w:p>
        </w:tc>
      </w:tr>
      <w:tr w:rsidR="00187BD3" w:rsidRPr="00F410C0" w14:paraId="3301ED58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3DC734AB" w14:textId="77777777" w:rsidR="00187BD3" w:rsidRPr="0022769B" w:rsidRDefault="00187BD3" w:rsidP="00187BD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1E3C4C0E" w14:textId="77777777" w:rsidR="00187BD3" w:rsidRPr="0022769B" w:rsidRDefault="00187BD3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Self-employment</w:t>
            </w:r>
          </w:p>
        </w:tc>
        <w:tc>
          <w:tcPr>
            <w:tcW w:w="4541" w:type="dxa"/>
            <w:noWrap/>
            <w:hideMark/>
          </w:tcPr>
          <w:p w14:paraId="0A3E76F4" w14:textId="77777777" w:rsidR="00187BD3" w:rsidRPr="0022769B" w:rsidRDefault="00187BD3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Self-employment</w:t>
            </w:r>
          </w:p>
        </w:tc>
        <w:tc>
          <w:tcPr>
            <w:tcW w:w="2002" w:type="dxa"/>
            <w:noWrap/>
            <w:hideMark/>
          </w:tcPr>
          <w:p w14:paraId="19661528" w14:textId="7016A627" w:rsidR="00187BD3" w:rsidRPr="0022769B" w:rsidRDefault="00187BD3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,306</w:t>
            </w:r>
          </w:p>
        </w:tc>
        <w:tc>
          <w:tcPr>
            <w:tcW w:w="1736" w:type="dxa"/>
            <w:noWrap/>
            <w:hideMark/>
          </w:tcPr>
          <w:p w14:paraId="7C4660F1" w14:textId="01C513F0" w:rsidR="00187BD3" w:rsidRPr="0022769B" w:rsidRDefault="00187BD3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6C16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187BD3" w:rsidRPr="00F410C0" w14:paraId="224EDEAD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6BFB231B" w14:textId="77777777" w:rsidR="00187BD3" w:rsidRPr="0022769B" w:rsidRDefault="00187BD3" w:rsidP="00187BD3">
            <w:pPr>
              <w:rPr>
                <w:rFonts w:ascii="Tw Cen MT" w:eastAsia="Times New Roman" w:hAnsi="Tw Cen MT" w:cs="Calibri"/>
                <w:color w:val="auto"/>
                <w:lang w:eastAsia="en-IE"/>
              </w:rPr>
            </w:pPr>
            <w:r w:rsidRPr="0022769B">
              <w:rPr>
                <w:rFonts w:ascii="Tw Cen MT" w:eastAsia="Times New Roman" w:hAnsi="Tw Cen MT" w:cs="Calibri"/>
                <w:color w:val="auto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1C7EB05B" w14:textId="77777777" w:rsidR="00187BD3" w:rsidRPr="0022769B" w:rsidRDefault="00187BD3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lang w:eastAsia="en-IE"/>
              </w:rPr>
            </w:pPr>
            <w:r w:rsidRPr="0022769B">
              <w:rPr>
                <w:rFonts w:ascii="Tw Cen MT" w:eastAsia="Times New Roman" w:hAnsi="Tw Cen MT" w:cs="Calibri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43405C1D" w14:textId="77777777" w:rsidR="00187BD3" w:rsidRPr="0022769B" w:rsidRDefault="00187BD3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171AA233" w14:textId="162D9D12" w:rsidR="00187BD3" w:rsidRPr="0022769B" w:rsidRDefault="00187BD3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3,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306</w:t>
            </w:r>
          </w:p>
        </w:tc>
        <w:tc>
          <w:tcPr>
            <w:tcW w:w="1736" w:type="dxa"/>
            <w:noWrap/>
            <w:hideMark/>
          </w:tcPr>
          <w:p w14:paraId="73CD33F3" w14:textId="420A1881" w:rsidR="00187BD3" w:rsidRPr="00A21849" w:rsidRDefault="00187BD3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410C0" w:rsidRPr="00F410C0" w14:paraId="00D322E5" w14:textId="77777777" w:rsidTr="006A542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46C14DD1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Enforcement and Redress</w:t>
            </w:r>
          </w:p>
        </w:tc>
      </w:tr>
      <w:tr w:rsidR="00187BD3" w:rsidRPr="00F410C0" w14:paraId="0BBCEA7F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3EEE681C" w14:textId="77777777" w:rsidR="00187BD3" w:rsidRPr="0022769B" w:rsidRDefault="00187BD3" w:rsidP="00187BD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lastRenderedPageBreak/>
              <w:t>Employment</w:t>
            </w:r>
          </w:p>
        </w:tc>
        <w:tc>
          <w:tcPr>
            <w:tcW w:w="4070" w:type="dxa"/>
            <w:noWrap/>
            <w:hideMark/>
          </w:tcPr>
          <w:p w14:paraId="5B1CC77F" w14:textId="77777777" w:rsidR="00187BD3" w:rsidRPr="0022769B" w:rsidRDefault="00187BD3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Enforcement and Redress</w:t>
            </w:r>
          </w:p>
        </w:tc>
        <w:tc>
          <w:tcPr>
            <w:tcW w:w="4541" w:type="dxa"/>
            <w:noWrap/>
            <w:hideMark/>
          </w:tcPr>
          <w:p w14:paraId="7A1E49D2" w14:textId="77777777" w:rsidR="00187BD3" w:rsidRPr="0022769B" w:rsidRDefault="00187BD3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WRC (Workplace Relations Commission)</w:t>
            </w:r>
          </w:p>
        </w:tc>
        <w:tc>
          <w:tcPr>
            <w:tcW w:w="2002" w:type="dxa"/>
            <w:noWrap/>
            <w:hideMark/>
          </w:tcPr>
          <w:p w14:paraId="7702F2B3" w14:textId="362E6DDD" w:rsidR="00187BD3" w:rsidRPr="0022769B" w:rsidRDefault="00187BD3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2,990</w:t>
            </w:r>
          </w:p>
        </w:tc>
        <w:tc>
          <w:tcPr>
            <w:tcW w:w="1736" w:type="dxa"/>
            <w:noWrap/>
            <w:hideMark/>
          </w:tcPr>
          <w:p w14:paraId="4725AF25" w14:textId="5445931C" w:rsidR="00187BD3" w:rsidRPr="0022769B" w:rsidRDefault="00187BD3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DE04B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187BD3" w:rsidRPr="00F410C0" w14:paraId="417FAADB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697CCB9F" w14:textId="77777777" w:rsidR="00187BD3" w:rsidRPr="0022769B" w:rsidRDefault="00187BD3" w:rsidP="00187BD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739C8985" w14:textId="77777777" w:rsidR="00187BD3" w:rsidRPr="0022769B" w:rsidRDefault="00187BD3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5754AFB2" w14:textId="77777777" w:rsidR="00187BD3" w:rsidRPr="0022769B" w:rsidRDefault="00187BD3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66E52D95" w14:textId="0CA108D8" w:rsidR="00187BD3" w:rsidRPr="0022769B" w:rsidRDefault="00187BD3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2,990</w:t>
            </w:r>
          </w:p>
        </w:tc>
        <w:tc>
          <w:tcPr>
            <w:tcW w:w="1736" w:type="dxa"/>
            <w:noWrap/>
            <w:hideMark/>
          </w:tcPr>
          <w:p w14:paraId="011298E1" w14:textId="2C45363D" w:rsidR="00187BD3" w:rsidRPr="00A21849" w:rsidRDefault="00187BD3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410C0" w:rsidRPr="00F410C0" w14:paraId="47A28A5E" w14:textId="77777777" w:rsidTr="006A5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59CA7976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Grievance and Disciplinary Procedures</w:t>
            </w:r>
          </w:p>
        </w:tc>
      </w:tr>
      <w:tr w:rsidR="00187BD3" w:rsidRPr="00F410C0" w14:paraId="7C903905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41A32492" w14:textId="77777777" w:rsidR="00187BD3" w:rsidRPr="0022769B" w:rsidRDefault="00187BD3" w:rsidP="00187BD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2ABEC883" w14:textId="77777777" w:rsidR="00187BD3" w:rsidRPr="0022769B" w:rsidRDefault="00187BD3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Grievance and Discipline Procedures</w:t>
            </w:r>
          </w:p>
        </w:tc>
        <w:tc>
          <w:tcPr>
            <w:tcW w:w="4541" w:type="dxa"/>
            <w:noWrap/>
            <w:hideMark/>
          </w:tcPr>
          <w:p w14:paraId="741F0A66" w14:textId="77777777" w:rsidR="00187BD3" w:rsidRPr="0022769B" w:rsidRDefault="00187BD3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Grievance and Discipline Procedures</w:t>
            </w:r>
          </w:p>
        </w:tc>
        <w:tc>
          <w:tcPr>
            <w:tcW w:w="2002" w:type="dxa"/>
            <w:noWrap/>
            <w:hideMark/>
          </w:tcPr>
          <w:p w14:paraId="65DEEFD3" w14:textId="38637CCD" w:rsidR="00187BD3" w:rsidRPr="0022769B" w:rsidRDefault="00187BD3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,610</w:t>
            </w:r>
          </w:p>
        </w:tc>
        <w:tc>
          <w:tcPr>
            <w:tcW w:w="1736" w:type="dxa"/>
            <w:noWrap/>
            <w:hideMark/>
          </w:tcPr>
          <w:p w14:paraId="34A36CC3" w14:textId="4239D002" w:rsidR="00187BD3" w:rsidRPr="0022769B" w:rsidRDefault="00187BD3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7A07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187BD3" w:rsidRPr="00F410C0" w14:paraId="327201F8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43E88042" w14:textId="77777777" w:rsidR="00187BD3" w:rsidRPr="0022769B" w:rsidRDefault="00187BD3" w:rsidP="00187BD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498D3F2A" w14:textId="77777777" w:rsidR="00187BD3" w:rsidRPr="0022769B" w:rsidRDefault="00187BD3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4ABD0A45" w14:textId="77777777" w:rsidR="00187BD3" w:rsidRPr="0022769B" w:rsidRDefault="00187BD3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513FD501" w14:textId="6958AC4E" w:rsidR="00187BD3" w:rsidRPr="0022769B" w:rsidRDefault="00187BD3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1,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610</w:t>
            </w:r>
          </w:p>
        </w:tc>
        <w:tc>
          <w:tcPr>
            <w:tcW w:w="1736" w:type="dxa"/>
            <w:noWrap/>
            <w:hideMark/>
          </w:tcPr>
          <w:p w14:paraId="18DB5C56" w14:textId="3FB59388" w:rsidR="00187BD3" w:rsidRPr="0022769B" w:rsidRDefault="00187BD3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7A078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410C0" w:rsidRPr="00F410C0" w14:paraId="6DE2646F" w14:textId="77777777" w:rsidTr="006A542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5AC25FCF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Starting Work and Changing Job</w:t>
            </w:r>
          </w:p>
        </w:tc>
      </w:tr>
      <w:tr w:rsidR="00187BD3" w:rsidRPr="00F410C0" w14:paraId="2DA26EE7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2133E72B" w14:textId="77777777" w:rsidR="00187BD3" w:rsidRPr="0022769B" w:rsidRDefault="00187BD3" w:rsidP="00187BD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5F382560" w14:textId="77777777" w:rsidR="00187BD3" w:rsidRPr="0022769B" w:rsidRDefault="00187BD3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Starting Work and Changing Job</w:t>
            </w:r>
          </w:p>
        </w:tc>
        <w:tc>
          <w:tcPr>
            <w:tcW w:w="4541" w:type="dxa"/>
            <w:noWrap/>
            <w:hideMark/>
          </w:tcPr>
          <w:p w14:paraId="07FEBC07" w14:textId="77777777" w:rsidR="00187BD3" w:rsidRPr="0022769B" w:rsidRDefault="00187BD3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Starting Work and Changing Job</w:t>
            </w:r>
          </w:p>
        </w:tc>
        <w:tc>
          <w:tcPr>
            <w:tcW w:w="2002" w:type="dxa"/>
            <w:noWrap/>
            <w:hideMark/>
          </w:tcPr>
          <w:p w14:paraId="52801E73" w14:textId="508804AA" w:rsidR="00187BD3" w:rsidRPr="0022769B" w:rsidRDefault="00187BD3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,329</w:t>
            </w:r>
          </w:p>
        </w:tc>
        <w:tc>
          <w:tcPr>
            <w:tcW w:w="1736" w:type="dxa"/>
            <w:noWrap/>
            <w:hideMark/>
          </w:tcPr>
          <w:p w14:paraId="181D0DAD" w14:textId="4EE1E46C" w:rsidR="00187BD3" w:rsidRPr="0022769B" w:rsidRDefault="00187BD3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8843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187BD3" w:rsidRPr="00F410C0" w14:paraId="0CB85DD7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4B857194" w14:textId="77777777" w:rsidR="00187BD3" w:rsidRPr="0022769B" w:rsidRDefault="00187BD3" w:rsidP="00187BD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5963168D" w14:textId="77777777" w:rsidR="00187BD3" w:rsidRPr="0022769B" w:rsidRDefault="00187BD3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49650C9E" w14:textId="77777777" w:rsidR="00187BD3" w:rsidRPr="0022769B" w:rsidRDefault="00187BD3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44A1EABB" w14:textId="76598473" w:rsidR="00187BD3" w:rsidRPr="0022769B" w:rsidRDefault="00187BD3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1,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329</w:t>
            </w:r>
          </w:p>
        </w:tc>
        <w:tc>
          <w:tcPr>
            <w:tcW w:w="1736" w:type="dxa"/>
            <w:noWrap/>
            <w:hideMark/>
          </w:tcPr>
          <w:p w14:paraId="12B6DFE7" w14:textId="14237944" w:rsidR="00187BD3" w:rsidRPr="0022769B" w:rsidRDefault="00187BD3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410C0" w:rsidRPr="00F410C0" w14:paraId="1FE07F67" w14:textId="77777777" w:rsidTr="006A5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17F4A812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Equality in Work</w:t>
            </w:r>
          </w:p>
        </w:tc>
      </w:tr>
      <w:tr w:rsidR="00705502" w:rsidRPr="00F410C0" w14:paraId="49340FB1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5A5F265B" w14:textId="5058EA7C" w:rsidR="00705502" w:rsidRPr="0022769B" w:rsidRDefault="00705502" w:rsidP="00705502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0F4F5624" w14:textId="7E2872AE" w:rsidR="00705502" w:rsidRPr="0022769B" w:rsidRDefault="00705502" w:rsidP="0070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4541" w:type="dxa"/>
            <w:noWrap/>
          </w:tcPr>
          <w:p w14:paraId="71A857D3" w14:textId="70C48308" w:rsidR="00705502" w:rsidRPr="0022769B" w:rsidRDefault="00705502" w:rsidP="007055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Bullying and Harassment</w:t>
            </w:r>
          </w:p>
        </w:tc>
        <w:tc>
          <w:tcPr>
            <w:tcW w:w="2002" w:type="dxa"/>
            <w:noWrap/>
          </w:tcPr>
          <w:p w14:paraId="623E350F" w14:textId="3DE3B3A1" w:rsidR="00705502" w:rsidRPr="0022769B" w:rsidRDefault="00705502" w:rsidP="00705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508</w:t>
            </w:r>
          </w:p>
        </w:tc>
        <w:tc>
          <w:tcPr>
            <w:tcW w:w="1736" w:type="dxa"/>
            <w:noWrap/>
          </w:tcPr>
          <w:p w14:paraId="07866096" w14:textId="636F0CB7" w:rsidR="00705502" w:rsidRPr="0022769B" w:rsidRDefault="00705502" w:rsidP="007055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8.6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02C6" w:rsidRPr="00F410C0" w14:paraId="437426E7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02844320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270FD8A6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4541" w:type="dxa"/>
            <w:noWrap/>
            <w:hideMark/>
          </w:tcPr>
          <w:p w14:paraId="25F730B9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Discrimination</w:t>
            </w:r>
          </w:p>
        </w:tc>
        <w:tc>
          <w:tcPr>
            <w:tcW w:w="2002" w:type="dxa"/>
            <w:noWrap/>
            <w:hideMark/>
          </w:tcPr>
          <w:p w14:paraId="17150094" w14:textId="1D37D15A" w:rsidR="00F410C0" w:rsidRPr="0022769B" w:rsidRDefault="00F410C0" w:rsidP="00C53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</w:t>
            </w:r>
            <w:r w:rsidR="00630D4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43</w:t>
            </w:r>
          </w:p>
        </w:tc>
        <w:tc>
          <w:tcPr>
            <w:tcW w:w="1736" w:type="dxa"/>
            <w:noWrap/>
            <w:hideMark/>
          </w:tcPr>
          <w:p w14:paraId="1BC3D94D" w14:textId="3BD38305" w:rsidR="00F410C0" w:rsidRPr="0022769B" w:rsidRDefault="00F410C0" w:rsidP="00C53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  <w:r w:rsidR="00630D4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3.6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02C6" w:rsidRPr="00F410C0" w14:paraId="15ECB11F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645E95FF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1BAD354D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4541" w:type="dxa"/>
            <w:noWrap/>
            <w:hideMark/>
          </w:tcPr>
          <w:p w14:paraId="5EE28065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2002" w:type="dxa"/>
            <w:noWrap/>
            <w:hideMark/>
          </w:tcPr>
          <w:p w14:paraId="32649016" w14:textId="6B42D04C" w:rsidR="00F410C0" w:rsidRPr="0022769B" w:rsidRDefault="00630D43" w:rsidP="00C53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183</w:t>
            </w:r>
          </w:p>
        </w:tc>
        <w:tc>
          <w:tcPr>
            <w:tcW w:w="1736" w:type="dxa"/>
            <w:noWrap/>
            <w:hideMark/>
          </w:tcPr>
          <w:p w14:paraId="56F87D53" w14:textId="4B13B375" w:rsidR="00F410C0" w:rsidRPr="0022769B" w:rsidRDefault="00F410C0" w:rsidP="00C53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="00630D4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3.9</w:t>
            </w: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02C6" w:rsidRPr="00F410C0" w14:paraId="024E1F31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3453AF2E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0974450A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4541" w:type="dxa"/>
            <w:noWrap/>
            <w:hideMark/>
          </w:tcPr>
          <w:p w14:paraId="4C89557E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Pay and Conditions</w:t>
            </w:r>
          </w:p>
        </w:tc>
        <w:tc>
          <w:tcPr>
            <w:tcW w:w="2002" w:type="dxa"/>
            <w:noWrap/>
            <w:hideMark/>
          </w:tcPr>
          <w:p w14:paraId="4BA199D7" w14:textId="434BE5BE" w:rsidR="00F410C0" w:rsidRPr="0022769B" w:rsidRDefault="00F410C0" w:rsidP="00C53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  <w:r w:rsidR="00630D4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</w:t>
            </w:r>
          </w:p>
        </w:tc>
        <w:tc>
          <w:tcPr>
            <w:tcW w:w="1736" w:type="dxa"/>
            <w:noWrap/>
            <w:hideMark/>
          </w:tcPr>
          <w:p w14:paraId="1197A97F" w14:textId="77737E03" w:rsidR="00F410C0" w:rsidRPr="0022769B" w:rsidRDefault="00630D43" w:rsidP="00C53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9.1</w:t>
            </w:r>
            <w:r w:rsidR="00F410C0"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02C6" w:rsidRPr="00F410C0" w14:paraId="6F1584D9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0A0F5B2B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0A29353A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4541" w:type="dxa"/>
            <w:noWrap/>
            <w:hideMark/>
          </w:tcPr>
          <w:p w14:paraId="69EBA9CE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Victimisation</w:t>
            </w:r>
          </w:p>
        </w:tc>
        <w:tc>
          <w:tcPr>
            <w:tcW w:w="2002" w:type="dxa"/>
            <w:noWrap/>
            <w:hideMark/>
          </w:tcPr>
          <w:p w14:paraId="10DE3A2E" w14:textId="7BAD20FA" w:rsidR="00F410C0" w:rsidRPr="0022769B" w:rsidRDefault="00630D43" w:rsidP="00C53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63</w:t>
            </w:r>
          </w:p>
        </w:tc>
        <w:tc>
          <w:tcPr>
            <w:tcW w:w="1736" w:type="dxa"/>
            <w:noWrap/>
            <w:hideMark/>
          </w:tcPr>
          <w:p w14:paraId="386AAA56" w14:textId="7396D681" w:rsidR="00F410C0" w:rsidRPr="0022769B" w:rsidRDefault="00630D43" w:rsidP="00C53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4.8</w:t>
            </w:r>
            <w:r w:rsidR="00F410C0"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%</w:t>
            </w:r>
          </w:p>
        </w:tc>
      </w:tr>
      <w:tr w:rsidR="008402C6" w:rsidRPr="00F410C0" w14:paraId="49F5248F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27967058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5160AF04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05271E7F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48C9B325" w14:textId="457C507F" w:rsidR="00F410C0" w:rsidRPr="0022769B" w:rsidRDefault="00F410C0" w:rsidP="00C53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1,</w:t>
            </w:r>
            <w:r w:rsidR="00630D4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317</w:t>
            </w:r>
          </w:p>
        </w:tc>
        <w:tc>
          <w:tcPr>
            <w:tcW w:w="1736" w:type="dxa"/>
            <w:noWrap/>
            <w:hideMark/>
          </w:tcPr>
          <w:p w14:paraId="7CEA7771" w14:textId="0E189899" w:rsidR="00F410C0" w:rsidRPr="0022769B" w:rsidRDefault="00187BD3" w:rsidP="00C53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410C0" w:rsidRPr="00F410C0" w14:paraId="761F2716" w14:textId="77777777" w:rsidTr="006A542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5C885B30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Part-time Employment</w:t>
            </w:r>
          </w:p>
        </w:tc>
      </w:tr>
      <w:tr w:rsidR="00187BD3" w:rsidRPr="00F410C0" w14:paraId="72967AF5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242B715A" w14:textId="77777777" w:rsidR="00187BD3" w:rsidRPr="0022769B" w:rsidRDefault="00187BD3" w:rsidP="00187BD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31A85500" w14:textId="77777777" w:rsidR="00187BD3" w:rsidRPr="0022769B" w:rsidRDefault="00187BD3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Part-time Employment</w:t>
            </w:r>
          </w:p>
        </w:tc>
        <w:tc>
          <w:tcPr>
            <w:tcW w:w="4541" w:type="dxa"/>
            <w:noWrap/>
            <w:hideMark/>
          </w:tcPr>
          <w:p w14:paraId="21D1A988" w14:textId="77777777" w:rsidR="00187BD3" w:rsidRPr="0022769B" w:rsidRDefault="00187BD3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Part-time Employment</w:t>
            </w:r>
          </w:p>
        </w:tc>
        <w:tc>
          <w:tcPr>
            <w:tcW w:w="2002" w:type="dxa"/>
            <w:noWrap/>
            <w:hideMark/>
          </w:tcPr>
          <w:p w14:paraId="036199A8" w14:textId="170CB7B5" w:rsidR="00187BD3" w:rsidRPr="0022769B" w:rsidRDefault="00187BD3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781</w:t>
            </w:r>
          </w:p>
        </w:tc>
        <w:tc>
          <w:tcPr>
            <w:tcW w:w="1736" w:type="dxa"/>
            <w:noWrap/>
            <w:hideMark/>
          </w:tcPr>
          <w:p w14:paraId="52506DF0" w14:textId="11886735" w:rsidR="00187BD3" w:rsidRPr="0022769B" w:rsidRDefault="00187BD3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96F1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187BD3" w:rsidRPr="00F410C0" w14:paraId="412A89C5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11F802FE" w14:textId="77777777" w:rsidR="00187BD3" w:rsidRPr="0022769B" w:rsidRDefault="00187BD3" w:rsidP="00187BD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729772A8" w14:textId="77777777" w:rsidR="00187BD3" w:rsidRPr="0022769B" w:rsidRDefault="00187BD3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37169390" w14:textId="77777777" w:rsidR="00187BD3" w:rsidRPr="0022769B" w:rsidRDefault="00187BD3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7827D0F4" w14:textId="5E57A720" w:rsidR="00187BD3" w:rsidRPr="0022769B" w:rsidRDefault="00187BD3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781</w:t>
            </w:r>
          </w:p>
        </w:tc>
        <w:tc>
          <w:tcPr>
            <w:tcW w:w="1736" w:type="dxa"/>
            <w:noWrap/>
            <w:hideMark/>
          </w:tcPr>
          <w:p w14:paraId="2A881215" w14:textId="5626A7F2" w:rsidR="00187BD3" w:rsidRPr="0022769B" w:rsidRDefault="00187BD3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410C0" w:rsidRPr="00F410C0" w14:paraId="0959BBA9" w14:textId="77777777" w:rsidTr="006A5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17F411C0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Retirement</w:t>
            </w:r>
          </w:p>
        </w:tc>
      </w:tr>
      <w:tr w:rsidR="00187BD3" w:rsidRPr="00F410C0" w14:paraId="01F6EFF6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5280EBC1" w14:textId="77777777" w:rsidR="00187BD3" w:rsidRPr="0022769B" w:rsidRDefault="00187BD3" w:rsidP="00187BD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36E12F25" w14:textId="77777777" w:rsidR="00187BD3" w:rsidRPr="0022769B" w:rsidRDefault="00187BD3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Retirement</w:t>
            </w:r>
          </w:p>
        </w:tc>
        <w:tc>
          <w:tcPr>
            <w:tcW w:w="4541" w:type="dxa"/>
            <w:noWrap/>
            <w:hideMark/>
          </w:tcPr>
          <w:p w14:paraId="77DA64B9" w14:textId="77777777" w:rsidR="00187BD3" w:rsidRPr="0022769B" w:rsidRDefault="00187BD3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Retirement</w:t>
            </w:r>
          </w:p>
        </w:tc>
        <w:tc>
          <w:tcPr>
            <w:tcW w:w="2002" w:type="dxa"/>
            <w:noWrap/>
            <w:hideMark/>
          </w:tcPr>
          <w:p w14:paraId="1056F596" w14:textId="0C7986D0" w:rsidR="00187BD3" w:rsidRPr="0022769B" w:rsidRDefault="00187BD3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564</w:t>
            </w:r>
          </w:p>
        </w:tc>
        <w:tc>
          <w:tcPr>
            <w:tcW w:w="1736" w:type="dxa"/>
            <w:noWrap/>
            <w:hideMark/>
          </w:tcPr>
          <w:p w14:paraId="73183004" w14:textId="0612FE7B" w:rsidR="00187BD3" w:rsidRPr="0022769B" w:rsidRDefault="00187BD3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660F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187BD3" w:rsidRPr="00F410C0" w14:paraId="765CED03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7960500F" w14:textId="77777777" w:rsidR="00187BD3" w:rsidRPr="0022769B" w:rsidRDefault="00187BD3" w:rsidP="00187BD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7EEC4948" w14:textId="77777777" w:rsidR="00187BD3" w:rsidRPr="0022769B" w:rsidRDefault="00187BD3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49C44D69" w14:textId="77777777" w:rsidR="00187BD3" w:rsidRPr="0022769B" w:rsidRDefault="00187BD3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0ADA9189" w14:textId="0E0E7143" w:rsidR="00187BD3" w:rsidRPr="0022769B" w:rsidRDefault="00187BD3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564</w:t>
            </w:r>
          </w:p>
        </w:tc>
        <w:tc>
          <w:tcPr>
            <w:tcW w:w="1736" w:type="dxa"/>
            <w:noWrap/>
            <w:hideMark/>
          </w:tcPr>
          <w:p w14:paraId="7E0DE6D1" w14:textId="5EB8B744" w:rsidR="00187BD3" w:rsidRPr="0022769B" w:rsidRDefault="00187BD3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410C0" w:rsidRPr="00F410C0" w14:paraId="4B29E8EC" w14:textId="77777777" w:rsidTr="006A542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65FD8D7D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 and Disability</w:t>
            </w:r>
          </w:p>
        </w:tc>
      </w:tr>
      <w:tr w:rsidR="00187BD3" w:rsidRPr="00F410C0" w14:paraId="4A9763A2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21D990E2" w14:textId="77777777" w:rsidR="00187BD3" w:rsidRPr="0022769B" w:rsidRDefault="00187BD3" w:rsidP="00187BD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3297FE33" w14:textId="77777777" w:rsidR="00187BD3" w:rsidRPr="0022769B" w:rsidRDefault="00187BD3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and Disability</w:t>
            </w:r>
          </w:p>
        </w:tc>
        <w:tc>
          <w:tcPr>
            <w:tcW w:w="4541" w:type="dxa"/>
            <w:noWrap/>
            <w:hideMark/>
          </w:tcPr>
          <w:p w14:paraId="0BFFCB0A" w14:textId="77777777" w:rsidR="00187BD3" w:rsidRPr="0022769B" w:rsidRDefault="00187BD3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Employment and Disability</w:t>
            </w:r>
          </w:p>
        </w:tc>
        <w:tc>
          <w:tcPr>
            <w:tcW w:w="2002" w:type="dxa"/>
            <w:noWrap/>
            <w:hideMark/>
          </w:tcPr>
          <w:p w14:paraId="6F1CF04F" w14:textId="5FEDC9F5" w:rsidR="00187BD3" w:rsidRPr="0022769B" w:rsidRDefault="00187BD3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73</w:t>
            </w:r>
          </w:p>
        </w:tc>
        <w:tc>
          <w:tcPr>
            <w:tcW w:w="1736" w:type="dxa"/>
            <w:noWrap/>
            <w:hideMark/>
          </w:tcPr>
          <w:p w14:paraId="443BF0F3" w14:textId="1CD807F8" w:rsidR="00187BD3" w:rsidRPr="0022769B" w:rsidRDefault="00187BD3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BB433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187BD3" w:rsidRPr="00F410C0" w14:paraId="78B69D31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2CD61106" w14:textId="77777777" w:rsidR="00187BD3" w:rsidRPr="0022769B" w:rsidRDefault="00187BD3" w:rsidP="00187BD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2B57DE7C" w14:textId="77777777" w:rsidR="00187BD3" w:rsidRPr="0022769B" w:rsidRDefault="00187BD3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64FF0393" w14:textId="77777777" w:rsidR="00187BD3" w:rsidRPr="0022769B" w:rsidRDefault="00187BD3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26391803" w14:textId="3AB7702D" w:rsidR="00187BD3" w:rsidRPr="0022769B" w:rsidRDefault="00187BD3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73</w:t>
            </w:r>
          </w:p>
        </w:tc>
        <w:tc>
          <w:tcPr>
            <w:tcW w:w="1736" w:type="dxa"/>
            <w:noWrap/>
            <w:hideMark/>
          </w:tcPr>
          <w:p w14:paraId="775AFD5C" w14:textId="435FC677" w:rsidR="00187BD3" w:rsidRPr="0022769B" w:rsidRDefault="00187BD3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410C0" w:rsidRPr="00F410C0" w14:paraId="31DF7FB7" w14:textId="77777777" w:rsidTr="006A5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10B95ADD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 Schemes/Placements</w:t>
            </w:r>
          </w:p>
        </w:tc>
      </w:tr>
      <w:tr w:rsidR="00187BD3" w:rsidRPr="00F410C0" w14:paraId="07A6ADD3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6633687E" w14:textId="77777777" w:rsidR="00187BD3" w:rsidRPr="0022769B" w:rsidRDefault="00187BD3" w:rsidP="00187BD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5D3CA1E2" w14:textId="77777777" w:rsidR="00187BD3" w:rsidRPr="0022769B" w:rsidRDefault="00187BD3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Schemes/Placements</w:t>
            </w:r>
          </w:p>
        </w:tc>
        <w:tc>
          <w:tcPr>
            <w:tcW w:w="4541" w:type="dxa"/>
            <w:noWrap/>
            <w:hideMark/>
          </w:tcPr>
          <w:p w14:paraId="7A1B3B75" w14:textId="77777777" w:rsidR="00187BD3" w:rsidRPr="0022769B" w:rsidRDefault="00187BD3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Employment Schemes/Placements</w:t>
            </w:r>
          </w:p>
        </w:tc>
        <w:tc>
          <w:tcPr>
            <w:tcW w:w="2002" w:type="dxa"/>
            <w:noWrap/>
            <w:hideMark/>
          </w:tcPr>
          <w:p w14:paraId="01C4E7FA" w14:textId="4ADAD869" w:rsidR="00187BD3" w:rsidRPr="00187BD3" w:rsidRDefault="00187BD3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327</w:t>
            </w:r>
          </w:p>
        </w:tc>
        <w:tc>
          <w:tcPr>
            <w:tcW w:w="1736" w:type="dxa"/>
            <w:noWrap/>
            <w:hideMark/>
          </w:tcPr>
          <w:p w14:paraId="7A0407A8" w14:textId="7F081EAA" w:rsidR="00187BD3" w:rsidRPr="00187BD3" w:rsidRDefault="00187BD3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5429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187BD3" w:rsidRPr="00F410C0" w14:paraId="2EBBEFD2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20673086" w14:textId="77777777" w:rsidR="00187BD3" w:rsidRPr="0022769B" w:rsidRDefault="00187BD3" w:rsidP="00187BD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31BD595A" w14:textId="77777777" w:rsidR="00187BD3" w:rsidRPr="0022769B" w:rsidRDefault="00187BD3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48198EE9" w14:textId="77777777" w:rsidR="00187BD3" w:rsidRPr="0022769B" w:rsidRDefault="00187BD3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178C69D9" w14:textId="25A77F7A" w:rsidR="00187BD3" w:rsidRPr="00187BD3" w:rsidRDefault="00187BD3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327</w:t>
            </w:r>
          </w:p>
        </w:tc>
        <w:tc>
          <w:tcPr>
            <w:tcW w:w="1736" w:type="dxa"/>
            <w:noWrap/>
            <w:hideMark/>
          </w:tcPr>
          <w:p w14:paraId="00C55E36" w14:textId="4BD5300B" w:rsidR="00187BD3" w:rsidRPr="00187BD3" w:rsidRDefault="00187BD3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5E2CF4" w:rsidRPr="00F410C0" w14:paraId="7AE65C0F" w14:textId="77777777" w:rsidTr="00D277EC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</w:tcPr>
          <w:p w14:paraId="347801B5" w14:textId="7841F0E1" w:rsidR="005E2CF4" w:rsidRPr="00A21849" w:rsidRDefault="005E2CF4" w:rsidP="00187BD3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5E2CF4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Finding Employment</w:t>
            </w:r>
          </w:p>
        </w:tc>
      </w:tr>
      <w:tr w:rsidR="005E2CF4" w:rsidRPr="00F410C0" w14:paraId="72E041C0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127CEFF1" w14:textId="688582AA" w:rsidR="005E2CF4" w:rsidRPr="0022769B" w:rsidRDefault="005E2CF4" w:rsidP="005E2CF4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</w:tcPr>
          <w:p w14:paraId="5E0D9989" w14:textId="5AB57FC4" w:rsidR="005E2CF4" w:rsidRPr="0022769B" w:rsidRDefault="005E2CF4" w:rsidP="005E2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Finding Employment</w:t>
            </w:r>
          </w:p>
        </w:tc>
        <w:tc>
          <w:tcPr>
            <w:tcW w:w="4541" w:type="dxa"/>
            <w:noWrap/>
          </w:tcPr>
          <w:p w14:paraId="4AC80452" w14:textId="125B9F00" w:rsidR="005E2CF4" w:rsidRPr="0022769B" w:rsidRDefault="005E2CF4" w:rsidP="005E2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Finding Employment</w:t>
            </w:r>
          </w:p>
        </w:tc>
        <w:tc>
          <w:tcPr>
            <w:tcW w:w="2002" w:type="dxa"/>
            <w:noWrap/>
          </w:tcPr>
          <w:p w14:paraId="765A98AD" w14:textId="4DD801BB" w:rsidR="005E2CF4" w:rsidRPr="00187BD3" w:rsidRDefault="005E2CF4" w:rsidP="005E2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313</w:t>
            </w:r>
          </w:p>
        </w:tc>
        <w:tc>
          <w:tcPr>
            <w:tcW w:w="1736" w:type="dxa"/>
            <w:noWrap/>
          </w:tcPr>
          <w:p w14:paraId="0CA00B5A" w14:textId="0C953422" w:rsidR="005E2CF4" w:rsidRPr="00A21849" w:rsidRDefault="005E2CF4" w:rsidP="005E2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54299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5E2CF4" w:rsidRPr="00F410C0" w14:paraId="5C246909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</w:tcPr>
          <w:p w14:paraId="41D00C5E" w14:textId="77777777" w:rsidR="005E2CF4" w:rsidRPr="0022769B" w:rsidRDefault="005E2CF4" w:rsidP="005E2CF4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</w:p>
        </w:tc>
        <w:tc>
          <w:tcPr>
            <w:tcW w:w="4070" w:type="dxa"/>
            <w:noWrap/>
          </w:tcPr>
          <w:p w14:paraId="6577598C" w14:textId="77777777" w:rsidR="005E2CF4" w:rsidRPr="0022769B" w:rsidRDefault="005E2CF4" w:rsidP="005E2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4541" w:type="dxa"/>
            <w:noWrap/>
          </w:tcPr>
          <w:p w14:paraId="2EB3432D" w14:textId="77777777" w:rsidR="005E2CF4" w:rsidRPr="0022769B" w:rsidRDefault="005E2CF4" w:rsidP="005E2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</w:p>
        </w:tc>
        <w:tc>
          <w:tcPr>
            <w:tcW w:w="2002" w:type="dxa"/>
            <w:noWrap/>
          </w:tcPr>
          <w:p w14:paraId="2E24DDBB" w14:textId="555ED70A" w:rsidR="005E2CF4" w:rsidRPr="00187BD3" w:rsidRDefault="005E2CF4" w:rsidP="005E2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313</w:t>
            </w:r>
          </w:p>
        </w:tc>
        <w:tc>
          <w:tcPr>
            <w:tcW w:w="1736" w:type="dxa"/>
            <w:noWrap/>
          </w:tcPr>
          <w:p w14:paraId="575B143E" w14:textId="52FDA676" w:rsidR="005E2CF4" w:rsidRPr="00A21849" w:rsidRDefault="005E2CF4" w:rsidP="005E2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410C0" w:rsidRPr="00F410C0" w14:paraId="4E9E9414" w14:textId="77777777" w:rsidTr="006A5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7AEC1996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Migrant Workers</w:t>
            </w:r>
          </w:p>
        </w:tc>
      </w:tr>
      <w:tr w:rsidR="00187BD3" w:rsidRPr="00F410C0" w14:paraId="756D3369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34A399CF" w14:textId="77777777" w:rsidR="00187BD3" w:rsidRPr="0022769B" w:rsidRDefault="00187BD3" w:rsidP="00187BD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03506C2D" w14:textId="77777777" w:rsidR="00187BD3" w:rsidRPr="0022769B" w:rsidRDefault="00187BD3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Migrant Workers</w:t>
            </w:r>
          </w:p>
        </w:tc>
        <w:tc>
          <w:tcPr>
            <w:tcW w:w="4541" w:type="dxa"/>
            <w:noWrap/>
            <w:hideMark/>
          </w:tcPr>
          <w:p w14:paraId="3F52A2E2" w14:textId="77777777" w:rsidR="00187BD3" w:rsidRPr="0022769B" w:rsidRDefault="00187BD3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Migrant Workers</w:t>
            </w:r>
          </w:p>
        </w:tc>
        <w:tc>
          <w:tcPr>
            <w:tcW w:w="2002" w:type="dxa"/>
            <w:noWrap/>
            <w:hideMark/>
          </w:tcPr>
          <w:p w14:paraId="603F9C35" w14:textId="78FFF8EB" w:rsidR="00187BD3" w:rsidRPr="0022769B" w:rsidRDefault="00187BD3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77</w:t>
            </w:r>
          </w:p>
        </w:tc>
        <w:tc>
          <w:tcPr>
            <w:tcW w:w="1736" w:type="dxa"/>
            <w:noWrap/>
            <w:hideMark/>
          </w:tcPr>
          <w:p w14:paraId="03588183" w14:textId="56FC15F2" w:rsidR="00187BD3" w:rsidRPr="0022769B" w:rsidRDefault="00187BD3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321B7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187BD3" w:rsidRPr="00F410C0" w14:paraId="15C18EE4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795A4584" w14:textId="77777777" w:rsidR="00187BD3" w:rsidRPr="0022769B" w:rsidRDefault="00187BD3" w:rsidP="00187BD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1729DB42" w14:textId="77777777" w:rsidR="00187BD3" w:rsidRPr="0022769B" w:rsidRDefault="00187BD3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3BCD21A8" w14:textId="77777777" w:rsidR="00187BD3" w:rsidRPr="0022769B" w:rsidRDefault="00187BD3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47910A17" w14:textId="3C651B51" w:rsidR="00187BD3" w:rsidRPr="0022769B" w:rsidRDefault="00187BD3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77</w:t>
            </w:r>
          </w:p>
        </w:tc>
        <w:tc>
          <w:tcPr>
            <w:tcW w:w="1736" w:type="dxa"/>
            <w:noWrap/>
            <w:hideMark/>
          </w:tcPr>
          <w:p w14:paraId="223CE8F4" w14:textId="5C321BF4" w:rsidR="00187BD3" w:rsidRPr="0022769B" w:rsidRDefault="00187BD3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F410C0" w:rsidRPr="00F410C0" w14:paraId="5FCD0462" w14:textId="77777777" w:rsidTr="009008FA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3D9387C9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lastRenderedPageBreak/>
              <w:t>Employment Appeals (Enforcement)</w:t>
            </w:r>
          </w:p>
        </w:tc>
      </w:tr>
      <w:tr w:rsidR="00187BD3" w:rsidRPr="00F410C0" w14:paraId="48DE298D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572DFFB0" w14:textId="77777777" w:rsidR="00187BD3" w:rsidRPr="0022769B" w:rsidRDefault="00187BD3" w:rsidP="00187BD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1AB6E5D8" w14:textId="77777777" w:rsidR="00187BD3" w:rsidRPr="0022769B" w:rsidRDefault="00187BD3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 (Enforcement)</w:t>
            </w:r>
          </w:p>
        </w:tc>
        <w:tc>
          <w:tcPr>
            <w:tcW w:w="4541" w:type="dxa"/>
            <w:noWrap/>
            <w:hideMark/>
          </w:tcPr>
          <w:p w14:paraId="759C6050" w14:textId="77777777" w:rsidR="00187BD3" w:rsidRPr="0022769B" w:rsidRDefault="00187BD3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Appeals (Enforcement)</w:t>
            </w:r>
          </w:p>
        </w:tc>
        <w:tc>
          <w:tcPr>
            <w:tcW w:w="2002" w:type="dxa"/>
            <w:noWrap/>
            <w:hideMark/>
          </w:tcPr>
          <w:p w14:paraId="0B27DCE5" w14:textId="5EE7746A" w:rsidR="00187BD3" w:rsidRPr="0022769B" w:rsidRDefault="00187BD3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1736" w:type="dxa"/>
            <w:noWrap/>
            <w:hideMark/>
          </w:tcPr>
          <w:p w14:paraId="1351EC2D" w14:textId="2F1F6644" w:rsidR="00187BD3" w:rsidRPr="0022769B" w:rsidRDefault="00187BD3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9743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187BD3" w:rsidRPr="00F410C0" w14:paraId="59C1291F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0DECF0B3" w14:textId="77777777" w:rsidR="00187BD3" w:rsidRPr="0022769B" w:rsidRDefault="00187BD3" w:rsidP="00187BD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55DABAC6" w14:textId="77777777" w:rsidR="00187BD3" w:rsidRPr="0022769B" w:rsidRDefault="00187BD3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433C1D2A" w14:textId="77777777" w:rsidR="00187BD3" w:rsidRPr="0022769B" w:rsidRDefault="00187BD3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7437A8ED" w14:textId="2CEF788B" w:rsidR="00187BD3" w:rsidRPr="0022769B" w:rsidRDefault="00187BD3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7</w:t>
            </w:r>
          </w:p>
        </w:tc>
        <w:tc>
          <w:tcPr>
            <w:tcW w:w="1736" w:type="dxa"/>
            <w:noWrap/>
            <w:hideMark/>
          </w:tcPr>
          <w:p w14:paraId="16586FAE" w14:textId="24FA294B" w:rsidR="00187BD3" w:rsidRPr="0022769B" w:rsidRDefault="00187BD3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A2184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100.0%</w:t>
            </w:r>
          </w:p>
        </w:tc>
      </w:tr>
      <w:tr w:rsidR="008402C6" w:rsidRPr="00F410C0" w14:paraId="77B02A40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62536BF7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3561DD8A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067CC5D0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 Employment</w:t>
            </w:r>
          </w:p>
        </w:tc>
        <w:tc>
          <w:tcPr>
            <w:tcW w:w="2002" w:type="dxa"/>
            <w:noWrap/>
            <w:hideMark/>
          </w:tcPr>
          <w:p w14:paraId="7BBD6565" w14:textId="605B27EF" w:rsidR="00F410C0" w:rsidRPr="0022769B" w:rsidRDefault="00630D43" w:rsidP="00C00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4</w:t>
            </w:r>
            <w:r w:rsidR="00F410C0"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9,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667</w:t>
            </w:r>
          </w:p>
        </w:tc>
        <w:tc>
          <w:tcPr>
            <w:tcW w:w="1736" w:type="dxa"/>
            <w:noWrap/>
            <w:hideMark/>
          </w:tcPr>
          <w:p w14:paraId="2BE7D3AC" w14:textId="77777777" w:rsidR="00F410C0" w:rsidRPr="0022769B" w:rsidRDefault="00F410C0" w:rsidP="00F410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100.00%</w:t>
            </w:r>
          </w:p>
        </w:tc>
      </w:tr>
    </w:tbl>
    <w:p w14:paraId="1A460FC2" w14:textId="1A84B8EF" w:rsidR="00AD435D" w:rsidRPr="00CE4690" w:rsidRDefault="00C539B8" w:rsidP="00705502">
      <w:pPr>
        <w:pStyle w:val="Heading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01B8">
        <w:rPr>
          <w:sz w:val="28"/>
          <w:szCs w:val="28"/>
        </w:rPr>
        <w:lastRenderedPageBreak/>
        <w:t>Moving Country</w:t>
      </w:r>
      <w:r w:rsidR="00C94930" w:rsidRPr="00CE4690">
        <w:rPr>
          <w:sz w:val="28"/>
          <w:szCs w:val="28"/>
        </w:rPr>
        <w:t xml:space="preserve"> 202</w:t>
      </w:r>
      <w:r w:rsidR="00D25B53">
        <w:rPr>
          <w:sz w:val="28"/>
          <w:szCs w:val="28"/>
        </w:rPr>
        <w:t>2</w:t>
      </w:r>
    </w:p>
    <w:p w14:paraId="6438956C" w14:textId="27C7003D" w:rsidR="00A750E5" w:rsidRDefault="00514C6A" w:rsidP="0087347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Although </w:t>
      </w:r>
      <w:r w:rsidRPr="000368C7">
        <w:rPr>
          <w:rFonts w:ascii="Calibri" w:hAnsi="Calibri" w:cs="Calibri"/>
          <w:b/>
          <w:bCs/>
        </w:rPr>
        <w:t>Moving Country</w:t>
      </w:r>
      <w:r>
        <w:rPr>
          <w:rFonts w:ascii="Calibri" w:hAnsi="Calibri" w:cs="Calibri"/>
        </w:rPr>
        <w:t xml:space="preserve"> was the sixth </w:t>
      </w:r>
      <w:r w:rsidR="00873479">
        <w:rPr>
          <w:rFonts w:ascii="Calibri" w:hAnsi="Calibri" w:cs="Calibri"/>
        </w:rPr>
        <w:t>highest query</w:t>
      </w:r>
      <w:r>
        <w:rPr>
          <w:rFonts w:ascii="Calibri" w:hAnsi="Calibri" w:cs="Calibri"/>
        </w:rPr>
        <w:t xml:space="preserve"> category </w:t>
      </w:r>
      <w:r w:rsidR="00DC7A38">
        <w:rPr>
          <w:rFonts w:ascii="Calibri" w:hAnsi="Calibri" w:cs="Calibri"/>
        </w:rPr>
        <w:t xml:space="preserve">in 2022, it has been included in the top 5 categories, as the Local category does not house any sub-categories. </w:t>
      </w:r>
      <w:r w:rsidR="00B94533">
        <w:rPr>
          <w:rFonts w:ascii="Calibri" w:hAnsi="Calibri" w:cs="Calibri"/>
        </w:rPr>
        <w:t xml:space="preserve">CISs dealt with </w:t>
      </w:r>
      <w:r w:rsidR="00B94533" w:rsidRPr="00705502">
        <w:rPr>
          <w:rFonts w:ascii="Calibri" w:hAnsi="Calibri" w:cs="Calibri"/>
        </w:rPr>
        <w:t>4</w:t>
      </w:r>
      <w:r w:rsidR="005D2C2C" w:rsidRPr="00705502">
        <w:rPr>
          <w:rFonts w:ascii="Calibri" w:hAnsi="Calibri" w:cs="Calibri"/>
        </w:rPr>
        <w:t>1</w:t>
      </w:r>
      <w:r w:rsidR="00B94533" w:rsidRPr="00705502">
        <w:rPr>
          <w:rFonts w:ascii="Calibri" w:hAnsi="Calibri" w:cs="Calibri"/>
        </w:rPr>
        <w:t>,</w:t>
      </w:r>
      <w:r w:rsidR="005D2C2C" w:rsidRPr="00705502">
        <w:rPr>
          <w:rFonts w:ascii="Calibri" w:hAnsi="Calibri" w:cs="Calibri"/>
        </w:rPr>
        <w:t>824</w:t>
      </w:r>
      <w:r w:rsidR="00B94533" w:rsidRPr="00705502">
        <w:rPr>
          <w:rFonts w:ascii="Calibri" w:hAnsi="Calibri" w:cs="Calibri"/>
        </w:rPr>
        <w:t xml:space="preserve"> </w:t>
      </w:r>
      <w:r w:rsidR="00C94930" w:rsidRPr="00B94533">
        <w:rPr>
          <w:rFonts w:ascii="Calibri" w:hAnsi="Calibri" w:cs="Calibri"/>
        </w:rPr>
        <w:t>que</w:t>
      </w:r>
      <w:r w:rsidR="00B94533" w:rsidRPr="00B94533">
        <w:rPr>
          <w:rFonts w:ascii="Calibri" w:hAnsi="Calibri" w:cs="Calibri"/>
        </w:rPr>
        <w:t>ries</w:t>
      </w:r>
      <w:r w:rsidR="00B94533">
        <w:rPr>
          <w:rFonts w:ascii="Calibri" w:hAnsi="Calibri" w:cs="Calibri"/>
        </w:rPr>
        <w:t xml:space="preserve"> about </w:t>
      </w:r>
      <w:r w:rsidR="005D2C2C" w:rsidRPr="00844BFF">
        <w:rPr>
          <w:rFonts w:ascii="Calibri" w:hAnsi="Calibri" w:cs="Calibri"/>
          <w:b/>
          <w:bCs/>
        </w:rPr>
        <w:t>Moving Country</w:t>
      </w:r>
      <w:r w:rsidR="00B94533">
        <w:rPr>
          <w:rFonts w:ascii="Calibri" w:hAnsi="Calibri" w:cs="Calibri"/>
        </w:rPr>
        <w:t xml:space="preserve"> just over </w:t>
      </w:r>
      <w:r w:rsidR="005D2C2C">
        <w:rPr>
          <w:rFonts w:ascii="Calibri" w:hAnsi="Calibri" w:cs="Calibri"/>
        </w:rPr>
        <w:t>5</w:t>
      </w:r>
      <w:r w:rsidR="00D25B53">
        <w:rPr>
          <w:rFonts w:ascii="Calibri" w:hAnsi="Calibri" w:cs="Calibri"/>
        </w:rPr>
        <w:t>.</w:t>
      </w:r>
      <w:r w:rsidR="005D2C2C">
        <w:rPr>
          <w:rFonts w:ascii="Calibri" w:hAnsi="Calibri" w:cs="Calibri"/>
        </w:rPr>
        <w:t>3</w:t>
      </w:r>
      <w:r w:rsidR="00C94930">
        <w:rPr>
          <w:rFonts w:ascii="Calibri" w:hAnsi="Calibri" w:cs="Calibri"/>
        </w:rPr>
        <w:t>% of al</w:t>
      </w:r>
      <w:r w:rsidR="00CE4690">
        <w:rPr>
          <w:rFonts w:ascii="Calibri" w:hAnsi="Calibri" w:cs="Calibri"/>
        </w:rPr>
        <w:t>l queries dealt with by services</w:t>
      </w:r>
      <w:r w:rsidR="00C94930">
        <w:rPr>
          <w:rFonts w:ascii="Calibri" w:hAnsi="Calibri" w:cs="Calibri"/>
        </w:rPr>
        <w:t>.</w:t>
      </w:r>
      <w:r w:rsidR="00CE4690">
        <w:rPr>
          <w:rFonts w:ascii="Calibri" w:hAnsi="Calibri" w:cs="Calibri"/>
        </w:rPr>
        <w:t xml:space="preserve"> </w:t>
      </w:r>
      <w:r w:rsidR="005D2C2C" w:rsidRPr="00844BFF">
        <w:rPr>
          <w:rFonts w:ascii="Calibri" w:hAnsi="Calibri" w:cs="Calibri"/>
          <w:i/>
          <w:iCs/>
        </w:rPr>
        <w:t>Irish Citizenship</w:t>
      </w:r>
      <w:r w:rsidR="005D2C2C">
        <w:rPr>
          <w:rFonts w:ascii="Calibri" w:hAnsi="Calibri" w:cs="Calibri"/>
        </w:rPr>
        <w:t xml:space="preserve"> </w:t>
      </w:r>
      <w:r w:rsidR="00401848">
        <w:rPr>
          <w:rFonts w:ascii="Calibri" w:hAnsi="Calibri" w:cs="Calibri"/>
        </w:rPr>
        <w:t>enquiries represented one third of the queries in this category</w:t>
      </w:r>
      <w:r w:rsidR="005D2C2C">
        <w:rPr>
          <w:rFonts w:ascii="Calibri" w:hAnsi="Calibri" w:cs="Calibri"/>
        </w:rPr>
        <w:t xml:space="preserve"> (13,705) followed by </w:t>
      </w:r>
      <w:r w:rsidR="005D2C2C" w:rsidRPr="00844BFF">
        <w:rPr>
          <w:rFonts w:ascii="Calibri" w:hAnsi="Calibri" w:cs="Calibri"/>
          <w:i/>
          <w:iCs/>
        </w:rPr>
        <w:t>Asylum Seekers/Refugees-Ukraine</w:t>
      </w:r>
      <w:r w:rsidR="005D2C2C">
        <w:rPr>
          <w:rFonts w:ascii="Calibri" w:hAnsi="Calibri" w:cs="Calibri"/>
        </w:rPr>
        <w:t xml:space="preserve"> (10,718)</w:t>
      </w:r>
      <w:r w:rsidR="00873479">
        <w:rPr>
          <w:rFonts w:ascii="Calibri" w:hAnsi="Calibri" w:cs="Calibri"/>
        </w:rPr>
        <w:t>;</w:t>
      </w:r>
      <w:r w:rsidR="006F3565">
        <w:rPr>
          <w:rFonts w:ascii="Calibri" w:hAnsi="Calibri" w:cs="Calibri"/>
        </w:rPr>
        <w:t xml:space="preserve"> this was a new category introduced in March which captures Ukrainian-specific needs</w:t>
      </w:r>
      <w:r w:rsidR="00187BD3">
        <w:rPr>
          <w:rFonts w:ascii="Calibri" w:hAnsi="Calibri" w:cs="Calibri"/>
        </w:rPr>
        <w:t xml:space="preserve"> and</w:t>
      </w:r>
      <w:r w:rsidR="006F3565">
        <w:rPr>
          <w:rFonts w:ascii="Calibri" w:hAnsi="Calibri" w:cs="Calibri"/>
        </w:rPr>
        <w:t xml:space="preserve"> accounted for 2</w:t>
      </w:r>
      <w:r w:rsidR="00A753F1">
        <w:rPr>
          <w:rFonts w:ascii="Calibri" w:hAnsi="Calibri" w:cs="Calibri"/>
        </w:rPr>
        <w:t>5.</w:t>
      </w:r>
      <w:r w:rsidR="006F3565">
        <w:rPr>
          <w:rFonts w:ascii="Calibri" w:hAnsi="Calibri" w:cs="Calibri"/>
        </w:rPr>
        <w:t xml:space="preserve">6% of all Moving Country </w:t>
      </w:r>
      <w:r w:rsidR="00873479">
        <w:rPr>
          <w:rFonts w:ascii="Calibri" w:hAnsi="Calibri" w:cs="Calibri"/>
        </w:rPr>
        <w:t>q</w:t>
      </w:r>
      <w:r w:rsidR="006F3565">
        <w:rPr>
          <w:rFonts w:ascii="Calibri" w:hAnsi="Calibri" w:cs="Calibri"/>
        </w:rPr>
        <w:t>ueries this year.</w:t>
      </w:r>
      <w:r w:rsidR="00505E49">
        <w:rPr>
          <w:rFonts w:ascii="Calibri" w:hAnsi="Calibri" w:cs="Calibri"/>
        </w:rPr>
        <w:t xml:space="preserve"> The top issues dealt with by CIS in relation to Ukrainian refugees w</w:t>
      </w:r>
      <w:r w:rsidR="00C6352A">
        <w:rPr>
          <w:rFonts w:ascii="Calibri" w:hAnsi="Calibri" w:cs="Calibri"/>
        </w:rPr>
        <w:t>ere</w:t>
      </w:r>
      <w:r w:rsidR="00505E49">
        <w:rPr>
          <w:rFonts w:ascii="Calibri" w:hAnsi="Calibri" w:cs="Calibri"/>
        </w:rPr>
        <w:t xml:space="preserve"> in relation to social welfare matters, followed by healthcare eligibility and housing and accommodation needs</w:t>
      </w:r>
      <w:r w:rsidR="004A529D">
        <w:rPr>
          <w:rFonts w:ascii="Calibri" w:hAnsi="Calibri" w:cs="Calibri"/>
        </w:rPr>
        <w:t xml:space="preserve">, </w:t>
      </w:r>
      <w:r w:rsidR="000368C7">
        <w:rPr>
          <w:rFonts w:ascii="Calibri" w:hAnsi="Calibri" w:cs="Calibri"/>
        </w:rPr>
        <w:t xml:space="preserve">these sub-categories represented 60% of the </w:t>
      </w:r>
      <w:r w:rsidR="000368C7" w:rsidRPr="00844BFF">
        <w:rPr>
          <w:rFonts w:ascii="Calibri" w:hAnsi="Calibri" w:cs="Calibri"/>
          <w:i/>
          <w:iCs/>
        </w:rPr>
        <w:t>Asylum Seekers/Refugees-Ukraine</w:t>
      </w:r>
      <w:r w:rsidR="000368C7">
        <w:rPr>
          <w:rFonts w:ascii="Calibri" w:hAnsi="Calibri" w:cs="Calibri"/>
        </w:rPr>
        <w:t xml:space="preserve"> queries.</w:t>
      </w:r>
    </w:p>
    <w:p w14:paraId="2A4A60AB" w14:textId="723E987D" w:rsidR="006F3565" w:rsidRPr="006F3565" w:rsidRDefault="006F3565" w:rsidP="006F3565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Table 7 – Moving Country Queries, </w:t>
      </w:r>
      <w:r w:rsidRPr="00F410C0">
        <w:rPr>
          <w:sz w:val="24"/>
          <w:szCs w:val="24"/>
        </w:rPr>
        <w:t>202</w:t>
      </w:r>
      <w:r>
        <w:rPr>
          <w:sz w:val="24"/>
          <w:szCs w:val="24"/>
        </w:rPr>
        <w:t>2</w:t>
      </w:r>
    </w:p>
    <w:tbl>
      <w:tblPr>
        <w:tblStyle w:val="GridTable5Dark-Accent6"/>
        <w:tblW w:w="9196" w:type="dxa"/>
        <w:tblLook w:val="04A0" w:firstRow="1" w:lastRow="0" w:firstColumn="1" w:lastColumn="0" w:noHBand="0" w:noVBand="1"/>
        <w:tblCaption w:val="Table 7 Housing Query Breakdown Quarter 1 2021"/>
        <w:tblDescription w:val="This table shows the housing query dataset for Qtr 1 2021"/>
      </w:tblPr>
      <w:tblGrid>
        <w:gridCol w:w="1560"/>
        <w:gridCol w:w="4961"/>
        <w:gridCol w:w="927"/>
        <w:gridCol w:w="1748"/>
      </w:tblGrid>
      <w:tr w:rsidR="00C6352A" w:rsidRPr="000F1F54" w14:paraId="6779FE2B" w14:textId="77777777" w:rsidTr="00C63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21166199" w14:textId="77777777" w:rsidR="00C6352A" w:rsidRPr="000F1F54" w:rsidRDefault="00C6352A" w:rsidP="005D1B0E">
            <w:pPr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lang w:eastAsia="en-IE"/>
              </w:rPr>
              <w:t>Category</w:t>
            </w:r>
          </w:p>
        </w:tc>
        <w:tc>
          <w:tcPr>
            <w:tcW w:w="4961" w:type="dxa"/>
            <w:hideMark/>
          </w:tcPr>
          <w:p w14:paraId="22DE970D" w14:textId="767E63CB" w:rsidR="00C6352A" w:rsidRPr="000F1F54" w:rsidRDefault="00C6352A" w:rsidP="006A01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sz w:val="28"/>
                <w:szCs w:val="28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sz w:val="28"/>
                <w:szCs w:val="28"/>
                <w:lang w:eastAsia="en-IE"/>
              </w:rPr>
              <w:t xml:space="preserve"> 2022 Sub-category Breakdown</w:t>
            </w:r>
          </w:p>
        </w:tc>
        <w:tc>
          <w:tcPr>
            <w:tcW w:w="927" w:type="dxa"/>
            <w:hideMark/>
          </w:tcPr>
          <w:p w14:paraId="50558EAF" w14:textId="4D29F3D6" w:rsidR="00C6352A" w:rsidRPr="000F1F54" w:rsidRDefault="00C6352A" w:rsidP="005D1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lang w:eastAsia="en-IE"/>
              </w:rPr>
              <w:t># Of Queries</w:t>
            </w:r>
          </w:p>
        </w:tc>
        <w:tc>
          <w:tcPr>
            <w:tcW w:w="1748" w:type="dxa"/>
            <w:hideMark/>
          </w:tcPr>
          <w:p w14:paraId="7D4FBBEB" w14:textId="1126E72A" w:rsidR="00C6352A" w:rsidRDefault="00C6352A" w:rsidP="005D1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lang w:eastAsia="en-IE"/>
              </w:rPr>
              <w:t xml:space="preserve">% Of </w:t>
            </w:r>
            <w:r>
              <w:rPr>
                <w:rFonts w:eastAsia="Times New Roman" w:cs="Calibri"/>
                <w:color w:val="000000"/>
                <w:lang w:eastAsia="en-IE"/>
              </w:rPr>
              <w:t>Moving Country</w:t>
            </w:r>
          </w:p>
          <w:p w14:paraId="76E9193C" w14:textId="77777777" w:rsidR="00C6352A" w:rsidRPr="000F1F54" w:rsidRDefault="00C6352A" w:rsidP="005D1B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 w:val="0"/>
                <w:bCs w:val="0"/>
                <w:color w:val="000000"/>
                <w:lang w:eastAsia="en-IE"/>
              </w:rPr>
            </w:pPr>
            <w:r w:rsidRPr="000F1F54">
              <w:rPr>
                <w:rFonts w:eastAsia="Times New Roman" w:cs="Calibri"/>
                <w:color w:val="000000"/>
                <w:lang w:eastAsia="en-IE"/>
              </w:rPr>
              <w:t>Sub-category</w:t>
            </w:r>
          </w:p>
        </w:tc>
      </w:tr>
      <w:tr w:rsidR="00C6352A" w:rsidRPr="000F1F54" w14:paraId="23AFCEC1" w14:textId="77777777" w:rsidTr="00C6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3C8882AF" w14:textId="5AF64326" w:rsidR="00C6352A" w:rsidRPr="004B3A3B" w:rsidRDefault="00C6352A" w:rsidP="005D1B0E">
            <w:pPr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A40B20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961" w:type="dxa"/>
            <w:noWrap/>
          </w:tcPr>
          <w:p w14:paraId="12069028" w14:textId="2499E9F9" w:rsidR="00C6352A" w:rsidRPr="00873479" w:rsidRDefault="00C6352A" w:rsidP="005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873479">
              <w:rPr>
                <w:rFonts w:ascii="Calibri" w:hAnsi="Calibri" w:cs="Calibri"/>
                <w:sz w:val="20"/>
                <w:szCs w:val="20"/>
              </w:rPr>
              <w:t>Irish Citizenship</w:t>
            </w:r>
          </w:p>
        </w:tc>
        <w:tc>
          <w:tcPr>
            <w:tcW w:w="927" w:type="dxa"/>
            <w:noWrap/>
          </w:tcPr>
          <w:p w14:paraId="20D5139E" w14:textId="6A8F604C" w:rsidR="00C6352A" w:rsidRPr="00187BD3" w:rsidRDefault="00C6352A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13,705</w:t>
            </w:r>
          </w:p>
        </w:tc>
        <w:tc>
          <w:tcPr>
            <w:tcW w:w="1748" w:type="dxa"/>
            <w:noWrap/>
          </w:tcPr>
          <w:p w14:paraId="295E5A02" w14:textId="4BFCC875" w:rsidR="00C6352A" w:rsidRPr="00187BD3" w:rsidRDefault="00C6352A" w:rsidP="00A40B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32.8</w:t>
            </w: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352A" w:rsidRPr="000F1F54" w14:paraId="7306D8A0" w14:textId="77777777" w:rsidTr="00C6352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3CCEEC1F" w14:textId="77777777" w:rsidR="00C6352A" w:rsidRPr="004B3A3B" w:rsidRDefault="00C6352A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4B3A3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961" w:type="dxa"/>
            <w:noWrap/>
          </w:tcPr>
          <w:p w14:paraId="20E7BB63" w14:textId="1D35F1BC" w:rsidR="00C6352A" w:rsidRPr="00187BD3" w:rsidRDefault="00C6352A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Asylum Seekers/Refugees - Ukrainian</w:t>
            </w:r>
          </w:p>
        </w:tc>
        <w:tc>
          <w:tcPr>
            <w:tcW w:w="927" w:type="dxa"/>
            <w:noWrap/>
            <w:hideMark/>
          </w:tcPr>
          <w:p w14:paraId="750C7B36" w14:textId="0803B9F4" w:rsidR="00C6352A" w:rsidRPr="00187BD3" w:rsidRDefault="00C6352A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10,718</w:t>
            </w:r>
          </w:p>
        </w:tc>
        <w:tc>
          <w:tcPr>
            <w:tcW w:w="1748" w:type="dxa"/>
            <w:noWrap/>
          </w:tcPr>
          <w:p w14:paraId="7ADFB3EF" w14:textId="2BB7BDED" w:rsidR="00C6352A" w:rsidRPr="00187BD3" w:rsidRDefault="00C6352A" w:rsidP="00A40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25.6%</w:t>
            </w:r>
          </w:p>
        </w:tc>
      </w:tr>
      <w:tr w:rsidR="00C6352A" w:rsidRPr="000F1F54" w14:paraId="65603352" w14:textId="77777777" w:rsidTr="00C6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61553CEC" w14:textId="77777777" w:rsidR="00C6352A" w:rsidRPr="004B3A3B" w:rsidRDefault="00C6352A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4B3A3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961" w:type="dxa"/>
            <w:noWrap/>
          </w:tcPr>
          <w:p w14:paraId="44CBE4C0" w14:textId="77777777" w:rsidR="00C6352A" w:rsidRPr="00187BD3" w:rsidRDefault="00C6352A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Visa</w:t>
            </w:r>
          </w:p>
        </w:tc>
        <w:tc>
          <w:tcPr>
            <w:tcW w:w="927" w:type="dxa"/>
            <w:noWrap/>
            <w:hideMark/>
          </w:tcPr>
          <w:p w14:paraId="5D1373AA" w14:textId="55783828" w:rsidR="00C6352A" w:rsidRPr="00187BD3" w:rsidRDefault="00C6352A" w:rsidP="003E08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2,646</w:t>
            </w:r>
          </w:p>
        </w:tc>
        <w:tc>
          <w:tcPr>
            <w:tcW w:w="1748" w:type="dxa"/>
            <w:noWrap/>
            <w:hideMark/>
          </w:tcPr>
          <w:p w14:paraId="4E491966" w14:textId="39F5781A" w:rsidR="00C6352A" w:rsidRPr="00187BD3" w:rsidRDefault="00C6352A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6.3</w:t>
            </w: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352A" w:rsidRPr="000F1F54" w14:paraId="48F5F67A" w14:textId="77777777" w:rsidTr="00C6352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12BB2DAA" w14:textId="77777777" w:rsidR="00C6352A" w:rsidRPr="004B3A3B" w:rsidRDefault="00C6352A" w:rsidP="00A40B2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4B3A3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961" w:type="dxa"/>
            <w:noWrap/>
            <w:hideMark/>
          </w:tcPr>
          <w:p w14:paraId="1E01D8BE" w14:textId="77777777" w:rsidR="00C6352A" w:rsidRPr="00187BD3" w:rsidRDefault="00C6352A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Irish Residence Permit (IRP) Application and Renewals</w:t>
            </w:r>
          </w:p>
        </w:tc>
        <w:tc>
          <w:tcPr>
            <w:tcW w:w="927" w:type="dxa"/>
            <w:noWrap/>
            <w:hideMark/>
          </w:tcPr>
          <w:p w14:paraId="47E4B6EE" w14:textId="5400215F" w:rsidR="00C6352A" w:rsidRPr="00187BD3" w:rsidRDefault="00C6352A" w:rsidP="003E08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2,262</w:t>
            </w:r>
          </w:p>
        </w:tc>
        <w:tc>
          <w:tcPr>
            <w:tcW w:w="1748" w:type="dxa"/>
            <w:noWrap/>
            <w:hideMark/>
          </w:tcPr>
          <w:p w14:paraId="2C4AB45C" w14:textId="481C874A" w:rsidR="00C6352A" w:rsidRPr="00187BD3" w:rsidRDefault="00C6352A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5.4</w:t>
            </w: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352A" w:rsidRPr="000F1F54" w14:paraId="032C3B9C" w14:textId="77777777" w:rsidTr="00C6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2F5DBDFA" w14:textId="77777777" w:rsidR="00C6352A" w:rsidRPr="000F1F54" w:rsidRDefault="00C6352A" w:rsidP="00A40B20">
            <w:pPr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4B3A3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961" w:type="dxa"/>
            <w:noWrap/>
            <w:hideMark/>
          </w:tcPr>
          <w:p w14:paraId="581CEBDB" w14:textId="77777777" w:rsidR="00C6352A" w:rsidRPr="00187BD3" w:rsidRDefault="00C6352A" w:rsidP="00A40B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Moving to Ireland</w:t>
            </w:r>
          </w:p>
        </w:tc>
        <w:tc>
          <w:tcPr>
            <w:tcW w:w="927" w:type="dxa"/>
            <w:noWrap/>
          </w:tcPr>
          <w:p w14:paraId="689117A8" w14:textId="231053CB" w:rsidR="00C6352A" w:rsidRPr="00187BD3" w:rsidRDefault="00C6352A" w:rsidP="003E08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1,951</w:t>
            </w:r>
          </w:p>
        </w:tc>
        <w:tc>
          <w:tcPr>
            <w:tcW w:w="1748" w:type="dxa"/>
            <w:noWrap/>
            <w:hideMark/>
          </w:tcPr>
          <w:p w14:paraId="214585D7" w14:textId="1AC31886" w:rsidR="00C6352A" w:rsidRPr="00187BD3" w:rsidRDefault="00C6352A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4.7</w:t>
            </w: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352A" w:rsidRPr="000F1F54" w14:paraId="1017C801" w14:textId="77777777" w:rsidTr="00C6352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0E5CF47C" w14:textId="77777777" w:rsidR="00C6352A" w:rsidRPr="000F1F54" w:rsidRDefault="00C6352A" w:rsidP="00A40B20">
            <w:pPr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961" w:type="dxa"/>
            <w:noWrap/>
            <w:hideMark/>
          </w:tcPr>
          <w:p w14:paraId="0D7BA049" w14:textId="77777777" w:rsidR="00C6352A" w:rsidRPr="00187BD3" w:rsidRDefault="00C6352A" w:rsidP="00A40B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927" w:type="dxa"/>
            <w:noWrap/>
            <w:hideMark/>
          </w:tcPr>
          <w:p w14:paraId="5AC0CE56" w14:textId="510C774C" w:rsidR="00C6352A" w:rsidRPr="00187BD3" w:rsidRDefault="00C6352A" w:rsidP="003E08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1,517</w:t>
            </w:r>
          </w:p>
        </w:tc>
        <w:tc>
          <w:tcPr>
            <w:tcW w:w="1748" w:type="dxa"/>
            <w:noWrap/>
            <w:hideMark/>
          </w:tcPr>
          <w:p w14:paraId="31B88D76" w14:textId="1C37E162" w:rsidR="00C6352A" w:rsidRPr="00187BD3" w:rsidRDefault="00C6352A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3.6</w:t>
            </w: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352A" w:rsidRPr="000F1F54" w14:paraId="7AAADCB6" w14:textId="77777777" w:rsidTr="00C6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0327189B" w14:textId="41793B96" w:rsidR="00C6352A" w:rsidRPr="000F1F54" w:rsidRDefault="00C6352A" w:rsidP="00847483">
            <w:pP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961" w:type="dxa"/>
            <w:noWrap/>
          </w:tcPr>
          <w:p w14:paraId="0B11FEB9" w14:textId="22846CCC" w:rsidR="00C6352A" w:rsidRPr="00187BD3" w:rsidRDefault="00C6352A" w:rsidP="008474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EU Treaty Rights</w:t>
            </w:r>
          </w:p>
        </w:tc>
        <w:tc>
          <w:tcPr>
            <w:tcW w:w="927" w:type="dxa"/>
            <w:noWrap/>
          </w:tcPr>
          <w:p w14:paraId="4C65B72E" w14:textId="4D4E81BC" w:rsidR="00C6352A" w:rsidRPr="00187BD3" w:rsidRDefault="00C6352A" w:rsidP="003E08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1,084</w:t>
            </w:r>
          </w:p>
        </w:tc>
        <w:tc>
          <w:tcPr>
            <w:tcW w:w="1748" w:type="dxa"/>
            <w:noWrap/>
          </w:tcPr>
          <w:p w14:paraId="75312D7C" w14:textId="61E3D1D1" w:rsidR="00C6352A" w:rsidRPr="00187BD3" w:rsidRDefault="00C6352A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2.6</w:t>
            </w: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352A" w:rsidRPr="000F1F54" w14:paraId="41A23A4F" w14:textId="77777777" w:rsidTr="00C6352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B763A25" w14:textId="77777777" w:rsidR="00C6352A" w:rsidRPr="000F1F54" w:rsidRDefault="00C6352A" w:rsidP="00847483">
            <w:pPr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961" w:type="dxa"/>
            <w:noWrap/>
            <w:hideMark/>
          </w:tcPr>
          <w:p w14:paraId="791985F5" w14:textId="77777777" w:rsidR="00C6352A" w:rsidRPr="00187BD3" w:rsidRDefault="00C6352A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Travel Documents</w:t>
            </w:r>
          </w:p>
        </w:tc>
        <w:tc>
          <w:tcPr>
            <w:tcW w:w="927" w:type="dxa"/>
            <w:noWrap/>
            <w:hideMark/>
          </w:tcPr>
          <w:p w14:paraId="6334F732" w14:textId="4C514260" w:rsidR="00C6352A" w:rsidRPr="00187BD3" w:rsidRDefault="00C6352A" w:rsidP="003E08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989</w:t>
            </w:r>
          </w:p>
        </w:tc>
        <w:tc>
          <w:tcPr>
            <w:tcW w:w="1748" w:type="dxa"/>
            <w:noWrap/>
            <w:hideMark/>
          </w:tcPr>
          <w:p w14:paraId="01FC2849" w14:textId="3E18EB57" w:rsidR="00C6352A" w:rsidRPr="00187BD3" w:rsidRDefault="00C6352A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2.4</w:t>
            </w: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352A" w:rsidRPr="000F1F54" w14:paraId="6AC73F41" w14:textId="77777777" w:rsidTr="00C6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02F31EDE" w14:textId="57CE0FF0" w:rsidR="00C6352A" w:rsidRPr="000F1F54" w:rsidRDefault="00C6352A" w:rsidP="00A21849">
            <w:pP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961" w:type="dxa"/>
            <w:noWrap/>
          </w:tcPr>
          <w:p w14:paraId="7E88F8B1" w14:textId="007B31E3" w:rsidR="00C6352A" w:rsidRPr="00187BD3" w:rsidRDefault="00C6352A" w:rsidP="00A218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Asylum Seekers and Refugees</w:t>
            </w:r>
          </w:p>
        </w:tc>
        <w:tc>
          <w:tcPr>
            <w:tcW w:w="927" w:type="dxa"/>
            <w:noWrap/>
          </w:tcPr>
          <w:p w14:paraId="67B99609" w14:textId="11358A0A" w:rsidR="00C6352A" w:rsidRPr="00187BD3" w:rsidRDefault="00C6352A" w:rsidP="00A218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983</w:t>
            </w:r>
          </w:p>
        </w:tc>
        <w:tc>
          <w:tcPr>
            <w:tcW w:w="1748" w:type="dxa"/>
            <w:noWrap/>
          </w:tcPr>
          <w:p w14:paraId="55BDBB4C" w14:textId="79B6675F" w:rsidR="00C6352A" w:rsidRPr="00187BD3" w:rsidRDefault="00C6352A" w:rsidP="00A218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2.4</w:t>
            </w:r>
            <w:r w:rsidRPr="002F51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352A" w:rsidRPr="000F1F54" w14:paraId="053FE824" w14:textId="77777777" w:rsidTr="00C6352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64D17287" w14:textId="77777777" w:rsidR="00C6352A" w:rsidRPr="000F1F54" w:rsidRDefault="00C6352A" w:rsidP="00187BD3">
            <w:pPr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961" w:type="dxa"/>
            <w:noWrap/>
            <w:hideMark/>
          </w:tcPr>
          <w:p w14:paraId="388AC178" w14:textId="77777777" w:rsidR="00C6352A" w:rsidRPr="00187BD3" w:rsidRDefault="00C6352A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Immigration Office</w:t>
            </w:r>
          </w:p>
        </w:tc>
        <w:tc>
          <w:tcPr>
            <w:tcW w:w="927" w:type="dxa"/>
            <w:noWrap/>
          </w:tcPr>
          <w:p w14:paraId="3E2CF727" w14:textId="4A1EC491" w:rsidR="00C6352A" w:rsidRPr="00187BD3" w:rsidRDefault="00C6352A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819</w:t>
            </w:r>
          </w:p>
        </w:tc>
        <w:tc>
          <w:tcPr>
            <w:tcW w:w="1748" w:type="dxa"/>
            <w:noWrap/>
            <w:hideMark/>
          </w:tcPr>
          <w:p w14:paraId="5E1275D9" w14:textId="0E84012F" w:rsidR="00C6352A" w:rsidRPr="00187BD3" w:rsidRDefault="00C6352A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2.0</w:t>
            </w:r>
            <w:r w:rsidRPr="00087A6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352A" w:rsidRPr="000F1F54" w14:paraId="49885FCD" w14:textId="77777777" w:rsidTr="00C6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79BB919C" w14:textId="2580579C" w:rsidR="00C6352A" w:rsidRPr="000F1F54" w:rsidRDefault="00C6352A" w:rsidP="00187BD3">
            <w:pP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961" w:type="dxa"/>
            <w:noWrap/>
          </w:tcPr>
          <w:p w14:paraId="1A72E213" w14:textId="719A4322" w:rsidR="00C6352A" w:rsidRPr="00187BD3" w:rsidRDefault="00C6352A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Family Reunification (Refugee/Subsidiary Protection)</w:t>
            </w:r>
          </w:p>
        </w:tc>
        <w:tc>
          <w:tcPr>
            <w:tcW w:w="927" w:type="dxa"/>
            <w:noWrap/>
          </w:tcPr>
          <w:p w14:paraId="4457AAA6" w14:textId="460E564E" w:rsidR="00C6352A" w:rsidRPr="00187BD3" w:rsidRDefault="00C6352A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809</w:t>
            </w:r>
          </w:p>
        </w:tc>
        <w:tc>
          <w:tcPr>
            <w:tcW w:w="1748" w:type="dxa"/>
            <w:noWrap/>
          </w:tcPr>
          <w:p w14:paraId="723A8189" w14:textId="28B02DDD" w:rsidR="00C6352A" w:rsidRPr="00187BD3" w:rsidRDefault="00C6352A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1.9</w:t>
            </w:r>
            <w:r w:rsidRPr="00371FE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352A" w:rsidRPr="000F1F54" w14:paraId="49FE3C10" w14:textId="77777777" w:rsidTr="00C6352A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4BA2DEED" w14:textId="6CD593ED" w:rsidR="00C6352A" w:rsidRPr="000F1F54" w:rsidRDefault="00C6352A" w:rsidP="00187BD3">
            <w:pPr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961" w:type="dxa"/>
            <w:noWrap/>
          </w:tcPr>
          <w:p w14:paraId="6F7E9B84" w14:textId="7A883D2C" w:rsidR="00C6352A" w:rsidRPr="00187BD3" w:rsidRDefault="00C6352A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Residence Rights of Family Members</w:t>
            </w:r>
          </w:p>
        </w:tc>
        <w:tc>
          <w:tcPr>
            <w:tcW w:w="927" w:type="dxa"/>
            <w:noWrap/>
          </w:tcPr>
          <w:p w14:paraId="67210F96" w14:textId="579FB486" w:rsidR="00C6352A" w:rsidRPr="00187BD3" w:rsidRDefault="00C6352A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666</w:t>
            </w:r>
          </w:p>
        </w:tc>
        <w:tc>
          <w:tcPr>
            <w:tcW w:w="1748" w:type="dxa"/>
            <w:noWrap/>
          </w:tcPr>
          <w:p w14:paraId="7A5FD869" w14:textId="10A71388" w:rsidR="00C6352A" w:rsidRPr="00187BD3" w:rsidRDefault="00C6352A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2C1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.6</w:t>
            </w:r>
            <w:r w:rsidRPr="002C12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352A" w:rsidRPr="000F1F54" w14:paraId="2649AFD7" w14:textId="77777777" w:rsidTr="00C6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3DC401DC" w14:textId="77777777" w:rsidR="00C6352A" w:rsidRPr="000F1F54" w:rsidRDefault="00C6352A" w:rsidP="00187BD3">
            <w:pPr>
              <w:rPr>
                <w:rFonts w:eastAsia="Times New Roman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961" w:type="dxa"/>
            <w:noWrap/>
            <w:hideMark/>
          </w:tcPr>
          <w:p w14:paraId="3A5721EF" w14:textId="77777777" w:rsidR="00C6352A" w:rsidRPr="00187BD3" w:rsidRDefault="00C6352A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Moving Abroad</w:t>
            </w:r>
          </w:p>
        </w:tc>
        <w:tc>
          <w:tcPr>
            <w:tcW w:w="927" w:type="dxa"/>
            <w:noWrap/>
            <w:hideMark/>
          </w:tcPr>
          <w:p w14:paraId="3BBDAE2F" w14:textId="642186DF" w:rsidR="00C6352A" w:rsidRPr="00187BD3" w:rsidRDefault="00C6352A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547</w:t>
            </w:r>
          </w:p>
        </w:tc>
        <w:tc>
          <w:tcPr>
            <w:tcW w:w="1748" w:type="dxa"/>
            <w:noWrap/>
          </w:tcPr>
          <w:p w14:paraId="76D00B2D" w14:textId="4C43EBBA" w:rsidR="00C6352A" w:rsidRPr="00187BD3" w:rsidRDefault="00C6352A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F37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.3</w:t>
            </w:r>
            <w:r w:rsidRPr="005F373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352A" w:rsidRPr="000F1F54" w14:paraId="5B5309A7" w14:textId="77777777" w:rsidTr="00C6352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0EA3757B" w14:textId="7B3708CB" w:rsidR="00C6352A" w:rsidRPr="000F1F54" w:rsidRDefault="00C6352A" w:rsidP="00187BD3">
            <w:pP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961" w:type="dxa"/>
            <w:noWrap/>
          </w:tcPr>
          <w:p w14:paraId="094EC2C8" w14:textId="41BD1132" w:rsidR="00C6352A" w:rsidRPr="00187BD3" w:rsidRDefault="00C6352A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Rights of Residence in Ireland</w:t>
            </w:r>
          </w:p>
        </w:tc>
        <w:tc>
          <w:tcPr>
            <w:tcW w:w="927" w:type="dxa"/>
            <w:noWrap/>
          </w:tcPr>
          <w:p w14:paraId="2D9316FF" w14:textId="0D498754" w:rsidR="00C6352A" w:rsidRPr="00187BD3" w:rsidRDefault="00C6352A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546</w:t>
            </w:r>
          </w:p>
        </w:tc>
        <w:tc>
          <w:tcPr>
            <w:tcW w:w="1748" w:type="dxa"/>
            <w:noWrap/>
          </w:tcPr>
          <w:p w14:paraId="7EE61225" w14:textId="44A80F87" w:rsidR="00C6352A" w:rsidRPr="00187BD3" w:rsidRDefault="00C6352A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5227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.3</w:t>
            </w:r>
            <w:r w:rsidRPr="005227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352A" w:rsidRPr="000F1F54" w14:paraId="53FE2F0E" w14:textId="77777777" w:rsidTr="00C6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3012E46C" w14:textId="6BB753C1" w:rsidR="00C6352A" w:rsidRPr="000F1F54" w:rsidRDefault="00C6352A" w:rsidP="00187BD3">
            <w:pP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008FA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961" w:type="dxa"/>
            <w:noWrap/>
          </w:tcPr>
          <w:p w14:paraId="10463D26" w14:textId="6B68EC5C" w:rsidR="00C6352A" w:rsidRPr="00187BD3" w:rsidRDefault="00C6352A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Employment Permits</w:t>
            </w:r>
          </w:p>
        </w:tc>
        <w:tc>
          <w:tcPr>
            <w:tcW w:w="927" w:type="dxa"/>
            <w:noWrap/>
          </w:tcPr>
          <w:p w14:paraId="71A48BE1" w14:textId="6184BD3C" w:rsidR="00C6352A" w:rsidRPr="00187BD3" w:rsidRDefault="00C6352A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503</w:t>
            </w:r>
          </w:p>
        </w:tc>
        <w:tc>
          <w:tcPr>
            <w:tcW w:w="1748" w:type="dxa"/>
            <w:noWrap/>
          </w:tcPr>
          <w:p w14:paraId="509735F7" w14:textId="04B8E484" w:rsidR="00C6352A" w:rsidRPr="00187BD3" w:rsidRDefault="00C6352A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4F4C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.2</w:t>
            </w:r>
            <w:r w:rsidRPr="004F4C7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352A" w:rsidRPr="000F1F54" w14:paraId="0437F012" w14:textId="77777777" w:rsidTr="00C6352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036C6BBF" w14:textId="6F88743B" w:rsidR="00C6352A" w:rsidRPr="000F1F54" w:rsidRDefault="00C6352A" w:rsidP="00187BD3">
            <w:pP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008FA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961" w:type="dxa"/>
            <w:noWrap/>
          </w:tcPr>
          <w:p w14:paraId="2D7E45CF" w14:textId="359B9E3B" w:rsidR="00C6352A" w:rsidRPr="00187BD3" w:rsidRDefault="00C6352A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Leave to Remain</w:t>
            </w:r>
          </w:p>
        </w:tc>
        <w:tc>
          <w:tcPr>
            <w:tcW w:w="927" w:type="dxa"/>
            <w:noWrap/>
          </w:tcPr>
          <w:p w14:paraId="6048E6E5" w14:textId="24B4A4F8" w:rsidR="00C6352A" w:rsidRPr="00187BD3" w:rsidRDefault="00C6352A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498</w:t>
            </w:r>
          </w:p>
        </w:tc>
        <w:tc>
          <w:tcPr>
            <w:tcW w:w="1748" w:type="dxa"/>
            <w:noWrap/>
          </w:tcPr>
          <w:p w14:paraId="67CED115" w14:textId="28A3F9B1" w:rsidR="00C6352A" w:rsidRPr="00187BD3" w:rsidRDefault="00C6352A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6445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.2</w:t>
            </w:r>
            <w:r w:rsidRPr="0064455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352A" w:rsidRPr="000F1F54" w14:paraId="5A800709" w14:textId="77777777" w:rsidTr="00C6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61A38AC3" w14:textId="60DFE648" w:rsidR="00C6352A" w:rsidRPr="000F1F54" w:rsidRDefault="00C6352A" w:rsidP="00187BD3">
            <w:pP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008FA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961" w:type="dxa"/>
            <w:noWrap/>
          </w:tcPr>
          <w:p w14:paraId="18727A33" w14:textId="435279A5" w:rsidR="00C6352A" w:rsidRPr="00187BD3" w:rsidRDefault="00C6352A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Returning to Ireland</w:t>
            </w:r>
          </w:p>
        </w:tc>
        <w:tc>
          <w:tcPr>
            <w:tcW w:w="927" w:type="dxa"/>
            <w:noWrap/>
          </w:tcPr>
          <w:p w14:paraId="7AC6B204" w14:textId="79382212" w:rsidR="00C6352A" w:rsidRPr="00187BD3" w:rsidRDefault="00C6352A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458</w:t>
            </w:r>
          </w:p>
        </w:tc>
        <w:tc>
          <w:tcPr>
            <w:tcW w:w="1748" w:type="dxa"/>
            <w:noWrap/>
          </w:tcPr>
          <w:p w14:paraId="33A84C33" w14:textId="7046E2E4" w:rsidR="00C6352A" w:rsidRPr="00187BD3" w:rsidRDefault="00C6352A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A653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.1</w:t>
            </w:r>
            <w:r w:rsidRPr="00A653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352A" w:rsidRPr="000F1F54" w14:paraId="0B6E96EB" w14:textId="77777777" w:rsidTr="00C6352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4EF8942A" w14:textId="77777777" w:rsidR="00C6352A" w:rsidRPr="000F1F54" w:rsidRDefault="00C6352A" w:rsidP="00187BD3">
            <w:pP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</w:p>
        </w:tc>
        <w:tc>
          <w:tcPr>
            <w:tcW w:w="4961" w:type="dxa"/>
            <w:noWrap/>
          </w:tcPr>
          <w:p w14:paraId="3B4F319E" w14:textId="424FD93C" w:rsidR="00C6352A" w:rsidRPr="00187BD3" w:rsidRDefault="00C6352A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Cross Border/Frontier Worker(s)</w:t>
            </w:r>
          </w:p>
        </w:tc>
        <w:tc>
          <w:tcPr>
            <w:tcW w:w="927" w:type="dxa"/>
            <w:noWrap/>
          </w:tcPr>
          <w:p w14:paraId="682F4300" w14:textId="646CA265" w:rsidR="00C6352A" w:rsidRPr="00187BD3" w:rsidRDefault="00C6352A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395</w:t>
            </w:r>
          </w:p>
        </w:tc>
        <w:tc>
          <w:tcPr>
            <w:tcW w:w="1748" w:type="dxa"/>
            <w:noWrap/>
          </w:tcPr>
          <w:p w14:paraId="782A5793" w14:textId="5590F27C" w:rsidR="00C6352A" w:rsidRPr="00187BD3" w:rsidRDefault="00C6352A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356E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.0</w:t>
            </w:r>
            <w:r w:rsidRPr="00356E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352A" w:rsidRPr="000F1F54" w14:paraId="6B10041A" w14:textId="77777777" w:rsidTr="00C6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15BA4EAB" w14:textId="089232E6" w:rsidR="00C6352A" w:rsidRPr="000F1F54" w:rsidRDefault="00C6352A" w:rsidP="00187BD3">
            <w:pP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008FA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961" w:type="dxa"/>
            <w:noWrap/>
          </w:tcPr>
          <w:p w14:paraId="7938B678" w14:textId="628C8B7E" w:rsidR="00C6352A" w:rsidRPr="00187BD3" w:rsidRDefault="00C6352A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Undocumented Migrants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 xml:space="preserve"> Scheme</w:t>
            </w:r>
          </w:p>
        </w:tc>
        <w:tc>
          <w:tcPr>
            <w:tcW w:w="927" w:type="dxa"/>
            <w:noWrap/>
          </w:tcPr>
          <w:p w14:paraId="0FBD184D" w14:textId="5A7A58BE" w:rsidR="00C6352A" w:rsidRPr="00187BD3" w:rsidRDefault="00C6352A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332</w:t>
            </w:r>
          </w:p>
        </w:tc>
        <w:tc>
          <w:tcPr>
            <w:tcW w:w="1748" w:type="dxa"/>
            <w:noWrap/>
          </w:tcPr>
          <w:p w14:paraId="6459FB71" w14:textId="45E37298" w:rsidR="00C6352A" w:rsidRPr="00187BD3" w:rsidRDefault="00C6352A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0.8</w:t>
            </w:r>
            <w:r w:rsidRPr="004367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352A" w:rsidRPr="000F1F54" w14:paraId="44A0DFF6" w14:textId="77777777" w:rsidTr="00C6352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68061D5F" w14:textId="738A0FC4" w:rsidR="00C6352A" w:rsidRPr="000F1F54" w:rsidRDefault="00C6352A" w:rsidP="00187BD3">
            <w:pP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008FA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961" w:type="dxa"/>
            <w:noWrap/>
          </w:tcPr>
          <w:p w14:paraId="517E56E9" w14:textId="62ECC289" w:rsidR="00C6352A" w:rsidRPr="00187BD3" w:rsidRDefault="00C6352A" w:rsidP="00187B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Change of Immigration Status</w:t>
            </w:r>
          </w:p>
        </w:tc>
        <w:tc>
          <w:tcPr>
            <w:tcW w:w="927" w:type="dxa"/>
            <w:noWrap/>
          </w:tcPr>
          <w:p w14:paraId="76D9131D" w14:textId="277E2D82" w:rsidR="00C6352A" w:rsidRPr="00187BD3" w:rsidRDefault="00C6352A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284</w:t>
            </w:r>
          </w:p>
        </w:tc>
        <w:tc>
          <w:tcPr>
            <w:tcW w:w="1748" w:type="dxa"/>
            <w:noWrap/>
          </w:tcPr>
          <w:p w14:paraId="00BF4403" w14:textId="255A73E9" w:rsidR="00C6352A" w:rsidRPr="00187BD3" w:rsidRDefault="00C6352A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0.7</w:t>
            </w:r>
            <w:r w:rsidRPr="00CA77A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352A" w:rsidRPr="000F1F54" w14:paraId="13325A6E" w14:textId="77777777" w:rsidTr="00C63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6A9392D7" w14:textId="5D0F5220" w:rsidR="00C6352A" w:rsidRPr="009008FA" w:rsidRDefault="00C6352A" w:rsidP="00187BD3">
            <w:pPr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</w:pPr>
            <w:r w:rsidRPr="009008FA">
              <w:rPr>
                <w:rFonts w:eastAsia="Times New Roman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4961" w:type="dxa"/>
            <w:noWrap/>
          </w:tcPr>
          <w:p w14:paraId="3E7DCDE2" w14:textId="5319CDAC" w:rsidR="00C6352A" w:rsidRPr="00187BD3" w:rsidRDefault="00C6352A" w:rsidP="00187B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Brexit</w:t>
            </w:r>
          </w:p>
        </w:tc>
        <w:tc>
          <w:tcPr>
            <w:tcW w:w="927" w:type="dxa"/>
            <w:noWrap/>
          </w:tcPr>
          <w:p w14:paraId="7B501FA1" w14:textId="3AB13360" w:rsidR="00C6352A" w:rsidRPr="00187BD3" w:rsidRDefault="00C6352A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187BD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112</w:t>
            </w:r>
          </w:p>
        </w:tc>
        <w:tc>
          <w:tcPr>
            <w:tcW w:w="1748" w:type="dxa"/>
            <w:noWrap/>
          </w:tcPr>
          <w:p w14:paraId="4BDA5D19" w14:textId="4E6BF8B7" w:rsidR="00C6352A" w:rsidRPr="00187BD3" w:rsidRDefault="00C6352A" w:rsidP="00187B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0.3</w:t>
            </w:r>
            <w:r w:rsidRPr="006D5B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%</w:t>
            </w:r>
          </w:p>
        </w:tc>
      </w:tr>
      <w:tr w:rsidR="00C6352A" w:rsidRPr="000F1F54" w14:paraId="15982DFA" w14:textId="77777777" w:rsidTr="00C6352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08797E36" w14:textId="77777777" w:rsidR="00C6352A" w:rsidRPr="000F1F54" w:rsidRDefault="00C6352A" w:rsidP="00847483">
            <w:pPr>
              <w:rPr>
                <w:rFonts w:ascii="Tw Cen MT" w:eastAsia="Times New Roman" w:hAnsi="Tw Cen MT" w:cs="Calibri"/>
                <w:b w:val="0"/>
                <w:bCs w:val="0"/>
                <w:color w:val="000000"/>
                <w:sz w:val="20"/>
                <w:szCs w:val="20"/>
                <w:lang w:eastAsia="en-IE"/>
              </w:rPr>
            </w:pPr>
            <w:r w:rsidRPr="000F1F54"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961" w:type="dxa"/>
            <w:noWrap/>
            <w:hideMark/>
          </w:tcPr>
          <w:p w14:paraId="621EC36B" w14:textId="77777777" w:rsidR="00C6352A" w:rsidRPr="000F1F54" w:rsidRDefault="00C6352A" w:rsidP="008474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 w:rsidRPr="000F1F5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Total 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 xml:space="preserve">Moving Country </w:t>
            </w:r>
            <w:r w:rsidRPr="000F1F54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Queries</w:t>
            </w:r>
          </w:p>
        </w:tc>
        <w:tc>
          <w:tcPr>
            <w:tcW w:w="927" w:type="dxa"/>
            <w:noWrap/>
            <w:hideMark/>
          </w:tcPr>
          <w:p w14:paraId="513BB8E3" w14:textId="295160C4" w:rsidR="00C6352A" w:rsidRPr="000F1F54" w:rsidRDefault="00C6352A" w:rsidP="0084748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41,824</w:t>
            </w:r>
          </w:p>
        </w:tc>
        <w:tc>
          <w:tcPr>
            <w:tcW w:w="1748" w:type="dxa"/>
            <w:noWrap/>
          </w:tcPr>
          <w:p w14:paraId="7B30AE35" w14:textId="0F7EB102" w:rsidR="00C6352A" w:rsidRPr="000F1F54" w:rsidRDefault="00C6352A" w:rsidP="00187B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IE"/>
              </w:rPr>
              <w:t>100.0%</w:t>
            </w:r>
          </w:p>
        </w:tc>
      </w:tr>
    </w:tbl>
    <w:p w14:paraId="64D7E5FC" w14:textId="77777777" w:rsidR="006A01B8" w:rsidRPr="00595910" w:rsidRDefault="006A01B8" w:rsidP="002603CE">
      <w:pPr>
        <w:rPr>
          <w:rFonts w:ascii="Calibri" w:hAnsi="Calibri" w:cs="Calibri"/>
          <w:sz w:val="20"/>
          <w:szCs w:val="20"/>
        </w:rPr>
      </w:pPr>
    </w:p>
    <w:sectPr w:rsidR="006A01B8" w:rsidRPr="00595910" w:rsidSect="008474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669F6" w14:textId="77777777" w:rsidR="00C6401C" w:rsidRDefault="00C6401C" w:rsidP="00E33768">
      <w:pPr>
        <w:spacing w:after="0" w:line="240" w:lineRule="auto"/>
      </w:pPr>
      <w:r>
        <w:separator/>
      </w:r>
    </w:p>
  </w:endnote>
  <w:endnote w:type="continuationSeparator" w:id="0">
    <w:p w14:paraId="7A6B3CF2" w14:textId="77777777" w:rsidR="00C6401C" w:rsidRDefault="00C6401C" w:rsidP="00E3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6620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CB254" w14:textId="2FDDE945" w:rsidR="00C821A5" w:rsidRDefault="00C821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0B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211F244" w14:textId="77777777" w:rsidR="00C821A5" w:rsidRDefault="00C82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8434" w14:textId="77777777" w:rsidR="00C6401C" w:rsidRDefault="00C6401C" w:rsidP="00E33768">
      <w:pPr>
        <w:spacing w:after="0" w:line="240" w:lineRule="auto"/>
      </w:pPr>
      <w:r>
        <w:separator/>
      </w:r>
    </w:p>
  </w:footnote>
  <w:footnote w:type="continuationSeparator" w:id="0">
    <w:p w14:paraId="3DF23D2F" w14:textId="77777777" w:rsidR="00C6401C" w:rsidRDefault="00C6401C" w:rsidP="00E33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EDB"/>
    <w:multiLevelType w:val="hybridMultilevel"/>
    <w:tmpl w:val="70D05B54"/>
    <w:lvl w:ilvl="0" w:tplc="224E8358">
      <w:start w:val="10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30758"/>
    <w:multiLevelType w:val="hybridMultilevel"/>
    <w:tmpl w:val="974CE0CA"/>
    <w:lvl w:ilvl="0" w:tplc="7D14C72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B3D39"/>
    <w:multiLevelType w:val="hybridMultilevel"/>
    <w:tmpl w:val="5A665D72"/>
    <w:lvl w:ilvl="0" w:tplc="3B2677D4">
      <w:start w:val="7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  <w:sz w:val="36"/>
      </w:rPr>
    </w:lvl>
    <w:lvl w:ilvl="1" w:tplc="1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79B56B2D"/>
    <w:multiLevelType w:val="hybridMultilevel"/>
    <w:tmpl w:val="CB3AEF4A"/>
    <w:lvl w:ilvl="0" w:tplc="0FD4B412">
      <w:start w:val="100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391180">
    <w:abstractNumId w:val="2"/>
  </w:num>
  <w:num w:numId="2" w16cid:durableId="1757048719">
    <w:abstractNumId w:val="3"/>
  </w:num>
  <w:num w:numId="3" w16cid:durableId="239095369">
    <w:abstractNumId w:val="0"/>
  </w:num>
  <w:num w:numId="4" w16cid:durableId="501358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2tbQ0MzA3NjU2NzdT0lEKTi0uzszPAykwrAUAYUvsuiwAAAA="/>
  </w:docVars>
  <w:rsids>
    <w:rsidRoot w:val="00723763"/>
    <w:rsid w:val="00013C42"/>
    <w:rsid w:val="000368C7"/>
    <w:rsid w:val="000521AB"/>
    <w:rsid w:val="00057856"/>
    <w:rsid w:val="00074C06"/>
    <w:rsid w:val="000763DB"/>
    <w:rsid w:val="00080329"/>
    <w:rsid w:val="000963B5"/>
    <w:rsid w:val="000A03A2"/>
    <w:rsid w:val="000A21A4"/>
    <w:rsid w:val="000A5F80"/>
    <w:rsid w:val="000B2A34"/>
    <w:rsid w:val="000B5F11"/>
    <w:rsid w:val="000D5675"/>
    <w:rsid w:val="000D6BED"/>
    <w:rsid w:val="000E44A2"/>
    <w:rsid w:val="000F4A8B"/>
    <w:rsid w:val="001000BE"/>
    <w:rsid w:val="00111CC6"/>
    <w:rsid w:val="00122227"/>
    <w:rsid w:val="00124BE7"/>
    <w:rsid w:val="00166F0C"/>
    <w:rsid w:val="00181261"/>
    <w:rsid w:val="00187BD3"/>
    <w:rsid w:val="001A149A"/>
    <w:rsid w:val="001C337D"/>
    <w:rsid w:val="00203675"/>
    <w:rsid w:val="00203760"/>
    <w:rsid w:val="002271A4"/>
    <w:rsid w:val="0022769B"/>
    <w:rsid w:val="00230E86"/>
    <w:rsid w:val="00234C98"/>
    <w:rsid w:val="00241825"/>
    <w:rsid w:val="0025261F"/>
    <w:rsid w:val="002554E7"/>
    <w:rsid w:val="002603CE"/>
    <w:rsid w:val="0026631E"/>
    <w:rsid w:val="002A75B8"/>
    <w:rsid w:val="002C632D"/>
    <w:rsid w:val="002E5829"/>
    <w:rsid w:val="002E75C7"/>
    <w:rsid w:val="002F4CEE"/>
    <w:rsid w:val="00302FCC"/>
    <w:rsid w:val="00323ABA"/>
    <w:rsid w:val="00323FA5"/>
    <w:rsid w:val="003254EE"/>
    <w:rsid w:val="00361BC4"/>
    <w:rsid w:val="00366D19"/>
    <w:rsid w:val="0039083A"/>
    <w:rsid w:val="003E0884"/>
    <w:rsid w:val="00401848"/>
    <w:rsid w:val="00402E6C"/>
    <w:rsid w:val="00434C45"/>
    <w:rsid w:val="00440958"/>
    <w:rsid w:val="004434AD"/>
    <w:rsid w:val="00445328"/>
    <w:rsid w:val="004635FE"/>
    <w:rsid w:val="00472829"/>
    <w:rsid w:val="00482616"/>
    <w:rsid w:val="004A0B12"/>
    <w:rsid w:val="004A276F"/>
    <w:rsid w:val="004A529D"/>
    <w:rsid w:val="004B3A3B"/>
    <w:rsid w:val="004C75A6"/>
    <w:rsid w:val="004D5193"/>
    <w:rsid w:val="004F2799"/>
    <w:rsid w:val="004F334D"/>
    <w:rsid w:val="004F3C8A"/>
    <w:rsid w:val="00502FE8"/>
    <w:rsid w:val="00505E49"/>
    <w:rsid w:val="00514C6A"/>
    <w:rsid w:val="00517540"/>
    <w:rsid w:val="00520E8B"/>
    <w:rsid w:val="00523FC2"/>
    <w:rsid w:val="00527A2E"/>
    <w:rsid w:val="00552965"/>
    <w:rsid w:val="0055453B"/>
    <w:rsid w:val="00555115"/>
    <w:rsid w:val="005624A9"/>
    <w:rsid w:val="00562A08"/>
    <w:rsid w:val="00595910"/>
    <w:rsid w:val="005C7498"/>
    <w:rsid w:val="005D2C2C"/>
    <w:rsid w:val="005E10BE"/>
    <w:rsid w:val="005E2CF4"/>
    <w:rsid w:val="005F0716"/>
    <w:rsid w:val="005F56CE"/>
    <w:rsid w:val="006011C1"/>
    <w:rsid w:val="00617FA2"/>
    <w:rsid w:val="00630D43"/>
    <w:rsid w:val="006310B2"/>
    <w:rsid w:val="0063122C"/>
    <w:rsid w:val="0064417C"/>
    <w:rsid w:val="0065732D"/>
    <w:rsid w:val="00657E4D"/>
    <w:rsid w:val="00683CEF"/>
    <w:rsid w:val="006A01B8"/>
    <w:rsid w:val="006A3CA0"/>
    <w:rsid w:val="006A542A"/>
    <w:rsid w:val="006C4F6A"/>
    <w:rsid w:val="006F3565"/>
    <w:rsid w:val="00705502"/>
    <w:rsid w:val="00720476"/>
    <w:rsid w:val="00723763"/>
    <w:rsid w:val="007302B3"/>
    <w:rsid w:val="00745476"/>
    <w:rsid w:val="007575EE"/>
    <w:rsid w:val="00767AE0"/>
    <w:rsid w:val="00777F27"/>
    <w:rsid w:val="0078170D"/>
    <w:rsid w:val="007A02B4"/>
    <w:rsid w:val="007B2915"/>
    <w:rsid w:val="007B7596"/>
    <w:rsid w:val="007C39FE"/>
    <w:rsid w:val="007E636B"/>
    <w:rsid w:val="007F0815"/>
    <w:rsid w:val="007F7F40"/>
    <w:rsid w:val="00803225"/>
    <w:rsid w:val="0083460D"/>
    <w:rsid w:val="008402C6"/>
    <w:rsid w:val="00844BFF"/>
    <w:rsid w:val="00847483"/>
    <w:rsid w:val="00852B37"/>
    <w:rsid w:val="00856228"/>
    <w:rsid w:val="00863BDA"/>
    <w:rsid w:val="00864F18"/>
    <w:rsid w:val="00866748"/>
    <w:rsid w:val="00873479"/>
    <w:rsid w:val="008805E7"/>
    <w:rsid w:val="008834FB"/>
    <w:rsid w:val="00890D9D"/>
    <w:rsid w:val="008B0F76"/>
    <w:rsid w:val="008E03EA"/>
    <w:rsid w:val="008E1F2C"/>
    <w:rsid w:val="008E443B"/>
    <w:rsid w:val="008E4732"/>
    <w:rsid w:val="009008FA"/>
    <w:rsid w:val="00901CAD"/>
    <w:rsid w:val="00910582"/>
    <w:rsid w:val="00914570"/>
    <w:rsid w:val="0091545B"/>
    <w:rsid w:val="00934FD5"/>
    <w:rsid w:val="009359C4"/>
    <w:rsid w:val="00942A09"/>
    <w:rsid w:val="009603B4"/>
    <w:rsid w:val="0096256A"/>
    <w:rsid w:val="00970A8B"/>
    <w:rsid w:val="009821A7"/>
    <w:rsid w:val="009A1659"/>
    <w:rsid w:val="009A467B"/>
    <w:rsid w:val="009C104E"/>
    <w:rsid w:val="009C2A52"/>
    <w:rsid w:val="009C6F47"/>
    <w:rsid w:val="009D5CA6"/>
    <w:rsid w:val="00A05B34"/>
    <w:rsid w:val="00A21849"/>
    <w:rsid w:val="00A35087"/>
    <w:rsid w:val="00A40B20"/>
    <w:rsid w:val="00A65EA8"/>
    <w:rsid w:val="00A70907"/>
    <w:rsid w:val="00A750E5"/>
    <w:rsid w:val="00A753F1"/>
    <w:rsid w:val="00A86B0B"/>
    <w:rsid w:val="00AA2D25"/>
    <w:rsid w:val="00AC3EA0"/>
    <w:rsid w:val="00AD1225"/>
    <w:rsid w:val="00AD435D"/>
    <w:rsid w:val="00AF5757"/>
    <w:rsid w:val="00B00A02"/>
    <w:rsid w:val="00B56002"/>
    <w:rsid w:val="00B7436C"/>
    <w:rsid w:val="00B94533"/>
    <w:rsid w:val="00BA0A6D"/>
    <w:rsid w:val="00BA17CD"/>
    <w:rsid w:val="00BA5F0C"/>
    <w:rsid w:val="00BB0C65"/>
    <w:rsid w:val="00BD10B1"/>
    <w:rsid w:val="00BD11F2"/>
    <w:rsid w:val="00C003E0"/>
    <w:rsid w:val="00C04144"/>
    <w:rsid w:val="00C108F4"/>
    <w:rsid w:val="00C122E1"/>
    <w:rsid w:val="00C16B75"/>
    <w:rsid w:val="00C21F0E"/>
    <w:rsid w:val="00C2390B"/>
    <w:rsid w:val="00C23E1D"/>
    <w:rsid w:val="00C240F0"/>
    <w:rsid w:val="00C539B8"/>
    <w:rsid w:val="00C6352A"/>
    <w:rsid w:val="00C6401C"/>
    <w:rsid w:val="00C704C7"/>
    <w:rsid w:val="00C70DA8"/>
    <w:rsid w:val="00C74803"/>
    <w:rsid w:val="00C77443"/>
    <w:rsid w:val="00C821A5"/>
    <w:rsid w:val="00C94930"/>
    <w:rsid w:val="00CA6064"/>
    <w:rsid w:val="00CB0DCD"/>
    <w:rsid w:val="00CC2F8C"/>
    <w:rsid w:val="00CE3DD5"/>
    <w:rsid w:val="00CE4690"/>
    <w:rsid w:val="00D23717"/>
    <w:rsid w:val="00D25B53"/>
    <w:rsid w:val="00D50A4B"/>
    <w:rsid w:val="00D67DC1"/>
    <w:rsid w:val="00D713EF"/>
    <w:rsid w:val="00D77684"/>
    <w:rsid w:val="00D80A0B"/>
    <w:rsid w:val="00D859B4"/>
    <w:rsid w:val="00D9569F"/>
    <w:rsid w:val="00DA6569"/>
    <w:rsid w:val="00DA7A94"/>
    <w:rsid w:val="00DB30BE"/>
    <w:rsid w:val="00DC6825"/>
    <w:rsid w:val="00DC7A38"/>
    <w:rsid w:val="00DE2F2B"/>
    <w:rsid w:val="00DE6351"/>
    <w:rsid w:val="00DF2E74"/>
    <w:rsid w:val="00DF6B46"/>
    <w:rsid w:val="00E04D46"/>
    <w:rsid w:val="00E10C1B"/>
    <w:rsid w:val="00E320B2"/>
    <w:rsid w:val="00E33768"/>
    <w:rsid w:val="00E40C41"/>
    <w:rsid w:val="00E66427"/>
    <w:rsid w:val="00E879A9"/>
    <w:rsid w:val="00E94A08"/>
    <w:rsid w:val="00E95F39"/>
    <w:rsid w:val="00EA481C"/>
    <w:rsid w:val="00EA4F6A"/>
    <w:rsid w:val="00EB0AA2"/>
    <w:rsid w:val="00EB0B59"/>
    <w:rsid w:val="00EC4105"/>
    <w:rsid w:val="00ED1489"/>
    <w:rsid w:val="00EE0767"/>
    <w:rsid w:val="00EE2D98"/>
    <w:rsid w:val="00EF0EC7"/>
    <w:rsid w:val="00EF46F3"/>
    <w:rsid w:val="00F12851"/>
    <w:rsid w:val="00F15E10"/>
    <w:rsid w:val="00F410C0"/>
    <w:rsid w:val="00F470A8"/>
    <w:rsid w:val="00F64499"/>
    <w:rsid w:val="00F65B40"/>
    <w:rsid w:val="00F7387F"/>
    <w:rsid w:val="00F75816"/>
    <w:rsid w:val="00FA605D"/>
    <w:rsid w:val="00FC0EBD"/>
    <w:rsid w:val="00FC79FB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34B2"/>
  <w15:chartTrackingRefBased/>
  <w15:docId w15:val="{517C798F-4377-48CB-80CE-AC592891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717"/>
  </w:style>
  <w:style w:type="paragraph" w:styleId="Heading1">
    <w:name w:val="heading 1"/>
    <w:basedOn w:val="Normal"/>
    <w:next w:val="Normal"/>
    <w:link w:val="Heading1Char"/>
    <w:uiPriority w:val="9"/>
    <w:qFormat/>
    <w:rsid w:val="00E33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2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371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D23717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23717"/>
    <w:rPr>
      <w:b/>
      <w:bCs/>
    </w:rPr>
  </w:style>
  <w:style w:type="character" w:styleId="Emphasis">
    <w:name w:val="Emphasis"/>
    <w:basedOn w:val="DefaultParagraphFont"/>
    <w:uiPriority w:val="20"/>
    <w:qFormat/>
    <w:rsid w:val="00D2371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33768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DF6B46"/>
    <w:pPr>
      <w:keepLines/>
      <w:spacing w:after="0" w:line="240" w:lineRule="auto"/>
    </w:pPr>
    <w:rPr>
      <w:rFonts w:ascii="Calibri" w:hAnsi="Calibri" w:cs="Calibr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6B46"/>
    <w:rPr>
      <w:rFonts w:ascii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33768"/>
    <w:rPr>
      <w:vertAlign w:val="superscript"/>
    </w:rPr>
  </w:style>
  <w:style w:type="table" w:styleId="GridTable6ColourfulAccent5">
    <w:name w:val="Grid Table 6 Colorful Accent 5"/>
    <w:basedOn w:val="TableNormal"/>
    <w:uiPriority w:val="51"/>
    <w:rsid w:val="00E33768"/>
    <w:pPr>
      <w:spacing w:after="0" w:line="240" w:lineRule="auto"/>
    </w:pPr>
    <w:rPr>
      <w:rFonts w:ascii="Calibri" w:hAnsi="Calibri" w:cs="Calibri"/>
      <w:color w:val="2E653E" w:themeColor="accent5" w:themeShade="BF"/>
      <w:sz w:val="24"/>
      <w:szCs w:val="24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013C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013C42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C77443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302B3"/>
    <w:rPr>
      <w:color w:val="6B9F25" w:themeColor="hyperlink"/>
      <w:u w:val="single"/>
    </w:rPr>
  </w:style>
  <w:style w:type="table" w:styleId="ListTable3-Accent6">
    <w:name w:val="List Table 3 Accent 6"/>
    <w:basedOn w:val="TableNormal"/>
    <w:uiPriority w:val="48"/>
    <w:rsid w:val="000F4A8B"/>
    <w:pPr>
      <w:spacing w:after="0" w:line="240" w:lineRule="auto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39F" w:themeColor="accent6"/>
          <w:right w:val="single" w:sz="4" w:space="0" w:color="62A39F" w:themeColor="accent6"/>
        </w:tcBorders>
      </w:tcPr>
    </w:tblStylePr>
    <w:tblStylePr w:type="band1Horz">
      <w:tblPr/>
      <w:tcPr>
        <w:tcBorders>
          <w:top w:val="single" w:sz="4" w:space="0" w:color="62A39F" w:themeColor="accent6"/>
          <w:bottom w:val="single" w:sz="4" w:space="0" w:color="62A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 w:themeColor="accent6"/>
          <w:left w:val="nil"/>
        </w:tcBorders>
      </w:tcPr>
    </w:tblStylePr>
    <w:tblStylePr w:type="swCell">
      <w:tblPr/>
      <w:tcPr>
        <w:tcBorders>
          <w:top w:val="double" w:sz="4" w:space="0" w:color="62A39F" w:themeColor="accent6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4A8B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0F4A8B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1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1C1"/>
  </w:style>
  <w:style w:type="paragraph" w:styleId="Footer">
    <w:name w:val="footer"/>
    <w:basedOn w:val="Normal"/>
    <w:link w:val="FooterChar"/>
    <w:uiPriority w:val="99"/>
    <w:unhideWhenUsed/>
    <w:rsid w:val="00601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1C1"/>
  </w:style>
  <w:style w:type="table" w:styleId="GridTable5Dark-Accent1">
    <w:name w:val="Grid Table 5 Dark Accent 1"/>
    <w:basedOn w:val="TableNormal"/>
    <w:uiPriority w:val="50"/>
    <w:rsid w:val="009603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34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4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4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F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D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276F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4095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095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409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lena.kelly\AppData\Roaming\Microsoft\Excel\2022%20Annual%20Report%20(version%201).xlsb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E"/>
              <a:t>CIS</a:t>
            </a:r>
            <a:r>
              <a:rPr lang="en-IE" baseline="0"/>
              <a:t> Query Category 2021-2022</a:t>
            </a:r>
            <a:endParaRPr lang="en-IE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2021</c:v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'Query Category 2018-2022'!$A$25:$A$40</c:f>
              <c:strCache>
                <c:ptCount val="16"/>
                <c:pt idx="0">
                  <c:v>Social Welfare</c:v>
                </c:pt>
                <c:pt idx="1">
                  <c:v>Housing</c:v>
                </c:pt>
                <c:pt idx="2">
                  <c:v>Employment</c:v>
                </c:pt>
                <c:pt idx="3">
                  <c:v>Health</c:v>
                </c:pt>
                <c:pt idx="4">
                  <c:v>Covid-19</c:v>
                </c:pt>
                <c:pt idx="5">
                  <c:v>Money and Tax</c:v>
                </c:pt>
                <c:pt idx="6">
                  <c:v>Local</c:v>
                </c:pt>
                <c:pt idx="7">
                  <c:v>Moving Country</c:v>
                </c:pt>
                <c:pt idx="8">
                  <c:v>Birth, Family and Relationships</c:v>
                </c:pt>
                <c:pt idx="9">
                  <c:v>Justice</c:v>
                </c:pt>
                <c:pt idx="10">
                  <c:v>Travel and Recreation</c:v>
                </c:pt>
                <c:pt idx="11">
                  <c:v>Education and Training</c:v>
                </c:pt>
                <c:pt idx="12">
                  <c:v>Consumer Affairs</c:v>
                </c:pt>
                <c:pt idx="13">
                  <c:v>Death and Bereavement</c:v>
                </c:pt>
                <c:pt idx="14">
                  <c:v>Government in Ireland</c:v>
                </c:pt>
                <c:pt idx="15">
                  <c:v>Environment</c:v>
                </c:pt>
              </c:strCache>
              <c:extLst/>
            </c:strRef>
          </c:cat>
          <c:val>
            <c:numRef>
              <c:f>'Query Category 2018-2022'!$B$25:$B$40</c:f>
              <c:numCache>
                <c:formatCode>#,##0</c:formatCode>
                <c:ptCount val="16"/>
                <c:pt idx="0">
                  <c:v>300664</c:v>
                </c:pt>
                <c:pt idx="1">
                  <c:v>61577</c:v>
                </c:pt>
                <c:pt idx="2">
                  <c:v>59306</c:v>
                </c:pt>
                <c:pt idx="3">
                  <c:v>43372</c:v>
                </c:pt>
                <c:pt idx="4">
                  <c:v>41422</c:v>
                </c:pt>
                <c:pt idx="5">
                  <c:v>38047</c:v>
                </c:pt>
                <c:pt idx="6">
                  <c:v>32636</c:v>
                </c:pt>
                <c:pt idx="7">
                  <c:v>24101</c:v>
                </c:pt>
                <c:pt idx="8">
                  <c:v>21092</c:v>
                </c:pt>
                <c:pt idx="9">
                  <c:v>19340</c:v>
                </c:pt>
                <c:pt idx="10">
                  <c:v>17935</c:v>
                </c:pt>
                <c:pt idx="11">
                  <c:v>12707</c:v>
                </c:pt>
                <c:pt idx="12">
                  <c:v>11199</c:v>
                </c:pt>
                <c:pt idx="13">
                  <c:v>5413</c:v>
                </c:pt>
                <c:pt idx="14">
                  <c:v>3394</c:v>
                </c:pt>
                <c:pt idx="15">
                  <c:v>1736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2B69-4D1A-A4B1-CEE40574F565}"/>
            </c:ext>
          </c:extLst>
        </c:ser>
        <c:ser>
          <c:idx val="1"/>
          <c:order val="1"/>
          <c:tx>
            <c:v>2022</c:v>
          </c:tx>
          <c:spPr>
            <a:solidFill>
              <a:schemeClr val="accent1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cat>
            <c:strRef>
              <c:f>'Query Category 2018-2022'!$A$25:$A$40</c:f>
              <c:strCache>
                <c:ptCount val="16"/>
                <c:pt idx="0">
                  <c:v>Social Welfare</c:v>
                </c:pt>
                <c:pt idx="1">
                  <c:v>Housing</c:v>
                </c:pt>
                <c:pt idx="2">
                  <c:v>Employment</c:v>
                </c:pt>
                <c:pt idx="3">
                  <c:v>Health</c:v>
                </c:pt>
                <c:pt idx="4">
                  <c:v>Covid-19</c:v>
                </c:pt>
                <c:pt idx="5">
                  <c:v>Money and Tax</c:v>
                </c:pt>
                <c:pt idx="6">
                  <c:v>Local</c:v>
                </c:pt>
                <c:pt idx="7">
                  <c:v>Moving Country</c:v>
                </c:pt>
                <c:pt idx="8">
                  <c:v>Birth, Family and Relationships</c:v>
                </c:pt>
                <c:pt idx="9">
                  <c:v>Justice</c:v>
                </c:pt>
                <c:pt idx="10">
                  <c:v>Travel and Recreation</c:v>
                </c:pt>
                <c:pt idx="11">
                  <c:v>Education and Training</c:v>
                </c:pt>
                <c:pt idx="12">
                  <c:v>Consumer Affairs</c:v>
                </c:pt>
                <c:pt idx="13">
                  <c:v>Death and Bereavement</c:v>
                </c:pt>
                <c:pt idx="14">
                  <c:v>Government in Ireland</c:v>
                </c:pt>
                <c:pt idx="15">
                  <c:v>Environment</c:v>
                </c:pt>
              </c:strCache>
              <c:extLst/>
            </c:strRef>
          </c:cat>
          <c:val>
            <c:numRef>
              <c:f>'Query Category 2018-2022'!$C$25:$C$40</c:f>
              <c:numCache>
                <c:formatCode>#,##0</c:formatCode>
                <c:ptCount val="16"/>
                <c:pt idx="0">
                  <c:v>371736</c:v>
                </c:pt>
                <c:pt idx="1">
                  <c:v>75414</c:v>
                </c:pt>
                <c:pt idx="2">
                  <c:v>49667</c:v>
                </c:pt>
                <c:pt idx="3">
                  <c:v>57059</c:v>
                </c:pt>
                <c:pt idx="4">
                  <c:v>7467</c:v>
                </c:pt>
                <c:pt idx="5">
                  <c:v>41561</c:v>
                </c:pt>
                <c:pt idx="6">
                  <c:v>47690</c:v>
                </c:pt>
                <c:pt idx="7">
                  <c:v>41824</c:v>
                </c:pt>
                <c:pt idx="8">
                  <c:v>18701</c:v>
                </c:pt>
                <c:pt idx="9">
                  <c:v>18313</c:v>
                </c:pt>
                <c:pt idx="10">
                  <c:v>22462</c:v>
                </c:pt>
                <c:pt idx="11">
                  <c:v>13417</c:v>
                </c:pt>
                <c:pt idx="12">
                  <c:v>12134</c:v>
                </c:pt>
                <c:pt idx="13">
                  <c:v>5422</c:v>
                </c:pt>
                <c:pt idx="14">
                  <c:v>4566</c:v>
                </c:pt>
                <c:pt idx="15">
                  <c:v>1469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2B69-4D1A-A4B1-CEE40574F5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0206672"/>
        <c:axId val="330193776"/>
      </c:barChart>
      <c:catAx>
        <c:axId val="33020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0193776"/>
        <c:crosses val="autoZero"/>
        <c:auto val="1"/>
        <c:lblAlgn val="ctr"/>
        <c:lblOffset val="100"/>
        <c:noMultiLvlLbl val="0"/>
      </c:catAx>
      <c:valAx>
        <c:axId val="330193776"/>
        <c:scaling>
          <c:orientation val="minMax"/>
        </c:scaling>
        <c:delete val="0"/>
        <c:axPos val="l"/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30206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04D3555C688EF46A1425C7848FC440D" ma:contentTypeVersion="11" ma:contentTypeDescription="Create a new document for eDocs" ma:contentTypeScope="" ma:versionID="508d61dfd8538d695815f41d1ef81294">
  <xsd:schema xmlns:xsd="http://www.w3.org/2001/XMLSchema" xmlns:xs="http://www.w3.org/2001/XMLSchema" xmlns:p="http://schemas.microsoft.com/office/2006/metadata/properties" xmlns:ns1="http://schemas.microsoft.com/sharepoint/v3" xmlns:ns2="2673a930-82f3-4ed8-baba-3de8723459aa" xmlns:ns3="ff212c30-0135-4bf2-b188-6a120996ec0f" targetNamespace="http://schemas.microsoft.com/office/2006/metadata/properties" ma:root="true" ma:fieldsID="9c520a9dbea12e0c0cd0d2fa3218fbfb" ns1:_="" ns2:_="" ns3:_="">
    <xsd:import namespace="http://schemas.microsoft.com/sharepoint/v3"/>
    <xsd:import namespace="2673a930-82f3-4ed8-baba-3de8723459aa"/>
    <xsd:import namespace="ff212c30-0135-4bf2-b188-6a120996ec0f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3a930-82f3-4ed8-baba-3de8723459a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2c30-0135-4bf2-b188-6a120996ec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2687c2-e348-46de-8d32-5f67bca096a0}" ma:internalName="TaxCatchAll" ma:showField="CatchAllData" ma:web="ff212c30-0135-4bf2-b188-6a120996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af75108-b173-4f98-8144-e637f7666192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2673a930-82f3-4ed8-baba-3de8723459aa">
      <Terms xmlns="http://schemas.microsoft.com/office/infopath/2007/PartnerControls"/>
    </eDocs_DocumentTopicsTaxHTField0>
    <eDocs_FileStatus xmlns="http://schemas.microsoft.com/sharepoint/v3">Live</eDocs_FileStatus>
    <eDocs_FileTopic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</TermName>
          <TermId xmlns="http://schemas.microsoft.com/office/infopath/2007/PartnerControls">4b1ed5ce-b4d0-4a9f-8065-640e6322e7c3</TermId>
        </TermInfo>
      </Terms>
    </eDocs_FileTopicsTaxHTField0>
    <eDocs_Year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0e846ee2-68d6-4f7d-bff6-25a86a327e82</TermId>
        </TermInfo>
      </Terms>
    </eDocs_YearTaxHTField0>
    <eDocs_SeriesSubSerie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042</TermName>
          <TermId xmlns="http://schemas.microsoft.com/office/infopath/2007/PartnerControls">3c96f07b-1152-4d2e-8a69-d6b60d1fab17</TermId>
        </TermInfo>
      </Terms>
    </eDocs_SeriesSubSeriesTaxHTField0>
    <eDocs_FileName xmlns="http://schemas.microsoft.com/sharepoint/v3">CIB042-009-2021</eDocs_FileName>
    <TaxCatchAll xmlns="ff212c30-0135-4bf2-b188-6a120996ec0f">
      <Value>4</Value>
      <Value>3</Value>
      <Value>8</Value>
      <Value>1</Value>
    </TaxCatchAll>
    <_dlc_ExpireDateSaved xmlns="http://schemas.microsoft.com/sharepoint/v3" xsi:nil="true"/>
    <_dlc_ExpireDate xmlns="http://schemas.microsoft.com/sharepoint/v3">2022-04-20T15:06:09+00:00</_dlc_ExpireDate>
  </documentManagement>
</p:properties>
</file>

<file path=customXml/itemProps1.xml><?xml version="1.0" encoding="utf-8"?>
<ds:datastoreItem xmlns:ds="http://schemas.openxmlformats.org/officeDocument/2006/customXml" ds:itemID="{5D6DD87C-8C60-4617-99CD-B7587EB7E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73a930-82f3-4ed8-baba-3de8723459aa"/>
    <ds:schemaRef ds:uri="ff212c30-0135-4bf2-b188-6a120996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8FE453-1F09-4E12-A4EA-5892240704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E7A3CB-D729-4B20-855F-8D6DDEF867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755B63-D1A6-4DE9-8060-9BC7A19BEDDE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98C1CA72-C6C5-4C0B-AD84-840FD397E0F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0DB0FCC-615F-4653-9B5E-25CE46D768FD}">
  <ds:schemaRefs>
    <ds:schemaRef ds:uri="http://schemas.microsoft.com/office/2006/metadata/properties"/>
    <ds:schemaRef ds:uri="http://schemas.microsoft.com/office/infopath/2007/PartnerControls"/>
    <ds:schemaRef ds:uri="2673a930-82f3-4ed8-baba-3de8723459aa"/>
    <ds:schemaRef ds:uri="http://schemas.microsoft.com/sharepoint/v3"/>
    <ds:schemaRef ds:uri="ff212c30-0135-4bf2-b188-6a120996ec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3917</Words>
  <Characters>22328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Query Categories 2021</vt:lpstr>
    </vt:vector>
  </TitlesOfParts>
  <Company/>
  <LinksUpToDate>false</LinksUpToDate>
  <CharactersWithSpaces>26193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Query Categories 2021</dc:title>
  <dc:subject>A detailed breakdown of CIS query data for 2021.</dc:subject>
  <dc:creator>Sarah Togher</dc:creator>
  <cp:keywords/>
  <dc:description/>
  <cp:lastModifiedBy>Alan O’Connor</cp:lastModifiedBy>
  <cp:revision>3</cp:revision>
  <dcterms:created xsi:type="dcterms:W3CDTF">2023-02-14T11:01:00Z</dcterms:created>
  <dcterms:modified xsi:type="dcterms:W3CDTF">2023-03-21T09:23:00Z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0x0101000BC94875665D404BB1351B53C41FD2C000A04D3555C688EF46A1425C7848FC440D</vt:lpwstr>
  </property>
  <property fmtid="{D5CDD505-2E9C-101B-9397-08002B2CF9AE}" pid="3" name="eDocs_FileTopics">
    <vt:lpwstr>8;#CIS|4b1ed5ce-b4d0-4a9f-8065-640e6322e7c3</vt:lpwstr>
  </property>
  <property fmtid="{D5CDD505-2E9C-101B-9397-08002B2CF9AE}" pid="4" name="eDocs_Year">
    <vt:lpwstr>3;#2021|0e846ee2-68d6-4f7d-bff6-25a86a327e82</vt:lpwstr>
  </property>
  <property fmtid="{D5CDD505-2E9C-101B-9397-08002B2CF9AE}" pid="5" name="eDocs_SeriesSubSeries">
    <vt:lpwstr>4;#042|3c96f07b-1152-4d2e-8a69-d6b60d1fab17</vt:lpwstr>
  </property>
  <property fmtid="{D5CDD505-2E9C-101B-9397-08002B2CF9AE}" pid="6" name="eDocs_SecurityClassificationTaxHTField0">
    <vt:lpwstr>Unclassified|13b0a387-28e5-4d0e-ba93-bfbfb7bc32d7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1;#Unclassified|13b0a387-28e5-4d0e-ba93-bfbfb7bc32d7</vt:lpwstr>
  </property>
  <property fmtid="{D5CDD505-2E9C-101B-9397-08002B2CF9AE}" pid="10" name="eDocs_DocumentTopics">
    <vt:lpwstr/>
  </property>
</Properties>
</file>