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0766" w14:textId="77777777" w:rsidR="00942712" w:rsidRPr="00E67B39" w:rsidRDefault="00942712" w:rsidP="00942712">
      <w:pPr>
        <w:pStyle w:val="Heading1"/>
        <w:rPr>
          <w:rFonts w:ascii="Tw Cen MT Condensed" w:hAnsi="Tw Cen MT Condensed"/>
          <w:sz w:val="44"/>
          <w:szCs w:val="44"/>
        </w:rPr>
      </w:pPr>
      <w:r w:rsidRPr="00E67B39">
        <w:rPr>
          <w:rFonts w:ascii="Tw Cen MT Condensed" w:hAnsi="Tw Cen MT Condensed"/>
          <w:sz w:val="44"/>
          <w:szCs w:val="44"/>
        </w:rPr>
        <w:t>Citizens Information Services (CISs) – Caller/Query Data</w:t>
      </w:r>
    </w:p>
    <w:p w14:paraId="36FFB16B" w14:textId="21462F32" w:rsidR="00942712" w:rsidRPr="0037547C" w:rsidRDefault="00942712" w:rsidP="00942712">
      <w:pPr>
        <w:pStyle w:val="Heading1"/>
        <w:rPr>
          <w:rFonts w:ascii="Tw Cen MT Condensed" w:hAnsi="Tw Cen MT Condensed"/>
          <w:sz w:val="44"/>
          <w:szCs w:val="44"/>
        </w:rPr>
      </w:pPr>
      <w:r w:rsidRPr="0037547C">
        <w:rPr>
          <w:rFonts w:ascii="Tw Cen MT Condensed" w:hAnsi="Tw Cen MT Condensed"/>
          <w:sz w:val="44"/>
          <w:szCs w:val="44"/>
        </w:rPr>
        <w:t xml:space="preserve">Statistical Summary Quarter </w:t>
      </w:r>
      <w:r w:rsidR="00323DB0">
        <w:rPr>
          <w:rFonts w:ascii="Tw Cen MT Condensed" w:hAnsi="Tw Cen MT Condensed"/>
          <w:sz w:val="44"/>
          <w:szCs w:val="44"/>
        </w:rPr>
        <w:t>4</w:t>
      </w:r>
      <w:r w:rsidRPr="0037547C">
        <w:rPr>
          <w:rFonts w:ascii="Tw Cen MT Condensed" w:hAnsi="Tw Cen MT Condensed"/>
          <w:sz w:val="44"/>
          <w:szCs w:val="44"/>
        </w:rPr>
        <w:t xml:space="preserve"> 2022 </w:t>
      </w:r>
    </w:p>
    <w:p w14:paraId="0A4615CA" w14:textId="22EDE711" w:rsidR="00942712" w:rsidRPr="00D96984" w:rsidRDefault="00942712" w:rsidP="00942712">
      <w:pPr>
        <w:rPr>
          <w:rFonts w:eastAsia="Times New Roman"/>
          <w:color w:val="FF0000"/>
          <w:sz w:val="22"/>
          <w:szCs w:val="22"/>
          <w:vertAlign w:val="superscript"/>
          <w:lang w:eastAsia="en-IE"/>
        </w:rPr>
      </w:pPr>
      <w:r w:rsidRPr="00D96984">
        <w:rPr>
          <w:rFonts w:eastAsia="Times New Roman"/>
          <w:sz w:val="22"/>
          <w:szCs w:val="22"/>
          <w:lang w:eastAsia="en-IE"/>
        </w:rPr>
        <w:t xml:space="preserve">The following is a statistical summary of CISs caller and query data for Quarter </w:t>
      </w:r>
      <w:r w:rsidR="00323DB0">
        <w:rPr>
          <w:rFonts w:eastAsia="Times New Roman"/>
          <w:sz w:val="22"/>
          <w:szCs w:val="22"/>
          <w:lang w:eastAsia="en-IE"/>
        </w:rPr>
        <w:t>4</w:t>
      </w:r>
      <w:r w:rsidRPr="00D96984">
        <w:rPr>
          <w:rFonts w:eastAsia="Times New Roman"/>
          <w:sz w:val="22"/>
          <w:szCs w:val="22"/>
          <w:lang w:eastAsia="en-IE"/>
        </w:rPr>
        <w:t>, 1</w:t>
      </w:r>
      <w:r w:rsidRPr="00D96984">
        <w:rPr>
          <w:rFonts w:eastAsia="Times New Roman"/>
          <w:sz w:val="22"/>
          <w:szCs w:val="22"/>
          <w:vertAlign w:val="superscript"/>
          <w:lang w:eastAsia="en-IE"/>
        </w:rPr>
        <w:t>st</w:t>
      </w:r>
      <w:r w:rsidRPr="00D96984">
        <w:rPr>
          <w:rFonts w:eastAsia="Times New Roman"/>
          <w:sz w:val="22"/>
          <w:szCs w:val="22"/>
          <w:lang w:eastAsia="en-IE"/>
        </w:rPr>
        <w:t xml:space="preserve"> </w:t>
      </w:r>
      <w:r w:rsidR="00323DB0">
        <w:rPr>
          <w:rFonts w:eastAsia="Times New Roman"/>
          <w:sz w:val="22"/>
          <w:szCs w:val="22"/>
          <w:lang w:eastAsia="en-IE"/>
        </w:rPr>
        <w:t>October</w:t>
      </w:r>
      <w:r w:rsidRPr="00D96984">
        <w:rPr>
          <w:rFonts w:eastAsia="Times New Roman"/>
          <w:sz w:val="22"/>
          <w:szCs w:val="22"/>
          <w:lang w:eastAsia="en-IE"/>
        </w:rPr>
        <w:t xml:space="preserve"> – 3</w:t>
      </w:r>
      <w:r w:rsidR="00323DB0">
        <w:rPr>
          <w:rFonts w:eastAsia="Times New Roman"/>
          <w:sz w:val="22"/>
          <w:szCs w:val="22"/>
          <w:lang w:eastAsia="en-IE"/>
        </w:rPr>
        <w:t>1</w:t>
      </w:r>
      <w:r w:rsidR="00323DB0">
        <w:rPr>
          <w:rFonts w:eastAsia="Times New Roman"/>
          <w:sz w:val="22"/>
          <w:szCs w:val="22"/>
          <w:vertAlign w:val="superscript"/>
          <w:lang w:eastAsia="en-IE"/>
        </w:rPr>
        <w:t>st</w:t>
      </w:r>
      <w:r w:rsidRPr="00D96984">
        <w:rPr>
          <w:rFonts w:eastAsia="Times New Roman"/>
          <w:sz w:val="22"/>
          <w:szCs w:val="22"/>
          <w:lang w:eastAsia="en-IE"/>
        </w:rPr>
        <w:t xml:space="preserve"> </w:t>
      </w:r>
      <w:r w:rsidR="00323DB0">
        <w:rPr>
          <w:rFonts w:eastAsia="Times New Roman"/>
          <w:sz w:val="22"/>
          <w:szCs w:val="22"/>
          <w:lang w:eastAsia="en-IE"/>
        </w:rPr>
        <w:t>Decemb</w:t>
      </w:r>
      <w:r w:rsidRPr="00D96984">
        <w:rPr>
          <w:rFonts w:eastAsia="Times New Roman"/>
          <w:sz w:val="22"/>
          <w:szCs w:val="22"/>
          <w:lang w:eastAsia="en-IE"/>
        </w:rPr>
        <w:t xml:space="preserve">er 2022. </w:t>
      </w:r>
    </w:p>
    <w:p w14:paraId="3DBE9789" w14:textId="77777777" w:rsidR="00942712" w:rsidRPr="0037547C" w:rsidRDefault="00942712" w:rsidP="00942712">
      <w:pPr>
        <w:pStyle w:val="Heading1"/>
        <w:rPr>
          <w:rFonts w:ascii="Tw Cen MT Condensed" w:hAnsi="Tw Cen MT Condensed"/>
          <w:sz w:val="28"/>
          <w:szCs w:val="28"/>
        </w:rPr>
      </w:pPr>
      <w:r w:rsidRPr="0037547C">
        <w:rPr>
          <w:rFonts w:ascii="Tw Cen MT Condensed" w:hAnsi="Tw Cen MT Condensed"/>
          <w:sz w:val="28"/>
          <w:szCs w:val="28"/>
        </w:rPr>
        <w:t>Caller Summary</w:t>
      </w:r>
    </w:p>
    <w:p w14:paraId="53C8429A" w14:textId="4F6A1184" w:rsidR="00942712" w:rsidRPr="00B12326" w:rsidRDefault="00942712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9B0045">
        <w:rPr>
          <w:rFonts w:ascii="Calibri" w:hAnsi="Calibri" w:cs="Calibri"/>
          <w:color w:val="auto"/>
          <w:sz w:val="22"/>
          <w:szCs w:val="22"/>
        </w:rPr>
        <w:t xml:space="preserve">There were </w:t>
      </w:r>
      <w:r w:rsidR="00916119">
        <w:rPr>
          <w:rFonts w:ascii="Calibri" w:hAnsi="Calibri" w:cs="Calibri"/>
          <w:b/>
          <w:color w:val="auto"/>
          <w:sz w:val="22"/>
          <w:szCs w:val="22"/>
        </w:rPr>
        <w:t>94,906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callers to CISs nationally during Q</w:t>
      </w:r>
      <w:r w:rsidR="00323DB0">
        <w:rPr>
          <w:rFonts w:ascii="Calibri" w:hAnsi="Calibri" w:cs="Calibri"/>
          <w:color w:val="auto"/>
          <w:sz w:val="22"/>
          <w:szCs w:val="22"/>
        </w:rPr>
        <w:t>4</w:t>
      </w:r>
      <w:r w:rsidRPr="009B0045">
        <w:rPr>
          <w:rFonts w:ascii="Calibri" w:hAnsi="Calibri" w:cs="Calibri"/>
          <w:color w:val="auto"/>
          <w:sz w:val="22"/>
          <w:szCs w:val="22"/>
        </w:rPr>
        <w:t>, 2022,</w:t>
      </w:r>
      <w:r w:rsidR="002C1074">
        <w:rPr>
          <w:rFonts w:ascii="Calibri" w:hAnsi="Calibri" w:cs="Calibri"/>
          <w:color w:val="auto"/>
          <w:sz w:val="22"/>
          <w:szCs w:val="22"/>
        </w:rPr>
        <w:t xml:space="preserve"> an</w:t>
      </w:r>
      <w:r w:rsidRPr="009B0045">
        <w:rPr>
          <w:rFonts w:ascii="Calibri" w:hAnsi="Calibri" w:cs="Calibri"/>
          <w:b/>
          <w:color w:val="auto"/>
          <w:sz w:val="22"/>
          <w:szCs w:val="22"/>
        </w:rPr>
        <w:t xml:space="preserve"> increase</w:t>
      </w:r>
      <w:r w:rsidR="002C1074">
        <w:rPr>
          <w:rFonts w:ascii="Calibri" w:hAnsi="Calibri" w:cs="Calibri"/>
          <w:b/>
          <w:color w:val="auto"/>
          <w:sz w:val="22"/>
          <w:szCs w:val="22"/>
        </w:rPr>
        <w:t xml:space="preserve"> of 18</w:t>
      </w:r>
      <w:r w:rsidR="003F551F">
        <w:rPr>
          <w:rFonts w:ascii="Calibri" w:hAnsi="Calibri" w:cs="Calibri"/>
          <w:b/>
          <w:color w:val="auto"/>
          <w:sz w:val="22"/>
          <w:szCs w:val="22"/>
        </w:rPr>
        <w:t>.2</w:t>
      </w:r>
      <w:r w:rsidR="002C1074">
        <w:rPr>
          <w:rFonts w:ascii="Calibri" w:hAnsi="Calibri" w:cs="Calibri"/>
          <w:b/>
          <w:color w:val="auto"/>
          <w:sz w:val="22"/>
          <w:szCs w:val="22"/>
        </w:rPr>
        <w:t>%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on the same period in 2021 when there were </w:t>
      </w:r>
      <w:r w:rsidR="00323DB0">
        <w:rPr>
          <w:rFonts w:ascii="Calibri" w:hAnsi="Calibri" w:cs="Calibri"/>
          <w:color w:val="auto"/>
          <w:sz w:val="22"/>
          <w:szCs w:val="22"/>
        </w:rPr>
        <w:t>80,270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callers.</w:t>
      </w:r>
      <w:r w:rsidR="008F777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F5959">
        <w:rPr>
          <w:rFonts w:ascii="Calibri" w:hAnsi="Calibri" w:cs="Calibri"/>
          <w:color w:val="auto"/>
          <w:sz w:val="22"/>
          <w:szCs w:val="22"/>
        </w:rPr>
        <w:t>Nearly t</w:t>
      </w:r>
      <w:r w:rsidR="008F7776" w:rsidRPr="00922A7C">
        <w:rPr>
          <w:rFonts w:ascii="Calibri" w:hAnsi="Calibri" w:cs="Calibri"/>
          <w:color w:val="auto"/>
          <w:sz w:val="22"/>
          <w:szCs w:val="22"/>
        </w:rPr>
        <w:t>wo</w:t>
      </w:r>
      <w:r w:rsidR="00936F48">
        <w:rPr>
          <w:rFonts w:ascii="Calibri" w:hAnsi="Calibri" w:cs="Calibri"/>
          <w:color w:val="auto"/>
          <w:sz w:val="22"/>
          <w:szCs w:val="22"/>
        </w:rPr>
        <w:t>-</w:t>
      </w:r>
      <w:r w:rsidR="008F7776" w:rsidRPr="00922A7C">
        <w:rPr>
          <w:rFonts w:ascii="Calibri" w:hAnsi="Calibri" w:cs="Calibri"/>
          <w:color w:val="auto"/>
          <w:sz w:val="22"/>
          <w:szCs w:val="22"/>
        </w:rPr>
        <w:t xml:space="preserve">thirds of </w:t>
      </w:r>
      <w:r w:rsidRPr="00922A7C">
        <w:rPr>
          <w:rFonts w:ascii="Calibri" w:hAnsi="Calibri" w:cs="Calibri"/>
          <w:color w:val="auto"/>
          <w:sz w:val="22"/>
          <w:szCs w:val="22"/>
        </w:rPr>
        <w:t>callers in Q</w:t>
      </w:r>
      <w:r w:rsidR="00323DB0" w:rsidRPr="00922A7C">
        <w:rPr>
          <w:rFonts w:ascii="Calibri" w:hAnsi="Calibri" w:cs="Calibri"/>
          <w:color w:val="auto"/>
          <w:sz w:val="22"/>
          <w:szCs w:val="22"/>
        </w:rPr>
        <w:t>4</w:t>
      </w:r>
      <w:r w:rsidRPr="00922A7C">
        <w:rPr>
          <w:rFonts w:ascii="Calibri" w:hAnsi="Calibri" w:cs="Calibri"/>
          <w:color w:val="auto"/>
          <w:sz w:val="22"/>
          <w:szCs w:val="22"/>
        </w:rPr>
        <w:t xml:space="preserve"> 2022 were female (</w:t>
      </w:r>
      <w:r w:rsidR="002F5959">
        <w:rPr>
          <w:rFonts w:ascii="Calibri" w:hAnsi="Calibri" w:cs="Calibri"/>
          <w:color w:val="auto"/>
          <w:sz w:val="22"/>
          <w:szCs w:val="22"/>
        </w:rPr>
        <w:t>58</w:t>
      </w:r>
      <w:r w:rsidR="000315F8">
        <w:rPr>
          <w:rFonts w:ascii="Calibri" w:hAnsi="Calibri" w:cs="Calibri"/>
          <w:color w:val="auto"/>
          <w:sz w:val="22"/>
          <w:szCs w:val="22"/>
        </w:rPr>
        <w:t>.5</w:t>
      </w:r>
      <w:r w:rsidRPr="00922A7C">
        <w:rPr>
          <w:rFonts w:ascii="Calibri" w:hAnsi="Calibri" w:cs="Calibri"/>
          <w:color w:val="auto"/>
          <w:sz w:val="22"/>
          <w:szCs w:val="22"/>
        </w:rPr>
        <w:t>%).</w:t>
      </w:r>
      <w:r w:rsidRPr="00B12326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4AFF3FF" w14:textId="400CC454" w:rsidR="00942712" w:rsidRPr="0037547C" w:rsidRDefault="00942712" w:rsidP="00942712">
      <w:pPr>
        <w:pStyle w:val="Heading1"/>
        <w:jc w:val="both"/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Table 1 – Caller Gender Profile – </w:t>
      </w:r>
      <w:r w:rsidR="00922A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Q4</w:t>
      </w: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 2022 Summary</w:t>
      </w:r>
    </w:p>
    <w:tbl>
      <w:tblPr>
        <w:tblStyle w:val="GridTable5Dark-Accent6"/>
        <w:tblW w:w="7119" w:type="dxa"/>
        <w:tblLook w:val="04A0" w:firstRow="1" w:lastRow="0" w:firstColumn="1" w:lastColumn="0" w:noHBand="0" w:noVBand="1"/>
      </w:tblPr>
      <w:tblGrid>
        <w:gridCol w:w="1939"/>
        <w:gridCol w:w="2720"/>
        <w:gridCol w:w="2460"/>
      </w:tblGrid>
      <w:tr w:rsidR="00942712" w:rsidRPr="004027EE" w14:paraId="683B89F1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2D30669D" w14:textId="77777777" w:rsidR="00942712" w:rsidRPr="0037547C" w:rsidRDefault="00942712" w:rsidP="00D50363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Caller Profile</w:t>
            </w:r>
          </w:p>
        </w:tc>
        <w:tc>
          <w:tcPr>
            <w:tcW w:w="2720" w:type="dxa"/>
            <w:noWrap/>
            <w:hideMark/>
          </w:tcPr>
          <w:p w14:paraId="34DD5ADF" w14:textId="77777777" w:rsidR="00942712" w:rsidRPr="0037547C" w:rsidRDefault="00942712" w:rsidP="00781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60" w:type="dxa"/>
            <w:noWrap/>
            <w:hideMark/>
          </w:tcPr>
          <w:p w14:paraId="2AF3DB94" w14:textId="20D01835" w:rsidR="00942712" w:rsidRPr="0037547C" w:rsidRDefault="00942712" w:rsidP="00781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% </w:t>
            </w:r>
            <w:r w:rsidR="00E54FF3"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Of</w:t>
            </w: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Callers</w:t>
            </w:r>
          </w:p>
        </w:tc>
      </w:tr>
      <w:tr w:rsidR="00942712" w:rsidRPr="004027EE" w14:paraId="7B4472E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4F27BFD6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Female</w:t>
            </w:r>
          </w:p>
        </w:tc>
        <w:tc>
          <w:tcPr>
            <w:tcW w:w="2720" w:type="dxa"/>
            <w:noWrap/>
            <w:hideMark/>
          </w:tcPr>
          <w:p w14:paraId="42F7540D" w14:textId="20EC1D52" w:rsidR="00942712" w:rsidRPr="001E3987" w:rsidRDefault="00916119" w:rsidP="001E3987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55,485</w:t>
            </w:r>
          </w:p>
        </w:tc>
        <w:tc>
          <w:tcPr>
            <w:tcW w:w="2460" w:type="dxa"/>
            <w:noWrap/>
            <w:hideMark/>
          </w:tcPr>
          <w:p w14:paraId="2560525D" w14:textId="02655514" w:rsidR="00942712" w:rsidRPr="001E3987" w:rsidRDefault="001E3987" w:rsidP="001E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3987">
              <w:rPr>
                <w:rFonts w:ascii="Calibri" w:hAnsi="Calibri" w:cs="Calibri"/>
              </w:rPr>
              <w:t>58.</w:t>
            </w:r>
            <w:r w:rsidR="002C1074">
              <w:rPr>
                <w:rFonts w:ascii="Calibri" w:hAnsi="Calibri" w:cs="Calibri"/>
              </w:rPr>
              <w:t>5</w:t>
            </w:r>
            <w:r w:rsidR="00942712" w:rsidRPr="001E3987">
              <w:rPr>
                <w:rFonts w:ascii="Calibri" w:hAnsi="Calibri" w:cs="Calibri"/>
              </w:rPr>
              <w:t>%</w:t>
            </w:r>
          </w:p>
        </w:tc>
      </w:tr>
      <w:tr w:rsidR="00942712" w:rsidRPr="004027EE" w14:paraId="3C6CF9F7" w14:textId="77777777" w:rsidTr="00D5036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0BF80B51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Male</w:t>
            </w:r>
          </w:p>
        </w:tc>
        <w:tc>
          <w:tcPr>
            <w:tcW w:w="2720" w:type="dxa"/>
            <w:noWrap/>
            <w:hideMark/>
          </w:tcPr>
          <w:p w14:paraId="45D6D35B" w14:textId="3B4D8982" w:rsidR="00942712" w:rsidRPr="001E3987" w:rsidRDefault="00942712" w:rsidP="001E3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3987">
              <w:rPr>
                <w:rFonts w:ascii="Calibri" w:hAnsi="Calibri" w:cs="Calibri"/>
              </w:rPr>
              <w:t>3</w:t>
            </w:r>
            <w:r w:rsidR="00916119">
              <w:rPr>
                <w:rFonts w:ascii="Calibri" w:hAnsi="Calibri" w:cs="Calibri"/>
              </w:rPr>
              <w:t>5,039</w:t>
            </w:r>
          </w:p>
        </w:tc>
        <w:tc>
          <w:tcPr>
            <w:tcW w:w="2460" w:type="dxa"/>
            <w:noWrap/>
            <w:hideMark/>
          </w:tcPr>
          <w:p w14:paraId="5D7714FC" w14:textId="7533DFEB" w:rsidR="00942712" w:rsidRPr="001E3987" w:rsidRDefault="00942712" w:rsidP="001E3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3987">
              <w:rPr>
                <w:rFonts w:ascii="Calibri" w:hAnsi="Calibri" w:cs="Calibri"/>
              </w:rPr>
              <w:t>3</w:t>
            </w:r>
            <w:r w:rsidR="001E3987">
              <w:rPr>
                <w:rFonts w:ascii="Calibri" w:hAnsi="Calibri" w:cs="Calibri"/>
              </w:rPr>
              <w:t>6.</w:t>
            </w:r>
            <w:r w:rsidR="00916119">
              <w:rPr>
                <w:rFonts w:ascii="Calibri" w:hAnsi="Calibri" w:cs="Calibri"/>
              </w:rPr>
              <w:t>9</w:t>
            </w:r>
            <w:r w:rsidRPr="001E3987">
              <w:rPr>
                <w:rFonts w:ascii="Calibri" w:hAnsi="Calibri" w:cs="Calibri"/>
              </w:rPr>
              <w:t>%</w:t>
            </w:r>
          </w:p>
        </w:tc>
      </w:tr>
      <w:tr w:rsidR="00942712" w:rsidRPr="004027EE" w14:paraId="67DB168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3BBE3A38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Couples</w:t>
            </w:r>
          </w:p>
        </w:tc>
        <w:tc>
          <w:tcPr>
            <w:tcW w:w="2720" w:type="dxa"/>
            <w:noWrap/>
            <w:hideMark/>
          </w:tcPr>
          <w:p w14:paraId="0BCC46BF" w14:textId="6F54554C" w:rsidR="00942712" w:rsidRPr="001E3987" w:rsidRDefault="00942712" w:rsidP="001E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3987">
              <w:rPr>
                <w:rFonts w:ascii="Calibri" w:hAnsi="Calibri" w:cs="Calibri"/>
              </w:rPr>
              <w:t>3,</w:t>
            </w:r>
            <w:r w:rsidR="00916119">
              <w:rPr>
                <w:rFonts w:ascii="Calibri" w:hAnsi="Calibri" w:cs="Calibri"/>
              </w:rPr>
              <w:t>963</w:t>
            </w:r>
          </w:p>
        </w:tc>
        <w:tc>
          <w:tcPr>
            <w:tcW w:w="2460" w:type="dxa"/>
            <w:noWrap/>
            <w:hideMark/>
          </w:tcPr>
          <w:p w14:paraId="36C2BD0B" w14:textId="3CBBE7D4" w:rsidR="00942712" w:rsidRPr="001E3987" w:rsidRDefault="001E3987" w:rsidP="001E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</w:rPr>
              <w:t>4.</w:t>
            </w:r>
            <w:r w:rsidR="002C1074">
              <w:rPr>
                <w:rFonts w:ascii="Calibri" w:hAnsi="Calibri" w:cs="Calibri"/>
              </w:rPr>
              <w:t>2</w:t>
            </w:r>
            <w:r w:rsidR="00942712" w:rsidRPr="001E3987">
              <w:rPr>
                <w:rFonts w:ascii="Calibri" w:hAnsi="Calibri" w:cs="Calibri"/>
              </w:rPr>
              <w:t>%</w:t>
            </w:r>
          </w:p>
        </w:tc>
      </w:tr>
      <w:tr w:rsidR="00942712" w:rsidRPr="004027EE" w14:paraId="5C21795F" w14:textId="77777777" w:rsidTr="00D5036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5AFD0AF8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Unknown</w:t>
            </w:r>
          </w:p>
        </w:tc>
        <w:tc>
          <w:tcPr>
            <w:tcW w:w="2720" w:type="dxa"/>
            <w:noWrap/>
            <w:hideMark/>
          </w:tcPr>
          <w:p w14:paraId="389AAD94" w14:textId="36076448" w:rsidR="00942712" w:rsidRPr="001E3987" w:rsidRDefault="00916119" w:rsidP="001E3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419</w:t>
            </w:r>
          </w:p>
        </w:tc>
        <w:tc>
          <w:tcPr>
            <w:tcW w:w="2460" w:type="dxa"/>
            <w:noWrap/>
            <w:hideMark/>
          </w:tcPr>
          <w:p w14:paraId="2101C64F" w14:textId="3DC654FE" w:rsidR="00942712" w:rsidRPr="001E3987" w:rsidRDefault="00942712" w:rsidP="001E3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3987">
              <w:rPr>
                <w:rFonts w:ascii="Calibri" w:hAnsi="Calibri" w:cs="Calibri"/>
              </w:rPr>
              <w:t>0.4%</w:t>
            </w:r>
          </w:p>
        </w:tc>
      </w:tr>
    </w:tbl>
    <w:p w14:paraId="59FA5133" w14:textId="77777777" w:rsidR="00E67B39" w:rsidRDefault="00E67B39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0CEBF75" w14:textId="271EC3A4" w:rsidR="00942712" w:rsidRPr="004027EE" w:rsidRDefault="00942712" w:rsidP="00942712">
      <w:pPr>
        <w:pStyle w:val="Heading3"/>
        <w:jc w:val="both"/>
        <w:rPr>
          <w:rFonts w:ascii="Calibri" w:hAnsi="Calibri" w:cs="Calibri"/>
          <w:color w:val="FF0000"/>
          <w:sz w:val="22"/>
          <w:szCs w:val="22"/>
        </w:rPr>
      </w:pPr>
      <w:r w:rsidRPr="007C32CB">
        <w:rPr>
          <w:rFonts w:ascii="Calibri" w:hAnsi="Calibri" w:cs="Calibri"/>
          <w:color w:val="auto"/>
          <w:sz w:val="22"/>
          <w:szCs w:val="22"/>
        </w:rPr>
        <w:t>Where age was recorded (n=6</w:t>
      </w:r>
      <w:r w:rsidR="007C32CB">
        <w:rPr>
          <w:rFonts w:ascii="Calibri" w:hAnsi="Calibri" w:cs="Calibri"/>
          <w:color w:val="auto"/>
          <w:sz w:val="22"/>
          <w:szCs w:val="22"/>
        </w:rPr>
        <w:t>7.7</w:t>
      </w:r>
      <w:r w:rsidRPr="007C32CB">
        <w:rPr>
          <w:rFonts w:ascii="Calibri" w:hAnsi="Calibri" w:cs="Calibri"/>
          <w:color w:val="auto"/>
          <w:sz w:val="22"/>
          <w:szCs w:val="22"/>
        </w:rPr>
        <w:t xml:space="preserve">%), the highest number of callers was in the 26-45 </w:t>
      </w:r>
      <w:r w:rsidR="008F27AD">
        <w:rPr>
          <w:rFonts w:ascii="Calibri" w:hAnsi="Calibri" w:cs="Calibri"/>
          <w:color w:val="auto"/>
          <w:sz w:val="22"/>
          <w:szCs w:val="22"/>
        </w:rPr>
        <w:t>range</w:t>
      </w:r>
      <w:r w:rsidRPr="007C32CB">
        <w:rPr>
          <w:rFonts w:ascii="Calibri" w:hAnsi="Calibri" w:cs="Calibri"/>
          <w:color w:val="auto"/>
          <w:sz w:val="22"/>
          <w:szCs w:val="22"/>
        </w:rPr>
        <w:t xml:space="preserve"> representing </w:t>
      </w:r>
      <w:r w:rsidR="0026677C">
        <w:rPr>
          <w:rFonts w:ascii="Calibri" w:hAnsi="Calibri" w:cs="Calibri"/>
          <w:color w:val="auto"/>
          <w:sz w:val="22"/>
          <w:szCs w:val="22"/>
        </w:rPr>
        <w:t xml:space="preserve">almost </w:t>
      </w:r>
      <w:r w:rsidR="007C32CB">
        <w:rPr>
          <w:rFonts w:ascii="Calibri" w:hAnsi="Calibri" w:cs="Calibri"/>
          <w:color w:val="auto"/>
          <w:sz w:val="22"/>
          <w:szCs w:val="22"/>
        </w:rPr>
        <w:t>3</w:t>
      </w:r>
      <w:r w:rsidR="00E54FF3">
        <w:rPr>
          <w:rFonts w:ascii="Calibri" w:hAnsi="Calibri" w:cs="Calibri"/>
          <w:color w:val="auto"/>
          <w:sz w:val="22"/>
          <w:szCs w:val="22"/>
        </w:rPr>
        <w:t>8</w:t>
      </w:r>
      <w:r w:rsidRPr="007C32CB">
        <w:rPr>
          <w:rFonts w:ascii="Calibri" w:hAnsi="Calibri" w:cs="Calibri"/>
          <w:color w:val="auto"/>
          <w:sz w:val="22"/>
          <w:szCs w:val="22"/>
        </w:rPr>
        <w:t>% of callers</w:t>
      </w:r>
      <w:r w:rsidR="007C32C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F27AD">
        <w:rPr>
          <w:rFonts w:ascii="Calibri" w:hAnsi="Calibri" w:cs="Calibri"/>
          <w:color w:val="auto"/>
          <w:sz w:val="22"/>
          <w:szCs w:val="22"/>
        </w:rPr>
        <w:t>closely followed</w:t>
      </w:r>
      <w:r w:rsidR="00E54FF3">
        <w:rPr>
          <w:rFonts w:ascii="Calibri" w:hAnsi="Calibri" w:cs="Calibri"/>
          <w:color w:val="auto"/>
          <w:sz w:val="22"/>
          <w:szCs w:val="22"/>
        </w:rPr>
        <w:t xml:space="preserve"> by</w:t>
      </w:r>
      <w:r w:rsidR="008F27AD">
        <w:rPr>
          <w:rFonts w:ascii="Calibri" w:hAnsi="Calibri" w:cs="Calibri"/>
          <w:color w:val="auto"/>
          <w:sz w:val="22"/>
          <w:szCs w:val="22"/>
        </w:rPr>
        <w:t xml:space="preserve"> the</w:t>
      </w:r>
      <w:r w:rsidR="007C32CB">
        <w:rPr>
          <w:rFonts w:ascii="Calibri" w:hAnsi="Calibri" w:cs="Calibri"/>
          <w:color w:val="auto"/>
          <w:sz w:val="22"/>
          <w:szCs w:val="22"/>
        </w:rPr>
        <w:t xml:space="preserve"> 46-65</w:t>
      </w:r>
      <w:r w:rsidR="008F27AD">
        <w:rPr>
          <w:rFonts w:ascii="Calibri" w:hAnsi="Calibri" w:cs="Calibri"/>
          <w:color w:val="auto"/>
          <w:sz w:val="22"/>
          <w:szCs w:val="22"/>
        </w:rPr>
        <w:t xml:space="preserve"> age category</w:t>
      </w:r>
      <w:r w:rsidR="007C32CB">
        <w:rPr>
          <w:rFonts w:ascii="Calibri" w:hAnsi="Calibri" w:cs="Calibri"/>
          <w:color w:val="auto"/>
          <w:sz w:val="22"/>
          <w:szCs w:val="22"/>
        </w:rPr>
        <w:t xml:space="preserve"> which </w:t>
      </w:r>
      <w:r w:rsidR="000B5CE1">
        <w:rPr>
          <w:rFonts w:ascii="Calibri" w:hAnsi="Calibri" w:cs="Calibri"/>
          <w:color w:val="auto"/>
          <w:sz w:val="22"/>
          <w:szCs w:val="22"/>
        </w:rPr>
        <w:t>accounted for</w:t>
      </w:r>
      <w:r w:rsidR="007C32CB">
        <w:rPr>
          <w:rFonts w:ascii="Calibri" w:hAnsi="Calibri" w:cs="Calibri"/>
          <w:color w:val="auto"/>
          <w:sz w:val="22"/>
          <w:szCs w:val="22"/>
        </w:rPr>
        <w:t xml:space="preserve"> 3</w:t>
      </w:r>
      <w:r w:rsidR="00E54FF3">
        <w:rPr>
          <w:rFonts w:ascii="Calibri" w:hAnsi="Calibri" w:cs="Calibri"/>
          <w:color w:val="auto"/>
          <w:sz w:val="22"/>
          <w:szCs w:val="22"/>
        </w:rPr>
        <w:t>7</w:t>
      </w:r>
      <w:r w:rsidR="005E4225">
        <w:rPr>
          <w:rFonts w:ascii="Calibri" w:hAnsi="Calibri" w:cs="Calibri"/>
          <w:color w:val="auto"/>
          <w:sz w:val="22"/>
          <w:szCs w:val="22"/>
        </w:rPr>
        <w:t>.6</w:t>
      </w:r>
      <w:r w:rsidR="007C32CB">
        <w:rPr>
          <w:rFonts w:ascii="Calibri" w:hAnsi="Calibri" w:cs="Calibri"/>
          <w:color w:val="auto"/>
          <w:sz w:val="22"/>
          <w:szCs w:val="22"/>
        </w:rPr>
        <w:t>%</w:t>
      </w:r>
      <w:r w:rsidRPr="007C32CB">
        <w:rPr>
          <w:rFonts w:ascii="Calibri" w:hAnsi="Calibri" w:cs="Calibri"/>
          <w:color w:val="auto"/>
          <w:sz w:val="22"/>
          <w:szCs w:val="22"/>
        </w:rPr>
        <w:t>. The number of callers in the 66 and over age bracket</w:t>
      </w:r>
      <w:r w:rsidR="0026677C">
        <w:rPr>
          <w:rFonts w:ascii="Calibri" w:hAnsi="Calibri" w:cs="Calibri"/>
          <w:color w:val="auto"/>
          <w:sz w:val="22"/>
          <w:szCs w:val="22"/>
        </w:rPr>
        <w:t xml:space="preserve"> was 2</w:t>
      </w:r>
      <w:r w:rsidR="0013723A">
        <w:rPr>
          <w:rFonts w:ascii="Calibri" w:hAnsi="Calibri" w:cs="Calibri"/>
          <w:color w:val="auto"/>
          <w:sz w:val="22"/>
          <w:szCs w:val="22"/>
        </w:rPr>
        <w:t>2.9</w:t>
      </w:r>
      <w:r w:rsidR="0026677C">
        <w:rPr>
          <w:rFonts w:ascii="Calibri" w:hAnsi="Calibri" w:cs="Calibri"/>
          <w:color w:val="auto"/>
          <w:sz w:val="22"/>
          <w:szCs w:val="22"/>
        </w:rPr>
        <w:t>% and</w:t>
      </w:r>
      <w:r w:rsidRPr="007C32CB">
        <w:rPr>
          <w:rFonts w:ascii="Calibri" w:hAnsi="Calibri" w:cs="Calibri"/>
          <w:color w:val="auto"/>
          <w:sz w:val="22"/>
          <w:szCs w:val="22"/>
        </w:rPr>
        <w:t xml:space="preserve"> rose by </w:t>
      </w:r>
      <w:r w:rsidR="000315F8">
        <w:rPr>
          <w:rFonts w:ascii="Calibri" w:hAnsi="Calibri" w:cs="Calibri"/>
          <w:color w:val="auto"/>
          <w:sz w:val="22"/>
          <w:szCs w:val="22"/>
        </w:rPr>
        <w:t>6</w:t>
      </w:r>
      <w:r w:rsidR="004D776F">
        <w:rPr>
          <w:rFonts w:ascii="Calibri" w:hAnsi="Calibri" w:cs="Calibri"/>
          <w:color w:val="auto"/>
          <w:sz w:val="22"/>
          <w:szCs w:val="22"/>
        </w:rPr>
        <w:t>8.7</w:t>
      </w:r>
      <w:r w:rsidRPr="007C32CB">
        <w:rPr>
          <w:rFonts w:ascii="Calibri" w:hAnsi="Calibri" w:cs="Calibri"/>
          <w:color w:val="auto"/>
          <w:sz w:val="22"/>
          <w:szCs w:val="22"/>
        </w:rPr>
        <w:t>%</w:t>
      </w:r>
      <w:r w:rsidR="008F27AD">
        <w:rPr>
          <w:rFonts w:ascii="Calibri" w:hAnsi="Calibri" w:cs="Calibri"/>
          <w:color w:val="auto"/>
          <w:sz w:val="22"/>
          <w:szCs w:val="22"/>
        </w:rPr>
        <w:t xml:space="preserve"> between Q4 2021 to Q4 2022</w:t>
      </w:r>
      <w:r w:rsidRPr="007C32C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D1BBA" w:rsidRPr="007C32CB">
        <w:rPr>
          <w:rFonts w:ascii="Calibri" w:hAnsi="Calibri" w:cs="Calibri"/>
          <w:color w:val="auto"/>
          <w:sz w:val="22"/>
          <w:szCs w:val="22"/>
        </w:rPr>
        <w:t xml:space="preserve">reflecting a return in service demand from older </w:t>
      </w:r>
      <w:r w:rsidR="00BB4F4F" w:rsidRPr="007C32CB">
        <w:rPr>
          <w:rFonts w:ascii="Calibri" w:hAnsi="Calibri" w:cs="Calibri"/>
          <w:color w:val="auto"/>
          <w:sz w:val="22"/>
          <w:szCs w:val="22"/>
        </w:rPr>
        <w:t>callers since</w:t>
      </w:r>
      <w:r w:rsidR="000315F8">
        <w:rPr>
          <w:rFonts w:ascii="Calibri" w:hAnsi="Calibri" w:cs="Calibri"/>
          <w:color w:val="auto"/>
          <w:sz w:val="22"/>
          <w:szCs w:val="22"/>
        </w:rPr>
        <w:t xml:space="preserve"> the pandemic.</w:t>
      </w:r>
    </w:p>
    <w:p w14:paraId="2693BFBA" w14:textId="6BB6C934" w:rsidR="00942712" w:rsidRPr="0037547C" w:rsidRDefault="00942712" w:rsidP="00942712">
      <w:pPr>
        <w:pStyle w:val="Heading1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Table 2 – Caller Age Profile – </w:t>
      </w:r>
      <w:r w:rsidR="00922A7C">
        <w:rPr>
          <w:rFonts w:ascii="Tw Cen MT Condensed" w:eastAsia="Times New Roman" w:hAnsi="Tw Cen MT Condensed"/>
          <w:b/>
          <w:sz w:val="24"/>
          <w:szCs w:val="24"/>
          <w:lang w:eastAsia="en-IE"/>
        </w:rPr>
        <w:t>Q</w:t>
      </w:r>
      <w:r w:rsidR="004D776F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</w:t>
      </w:r>
      <w:r w:rsidR="00922A7C">
        <w:rPr>
          <w:rFonts w:ascii="Tw Cen MT Condensed" w:eastAsia="Times New Roman" w:hAnsi="Tw Cen MT Condensed"/>
          <w:b/>
          <w:sz w:val="24"/>
          <w:szCs w:val="24"/>
          <w:lang w:eastAsia="en-IE"/>
        </w:rPr>
        <w:t>4</w:t>
      </w: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2022 Summary </w:t>
      </w:r>
    </w:p>
    <w:tbl>
      <w:tblPr>
        <w:tblStyle w:val="GridTable5Dark-Accent6"/>
        <w:tblW w:w="7125" w:type="dxa"/>
        <w:tblLook w:val="04A0" w:firstRow="1" w:lastRow="0" w:firstColumn="1" w:lastColumn="0" w:noHBand="0" w:noVBand="1"/>
      </w:tblPr>
      <w:tblGrid>
        <w:gridCol w:w="1951"/>
        <w:gridCol w:w="2704"/>
        <w:gridCol w:w="2470"/>
      </w:tblGrid>
      <w:tr w:rsidR="00942712" w:rsidRPr="004027EE" w14:paraId="393FBADE" w14:textId="77777777" w:rsidTr="0086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noWrap/>
            <w:hideMark/>
          </w:tcPr>
          <w:p w14:paraId="0D2EFC58" w14:textId="77777777" w:rsidR="00942712" w:rsidRPr="0037547C" w:rsidRDefault="00942712" w:rsidP="00D50363">
            <w:pPr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Caller Age Range</w:t>
            </w:r>
          </w:p>
        </w:tc>
        <w:tc>
          <w:tcPr>
            <w:tcW w:w="2704" w:type="dxa"/>
            <w:noWrap/>
            <w:hideMark/>
          </w:tcPr>
          <w:p w14:paraId="5E93712B" w14:textId="4DAF135E" w:rsidR="00942712" w:rsidRPr="0037547C" w:rsidRDefault="00942712" w:rsidP="00781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70" w:type="dxa"/>
            <w:vMerge w:val="restart"/>
            <w:noWrap/>
            <w:hideMark/>
          </w:tcPr>
          <w:p w14:paraId="5969571C" w14:textId="4EC2279D" w:rsidR="00942712" w:rsidRPr="0037547C" w:rsidRDefault="00942712" w:rsidP="00781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% </w:t>
            </w:r>
            <w:r w:rsidR="00E54FF3"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Of</w:t>
            </w: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Callers</w:t>
            </w:r>
          </w:p>
        </w:tc>
      </w:tr>
      <w:tr w:rsidR="00942712" w:rsidRPr="004027EE" w14:paraId="7FDCCDED" w14:textId="77777777" w:rsidTr="0086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CF0AD7D" w14:textId="77777777" w:rsidR="00942712" w:rsidRPr="004027EE" w:rsidRDefault="00942712" w:rsidP="00D50363">
            <w:pPr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</w:p>
        </w:tc>
        <w:tc>
          <w:tcPr>
            <w:tcW w:w="2704" w:type="dxa"/>
            <w:shd w:val="clear" w:color="auto" w:fill="62A39F" w:themeFill="accent6"/>
            <w:noWrap/>
            <w:hideMark/>
          </w:tcPr>
          <w:p w14:paraId="183C8242" w14:textId="77777777" w:rsidR="00942712" w:rsidRPr="004027EE" w:rsidRDefault="00942712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highlight w:val="yellow"/>
                <w:lang w:eastAsia="en-IE"/>
              </w:rPr>
            </w:pPr>
            <w:r w:rsidRPr="004027EE">
              <w:rPr>
                <w:rFonts w:eastAsia="Times New Roman" w:cs="Calibri"/>
                <w:b/>
                <w:bCs/>
                <w:color w:val="000000"/>
                <w:lang w:eastAsia="en-IE"/>
              </w:rPr>
              <w:t>(n= 68%)</w:t>
            </w:r>
          </w:p>
        </w:tc>
        <w:tc>
          <w:tcPr>
            <w:tcW w:w="2470" w:type="dxa"/>
            <w:vMerge/>
            <w:hideMark/>
          </w:tcPr>
          <w:p w14:paraId="645DDC64" w14:textId="77777777" w:rsidR="00942712" w:rsidRPr="004027EE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</w:p>
        </w:tc>
      </w:tr>
      <w:tr w:rsidR="002F5959" w:rsidRPr="004027EE" w14:paraId="3E9097AF" w14:textId="77777777" w:rsidTr="008676D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14:paraId="7A235417" w14:textId="00733F97" w:rsidR="002F5959" w:rsidRPr="004D3E73" w:rsidRDefault="002F5959" w:rsidP="002F5959">
            <w:r w:rsidRPr="004D3E73">
              <w:rPr>
                <w:rFonts w:ascii="Calibri" w:hAnsi="Calibri" w:cs="Calibri"/>
                <w:color w:val="000000"/>
              </w:rPr>
              <w:t xml:space="preserve">25 and </w:t>
            </w:r>
            <w:r w:rsidR="00B02B94"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2704" w:type="dxa"/>
            <w:noWrap/>
            <w:vAlign w:val="bottom"/>
          </w:tcPr>
          <w:p w14:paraId="385DE8FF" w14:textId="433AC76E" w:rsidR="002F5959" w:rsidRDefault="002F5959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yellow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1,726</w:t>
            </w:r>
          </w:p>
        </w:tc>
        <w:tc>
          <w:tcPr>
            <w:tcW w:w="2470" w:type="dxa"/>
            <w:noWrap/>
            <w:vAlign w:val="bottom"/>
          </w:tcPr>
          <w:p w14:paraId="05C0552F" w14:textId="437B58DF" w:rsidR="002F5959" w:rsidRDefault="002F5959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</w:t>
            </w:r>
            <w:r w:rsidR="000B2348">
              <w:rPr>
                <w:rFonts w:ascii="Calibri" w:hAnsi="Calibri" w:cs="Calibri"/>
                <w:color w:val="000000"/>
              </w:rPr>
              <w:t>7</w:t>
            </w:r>
            <w:r w:rsidRPr="004D3E73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42712" w:rsidRPr="004027EE" w14:paraId="37789FA1" w14:textId="77777777" w:rsidTr="0086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54D508FD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26 - 45</w:t>
            </w:r>
          </w:p>
        </w:tc>
        <w:tc>
          <w:tcPr>
            <w:tcW w:w="2704" w:type="dxa"/>
            <w:noWrap/>
            <w:vAlign w:val="bottom"/>
            <w:hideMark/>
          </w:tcPr>
          <w:p w14:paraId="0BC6B08C" w14:textId="59910498" w:rsidR="00942712" w:rsidRPr="004D3E73" w:rsidRDefault="00916119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eastAsia="en-IE"/>
              </w:rPr>
            </w:pPr>
            <w:r w:rsidRPr="007C32CB">
              <w:rPr>
                <w:rFonts w:ascii="Calibri" w:eastAsia="Times New Roman" w:hAnsi="Calibri" w:cs="Calibri"/>
                <w:color w:val="000000"/>
                <w:lang w:eastAsia="en-IE"/>
              </w:rPr>
              <w:t>24,147</w:t>
            </w:r>
          </w:p>
        </w:tc>
        <w:tc>
          <w:tcPr>
            <w:tcW w:w="2470" w:type="dxa"/>
            <w:noWrap/>
            <w:vAlign w:val="bottom"/>
            <w:hideMark/>
          </w:tcPr>
          <w:p w14:paraId="606FAE25" w14:textId="5FA280BF" w:rsidR="00942712" w:rsidRPr="004D3E73" w:rsidRDefault="002F5959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  <w:r w:rsidR="000B2348">
              <w:rPr>
                <w:rFonts w:ascii="Calibri" w:hAnsi="Calibri" w:cs="Calibri"/>
                <w:color w:val="000000"/>
              </w:rPr>
              <w:t>6</w:t>
            </w:r>
            <w:r w:rsidR="00942712" w:rsidRPr="004D3E73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42712" w:rsidRPr="004027EE" w14:paraId="3DB5D7E2" w14:textId="77777777" w:rsidTr="008676D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2990A354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46 - 65</w:t>
            </w:r>
          </w:p>
        </w:tc>
        <w:tc>
          <w:tcPr>
            <w:tcW w:w="2704" w:type="dxa"/>
            <w:noWrap/>
            <w:vAlign w:val="bottom"/>
            <w:hideMark/>
          </w:tcPr>
          <w:p w14:paraId="2CD69E11" w14:textId="4F0C2398" w:rsidR="00942712" w:rsidRPr="004D3E73" w:rsidRDefault="00942712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2</w:t>
            </w:r>
            <w:r w:rsidR="00916119">
              <w:rPr>
                <w:rFonts w:ascii="Calibri" w:hAnsi="Calibri" w:cs="Calibri"/>
                <w:color w:val="000000"/>
              </w:rPr>
              <w:t>3,712</w:t>
            </w:r>
          </w:p>
        </w:tc>
        <w:tc>
          <w:tcPr>
            <w:tcW w:w="2470" w:type="dxa"/>
            <w:noWrap/>
            <w:vAlign w:val="bottom"/>
            <w:hideMark/>
          </w:tcPr>
          <w:p w14:paraId="407AAFC4" w14:textId="4EE39B27" w:rsidR="00942712" w:rsidRPr="004D3E73" w:rsidRDefault="00942712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3</w:t>
            </w:r>
            <w:r w:rsidR="002F5959">
              <w:rPr>
                <w:rFonts w:ascii="Calibri" w:hAnsi="Calibri" w:cs="Calibri"/>
                <w:color w:val="000000"/>
              </w:rPr>
              <w:t>6.</w:t>
            </w:r>
            <w:r w:rsidR="000B2348">
              <w:rPr>
                <w:rFonts w:ascii="Calibri" w:hAnsi="Calibri" w:cs="Calibri"/>
                <w:color w:val="000000"/>
              </w:rPr>
              <w:t>9</w:t>
            </w:r>
            <w:r w:rsidRPr="004D3E73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42712" w:rsidRPr="004027EE" w14:paraId="4CFD3CFB" w14:textId="77777777" w:rsidTr="0086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0427BF3D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 xml:space="preserve">66 and </w:t>
            </w:r>
            <w:proofErr w:type="gramStart"/>
            <w:r w:rsidRPr="004D3E73">
              <w:rPr>
                <w:rFonts w:ascii="Calibri" w:hAnsi="Calibri" w:cs="Calibri"/>
                <w:color w:val="000000"/>
              </w:rPr>
              <w:t>Over</w:t>
            </w:r>
            <w:proofErr w:type="gramEnd"/>
          </w:p>
        </w:tc>
        <w:tc>
          <w:tcPr>
            <w:tcW w:w="2704" w:type="dxa"/>
            <w:noWrap/>
            <w:vAlign w:val="bottom"/>
            <w:hideMark/>
          </w:tcPr>
          <w:p w14:paraId="03E03B3D" w14:textId="560C39F7" w:rsidR="00942712" w:rsidRPr="004D3E73" w:rsidRDefault="00942712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="00916119">
              <w:rPr>
                <w:rFonts w:ascii="Calibri" w:eastAsia="Times New Roman" w:hAnsi="Calibri" w:cs="Calibri"/>
                <w:color w:val="000000"/>
                <w:lang w:eastAsia="en-IE"/>
              </w:rPr>
              <w:t>4,707</w:t>
            </w:r>
          </w:p>
        </w:tc>
        <w:tc>
          <w:tcPr>
            <w:tcW w:w="2470" w:type="dxa"/>
            <w:noWrap/>
            <w:vAlign w:val="bottom"/>
            <w:hideMark/>
          </w:tcPr>
          <w:p w14:paraId="4C4D4FDA" w14:textId="0FB85888" w:rsidR="00942712" w:rsidRPr="004D3E73" w:rsidRDefault="002F5959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  <w:r w:rsidR="000B2348">
              <w:rPr>
                <w:rFonts w:ascii="Calibri" w:hAnsi="Calibri" w:cs="Calibri"/>
                <w:color w:val="000000"/>
              </w:rPr>
              <w:t>9</w:t>
            </w:r>
            <w:r w:rsidR="00942712" w:rsidRPr="004D3E73"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14:paraId="6F93AF4B" w14:textId="77777777" w:rsidR="00E67B39" w:rsidRDefault="00E67B39" w:rsidP="00942712">
      <w:pPr>
        <w:jc w:val="both"/>
        <w:rPr>
          <w:sz w:val="22"/>
          <w:szCs w:val="22"/>
        </w:rPr>
      </w:pPr>
    </w:p>
    <w:p w14:paraId="7CC98C2D" w14:textId="291C638E" w:rsidR="00B02B94" w:rsidRPr="004027EE" w:rsidRDefault="00E67B39" w:rsidP="009427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 the </w:t>
      </w:r>
      <w:r w:rsidR="002F5959">
        <w:rPr>
          <w:sz w:val="22"/>
          <w:szCs w:val="22"/>
        </w:rPr>
        <w:t>94,906</w:t>
      </w:r>
      <w:r w:rsidR="00942712" w:rsidRPr="004027EE">
        <w:rPr>
          <w:sz w:val="22"/>
          <w:szCs w:val="22"/>
        </w:rPr>
        <w:t xml:space="preserve"> callers that contacted CISs in </w:t>
      </w:r>
      <w:r w:rsidR="00922A7C">
        <w:rPr>
          <w:sz w:val="22"/>
          <w:szCs w:val="22"/>
        </w:rPr>
        <w:t>Q4</w:t>
      </w:r>
      <w:r w:rsidR="00942712" w:rsidRPr="004027EE">
        <w:rPr>
          <w:sz w:val="22"/>
          <w:szCs w:val="22"/>
        </w:rPr>
        <w:t xml:space="preserve"> 2022, </w:t>
      </w:r>
      <w:r w:rsidR="002F5959">
        <w:rPr>
          <w:sz w:val="22"/>
          <w:szCs w:val="22"/>
        </w:rPr>
        <w:t>45</w:t>
      </w:r>
      <w:r w:rsidR="00782891">
        <w:rPr>
          <w:sz w:val="22"/>
          <w:szCs w:val="22"/>
        </w:rPr>
        <w:t>.4</w:t>
      </w:r>
      <w:r w:rsidR="00942712" w:rsidRPr="004027EE">
        <w:rPr>
          <w:sz w:val="22"/>
          <w:szCs w:val="22"/>
        </w:rPr>
        <w:t xml:space="preserve">% of people did so by telephone, compared to </w:t>
      </w:r>
      <w:r w:rsidR="002F5959">
        <w:rPr>
          <w:sz w:val="22"/>
          <w:szCs w:val="22"/>
        </w:rPr>
        <w:t>69</w:t>
      </w:r>
      <w:r w:rsidR="00782891">
        <w:rPr>
          <w:sz w:val="22"/>
          <w:szCs w:val="22"/>
        </w:rPr>
        <w:t>.3</w:t>
      </w:r>
      <w:r w:rsidR="00942712" w:rsidRPr="004027EE">
        <w:rPr>
          <w:sz w:val="22"/>
          <w:szCs w:val="22"/>
        </w:rPr>
        <w:t xml:space="preserve">% in </w:t>
      </w:r>
      <w:r w:rsidR="00922A7C">
        <w:rPr>
          <w:sz w:val="22"/>
          <w:szCs w:val="22"/>
        </w:rPr>
        <w:t>Q4</w:t>
      </w:r>
      <w:r w:rsidR="00942712" w:rsidRPr="004027EE">
        <w:rPr>
          <w:sz w:val="22"/>
          <w:szCs w:val="22"/>
        </w:rPr>
        <w:t xml:space="preserve"> 2021</w:t>
      </w:r>
      <w:r w:rsidR="00E54FF3" w:rsidRPr="00E54FF3">
        <w:rPr>
          <w:sz w:val="22"/>
          <w:szCs w:val="22"/>
        </w:rPr>
        <w:t>.</w:t>
      </w:r>
      <w:r w:rsidR="00942712" w:rsidRPr="00E54FF3">
        <w:rPr>
          <w:sz w:val="22"/>
          <w:szCs w:val="22"/>
        </w:rPr>
        <w:t xml:space="preserve"> </w:t>
      </w:r>
      <w:r w:rsidR="00942712" w:rsidRPr="004027EE">
        <w:rPr>
          <w:sz w:val="22"/>
          <w:szCs w:val="22"/>
        </w:rPr>
        <w:t>Face-to-face services (drop-in and appointment) resumed on a phased basis in Q1 2022. Callers in person</w:t>
      </w:r>
      <w:r w:rsidR="00936F48">
        <w:rPr>
          <w:sz w:val="22"/>
          <w:szCs w:val="22"/>
        </w:rPr>
        <w:t>, therefore,</w:t>
      </w:r>
      <w:r w:rsidR="00942712" w:rsidRPr="004027EE">
        <w:rPr>
          <w:sz w:val="22"/>
          <w:szCs w:val="22"/>
        </w:rPr>
        <w:t xml:space="preserve"> </w:t>
      </w:r>
      <w:r w:rsidR="00BB4F4F">
        <w:rPr>
          <w:sz w:val="22"/>
          <w:szCs w:val="22"/>
        </w:rPr>
        <w:t>trebled</w:t>
      </w:r>
      <w:r w:rsidR="00781F15">
        <w:rPr>
          <w:sz w:val="22"/>
          <w:szCs w:val="22"/>
        </w:rPr>
        <w:t xml:space="preserve"> from Q4 2021 to Q4 2022</w:t>
      </w:r>
      <w:r w:rsidR="00942712" w:rsidRPr="004027EE">
        <w:rPr>
          <w:sz w:val="22"/>
          <w:szCs w:val="22"/>
        </w:rPr>
        <w:t>.</w:t>
      </w:r>
      <w:r w:rsidR="000502ED">
        <w:rPr>
          <w:sz w:val="22"/>
          <w:szCs w:val="22"/>
        </w:rPr>
        <w:t xml:space="preserve"> Of the personal callers</w:t>
      </w:r>
      <w:r w:rsidR="00936F48">
        <w:rPr>
          <w:sz w:val="22"/>
          <w:szCs w:val="22"/>
        </w:rPr>
        <w:t>,</w:t>
      </w:r>
      <w:r w:rsidR="000502ED">
        <w:rPr>
          <w:sz w:val="22"/>
          <w:szCs w:val="22"/>
        </w:rPr>
        <w:t xml:space="preserve"> 9</w:t>
      </w:r>
      <w:r w:rsidR="0072472F">
        <w:rPr>
          <w:sz w:val="22"/>
          <w:szCs w:val="22"/>
        </w:rPr>
        <w:t>1.9</w:t>
      </w:r>
      <w:r w:rsidR="000502ED">
        <w:rPr>
          <w:sz w:val="22"/>
          <w:szCs w:val="22"/>
        </w:rPr>
        <w:t>% of callers were drop in and 8</w:t>
      </w:r>
      <w:r w:rsidR="0072472F">
        <w:rPr>
          <w:sz w:val="22"/>
          <w:szCs w:val="22"/>
        </w:rPr>
        <w:t>.1</w:t>
      </w:r>
      <w:r w:rsidR="000502ED">
        <w:rPr>
          <w:sz w:val="22"/>
          <w:szCs w:val="22"/>
        </w:rPr>
        <w:t>% were appointment based.</w:t>
      </w:r>
      <w:r w:rsidR="00B02B94">
        <w:rPr>
          <w:sz w:val="22"/>
          <w:szCs w:val="22"/>
        </w:rPr>
        <w:t xml:space="preserve"> </w:t>
      </w:r>
    </w:p>
    <w:p w14:paraId="1E8B2212" w14:textId="117ED5C4" w:rsidR="00942712" w:rsidRPr="0037547C" w:rsidRDefault="00942712" w:rsidP="00942712">
      <w:pPr>
        <w:pStyle w:val="Heading1"/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Table 3 – Caller Mode of Contact – </w:t>
      </w:r>
      <w:r w:rsidR="00922A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Q4</w:t>
      </w: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 2022 Summary</w:t>
      </w:r>
    </w:p>
    <w:tbl>
      <w:tblPr>
        <w:tblStyle w:val="GridTable5Dark-Accent6"/>
        <w:tblW w:w="7150" w:type="dxa"/>
        <w:tblLook w:val="04A0" w:firstRow="1" w:lastRow="0" w:firstColumn="1" w:lastColumn="0" w:noHBand="0" w:noVBand="1"/>
      </w:tblPr>
      <w:tblGrid>
        <w:gridCol w:w="1951"/>
        <w:gridCol w:w="2718"/>
        <w:gridCol w:w="2481"/>
      </w:tblGrid>
      <w:tr w:rsidR="00942712" w:rsidRPr="002D7175" w14:paraId="1BB61F00" w14:textId="77777777" w:rsidTr="0086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5AA6D8E4" w14:textId="77777777" w:rsidR="00942712" w:rsidRPr="0037547C" w:rsidRDefault="00942712" w:rsidP="00D50363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2718" w:type="dxa"/>
            <w:noWrap/>
            <w:hideMark/>
          </w:tcPr>
          <w:p w14:paraId="4DDB8030" w14:textId="77777777" w:rsidR="00942712" w:rsidRPr="0037547C" w:rsidRDefault="00942712" w:rsidP="00A23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81" w:type="dxa"/>
            <w:noWrap/>
            <w:hideMark/>
          </w:tcPr>
          <w:p w14:paraId="78D197B6" w14:textId="25B56CF8" w:rsidR="00942712" w:rsidRPr="0037547C" w:rsidRDefault="00942712" w:rsidP="00A23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% </w:t>
            </w:r>
            <w:r w:rsidR="00E54FF3"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Of</w:t>
            </w: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Callers</w:t>
            </w:r>
          </w:p>
        </w:tc>
      </w:tr>
      <w:tr w:rsidR="00942712" w:rsidRPr="002D7175" w14:paraId="3D336C34" w14:textId="77777777" w:rsidTr="0086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34CFFC79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Telephone</w:t>
            </w:r>
          </w:p>
        </w:tc>
        <w:tc>
          <w:tcPr>
            <w:tcW w:w="2718" w:type="dxa"/>
            <w:noWrap/>
            <w:hideMark/>
          </w:tcPr>
          <w:p w14:paraId="2A156DA6" w14:textId="15A1C64C" w:rsidR="00942712" w:rsidRPr="004D3E73" w:rsidRDefault="002F5959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  <w:r w:rsidR="00942712" w:rsidRPr="004D3E7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096</w:t>
            </w:r>
          </w:p>
        </w:tc>
        <w:tc>
          <w:tcPr>
            <w:tcW w:w="2481" w:type="dxa"/>
            <w:noWrap/>
          </w:tcPr>
          <w:p w14:paraId="131C3BEB" w14:textId="452E7358" w:rsidR="00942712" w:rsidRPr="004D3E73" w:rsidRDefault="002F5959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45.4</w:t>
            </w:r>
            <w:r w:rsidR="00942712" w:rsidRPr="004D3E73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42712" w:rsidRPr="002D7175" w14:paraId="17FAD502" w14:textId="77777777" w:rsidTr="008676D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78CAEBD1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Personal</w:t>
            </w:r>
          </w:p>
        </w:tc>
        <w:tc>
          <w:tcPr>
            <w:tcW w:w="2718" w:type="dxa"/>
            <w:noWrap/>
            <w:hideMark/>
          </w:tcPr>
          <w:p w14:paraId="1BC5A478" w14:textId="252F9713" w:rsidR="00942712" w:rsidRPr="004D3E73" w:rsidRDefault="00942712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4</w:t>
            </w:r>
            <w:r w:rsidR="00315809">
              <w:rPr>
                <w:rFonts w:ascii="Calibri" w:eastAsia="Times New Roman" w:hAnsi="Calibri" w:cs="Calibri"/>
                <w:color w:val="000000"/>
                <w:lang w:eastAsia="en-IE"/>
              </w:rPr>
              <w:t>8</w:t>
            </w: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,</w:t>
            </w:r>
            <w:r w:rsidR="002F5959">
              <w:rPr>
                <w:rFonts w:ascii="Calibri" w:eastAsia="Times New Roman" w:hAnsi="Calibri" w:cs="Calibri"/>
                <w:color w:val="000000"/>
                <w:lang w:eastAsia="en-IE"/>
              </w:rPr>
              <w:t>699</w:t>
            </w:r>
          </w:p>
        </w:tc>
        <w:tc>
          <w:tcPr>
            <w:tcW w:w="2481" w:type="dxa"/>
            <w:noWrap/>
          </w:tcPr>
          <w:p w14:paraId="084346AB" w14:textId="288CD2D1" w:rsidR="00942712" w:rsidRPr="004D3E73" w:rsidRDefault="002F5959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51.3</w:t>
            </w:r>
            <w:r w:rsidR="00942712" w:rsidRPr="004D3E73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42712" w:rsidRPr="002D7175" w14:paraId="244AD02E" w14:textId="77777777" w:rsidTr="0086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0CCA5AC3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Letter/Email</w:t>
            </w:r>
          </w:p>
        </w:tc>
        <w:tc>
          <w:tcPr>
            <w:tcW w:w="2718" w:type="dxa"/>
            <w:noWrap/>
            <w:hideMark/>
          </w:tcPr>
          <w:p w14:paraId="4A08A4AF" w14:textId="6F2660C2" w:rsidR="00942712" w:rsidRPr="004D3E73" w:rsidRDefault="00942712" w:rsidP="00E5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3,</w:t>
            </w:r>
            <w:r w:rsidR="002F5959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481" w:type="dxa"/>
            <w:noWrap/>
          </w:tcPr>
          <w:p w14:paraId="48A2B01B" w14:textId="3FE2D0FE" w:rsidR="00942712" w:rsidRPr="004D3E73" w:rsidRDefault="00942712" w:rsidP="00E5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3.</w:t>
            </w:r>
            <w:r w:rsidR="000B2348">
              <w:rPr>
                <w:rFonts w:ascii="Calibri" w:hAnsi="Calibri" w:cs="Calibri"/>
                <w:color w:val="000000"/>
              </w:rPr>
              <w:t>3</w:t>
            </w:r>
            <w:r w:rsidRPr="004D3E73"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14:paraId="65213C6A" w14:textId="77777777" w:rsidR="00942712" w:rsidRPr="004027EE" w:rsidRDefault="00942712" w:rsidP="00942712">
      <w:pPr>
        <w:rPr>
          <w:rFonts w:asciiTheme="minorHAnsi" w:hAnsiTheme="minorHAnsi" w:cstheme="minorHAnsi"/>
          <w:sz w:val="22"/>
          <w:szCs w:val="22"/>
        </w:rPr>
        <w:sectPr w:rsidR="00942712" w:rsidRPr="004027EE" w:rsidSect="00D5036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3493AB" w14:textId="77777777" w:rsidR="00942712" w:rsidRPr="0037547C" w:rsidRDefault="00942712" w:rsidP="00942712">
      <w:pPr>
        <w:pStyle w:val="Heading1"/>
        <w:rPr>
          <w:rFonts w:ascii="Tw Cen MT Condensed" w:hAnsi="Tw Cen MT Condensed"/>
          <w:b/>
          <w:sz w:val="28"/>
          <w:szCs w:val="28"/>
        </w:rPr>
      </w:pPr>
      <w:r w:rsidRPr="0037547C">
        <w:rPr>
          <w:rFonts w:ascii="Tw Cen MT Condensed" w:hAnsi="Tw Cen MT Condensed"/>
          <w:b/>
          <w:sz w:val="28"/>
          <w:szCs w:val="28"/>
        </w:rPr>
        <w:lastRenderedPageBreak/>
        <w:t xml:space="preserve">Query Summary </w:t>
      </w:r>
    </w:p>
    <w:p w14:paraId="3311B9EC" w14:textId="2252F1B8" w:rsidR="00942712" w:rsidRPr="004027EE" w:rsidRDefault="00942712" w:rsidP="00E40EC2">
      <w:pPr>
        <w:shd w:val="clear" w:color="auto" w:fill="FFFFFF" w:themeFill="background1"/>
        <w:jc w:val="both"/>
        <w:rPr>
          <w:sz w:val="22"/>
          <w:szCs w:val="22"/>
        </w:rPr>
        <w:sectPr w:rsidR="00942712" w:rsidRPr="004027EE" w:rsidSect="00D5036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4027EE">
        <w:rPr>
          <w:sz w:val="22"/>
          <w:szCs w:val="22"/>
        </w:rPr>
        <w:t>Services dealt with</w:t>
      </w:r>
      <w:r w:rsidR="002F5959">
        <w:rPr>
          <w:sz w:val="22"/>
          <w:szCs w:val="22"/>
        </w:rPr>
        <w:t xml:space="preserve"> </w:t>
      </w:r>
      <w:r w:rsidR="002F5959" w:rsidRPr="00405D15">
        <w:rPr>
          <w:b/>
          <w:sz w:val="22"/>
          <w:szCs w:val="22"/>
        </w:rPr>
        <w:t>188</w:t>
      </w:r>
      <w:r w:rsidRPr="004027EE">
        <w:rPr>
          <w:b/>
          <w:sz w:val="22"/>
          <w:szCs w:val="22"/>
        </w:rPr>
        <w:t>,</w:t>
      </w:r>
      <w:r w:rsidR="002F5959">
        <w:rPr>
          <w:b/>
          <w:sz w:val="22"/>
          <w:szCs w:val="22"/>
        </w:rPr>
        <w:t>949</w:t>
      </w:r>
      <w:r w:rsidRPr="004027EE">
        <w:rPr>
          <w:sz w:val="22"/>
          <w:szCs w:val="22"/>
        </w:rPr>
        <w:t xml:space="preserve"> queries during </w:t>
      </w:r>
      <w:r w:rsidR="00922A7C">
        <w:rPr>
          <w:sz w:val="22"/>
          <w:szCs w:val="22"/>
        </w:rPr>
        <w:t>Q</w:t>
      </w:r>
      <w:r w:rsidR="00447C57">
        <w:rPr>
          <w:sz w:val="22"/>
          <w:szCs w:val="22"/>
        </w:rPr>
        <w:t xml:space="preserve"> </w:t>
      </w:r>
      <w:r w:rsidR="00922A7C">
        <w:rPr>
          <w:sz w:val="22"/>
          <w:szCs w:val="22"/>
        </w:rPr>
        <w:t>4</w:t>
      </w:r>
      <w:r w:rsidRPr="004027EE">
        <w:rPr>
          <w:sz w:val="22"/>
          <w:szCs w:val="22"/>
        </w:rPr>
        <w:t xml:space="preserve"> 2022, an </w:t>
      </w:r>
      <w:r w:rsidRPr="004027EE">
        <w:rPr>
          <w:b/>
          <w:sz w:val="22"/>
          <w:szCs w:val="22"/>
        </w:rPr>
        <w:t xml:space="preserve">increase of </w:t>
      </w:r>
      <w:r w:rsidR="00712C54">
        <w:rPr>
          <w:b/>
          <w:sz w:val="22"/>
          <w:szCs w:val="22"/>
        </w:rPr>
        <w:t>19.8</w:t>
      </w:r>
      <w:r w:rsidRPr="004027EE">
        <w:rPr>
          <w:b/>
          <w:sz w:val="22"/>
          <w:szCs w:val="22"/>
        </w:rPr>
        <w:t>%</w:t>
      </w:r>
      <w:r w:rsidRPr="004027EE">
        <w:rPr>
          <w:sz w:val="22"/>
          <w:szCs w:val="22"/>
        </w:rPr>
        <w:t xml:space="preserve"> on the same period in 2021. There was a rise in the ratio of queries to callers, at </w:t>
      </w:r>
      <w:r w:rsidR="007C1E2A">
        <w:rPr>
          <w:sz w:val="22"/>
          <w:szCs w:val="22"/>
        </w:rPr>
        <w:t>1.99</w:t>
      </w:r>
      <w:r w:rsidR="00BE49F1">
        <w:rPr>
          <w:sz w:val="22"/>
          <w:szCs w:val="22"/>
        </w:rPr>
        <w:t xml:space="preserve"> </w:t>
      </w:r>
      <w:r w:rsidRPr="004027EE">
        <w:rPr>
          <w:b/>
          <w:sz w:val="22"/>
          <w:szCs w:val="22"/>
        </w:rPr>
        <w:t>queries per caller</w:t>
      </w:r>
      <w:r w:rsidRPr="004027EE">
        <w:rPr>
          <w:sz w:val="22"/>
          <w:szCs w:val="22"/>
        </w:rPr>
        <w:t xml:space="preserve"> compared with </w:t>
      </w:r>
      <w:r w:rsidRPr="004027EE">
        <w:rPr>
          <w:sz w:val="22"/>
          <w:szCs w:val="22"/>
          <w:lang w:val="en-US"/>
        </w:rPr>
        <w:t>1.9</w:t>
      </w:r>
      <w:r w:rsidR="00373090">
        <w:rPr>
          <w:sz w:val="22"/>
          <w:szCs w:val="22"/>
          <w:lang w:val="en-US"/>
        </w:rPr>
        <w:t>6</w:t>
      </w:r>
      <w:r w:rsidRPr="004027EE">
        <w:rPr>
          <w:sz w:val="22"/>
          <w:szCs w:val="22"/>
          <w:lang w:val="en-US"/>
        </w:rPr>
        <w:t xml:space="preserve"> </w:t>
      </w:r>
      <w:r w:rsidRPr="004027EE">
        <w:rPr>
          <w:sz w:val="22"/>
          <w:szCs w:val="22"/>
        </w:rPr>
        <w:t xml:space="preserve">in </w:t>
      </w:r>
      <w:r w:rsidR="00922A7C">
        <w:rPr>
          <w:sz w:val="22"/>
          <w:szCs w:val="22"/>
        </w:rPr>
        <w:t>Q4</w:t>
      </w:r>
      <w:r w:rsidRPr="004027EE">
        <w:rPr>
          <w:sz w:val="22"/>
          <w:szCs w:val="22"/>
        </w:rPr>
        <w:t xml:space="preserve"> 2021. Of these queries recorded by CISs, </w:t>
      </w:r>
      <w:r w:rsidR="00373090">
        <w:rPr>
          <w:sz w:val="22"/>
          <w:szCs w:val="22"/>
        </w:rPr>
        <w:t>5</w:t>
      </w:r>
      <w:r w:rsidR="008626E8">
        <w:rPr>
          <w:sz w:val="22"/>
          <w:szCs w:val="22"/>
        </w:rPr>
        <w:t>0.9</w:t>
      </w:r>
      <w:r w:rsidRPr="004027EE">
        <w:rPr>
          <w:sz w:val="22"/>
          <w:szCs w:val="22"/>
        </w:rPr>
        <w:t>% were related to Social Welfare rights and entitlements (</w:t>
      </w:r>
      <w:r w:rsidR="00373090">
        <w:rPr>
          <w:rFonts w:eastAsia="Times New Roman"/>
          <w:sz w:val="22"/>
          <w:szCs w:val="22"/>
          <w:lang w:eastAsia="en-IE"/>
        </w:rPr>
        <w:t>96,121</w:t>
      </w:r>
      <w:r w:rsidRPr="004027EE">
        <w:rPr>
          <w:rFonts w:eastAsia="Times New Roman"/>
          <w:sz w:val="22"/>
          <w:szCs w:val="22"/>
          <w:lang w:eastAsia="en-IE"/>
        </w:rPr>
        <w:t xml:space="preserve"> </w:t>
      </w:r>
      <w:r w:rsidRPr="004027EE">
        <w:rPr>
          <w:sz w:val="22"/>
          <w:szCs w:val="22"/>
        </w:rPr>
        <w:t>queries) followed by Housing 9</w:t>
      </w:r>
      <w:r w:rsidR="00D145BB">
        <w:rPr>
          <w:sz w:val="22"/>
          <w:szCs w:val="22"/>
        </w:rPr>
        <w:t>.2</w:t>
      </w:r>
      <w:r w:rsidRPr="004027EE">
        <w:rPr>
          <w:sz w:val="22"/>
          <w:szCs w:val="22"/>
        </w:rPr>
        <w:t xml:space="preserve">% </w:t>
      </w:r>
      <w:r w:rsidR="00373090">
        <w:rPr>
          <w:sz w:val="22"/>
          <w:szCs w:val="22"/>
        </w:rPr>
        <w:t>(17,345</w:t>
      </w:r>
      <w:r w:rsidRPr="004027EE">
        <w:rPr>
          <w:sz w:val="22"/>
          <w:szCs w:val="22"/>
        </w:rPr>
        <w:t>) and Health 7</w:t>
      </w:r>
      <w:r w:rsidR="00287118">
        <w:rPr>
          <w:sz w:val="22"/>
          <w:szCs w:val="22"/>
        </w:rPr>
        <w:t>.0</w:t>
      </w:r>
      <w:r w:rsidRPr="004027EE">
        <w:rPr>
          <w:sz w:val="22"/>
          <w:szCs w:val="22"/>
        </w:rPr>
        <w:t>% (1</w:t>
      </w:r>
      <w:r w:rsidR="00373090">
        <w:rPr>
          <w:sz w:val="22"/>
          <w:szCs w:val="22"/>
        </w:rPr>
        <w:t>3</w:t>
      </w:r>
      <w:r w:rsidRPr="004027EE">
        <w:rPr>
          <w:sz w:val="22"/>
          <w:szCs w:val="22"/>
        </w:rPr>
        <w:t>,</w:t>
      </w:r>
      <w:r w:rsidR="00373090">
        <w:rPr>
          <w:sz w:val="22"/>
          <w:szCs w:val="22"/>
        </w:rPr>
        <w:t>229</w:t>
      </w:r>
      <w:r w:rsidRPr="004027EE">
        <w:rPr>
          <w:sz w:val="22"/>
          <w:szCs w:val="22"/>
        </w:rPr>
        <w:t xml:space="preserve">). The following tables set out the </w:t>
      </w:r>
      <w:r w:rsidR="00E40EC2">
        <w:rPr>
          <w:sz w:val="22"/>
          <w:szCs w:val="22"/>
        </w:rPr>
        <w:t xml:space="preserve">query breakdown </w:t>
      </w:r>
      <w:r w:rsidRPr="004027EE">
        <w:rPr>
          <w:sz w:val="22"/>
          <w:szCs w:val="22"/>
        </w:rPr>
        <w:t>data in relation to the range of queries received from the public. Table 4, below, sets out the number of queries received across high-level category areas.  Table 5 provides a breakdown of the single payments, schemes, or entitlements with the highest number of queries overall in this quarter.</w:t>
      </w:r>
      <w:r w:rsidR="00F84019">
        <w:rPr>
          <w:sz w:val="22"/>
          <w:szCs w:val="22"/>
        </w:rPr>
        <w:t xml:space="preserve"> Fuel Allowance surpassed queries regarding medical cards queries for the first time,</w:t>
      </w:r>
      <w:r w:rsidR="00A263F0">
        <w:rPr>
          <w:sz w:val="22"/>
          <w:szCs w:val="22"/>
        </w:rPr>
        <w:t xml:space="preserve"> -</w:t>
      </w:r>
      <w:r w:rsidR="00F84019">
        <w:rPr>
          <w:sz w:val="22"/>
          <w:szCs w:val="22"/>
        </w:rPr>
        <w:t xml:space="preserve">this highlights that people are </w:t>
      </w:r>
      <w:r w:rsidR="000502ED">
        <w:rPr>
          <w:sz w:val="22"/>
          <w:szCs w:val="22"/>
        </w:rPr>
        <w:t xml:space="preserve">continuing to </w:t>
      </w:r>
      <w:r w:rsidR="00F84019">
        <w:rPr>
          <w:sz w:val="22"/>
          <w:szCs w:val="22"/>
        </w:rPr>
        <w:t>struggl</w:t>
      </w:r>
      <w:r w:rsidR="000502ED">
        <w:rPr>
          <w:sz w:val="22"/>
          <w:szCs w:val="22"/>
        </w:rPr>
        <w:t xml:space="preserve">e </w:t>
      </w:r>
      <w:r w:rsidR="00B02B94">
        <w:rPr>
          <w:sz w:val="22"/>
          <w:szCs w:val="22"/>
        </w:rPr>
        <w:t>during the</w:t>
      </w:r>
      <w:r w:rsidR="005A0023">
        <w:rPr>
          <w:sz w:val="22"/>
          <w:szCs w:val="22"/>
        </w:rPr>
        <w:t xml:space="preserve"> ongoing</w:t>
      </w:r>
      <w:r w:rsidR="00725EFC">
        <w:rPr>
          <w:sz w:val="22"/>
          <w:szCs w:val="22"/>
        </w:rPr>
        <w:t xml:space="preserve"> </w:t>
      </w:r>
      <w:r w:rsidR="00B02B94">
        <w:rPr>
          <w:sz w:val="22"/>
          <w:szCs w:val="22"/>
        </w:rPr>
        <w:t>cost of living crisis.</w:t>
      </w:r>
    </w:p>
    <w:p w14:paraId="4A16726B" w14:textId="063EDC37" w:rsidR="00942712" w:rsidRPr="0037547C" w:rsidRDefault="00942712" w:rsidP="00942712">
      <w:pPr>
        <w:pStyle w:val="Heading1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Table 4 - Query Profile </w:t>
      </w:r>
      <w:r w:rsidR="00922A7C">
        <w:rPr>
          <w:rFonts w:ascii="Tw Cen MT Condensed" w:eastAsia="Times New Roman" w:hAnsi="Tw Cen MT Condensed"/>
          <w:b/>
          <w:sz w:val="24"/>
          <w:szCs w:val="24"/>
          <w:lang w:eastAsia="en-IE"/>
        </w:rPr>
        <w:t>Q4</w:t>
      </w: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2022 High-level</w:t>
      </w:r>
    </w:p>
    <w:tbl>
      <w:tblPr>
        <w:tblStyle w:val="GridTable5Dark-Accent6"/>
        <w:tblW w:w="5922" w:type="dxa"/>
        <w:tblLook w:val="04A0" w:firstRow="1" w:lastRow="0" w:firstColumn="1" w:lastColumn="0" w:noHBand="0" w:noVBand="1"/>
      </w:tblPr>
      <w:tblGrid>
        <w:gridCol w:w="2622"/>
        <w:gridCol w:w="1650"/>
        <w:gridCol w:w="1650"/>
      </w:tblGrid>
      <w:tr w:rsidR="00942712" w:rsidRPr="00B12326" w14:paraId="4B33B67E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hideMark/>
          </w:tcPr>
          <w:p w14:paraId="5A304AFC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Query Category</w:t>
            </w:r>
          </w:p>
        </w:tc>
        <w:tc>
          <w:tcPr>
            <w:tcW w:w="1650" w:type="dxa"/>
            <w:hideMark/>
          </w:tcPr>
          <w:p w14:paraId="09B996C4" w14:textId="43A44A23" w:rsidR="00942712" w:rsidRPr="009F383A" w:rsidRDefault="00942712" w:rsidP="00315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# </w:t>
            </w:r>
            <w:r w:rsidR="00315809"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Of</w:t>
            </w: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Queries</w:t>
            </w:r>
          </w:p>
        </w:tc>
        <w:tc>
          <w:tcPr>
            <w:tcW w:w="1650" w:type="dxa"/>
            <w:hideMark/>
          </w:tcPr>
          <w:p w14:paraId="2FD9A24A" w14:textId="3D5BDAA9" w:rsidR="00942712" w:rsidRPr="009F383A" w:rsidRDefault="00942712" w:rsidP="00315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% </w:t>
            </w:r>
            <w:r w:rsidR="00315809"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Of</w:t>
            </w: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all Queries</w:t>
            </w:r>
          </w:p>
        </w:tc>
      </w:tr>
      <w:tr w:rsidR="00373090" w:rsidRPr="00B12326" w14:paraId="6A2A191A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19ECCFCD" w14:textId="6E8D2821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Social Welfare</w:t>
            </w:r>
          </w:p>
        </w:tc>
        <w:tc>
          <w:tcPr>
            <w:tcW w:w="1650" w:type="dxa"/>
            <w:noWrap/>
            <w:vAlign w:val="bottom"/>
            <w:hideMark/>
          </w:tcPr>
          <w:p w14:paraId="2CEC9EA6" w14:textId="7784A54C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96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1650" w:type="dxa"/>
            <w:noWrap/>
            <w:vAlign w:val="bottom"/>
            <w:hideMark/>
          </w:tcPr>
          <w:p w14:paraId="0C8F2278" w14:textId="2D81ACD9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50.</w:t>
            </w:r>
            <w:r w:rsidR="002C1074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373090" w:rsidRPr="00B12326" w14:paraId="1C02DD3B" w14:textId="77777777" w:rsidTr="00EE0DC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6C11ED88" w14:textId="71CB2A9F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Housing</w:t>
            </w:r>
          </w:p>
        </w:tc>
        <w:tc>
          <w:tcPr>
            <w:tcW w:w="1650" w:type="dxa"/>
            <w:noWrap/>
            <w:vAlign w:val="bottom"/>
            <w:hideMark/>
          </w:tcPr>
          <w:p w14:paraId="06D27A9D" w14:textId="36C642C1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17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345</w:t>
            </w:r>
          </w:p>
        </w:tc>
        <w:tc>
          <w:tcPr>
            <w:tcW w:w="1650" w:type="dxa"/>
            <w:noWrap/>
            <w:vAlign w:val="bottom"/>
            <w:hideMark/>
          </w:tcPr>
          <w:p w14:paraId="53B6846B" w14:textId="77B14DCB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  <w:r w:rsidR="002C107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373090" w:rsidRPr="00B12326" w14:paraId="25720463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34EDEA8A" w14:textId="173A46CB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Health</w:t>
            </w:r>
          </w:p>
        </w:tc>
        <w:tc>
          <w:tcPr>
            <w:tcW w:w="1650" w:type="dxa"/>
            <w:noWrap/>
            <w:vAlign w:val="bottom"/>
            <w:hideMark/>
          </w:tcPr>
          <w:p w14:paraId="264B7C43" w14:textId="6EFBC08D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13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229</w:t>
            </w:r>
          </w:p>
        </w:tc>
        <w:tc>
          <w:tcPr>
            <w:tcW w:w="1650" w:type="dxa"/>
            <w:noWrap/>
            <w:vAlign w:val="bottom"/>
            <w:hideMark/>
          </w:tcPr>
          <w:p w14:paraId="38EADECC" w14:textId="08CBDC15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7.0%</w:t>
            </w:r>
          </w:p>
        </w:tc>
      </w:tr>
      <w:tr w:rsidR="00373090" w:rsidRPr="00B12326" w14:paraId="67D5754B" w14:textId="77777777" w:rsidTr="00EE0DCE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221F205C" w14:textId="5F329992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Local</w:t>
            </w:r>
          </w:p>
        </w:tc>
        <w:tc>
          <w:tcPr>
            <w:tcW w:w="1650" w:type="dxa"/>
            <w:noWrap/>
            <w:vAlign w:val="bottom"/>
            <w:hideMark/>
          </w:tcPr>
          <w:p w14:paraId="1F292D76" w14:textId="4B16C447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12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023</w:t>
            </w:r>
          </w:p>
        </w:tc>
        <w:tc>
          <w:tcPr>
            <w:tcW w:w="1650" w:type="dxa"/>
            <w:noWrap/>
            <w:vAlign w:val="bottom"/>
            <w:hideMark/>
          </w:tcPr>
          <w:p w14:paraId="09C1B8A6" w14:textId="3C2C1FBF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  <w:r w:rsidR="002C1074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373090" w:rsidRPr="00B12326" w14:paraId="2AB9B3D9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0301B8E8" w14:textId="6438E14E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Money and Tax</w:t>
            </w:r>
          </w:p>
        </w:tc>
        <w:tc>
          <w:tcPr>
            <w:tcW w:w="1650" w:type="dxa"/>
            <w:noWrap/>
            <w:vAlign w:val="bottom"/>
            <w:hideMark/>
          </w:tcPr>
          <w:p w14:paraId="741F5D04" w14:textId="4374B6BA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10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918</w:t>
            </w:r>
          </w:p>
        </w:tc>
        <w:tc>
          <w:tcPr>
            <w:tcW w:w="1650" w:type="dxa"/>
            <w:noWrap/>
            <w:vAlign w:val="bottom"/>
            <w:hideMark/>
          </w:tcPr>
          <w:p w14:paraId="72406042" w14:textId="158AC2AE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  <w:r w:rsidR="002C1074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373090" w:rsidRPr="00B12326" w14:paraId="0B00E405" w14:textId="77777777" w:rsidTr="00EE0DC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313546A7" w14:textId="2A66BFA9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Employment</w:t>
            </w:r>
          </w:p>
        </w:tc>
        <w:tc>
          <w:tcPr>
            <w:tcW w:w="1650" w:type="dxa"/>
            <w:noWrap/>
            <w:vAlign w:val="bottom"/>
            <w:hideMark/>
          </w:tcPr>
          <w:p w14:paraId="63E43EB2" w14:textId="6F92DCBA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10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574</w:t>
            </w:r>
          </w:p>
        </w:tc>
        <w:tc>
          <w:tcPr>
            <w:tcW w:w="1650" w:type="dxa"/>
            <w:noWrap/>
            <w:vAlign w:val="bottom"/>
            <w:hideMark/>
          </w:tcPr>
          <w:p w14:paraId="46461E30" w14:textId="2A4CB002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5.6%</w:t>
            </w:r>
          </w:p>
        </w:tc>
      </w:tr>
      <w:tr w:rsidR="00373090" w:rsidRPr="00B12326" w14:paraId="5C57F259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3C38395B" w14:textId="477F746B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Moving Country</w:t>
            </w:r>
          </w:p>
        </w:tc>
        <w:tc>
          <w:tcPr>
            <w:tcW w:w="1650" w:type="dxa"/>
            <w:noWrap/>
            <w:vAlign w:val="bottom"/>
            <w:hideMark/>
          </w:tcPr>
          <w:p w14:paraId="53FD31F9" w14:textId="702ABFA2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8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459</w:t>
            </w:r>
          </w:p>
        </w:tc>
        <w:tc>
          <w:tcPr>
            <w:tcW w:w="1650" w:type="dxa"/>
            <w:noWrap/>
            <w:vAlign w:val="bottom"/>
            <w:hideMark/>
          </w:tcPr>
          <w:p w14:paraId="3372F619" w14:textId="7224E94E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  <w:r w:rsidR="002C1074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373090" w:rsidRPr="00B12326" w14:paraId="47AA87DC" w14:textId="77777777" w:rsidTr="00EE0DC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34F9354C" w14:textId="08272BED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Justice</w:t>
            </w:r>
          </w:p>
        </w:tc>
        <w:tc>
          <w:tcPr>
            <w:tcW w:w="1650" w:type="dxa"/>
            <w:noWrap/>
            <w:vAlign w:val="bottom"/>
            <w:hideMark/>
          </w:tcPr>
          <w:p w14:paraId="577E6CD7" w14:textId="330691A1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3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868</w:t>
            </w:r>
          </w:p>
        </w:tc>
        <w:tc>
          <w:tcPr>
            <w:tcW w:w="1650" w:type="dxa"/>
            <w:noWrap/>
            <w:vAlign w:val="bottom"/>
            <w:hideMark/>
          </w:tcPr>
          <w:p w14:paraId="282251D8" w14:textId="03EA6B58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  <w:r w:rsidR="002C107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373090" w:rsidRPr="00B12326" w14:paraId="579D6D2D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742AEC31" w14:textId="0D3BF574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Travel and Recreation</w:t>
            </w:r>
          </w:p>
        </w:tc>
        <w:tc>
          <w:tcPr>
            <w:tcW w:w="1650" w:type="dxa"/>
            <w:noWrap/>
            <w:vAlign w:val="bottom"/>
            <w:hideMark/>
          </w:tcPr>
          <w:p w14:paraId="2DB41BDF" w14:textId="1E0D96FF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3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809</w:t>
            </w:r>
          </w:p>
        </w:tc>
        <w:tc>
          <w:tcPr>
            <w:tcW w:w="1650" w:type="dxa"/>
            <w:noWrap/>
            <w:vAlign w:val="bottom"/>
            <w:hideMark/>
          </w:tcPr>
          <w:p w14:paraId="719E0E74" w14:textId="744FFBEB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2.0%</w:t>
            </w:r>
          </w:p>
        </w:tc>
      </w:tr>
      <w:tr w:rsidR="00373090" w:rsidRPr="00B12326" w14:paraId="254A3CF8" w14:textId="77777777" w:rsidTr="00EE0DC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4D724D0F" w14:textId="5F7AB930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Birth, Family and Relationships</w:t>
            </w:r>
          </w:p>
        </w:tc>
        <w:tc>
          <w:tcPr>
            <w:tcW w:w="1650" w:type="dxa"/>
            <w:noWrap/>
            <w:vAlign w:val="bottom"/>
            <w:hideMark/>
          </w:tcPr>
          <w:p w14:paraId="35032000" w14:textId="0A666F62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3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724</w:t>
            </w:r>
          </w:p>
        </w:tc>
        <w:tc>
          <w:tcPr>
            <w:tcW w:w="1650" w:type="dxa"/>
            <w:noWrap/>
            <w:vAlign w:val="bottom"/>
            <w:hideMark/>
          </w:tcPr>
          <w:p w14:paraId="53EF7AE3" w14:textId="232AA196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1.9%</w:t>
            </w:r>
          </w:p>
        </w:tc>
      </w:tr>
      <w:tr w:rsidR="00373090" w:rsidRPr="00B12326" w14:paraId="4C434DBD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2C11BC27" w14:textId="085882C6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Consumer Affairs</w:t>
            </w:r>
          </w:p>
        </w:tc>
        <w:tc>
          <w:tcPr>
            <w:tcW w:w="1650" w:type="dxa"/>
            <w:noWrap/>
            <w:vAlign w:val="bottom"/>
            <w:hideMark/>
          </w:tcPr>
          <w:p w14:paraId="3F6BF7A3" w14:textId="16CBC5AA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3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1650" w:type="dxa"/>
            <w:noWrap/>
            <w:vAlign w:val="bottom"/>
            <w:hideMark/>
          </w:tcPr>
          <w:p w14:paraId="2C080F65" w14:textId="76B86812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 w:rsidR="002C107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373090" w:rsidRPr="00B12326" w14:paraId="4CE6A950" w14:textId="77777777" w:rsidTr="00EE0DC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4D0A2067" w14:textId="2660DB77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Education and Training</w:t>
            </w:r>
          </w:p>
        </w:tc>
        <w:tc>
          <w:tcPr>
            <w:tcW w:w="1650" w:type="dxa"/>
            <w:noWrap/>
            <w:vAlign w:val="bottom"/>
            <w:hideMark/>
          </w:tcPr>
          <w:p w14:paraId="1889F9F8" w14:textId="226AD40A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2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701</w:t>
            </w:r>
          </w:p>
        </w:tc>
        <w:tc>
          <w:tcPr>
            <w:tcW w:w="1650" w:type="dxa"/>
            <w:noWrap/>
            <w:vAlign w:val="bottom"/>
            <w:hideMark/>
          </w:tcPr>
          <w:p w14:paraId="00475DD0" w14:textId="0ED58A17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1.4%</w:t>
            </w:r>
          </w:p>
        </w:tc>
      </w:tr>
      <w:tr w:rsidR="00373090" w:rsidRPr="00B12326" w14:paraId="51FD3D24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47FA371B" w14:textId="0BFE294F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Death and Bereavement</w:t>
            </w:r>
          </w:p>
        </w:tc>
        <w:tc>
          <w:tcPr>
            <w:tcW w:w="1650" w:type="dxa"/>
            <w:noWrap/>
            <w:vAlign w:val="bottom"/>
            <w:hideMark/>
          </w:tcPr>
          <w:p w14:paraId="6520F540" w14:textId="77554FD5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299</w:t>
            </w:r>
          </w:p>
        </w:tc>
        <w:tc>
          <w:tcPr>
            <w:tcW w:w="1650" w:type="dxa"/>
            <w:noWrap/>
            <w:vAlign w:val="bottom"/>
            <w:hideMark/>
          </w:tcPr>
          <w:p w14:paraId="3C6D8E6A" w14:textId="470CD861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0.</w:t>
            </w:r>
            <w:r w:rsidR="002C1074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373090" w:rsidRPr="00B12326" w14:paraId="781E02AC" w14:textId="77777777" w:rsidTr="00EE0DC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7B1F769A" w14:textId="3EAB933E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Government in Ireland</w:t>
            </w:r>
          </w:p>
        </w:tc>
        <w:tc>
          <w:tcPr>
            <w:tcW w:w="1650" w:type="dxa"/>
            <w:noWrap/>
            <w:vAlign w:val="bottom"/>
            <w:hideMark/>
          </w:tcPr>
          <w:p w14:paraId="0115DAB3" w14:textId="1EE4942B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</w:t>
            </w:r>
            <w:r w:rsidR="008676D6"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139</w:t>
            </w:r>
          </w:p>
        </w:tc>
        <w:tc>
          <w:tcPr>
            <w:tcW w:w="1650" w:type="dxa"/>
            <w:noWrap/>
            <w:vAlign w:val="bottom"/>
            <w:hideMark/>
          </w:tcPr>
          <w:p w14:paraId="3E73B61B" w14:textId="7726DA9D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0.6%</w:t>
            </w:r>
          </w:p>
        </w:tc>
      </w:tr>
      <w:tr w:rsidR="00373090" w:rsidRPr="00B12326" w14:paraId="1B0AE63B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3259761F" w14:textId="480EC837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Covid 19</w:t>
            </w:r>
          </w:p>
        </w:tc>
        <w:tc>
          <w:tcPr>
            <w:tcW w:w="1650" w:type="dxa"/>
            <w:noWrap/>
            <w:vAlign w:val="bottom"/>
            <w:hideMark/>
          </w:tcPr>
          <w:p w14:paraId="2D1563FF" w14:textId="1A858048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311</w:t>
            </w:r>
          </w:p>
        </w:tc>
        <w:tc>
          <w:tcPr>
            <w:tcW w:w="1650" w:type="dxa"/>
            <w:noWrap/>
            <w:vAlign w:val="bottom"/>
            <w:hideMark/>
          </w:tcPr>
          <w:p w14:paraId="28A9F439" w14:textId="3D526C2E" w:rsidR="00373090" w:rsidRPr="00373090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0.</w:t>
            </w:r>
            <w:r w:rsidR="002C1074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373090" w:rsidRPr="00B12326" w14:paraId="40854DFF" w14:textId="77777777" w:rsidTr="00EE0DC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vAlign w:val="bottom"/>
            <w:hideMark/>
          </w:tcPr>
          <w:p w14:paraId="0C2F2FC4" w14:textId="4B00D040" w:rsidR="00373090" w:rsidRPr="00373090" w:rsidRDefault="0037309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Environment</w:t>
            </w:r>
          </w:p>
        </w:tc>
        <w:tc>
          <w:tcPr>
            <w:tcW w:w="1650" w:type="dxa"/>
            <w:noWrap/>
            <w:vAlign w:val="bottom"/>
            <w:hideMark/>
          </w:tcPr>
          <w:p w14:paraId="09482CE0" w14:textId="0ED9B7DD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272</w:t>
            </w:r>
          </w:p>
        </w:tc>
        <w:tc>
          <w:tcPr>
            <w:tcW w:w="1650" w:type="dxa"/>
            <w:noWrap/>
            <w:vAlign w:val="bottom"/>
            <w:hideMark/>
          </w:tcPr>
          <w:p w14:paraId="30EE4978" w14:textId="32CA5AE7" w:rsidR="00373090" w:rsidRPr="00373090" w:rsidRDefault="0037309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0.1%</w:t>
            </w:r>
          </w:p>
        </w:tc>
      </w:tr>
      <w:tr w:rsidR="00942712" w:rsidRPr="00B12326" w14:paraId="15AA251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550DFB77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650" w:type="dxa"/>
            <w:noWrap/>
          </w:tcPr>
          <w:p w14:paraId="1474D72E" w14:textId="47FCF93E" w:rsidR="00942712" w:rsidRPr="009F383A" w:rsidRDefault="0037309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188,949</w:t>
            </w:r>
          </w:p>
        </w:tc>
        <w:tc>
          <w:tcPr>
            <w:tcW w:w="1650" w:type="dxa"/>
            <w:noWrap/>
            <w:hideMark/>
          </w:tcPr>
          <w:p w14:paraId="616FB61B" w14:textId="77777777" w:rsidR="00942712" w:rsidRPr="009F383A" w:rsidRDefault="00942712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b/>
                <w:bCs/>
                <w:sz w:val="18"/>
                <w:szCs w:val="18"/>
              </w:rPr>
              <w:t>100%</w:t>
            </w:r>
          </w:p>
        </w:tc>
      </w:tr>
    </w:tbl>
    <w:p w14:paraId="3B5CCF4C" w14:textId="01B99E02" w:rsidR="00942712" w:rsidRPr="00B64CC1" w:rsidRDefault="00942712" w:rsidP="00942712">
      <w:pPr>
        <w:pStyle w:val="Heading1"/>
        <w:spacing w:before="0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B64CC1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Table 5 - Top-Ten Single Payments or Schemes, </w:t>
      </w:r>
      <w:r w:rsidR="00922A7C" w:rsidRPr="00B64CC1">
        <w:rPr>
          <w:rFonts w:ascii="Tw Cen MT Condensed" w:eastAsia="Times New Roman" w:hAnsi="Tw Cen MT Condensed"/>
          <w:b/>
          <w:sz w:val="24"/>
          <w:szCs w:val="24"/>
          <w:lang w:eastAsia="en-IE"/>
        </w:rPr>
        <w:t>Q4</w:t>
      </w:r>
      <w:r w:rsidRPr="00B64CC1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2022</w:t>
      </w:r>
    </w:p>
    <w:tbl>
      <w:tblPr>
        <w:tblStyle w:val="GridTable5Dark-Accent6"/>
        <w:tblW w:w="6658" w:type="dxa"/>
        <w:tblLook w:val="04A0" w:firstRow="1" w:lastRow="0" w:firstColumn="1" w:lastColumn="0" w:noHBand="0" w:noVBand="1"/>
      </w:tblPr>
      <w:tblGrid>
        <w:gridCol w:w="437"/>
        <w:gridCol w:w="2115"/>
        <w:gridCol w:w="1903"/>
        <w:gridCol w:w="927"/>
        <w:gridCol w:w="1276"/>
      </w:tblGrid>
      <w:tr w:rsidR="00373090" w:rsidRPr="00373090" w14:paraId="1E1EB847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5"/>
            <w:hideMark/>
          </w:tcPr>
          <w:p w14:paraId="72897371" w14:textId="216A7F00" w:rsidR="00942712" w:rsidRPr="00373090" w:rsidRDefault="00942712" w:rsidP="00B64C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FF0000"/>
                <w:lang w:eastAsia="en-IE"/>
              </w:rPr>
            </w:pPr>
            <w:r w:rsidRPr="00B64CC1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  <w:t xml:space="preserve">Top Ten Single Payment or Schemes </w:t>
            </w:r>
            <w:r w:rsidR="00922A7C" w:rsidRPr="00B64CC1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  <w:t>Q4</w:t>
            </w:r>
            <w:r w:rsidRPr="00B64CC1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  <w:t>, 2022</w:t>
            </w:r>
          </w:p>
        </w:tc>
      </w:tr>
      <w:tr w:rsidR="00942712" w:rsidRPr="009F383A" w14:paraId="18A96E94" w14:textId="77777777" w:rsidTr="00B64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1B9049F2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</w:p>
        </w:tc>
        <w:tc>
          <w:tcPr>
            <w:tcW w:w="2115" w:type="dxa"/>
            <w:shd w:val="clear" w:color="auto" w:fill="62A39F" w:themeFill="accent6"/>
            <w:hideMark/>
          </w:tcPr>
          <w:p w14:paraId="09718DB4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Category</w:t>
            </w:r>
          </w:p>
        </w:tc>
        <w:tc>
          <w:tcPr>
            <w:tcW w:w="1903" w:type="dxa"/>
            <w:shd w:val="clear" w:color="auto" w:fill="62A39F" w:themeFill="accent6"/>
            <w:hideMark/>
          </w:tcPr>
          <w:p w14:paraId="6455DC20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Single Payment or Scheme</w:t>
            </w:r>
          </w:p>
        </w:tc>
        <w:tc>
          <w:tcPr>
            <w:tcW w:w="927" w:type="dxa"/>
            <w:shd w:val="clear" w:color="auto" w:fill="62A39F" w:themeFill="accent6"/>
            <w:hideMark/>
          </w:tcPr>
          <w:p w14:paraId="4CEA9822" w14:textId="3ADCA2AB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# </w:t>
            </w:r>
            <w:r w:rsidR="00315809"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Of</w:t>
            </w: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Queries</w:t>
            </w:r>
          </w:p>
        </w:tc>
        <w:tc>
          <w:tcPr>
            <w:tcW w:w="1276" w:type="dxa"/>
            <w:shd w:val="clear" w:color="auto" w:fill="62A39F" w:themeFill="accent6"/>
            <w:hideMark/>
          </w:tcPr>
          <w:p w14:paraId="5EDB2864" w14:textId="23B25BAD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% </w:t>
            </w:r>
            <w:r w:rsidR="00315809"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Of</w:t>
            </w: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Top Ten Queries</w:t>
            </w:r>
          </w:p>
        </w:tc>
      </w:tr>
      <w:tr w:rsidR="00B64CC1" w:rsidRPr="009F383A" w14:paraId="23FD88DF" w14:textId="77777777" w:rsidTr="00B64CC1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</w:tcPr>
          <w:p w14:paraId="692390C9" w14:textId="647E5544" w:rsidR="00B64CC1" w:rsidRPr="009F383A" w:rsidRDefault="00B64CC1" w:rsidP="00B64CC1">
            <w:pPr>
              <w:rPr>
                <w:rFonts w:eastAsia="Times New Roman"/>
                <w:sz w:val="18"/>
                <w:szCs w:val="18"/>
                <w:lang w:eastAsia="en-IE"/>
              </w:rPr>
            </w:pPr>
            <w:r w:rsidRPr="00B64C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115" w:type="dxa"/>
            <w:vAlign w:val="bottom"/>
          </w:tcPr>
          <w:p w14:paraId="147668DB" w14:textId="53C730AA" w:rsidR="00B64CC1" w:rsidRPr="009F383A" w:rsidRDefault="00B64CC1" w:rsidP="00B6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Extra 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Social Welfare </w:t>
            </w: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Benefits</w:t>
            </w:r>
          </w:p>
        </w:tc>
        <w:tc>
          <w:tcPr>
            <w:tcW w:w="1903" w:type="dxa"/>
            <w:vAlign w:val="bottom"/>
          </w:tcPr>
          <w:p w14:paraId="1DA15A60" w14:textId="1BA2CE17" w:rsidR="00B64CC1" w:rsidRPr="009F383A" w:rsidRDefault="00B64CC1" w:rsidP="00B6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F3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  <w:t>Fuel</w:t>
            </w:r>
            <w:r w:rsidRPr="009F38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Allowance</w:t>
            </w:r>
          </w:p>
        </w:tc>
        <w:tc>
          <w:tcPr>
            <w:tcW w:w="927" w:type="dxa"/>
            <w:noWrap/>
            <w:vAlign w:val="bottom"/>
          </w:tcPr>
          <w:p w14:paraId="5214CCEC" w14:textId="68732911" w:rsidR="00B64CC1" w:rsidRPr="009F383A" w:rsidRDefault="00B64CC1" w:rsidP="00A2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14,787</w:t>
            </w:r>
          </w:p>
        </w:tc>
        <w:tc>
          <w:tcPr>
            <w:tcW w:w="1276" w:type="dxa"/>
            <w:noWrap/>
            <w:vAlign w:val="bottom"/>
          </w:tcPr>
          <w:p w14:paraId="03064E7B" w14:textId="792D9ABE" w:rsidR="00B64CC1" w:rsidRPr="00B64CC1" w:rsidRDefault="00B64CC1" w:rsidP="00A2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24.</w:t>
            </w:r>
            <w:r w:rsidR="000315F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B64CC1" w:rsidRPr="009F383A" w14:paraId="2BF78C59" w14:textId="77777777" w:rsidTr="00B64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3703ECF9" w14:textId="777A87CF" w:rsidR="00B64CC1" w:rsidRPr="009F383A" w:rsidRDefault="00B64CC1" w:rsidP="00B64CC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115" w:type="dxa"/>
            <w:vAlign w:val="bottom"/>
            <w:hideMark/>
          </w:tcPr>
          <w:p w14:paraId="2CA6D1B1" w14:textId="77777777" w:rsidR="00B64CC1" w:rsidRPr="009F383A" w:rsidRDefault="00B64CC1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Health - Medical Card</w:t>
            </w:r>
          </w:p>
        </w:tc>
        <w:tc>
          <w:tcPr>
            <w:tcW w:w="1903" w:type="dxa"/>
            <w:vAlign w:val="bottom"/>
            <w:hideMark/>
          </w:tcPr>
          <w:p w14:paraId="16C746D9" w14:textId="77777777" w:rsidR="00B64CC1" w:rsidRPr="009F383A" w:rsidRDefault="00B64CC1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Medical Card</w:t>
            </w:r>
          </w:p>
        </w:tc>
        <w:tc>
          <w:tcPr>
            <w:tcW w:w="927" w:type="dxa"/>
            <w:noWrap/>
            <w:vAlign w:val="bottom"/>
            <w:hideMark/>
          </w:tcPr>
          <w:p w14:paraId="75F5BA9C" w14:textId="5C257453" w:rsidR="00B64CC1" w:rsidRPr="009F383A" w:rsidRDefault="00B64CC1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276" w:type="dxa"/>
            <w:noWrap/>
            <w:vAlign w:val="bottom"/>
            <w:hideMark/>
          </w:tcPr>
          <w:p w14:paraId="6F04F352" w14:textId="6369A1F2" w:rsidR="00B64CC1" w:rsidRPr="00B64CC1" w:rsidRDefault="00B64CC1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13.8%</w:t>
            </w:r>
          </w:p>
        </w:tc>
      </w:tr>
      <w:tr w:rsidR="00B64CC1" w:rsidRPr="009F383A" w14:paraId="52244A74" w14:textId="77777777" w:rsidTr="00B64CC1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</w:tcPr>
          <w:p w14:paraId="52CFFA0A" w14:textId="7AC500F1" w:rsidR="00B64CC1" w:rsidRPr="009F383A" w:rsidRDefault="00B64CC1" w:rsidP="00B64CC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115" w:type="dxa"/>
            <w:vAlign w:val="bottom"/>
          </w:tcPr>
          <w:p w14:paraId="0FB824F5" w14:textId="4CE3DC5F" w:rsidR="00B64CC1" w:rsidRPr="009F383A" w:rsidRDefault="00B64CC1" w:rsidP="00B6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Disability and Illness</w:t>
            </w:r>
          </w:p>
        </w:tc>
        <w:tc>
          <w:tcPr>
            <w:tcW w:w="1903" w:type="dxa"/>
            <w:vAlign w:val="bottom"/>
          </w:tcPr>
          <w:p w14:paraId="266E7DE2" w14:textId="5C8A112F" w:rsidR="00B64CC1" w:rsidRPr="009F383A" w:rsidRDefault="00B64CC1" w:rsidP="00B6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Disability Allowance</w:t>
            </w:r>
          </w:p>
        </w:tc>
        <w:tc>
          <w:tcPr>
            <w:tcW w:w="927" w:type="dxa"/>
            <w:noWrap/>
            <w:vAlign w:val="bottom"/>
          </w:tcPr>
          <w:p w14:paraId="77E00763" w14:textId="41FF2708" w:rsidR="00B64CC1" w:rsidRPr="009F383A" w:rsidRDefault="00B64CC1" w:rsidP="00A2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5,925</w:t>
            </w:r>
          </w:p>
        </w:tc>
        <w:tc>
          <w:tcPr>
            <w:tcW w:w="1276" w:type="dxa"/>
            <w:noWrap/>
            <w:vAlign w:val="bottom"/>
          </w:tcPr>
          <w:p w14:paraId="68885B52" w14:textId="782BB9D8" w:rsidR="00B64CC1" w:rsidRPr="00B64CC1" w:rsidRDefault="00B64CC1" w:rsidP="00A2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9.7%</w:t>
            </w:r>
          </w:p>
        </w:tc>
      </w:tr>
      <w:tr w:rsidR="00B64CC1" w:rsidRPr="009F383A" w14:paraId="74774EDD" w14:textId="77777777" w:rsidTr="00B64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5493309" w14:textId="1BF0C761" w:rsidR="00B64CC1" w:rsidRPr="009F383A" w:rsidRDefault="00B64CC1" w:rsidP="00B64CC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2115" w:type="dxa"/>
            <w:vAlign w:val="bottom"/>
            <w:hideMark/>
          </w:tcPr>
          <w:p w14:paraId="7437B383" w14:textId="77777777" w:rsidR="00B64CC1" w:rsidRPr="009F383A" w:rsidRDefault="00B64CC1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Older and Retired People</w:t>
            </w:r>
          </w:p>
        </w:tc>
        <w:tc>
          <w:tcPr>
            <w:tcW w:w="1903" w:type="dxa"/>
            <w:vAlign w:val="bottom"/>
            <w:hideMark/>
          </w:tcPr>
          <w:p w14:paraId="17EEA13A" w14:textId="7A5FE1B0" w:rsidR="00B64CC1" w:rsidRPr="009F383A" w:rsidRDefault="00B64CC1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State Pension (Contributory)</w:t>
            </w:r>
          </w:p>
        </w:tc>
        <w:tc>
          <w:tcPr>
            <w:tcW w:w="927" w:type="dxa"/>
            <w:noWrap/>
            <w:vAlign w:val="bottom"/>
            <w:hideMark/>
          </w:tcPr>
          <w:p w14:paraId="38ABF2A1" w14:textId="4BFC10C9" w:rsidR="00B64CC1" w:rsidRPr="009F383A" w:rsidRDefault="00B64CC1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5,705</w:t>
            </w:r>
          </w:p>
        </w:tc>
        <w:tc>
          <w:tcPr>
            <w:tcW w:w="1276" w:type="dxa"/>
            <w:noWrap/>
            <w:vAlign w:val="bottom"/>
            <w:hideMark/>
          </w:tcPr>
          <w:p w14:paraId="3787EC0C" w14:textId="5568CF94" w:rsidR="00B64CC1" w:rsidRPr="00B64CC1" w:rsidRDefault="00B64CC1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9.</w:t>
            </w:r>
            <w:r w:rsidR="000315F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B64CC1" w:rsidRPr="009F383A" w14:paraId="28DA6761" w14:textId="77777777" w:rsidTr="00B64CC1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20197191" w14:textId="2E61A152" w:rsidR="00B64CC1" w:rsidRPr="009F383A" w:rsidRDefault="00B64CC1" w:rsidP="00B64CC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2115" w:type="dxa"/>
            <w:vAlign w:val="bottom"/>
          </w:tcPr>
          <w:p w14:paraId="0B269621" w14:textId="0CCD619F" w:rsidR="00B64CC1" w:rsidRPr="009F383A" w:rsidRDefault="00B64CC1" w:rsidP="00B6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Carer’s</w:t>
            </w:r>
          </w:p>
        </w:tc>
        <w:tc>
          <w:tcPr>
            <w:tcW w:w="1903" w:type="dxa"/>
            <w:vAlign w:val="bottom"/>
          </w:tcPr>
          <w:p w14:paraId="625A2A48" w14:textId="3E26C776" w:rsidR="00B64CC1" w:rsidRPr="009F383A" w:rsidRDefault="00B64CC1" w:rsidP="00B6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Carer’s Allowance</w:t>
            </w:r>
          </w:p>
        </w:tc>
        <w:tc>
          <w:tcPr>
            <w:tcW w:w="927" w:type="dxa"/>
            <w:noWrap/>
            <w:vAlign w:val="bottom"/>
          </w:tcPr>
          <w:p w14:paraId="3814F222" w14:textId="201CDC0B" w:rsidR="00B64CC1" w:rsidRPr="009F383A" w:rsidRDefault="00B64CC1" w:rsidP="00A2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5,627</w:t>
            </w:r>
          </w:p>
        </w:tc>
        <w:tc>
          <w:tcPr>
            <w:tcW w:w="1276" w:type="dxa"/>
            <w:noWrap/>
            <w:vAlign w:val="bottom"/>
          </w:tcPr>
          <w:p w14:paraId="1699E45C" w14:textId="594FF8AC" w:rsidR="00B64CC1" w:rsidRPr="00B64CC1" w:rsidRDefault="00B64CC1" w:rsidP="00A2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9.2%</w:t>
            </w:r>
          </w:p>
        </w:tc>
      </w:tr>
      <w:tr w:rsidR="00B64CC1" w:rsidRPr="009F383A" w14:paraId="16AEFD0C" w14:textId="77777777" w:rsidTr="00B64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DBCB26D" w14:textId="4B73185E" w:rsidR="00B64CC1" w:rsidRPr="009F383A" w:rsidRDefault="00B64CC1" w:rsidP="00B64CC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2115" w:type="dxa"/>
            <w:vAlign w:val="bottom"/>
          </w:tcPr>
          <w:p w14:paraId="2B15F6A9" w14:textId="7E573182" w:rsidR="00B64CC1" w:rsidRPr="009F383A" w:rsidRDefault="00B64CC1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Extra SW Benefits</w:t>
            </w:r>
          </w:p>
        </w:tc>
        <w:tc>
          <w:tcPr>
            <w:tcW w:w="1903" w:type="dxa"/>
            <w:vAlign w:val="bottom"/>
          </w:tcPr>
          <w:p w14:paraId="04A47CED" w14:textId="72133C5D" w:rsidR="00B64CC1" w:rsidRPr="009F383A" w:rsidRDefault="00B64CC1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Household Benefits Package</w:t>
            </w:r>
          </w:p>
        </w:tc>
        <w:tc>
          <w:tcPr>
            <w:tcW w:w="927" w:type="dxa"/>
            <w:noWrap/>
            <w:vAlign w:val="bottom"/>
          </w:tcPr>
          <w:p w14:paraId="3559472C" w14:textId="0E32507D" w:rsidR="00B64CC1" w:rsidRPr="009F383A" w:rsidRDefault="00B64CC1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5,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276" w:type="dxa"/>
            <w:noWrap/>
            <w:vAlign w:val="bottom"/>
          </w:tcPr>
          <w:p w14:paraId="3D0C29DE" w14:textId="0DCB1E0A" w:rsidR="00B64CC1" w:rsidRPr="00B64CC1" w:rsidRDefault="00B64CC1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8.</w:t>
            </w:r>
            <w:r w:rsidR="000315F8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B64CC1" w:rsidRPr="009F383A" w14:paraId="28B8622C" w14:textId="77777777" w:rsidTr="00B64CC1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22E6F34" w14:textId="1265DCC2" w:rsidR="00B64CC1" w:rsidRPr="009F383A" w:rsidRDefault="00B64CC1" w:rsidP="00B64CC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2115" w:type="dxa"/>
            <w:vAlign w:val="bottom"/>
          </w:tcPr>
          <w:p w14:paraId="5A6D006C" w14:textId="455ED8C1" w:rsidR="00B64CC1" w:rsidRPr="009F383A" w:rsidRDefault="00B64CC1" w:rsidP="00B6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Local Authority and Social Housing</w:t>
            </w:r>
          </w:p>
        </w:tc>
        <w:tc>
          <w:tcPr>
            <w:tcW w:w="1903" w:type="dxa"/>
            <w:vAlign w:val="bottom"/>
          </w:tcPr>
          <w:p w14:paraId="22B6039B" w14:textId="62AE4A8A" w:rsidR="00B64CC1" w:rsidRPr="009F383A" w:rsidRDefault="00B64CC1" w:rsidP="00B6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Applying for Local Authority/Social Housing</w:t>
            </w:r>
          </w:p>
        </w:tc>
        <w:tc>
          <w:tcPr>
            <w:tcW w:w="927" w:type="dxa"/>
            <w:noWrap/>
            <w:vAlign w:val="bottom"/>
          </w:tcPr>
          <w:p w14:paraId="3BB51904" w14:textId="3B46919E" w:rsidR="00B64CC1" w:rsidRPr="009F383A" w:rsidRDefault="00B64CC1" w:rsidP="00A2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4,407</w:t>
            </w:r>
          </w:p>
        </w:tc>
        <w:tc>
          <w:tcPr>
            <w:tcW w:w="1276" w:type="dxa"/>
            <w:noWrap/>
            <w:vAlign w:val="bottom"/>
          </w:tcPr>
          <w:p w14:paraId="2D8D81C6" w14:textId="273EF151" w:rsidR="00B64CC1" w:rsidRPr="00B64CC1" w:rsidRDefault="00B64CC1" w:rsidP="00A2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7.2%</w:t>
            </w:r>
          </w:p>
        </w:tc>
      </w:tr>
      <w:tr w:rsidR="00B64CC1" w:rsidRPr="009F383A" w14:paraId="69C7BC3F" w14:textId="77777777" w:rsidTr="00B64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449AF246" w14:textId="74FEFAF3" w:rsidR="00B64CC1" w:rsidRPr="009F383A" w:rsidRDefault="00B64CC1" w:rsidP="00B64CC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2115" w:type="dxa"/>
            <w:vAlign w:val="bottom"/>
          </w:tcPr>
          <w:p w14:paraId="074D3B6E" w14:textId="0490B944" w:rsidR="00B64CC1" w:rsidRPr="009F383A" w:rsidRDefault="00B64CC1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Supplementary Welfare Schemes</w:t>
            </w:r>
          </w:p>
        </w:tc>
        <w:tc>
          <w:tcPr>
            <w:tcW w:w="1903" w:type="dxa"/>
            <w:vAlign w:val="bottom"/>
          </w:tcPr>
          <w:p w14:paraId="38ED8FD4" w14:textId="3F200A32" w:rsidR="00B64CC1" w:rsidRPr="009F383A" w:rsidRDefault="00B64CC1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  <w:t>Additional Needs Payment</w:t>
            </w:r>
          </w:p>
        </w:tc>
        <w:tc>
          <w:tcPr>
            <w:tcW w:w="927" w:type="dxa"/>
            <w:noWrap/>
            <w:vAlign w:val="bottom"/>
          </w:tcPr>
          <w:p w14:paraId="0CB37995" w14:textId="36FC2CC5" w:rsidR="00B64CC1" w:rsidRPr="009F383A" w:rsidRDefault="00B64CC1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3,872</w:t>
            </w:r>
          </w:p>
        </w:tc>
        <w:tc>
          <w:tcPr>
            <w:tcW w:w="1276" w:type="dxa"/>
            <w:noWrap/>
            <w:vAlign w:val="bottom"/>
          </w:tcPr>
          <w:p w14:paraId="5C4BFA21" w14:textId="3909DAB6" w:rsidR="00B64CC1" w:rsidRPr="00B64CC1" w:rsidRDefault="00B64CC1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6.</w:t>
            </w:r>
            <w:r w:rsidR="000315F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B64CC1" w:rsidRPr="009F383A" w14:paraId="529A70A8" w14:textId="77777777" w:rsidTr="00B64CC1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2E8DAB2F" w14:textId="70992330" w:rsidR="00B64CC1" w:rsidRPr="009F383A" w:rsidRDefault="00B64CC1" w:rsidP="00B64CC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</w:t>
            </w:r>
          </w:p>
        </w:tc>
        <w:tc>
          <w:tcPr>
            <w:tcW w:w="2115" w:type="dxa"/>
            <w:vAlign w:val="bottom"/>
            <w:hideMark/>
          </w:tcPr>
          <w:p w14:paraId="0BECEBF1" w14:textId="77777777" w:rsidR="00B64CC1" w:rsidRPr="009F383A" w:rsidRDefault="00B64CC1" w:rsidP="00B6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Unemployed People</w:t>
            </w:r>
          </w:p>
        </w:tc>
        <w:tc>
          <w:tcPr>
            <w:tcW w:w="1903" w:type="dxa"/>
            <w:vAlign w:val="bottom"/>
            <w:hideMark/>
          </w:tcPr>
          <w:p w14:paraId="1B242311" w14:textId="77777777" w:rsidR="00B64CC1" w:rsidRPr="009F383A" w:rsidRDefault="00B64CC1" w:rsidP="00B64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Jobseeker’s Allowance</w:t>
            </w:r>
          </w:p>
        </w:tc>
        <w:tc>
          <w:tcPr>
            <w:tcW w:w="927" w:type="dxa"/>
            <w:noWrap/>
            <w:vAlign w:val="bottom"/>
            <w:hideMark/>
          </w:tcPr>
          <w:p w14:paraId="54620496" w14:textId="034E60BB" w:rsidR="00B64CC1" w:rsidRPr="009F383A" w:rsidRDefault="00B64CC1" w:rsidP="00A2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3,608</w:t>
            </w:r>
          </w:p>
        </w:tc>
        <w:tc>
          <w:tcPr>
            <w:tcW w:w="1276" w:type="dxa"/>
            <w:noWrap/>
            <w:vAlign w:val="bottom"/>
            <w:hideMark/>
          </w:tcPr>
          <w:p w14:paraId="4F56DE49" w14:textId="39D97E40" w:rsidR="00B64CC1" w:rsidRPr="00B64CC1" w:rsidRDefault="00B64CC1" w:rsidP="00A23B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5.9%</w:t>
            </w:r>
          </w:p>
        </w:tc>
      </w:tr>
      <w:tr w:rsidR="00B64CC1" w:rsidRPr="009F383A" w14:paraId="77C82905" w14:textId="77777777" w:rsidTr="00B64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F867CA5" w14:textId="77777777" w:rsidR="00B64CC1" w:rsidRPr="009F383A" w:rsidRDefault="00B64CC1" w:rsidP="00B64CC1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</w:t>
            </w:r>
          </w:p>
        </w:tc>
        <w:tc>
          <w:tcPr>
            <w:tcW w:w="2115" w:type="dxa"/>
            <w:vAlign w:val="bottom"/>
            <w:hideMark/>
          </w:tcPr>
          <w:p w14:paraId="4568A57A" w14:textId="694BB399" w:rsidR="00B64CC1" w:rsidRPr="009F383A" w:rsidRDefault="000315F8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Disability and Illness</w:t>
            </w:r>
          </w:p>
        </w:tc>
        <w:tc>
          <w:tcPr>
            <w:tcW w:w="1903" w:type="dxa"/>
            <w:vAlign w:val="bottom"/>
            <w:hideMark/>
          </w:tcPr>
          <w:p w14:paraId="5AA1037F" w14:textId="1AB33390" w:rsidR="00B64CC1" w:rsidRPr="009F383A" w:rsidRDefault="000315F8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Illness Benefit</w:t>
            </w:r>
          </w:p>
        </w:tc>
        <w:tc>
          <w:tcPr>
            <w:tcW w:w="927" w:type="dxa"/>
            <w:noWrap/>
            <w:vAlign w:val="bottom"/>
            <w:hideMark/>
          </w:tcPr>
          <w:p w14:paraId="6E101898" w14:textId="17F577C6" w:rsidR="00B64CC1" w:rsidRPr="009F383A" w:rsidRDefault="00B64CC1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</w:t>
            </w:r>
            <w:r w:rsidR="000315F8">
              <w:rPr>
                <w:rFonts w:ascii="Calibri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276" w:type="dxa"/>
            <w:noWrap/>
            <w:vAlign w:val="bottom"/>
            <w:hideMark/>
          </w:tcPr>
          <w:p w14:paraId="7A8C69EA" w14:textId="21D09865" w:rsidR="00B64CC1" w:rsidRPr="00B64CC1" w:rsidRDefault="00B64CC1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  <w:r w:rsidR="000315F8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B64CC1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</w:tbl>
    <w:p w14:paraId="54DA9E20" w14:textId="77777777" w:rsidR="00942712" w:rsidRDefault="00942712" w:rsidP="00942712">
      <w:pPr>
        <w:sectPr w:rsidR="00942712" w:rsidSect="00D50363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4E11D452" w14:textId="77777777" w:rsidR="00942712" w:rsidRPr="0037547C" w:rsidRDefault="00942712" w:rsidP="00942712">
      <w:pPr>
        <w:pStyle w:val="Heading1"/>
        <w:rPr>
          <w:rFonts w:ascii="Tw Cen MT Condensed" w:hAnsi="Tw Cen MT Condensed"/>
          <w:b/>
          <w:sz w:val="28"/>
          <w:szCs w:val="28"/>
        </w:rPr>
      </w:pPr>
      <w:r w:rsidRPr="0037547C">
        <w:rPr>
          <w:rFonts w:ascii="Tw Cen MT Condensed" w:hAnsi="Tw Cen MT Condensed"/>
          <w:b/>
          <w:sz w:val="28"/>
          <w:szCs w:val="28"/>
        </w:rPr>
        <w:lastRenderedPageBreak/>
        <w:t>Quarter-on-Quarter Comparison: what’s new?</w:t>
      </w:r>
      <w:r w:rsidRPr="0037547C">
        <w:rPr>
          <w:rStyle w:val="FootnoteReference"/>
          <w:rFonts w:ascii="Tw Cen MT Condensed" w:hAnsi="Tw Cen MT Condensed"/>
          <w:b/>
          <w:sz w:val="28"/>
          <w:szCs w:val="28"/>
        </w:rPr>
        <w:footnoteReference w:id="1"/>
      </w:r>
    </w:p>
    <w:p w14:paraId="1D0B2D53" w14:textId="0B9B4553" w:rsidR="00942712" w:rsidRPr="000502ED" w:rsidRDefault="00922A7C" w:rsidP="000502ED">
      <w:pPr>
        <w:rPr>
          <w:rFonts w:eastAsia="Times New Roman"/>
          <w:sz w:val="22"/>
          <w:lang w:eastAsia="en-IE"/>
        </w:rPr>
      </w:pPr>
      <w:r w:rsidRPr="000502ED">
        <w:rPr>
          <w:sz w:val="22"/>
          <w:lang w:val="en-US"/>
        </w:rPr>
        <w:t>Q4</w:t>
      </w:r>
      <w:r w:rsidR="00942712" w:rsidRPr="000502ED">
        <w:rPr>
          <w:sz w:val="22"/>
          <w:lang w:val="en-US"/>
        </w:rPr>
        <w:t xml:space="preserve"> 2022 </w:t>
      </w:r>
      <w:r w:rsidR="00296592" w:rsidRPr="000502ED">
        <w:rPr>
          <w:sz w:val="22"/>
          <w:lang w:val="en-US"/>
        </w:rPr>
        <w:t xml:space="preserve">indicated </w:t>
      </w:r>
      <w:r w:rsidR="00D15DC9" w:rsidRPr="000502ED">
        <w:rPr>
          <w:sz w:val="22"/>
          <w:lang w:val="en-US"/>
        </w:rPr>
        <w:t>several</w:t>
      </w:r>
      <w:r w:rsidR="00296592" w:rsidRPr="000502ED">
        <w:rPr>
          <w:sz w:val="22"/>
          <w:lang w:val="en-US"/>
        </w:rPr>
        <w:t xml:space="preserve"> trends </w:t>
      </w:r>
      <w:r w:rsidR="00942712" w:rsidRPr="000502ED">
        <w:rPr>
          <w:sz w:val="22"/>
          <w:lang w:val="en-US"/>
        </w:rPr>
        <w:t>in the caller data and type of queries received from the public compared with the same period last year.</w:t>
      </w:r>
    </w:p>
    <w:p w14:paraId="50D69355" w14:textId="77777777" w:rsidR="00942712" w:rsidRPr="00F732A9" w:rsidRDefault="00942712" w:rsidP="00942712">
      <w:pPr>
        <w:rPr>
          <w:sz w:val="22"/>
          <w:szCs w:val="22"/>
        </w:rPr>
      </w:pPr>
      <w:r w:rsidRPr="00F732A9">
        <w:rPr>
          <w:sz w:val="22"/>
          <w:szCs w:val="22"/>
        </w:rPr>
        <w:t xml:space="preserve">Of note: </w:t>
      </w:r>
    </w:p>
    <w:p w14:paraId="2CC57550" w14:textId="37975DAA" w:rsidR="005A0023" w:rsidRDefault="00781F15" w:rsidP="00E442A6">
      <w:pPr>
        <w:pStyle w:val="ListParagraph"/>
      </w:pPr>
      <w:r>
        <w:rPr>
          <w:b/>
          <w:bCs/>
        </w:rPr>
        <w:t>Personal callers</w:t>
      </w:r>
      <w:r>
        <w:t xml:space="preserve"> accounted for </w:t>
      </w:r>
      <w:r w:rsidR="00725EFC">
        <w:t xml:space="preserve">over half </w:t>
      </w:r>
      <w:r w:rsidR="00942712" w:rsidRPr="006B34B4">
        <w:t xml:space="preserve">of all callers (compared with quarter </w:t>
      </w:r>
      <w:r w:rsidR="00405D15" w:rsidRPr="006B34B4">
        <w:t>4</w:t>
      </w:r>
      <w:r w:rsidR="00942712" w:rsidRPr="006B34B4">
        <w:t xml:space="preserve"> last year</w:t>
      </w:r>
      <w:r w:rsidR="00405D15" w:rsidRPr="006B34B4">
        <w:t xml:space="preserve"> wh</w:t>
      </w:r>
      <w:r w:rsidR="009C24B4" w:rsidRPr="006B34B4">
        <w:t xml:space="preserve">ere in person only accounted for </w:t>
      </w:r>
      <w:r w:rsidR="00725EFC">
        <w:t xml:space="preserve">one fifth </w:t>
      </w:r>
      <w:r w:rsidR="009C24B4" w:rsidRPr="006B34B4">
        <w:t>of callers</w:t>
      </w:r>
      <w:r w:rsidR="00942712" w:rsidRPr="006B34B4">
        <w:t>)</w:t>
      </w:r>
      <w:r w:rsidR="004027EE" w:rsidRPr="006B34B4">
        <w:t xml:space="preserve">. </w:t>
      </w:r>
      <w:r w:rsidR="00942712" w:rsidRPr="006B34B4">
        <w:t xml:space="preserve">This was due to the increased provision of face-to-face services </w:t>
      </w:r>
      <w:r w:rsidR="003E7BB6" w:rsidRPr="006B34B4">
        <w:t xml:space="preserve">from </w:t>
      </w:r>
      <w:r w:rsidR="00942712" w:rsidRPr="006B34B4">
        <w:t xml:space="preserve">early 2022. </w:t>
      </w:r>
      <w:r w:rsidR="005A0023">
        <w:br/>
      </w:r>
    </w:p>
    <w:p w14:paraId="19A60231" w14:textId="51179B7D" w:rsidR="000703E2" w:rsidRDefault="007214CC" w:rsidP="00E442A6">
      <w:pPr>
        <w:pStyle w:val="ListParagraph"/>
      </w:pPr>
      <w:r w:rsidRPr="005A0023">
        <w:rPr>
          <w:b/>
          <w:lang w:eastAsia="en-IE"/>
        </w:rPr>
        <w:t>Social Welfare queries</w:t>
      </w:r>
      <w:r w:rsidRPr="00914912">
        <w:rPr>
          <w:lang w:eastAsia="en-IE"/>
        </w:rPr>
        <w:t xml:space="preserve"> increased by </w:t>
      </w:r>
      <w:r>
        <w:rPr>
          <w:lang w:eastAsia="en-IE"/>
        </w:rPr>
        <w:t>3</w:t>
      </w:r>
      <w:r w:rsidR="005F2BAA">
        <w:rPr>
          <w:lang w:eastAsia="en-IE"/>
        </w:rPr>
        <w:t>3.0</w:t>
      </w:r>
      <w:r w:rsidRPr="00914912">
        <w:rPr>
          <w:lang w:eastAsia="en-IE"/>
        </w:rPr>
        <w:t xml:space="preserve">% compared to the same quarter last year </w:t>
      </w:r>
      <w:r>
        <w:rPr>
          <w:lang w:eastAsia="en-IE"/>
        </w:rPr>
        <w:t xml:space="preserve">a continuation of the growth of queries related to </w:t>
      </w:r>
      <w:r w:rsidRPr="005A0023">
        <w:rPr>
          <w:b/>
          <w:lang w:eastAsia="en-IE"/>
        </w:rPr>
        <w:t xml:space="preserve">cost of living supports which was seen earlier this </w:t>
      </w:r>
      <w:r w:rsidR="00BB4F4F" w:rsidRPr="005A0023">
        <w:rPr>
          <w:b/>
          <w:lang w:eastAsia="en-IE"/>
        </w:rPr>
        <w:t>year</w:t>
      </w:r>
      <w:r w:rsidR="00BB4F4F">
        <w:rPr>
          <w:lang w:eastAsia="en-IE"/>
        </w:rPr>
        <w:t xml:space="preserve">. </w:t>
      </w:r>
      <w:r w:rsidR="000703E2">
        <w:rPr>
          <w:lang w:eastAsia="en-IE"/>
        </w:rPr>
        <w:br/>
      </w:r>
    </w:p>
    <w:p w14:paraId="7CE296F6" w14:textId="17813F62" w:rsidR="00611CBF" w:rsidRDefault="00002C83" w:rsidP="00E442A6">
      <w:pPr>
        <w:pStyle w:val="ListParagraph"/>
      </w:pPr>
      <w:r w:rsidRPr="00BA6116">
        <w:rPr>
          <w:lang w:eastAsia="en-IE"/>
        </w:rPr>
        <w:t xml:space="preserve">Additional needs payments which </w:t>
      </w:r>
      <w:r w:rsidR="00BA6116" w:rsidRPr="00BA6116">
        <w:rPr>
          <w:lang w:eastAsia="en-IE"/>
        </w:rPr>
        <w:t>include</w:t>
      </w:r>
      <w:r w:rsidRPr="00BA6116">
        <w:rPr>
          <w:lang w:eastAsia="en-IE"/>
        </w:rPr>
        <w:t xml:space="preserve"> exceptional needs under the Supplementary </w:t>
      </w:r>
      <w:r w:rsidR="00611CBF">
        <w:rPr>
          <w:lang w:eastAsia="en-IE"/>
        </w:rPr>
        <w:t>W</w:t>
      </w:r>
      <w:r w:rsidRPr="00BA6116">
        <w:rPr>
          <w:lang w:eastAsia="en-IE"/>
        </w:rPr>
        <w:t>elfare</w:t>
      </w:r>
      <w:r w:rsidR="00611CBF">
        <w:rPr>
          <w:lang w:eastAsia="en-IE"/>
        </w:rPr>
        <w:t xml:space="preserve"> A</w:t>
      </w:r>
      <w:r w:rsidRPr="00BA6116">
        <w:rPr>
          <w:lang w:eastAsia="en-IE"/>
        </w:rPr>
        <w:t>llowance</w:t>
      </w:r>
      <w:r w:rsidR="00611CBF">
        <w:rPr>
          <w:lang w:eastAsia="en-IE"/>
        </w:rPr>
        <w:t xml:space="preserve"> (SWA)</w:t>
      </w:r>
      <w:r w:rsidRPr="00BA6116">
        <w:rPr>
          <w:lang w:eastAsia="en-IE"/>
        </w:rPr>
        <w:t xml:space="preserve"> trebled compared to Q4/2021</w:t>
      </w:r>
      <w:r w:rsidR="00611CBF">
        <w:rPr>
          <w:lang w:eastAsia="en-IE"/>
        </w:rPr>
        <w:t xml:space="preserve"> with basic SWA queries increasing by </w:t>
      </w:r>
      <w:r w:rsidR="002D475A">
        <w:rPr>
          <w:lang w:eastAsia="en-IE"/>
        </w:rPr>
        <w:t>37.9</w:t>
      </w:r>
      <w:r w:rsidR="00611CBF">
        <w:rPr>
          <w:lang w:eastAsia="en-IE"/>
        </w:rPr>
        <w:t>%.</w:t>
      </w:r>
      <w:r w:rsidR="005A0023">
        <w:rPr>
          <w:lang w:eastAsia="en-IE"/>
        </w:rPr>
        <w:br/>
      </w:r>
    </w:p>
    <w:p w14:paraId="195543C4" w14:textId="1A27969E" w:rsidR="00611CBF" w:rsidRDefault="007214CC" w:rsidP="00E442A6">
      <w:pPr>
        <w:pStyle w:val="ListParagraph"/>
      </w:pPr>
      <w:r w:rsidRPr="00914912">
        <w:t>Fuel Allowance overtook Medical Card payments as the most queried single payment or scheme</w:t>
      </w:r>
      <w:r>
        <w:t>,</w:t>
      </w:r>
      <w:r w:rsidRPr="00914912">
        <w:t xml:space="preserve"> a </w:t>
      </w:r>
      <w:r>
        <w:t>14</w:t>
      </w:r>
      <w:r w:rsidR="00BA423B">
        <w:t>5.8</w:t>
      </w:r>
      <w:r w:rsidRPr="00914912">
        <w:t xml:space="preserve">% increase compared to Q4 2021 and an increase of </w:t>
      </w:r>
      <w:r>
        <w:t>60</w:t>
      </w:r>
      <w:r w:rsidR="008E4295">
        <w:t>.3</w:t>
      </w:r>
      <w:r w:rsidRPr="00914912">
        <w:t>% compared to Q3 2022.</w:t>
      </w:r>
      <w:r w:rsidR="005A0023">
        <w:br/>
      </w:r>
    </w:p>
    <w:p w14:paraId="5494A182" w14:textId="7C76E95C" w:rsidR="00611CBF" w:rsidRPr="00611CBF" w:rsidRDefault="007214CC" w:rsidP="00E442A6">
      <w:pPr>
        <w:pStyle w:val="ListParagraph"/>
      </w:pPr>
      <w:r w:rsidRPr="00611CBF">
        <w:rPr>
          <w:b/>
          <w:lang w:eastAsia="en-IE"/>
        </w:rPr>
        <w:t>Extra Social Welfare Benefits</w:t>
      </w:r>
      <w:r w:rsidRPr="00611CBF">
        <w:rPr>
          <w:lang w:eastAsia="en-IE"/>
        </w:rPr>
        <w:t xml:space="preserve"> (which includes the Fuel Allowance, Household Benefits Package, Free Travel, Living Alone Increase) became the top sub-category under Social Welfare queries this quarter with 25,964 queries, more than double the figure for the same period last year and an increase of 31</w:t>
      </w:r>
      <w:r w:rsidR="00425F97">
        <w:rPr>
          <w:lang w:eastAsia="en-IE"/>
        </w:rPr>
        <w:t>.5</w:t>
      </w:r>
      <w:r w:rsidRPr="00611CBF">
        <w:rPr>
          <w:lang w:eastAsia="en-IE"/>
        </w:rPr>
        <w:t>% on Q3 2022. Fuel allowance accounted for 57</w:t>
      </w:r>
      <w:r w:rsidR="00713223">
        <w:rPr>
          <w:lang w:eastAsia="en-IE"/>
        </w:rPr>
        <w:t>.0</w:t>
      </w:r>
      <w:r w:rsidRPr="00611CBF">
        <w:rPr>
          <w:lang w:eastAsia="en-IE"/>
        </w:rPr>
        <w:t>% of all queries in the Extra Social Welfare Benefits in Q4 2022.</w:t>
      </w:r>
      <w:r w:rsidR="005A0023">
        <w:rPr>
          <w:lang w:eastAsia="en-IE"/>
        </w:rPr>
        <w:br/>
      </w:r>
    </w:p>
    <w:p w14:paraId="722BA00C" w14:textId="72DDA53D" w:rsidR="00BD331B" w:rsidRDefault="00A3446A" w:rsidP="00BD331B">
      <w:pPr>
        <w:pStyle w:val="ListParagraph"/>
      </w:pPr>
      <w:r w:rsidRPr="00514EDC">
        <w:rPr>
          <w:lang w:eastAsia="en-IE"/>
        </w:rPr>
        <w:t xml:space="preserve">Housing queries were up by </w:t>
      </w:r>
      <w:r w:rsidR="00AA6A7C">
        <w:rPr>
          <w:lang w:eastAsia="en-IE"/>
        </w:rPr>
        <w:t>3</w:t>
      </w:r>
      <w:r w:rsidR="00A1710F">
        <w:rPr>
          <w:lang w:eastAsia="en-IE"/>
        </w:rPr>
        <w:t>2.5</w:t>
      </w:r>
      <w:r w:rsidRPr="00514EDC">
        <w:rPr>
          <w:lang w:eastAsia="en-IE"/>
        </w:rPr>
        <w:t xml:space="preserve">% compared to </w:t>
      </w:r>
      <w:r w:rsidR="00914AD8">
        <w:rPr>
          <w:lang w:eastAsia="en-IE"/>
        </w:rPr>
        <w:t xml:space="preserve">the </w:t>
      </w:r>
      <w:r w:rsidRPr="00514EDC">
        <w:rPr>
          <w:lang w:eastAsia="en-IE"/>
        </w:rPr>
        <w:t>same quarter la</w:t>
      </w:r>
      <w:r w:rsidR="007A1AE3" w:rsidRPr="00514EDC">
        <w:rPr>
          <w:lang w:eastAsia="en-IE"/>
        </w:rPr>
        <w:t>s</w:t>
      </w:r>
      <w:r w:rsidRPr="00514EDC">
        <w:rPr>
          <w:lang w:eastAsia="en-IE"/>
        </w:rPr>
        <w:t>t year</w:t>
      </w:r>
      <w:r w:rsidR="00AA6A7C">
        <w:rPr>
          <w:lang w:eastAsia="en-IE"/>
        </w:rPr>
        <w:t>.</w:t>
      </w:r>
      <w:r w:rsidRPr="00514EDC">
        <w:rPr>
          <w:lang w:eastAsia="en-IE"/>
        </w:rPr>
        <w:t xml:space="preserve"> </w:t>
      </w:r>
      <w:r w:rsidR="00E467F4" w:rsidRPr="00514EDC">
        <w:rPr>
          <w:lang w:eastAsia="en-IE"/>
        </w:rPr>
        <w:t xml:space="preserve">Local Authority/Social Housing </w:t>
      </w:r>
      <w:r w:rsidR="00E467F4">
        <w:rPr>
          <w:lang w:eastAsia="en-IE"/>
        </w:rPr>
        <w:t xml:space="preserve">made up </w:t>
      </w:r>
      <w:r w:rsidR="00D76E01">
        <w:rPr>
          <w:lang w:eastAsia="en-IE"/>
        </w:rPr>
        <w:t>50.2</w:t>
      </w:r>
      <w:r w:rsidR="00E467F4">
        <w:rPr>
          <w:lang w:eastAsia="en-IE"/>
        </w:rPr>
        <w:t xml:space="preserve">% of total housing queries. </w:t>
      </w:r>
      <w:r w:rsidR="009F211A" w:rsidRPr="00514EDC">
        <w:rPr>
          <w:lang w:eastAsia="en-IE"/>
        </w:rPr>
        <w:t xml:space="preserve">Within Local Authority/Social Housing, </w:t>
      </w:r>
      <w:r w:rsidR="009F211A">
        <w:rPr>
          <w:b/>
          <w:lang w:eastAsia="en-IE"/>
        </w:rPr>
        <w:t xml:space="preserve">Applying for Local Authority/ Social Housing </w:t>
      </w:r>
      <w:r w:rsidR="009F211A" w:rsidRPr="00514EDC">
        <w:rPr>
          <w:lang w:eastAsia="en-IE"/>
        </w:rPr>
        <w:t xml:space="preserve">queries were up by </w:t>
      </w:r>
      <w:r w:rsidR="009F211A">
        <w:rPr>
          <w:lang w:eastAsia="en-IE"/>
        </w:rPr>
        <w:t>26</w:t>
      </w:r>
      <w:r w:rsidR="00CF3850">
        <w:rPr>
          <w:lang w:eastAsia="en-IE"/>
        </w:rPr>
        <w:t>.3</w:t>
      </w:r>
      <w:r w:rsidR="009F211A" w:rsidRPr="00514EDC">
        <w:rPr>
          <w:lang w:eastAsia="en-IE"/>
        </w:rPr>
        <w:t>% on Q</w:t>
      </w:r>
      <w:r w:rsidR="009F211A">
        <w:rPr>
          <w:lang w:eastAsia="en-IE"/>
        </w:rPr>
        <w:t>4 2021</w:t>
      </w:r>
      <w:r w:rsidR="009F211A" w:rsidRPr="00514EDC">
        <w:rPr>
          <w:lang w:eastAsia="en-IE"/>
        </w:rPr>
        <w:t xml:space="preserve"> </w:t>
      </w:r>
      <w:r w:rsidR="000502ED">
        <w:rPr>
          <w:lang w:eastAsia="en-IE"/>
        </w:rPr>
        <w:t>and made up for 5</w:t>
      </w:r>
      <w:r w:rsidR="004F0056">
        <w:rPr>
          <w:lang w:eastAsia="en-IE"/>
        </w:rPr>
        <w:t>0.6</w:t>
      </w:r>
      <w:r w:rsidR="000502ED">
        <w:rPr>
          <w:lang w:eastAsia="en-IE"/>
        </w:rPr>
        <w:t>% queries in the local authority and social housing category</w:t>
      </w:r>
      <w:r w:rsidR="009F211A">
        <w:rPr>
          <w:lang w:eastAsia="en-IE"/>
        </w:rPr>
        <w:t>.</w:t>
      </w:r>
      <w:r w:rsidR="006A2DE2">
        <w:rPr>
          <w:lang w:eastAsia="en-IE"/>
        </w:rPr>
        <w:t xml:space="preserve"> Housing Assistance Payment (HAP) query levels remained high</w:t>
      </w:r>
      <w:r w:rsidR="00BD331B">
        <w:rPr>
          <w:lang w:eastAsia="en-IE"/>
        </w:rPr>
        <w:t xml:space="preserve"> in this quarter.</w:t>
      </w:r>
      <w:r w:rsidR="005A0023">
        <w:rPr>
          <w:lang w:eastAsia="en-IE"/>
        </w:rPr>
        <w:br/>
      </w:r>
    </w:p>
    <w:p w14:paraId="59C691EA" w14:textId="6DDB0970" w:rsidR="009C24B4" w:rsidRPr="00FC5A8C" w:rsidRDefault="000502ED" w:rsidP="00BD331B">
      <w:pPr>
        <w:pStyle w:val="ListParagraph"/>
      </w:pPr>
      <w:r w:rsidRPr="00514EDC">
        <w:rPr>
          <w:lang w:eastAsia="en-IE"/>
        </w:rPr>
        <w:t xml:space="preserve">Private rented sector housing queries increased by </w:t>
      </w:r>
      <w:r>
        <w:rPr>
          <w:lang w:eastAsia="en-IE"/>
        </w:rPr>
        <w:t>4</w:t>
      </w:r>
      <w:r w:rsidR="00FC0327">
        <w:rPr>
          <w:lang w:eastAsia="en-IE"/>
        </w:rPr>
        <w:t>2.8</w:t>
      </w:r>
      <w:r w:rsidRPr="00514EDC">
        <w:rPr>
          <w:lang w:eastAsia="en-IE"/>
        </w:rPr>
        <w:t>% when compared to Q</w:t>
      </w:r>
      <w:r>
        <w:rPr>
          <w:lang w:eastAsia="en-IE"/>
        </w:rPr>
        <w:t>4</w:t>
      </w:r>
      <w:r w:rsidRPr="00514EDC">
        <w:rPr>
          <w:lang w:eastAsia="en-IE"/>
        </w:rPr>
        <w:t xml:space="preserve"> 202</w:t>
      </w:r>
      <w:r>
        <w:rPr>
          <w:lang w:eastAsia="en-IE"/>
        </w:rPr>
        <w:t>1.</w:t>
      </w:r>
      <w:r w:rsidR="00A3446A" w:rsidRPr="00514EDC">
        <w:rPr>
          <w:lang w:eastAsia="en-IE"/>
        </w:rPr>
        <w:t xml:space="preserve">The four highest query areas </w:t>
      </w:r>
      <w:r w:rsidR="00E40EC2">
        <w:rPr>
          <w:lang w:eastAsia="en-IE"/>
        </w:rPr>
        <w:t>in the private rented sector were</w:t>
      </w:r>
      <w:r w:rsidR="00A3446A" w:rsidRPr="00514EDC">
        <w:rPr>
          <w:lang w:eastAsia="en-IE"/>
        </w:rPr>
        <w:t xml:space="preserve"> </w:t>
      </w:r>
      <w:r w:rsidR="00A3446A" w:rsidRPr="00E40EC2">
        <w:rPr>
          <w:lang w:eastAsia="en-IE"/>
        </w:rPr>
        <w:t>Notice/Eviction/Disputes</w:t>
      </w:r>
      <w:r w:rsidR="00A3446A" w:rsidRPr="00514EDC">
        <w:rPr>
          <w:lang w:eastAsia="en-IE"/>
        </w:rPr>
        <w:t xml:space="preserve">, </w:t>
      </w:r>
      <w:r w:rsidR="00A3446A" w:rsidRPr="00BD331B">
        <w:rPr>
          <w:bCs/>
          <w:lang w:eastAsia="en-IE"/>
        </w:rPr>
        <w:t>RTB (Residential Tenancies Board)</w:t>
      </w:r>
      <w:r w:rsidR="00A3446A" w:rsidRPr="00514EDC">
        <w:rPr>
          <w:lang w:eastAsia="en-IE"/>
        </w:rPr>
        <w:t>,</w:t>
      </w:r>
      <w:r w:rsidR="000315F8">
        <w:rPr>
          <w:lang w:eastAsia="en-IE"/>
        </w:rPr>
        <w:t xml:space="preserve"> </w:t>
      </w:r>
      <w:r w:rsidR="000315F8" w:rsidRPr="00E40EC2">
        <w:rPr>
          <w:lang w:eastAsia="en-IE"/>
        </w:rPr>
        <w:t>Landlords Rights and Obligations</w:t>
      </w:r>
      <w:r w:rsidR="000315F8">
        <w:rPr>
          <w:lang w:eastAsia="en-IE"/>
        </w:rPr>
        <w:t xml:space="preserve"> </w:t>
      </w:r>
      <w:r w:rsidR="000315F8" w:rsidRPr="00BD331B">
        <w:rPr>
          <w:bCs/>
          <w:lang w:eastAsia="en-IE"/>
        </w:rPr>
        <w:t>and</w:t>
      </w:r>
      <w:r w:rsidR="00A3446A" w:rsidRPr="00BD331B">
        <w:rPr>
          <w:bCs/>
          <w:lang w:eastAsia="en-IE"/>
        </w:rPr>
        <w:t xml:space="preserve"> </w:t>
      </w:r>
      <w:r w:rsidR="00A3446A" w:rsidRPr="00E40EC2">
        <w:rPr>
          <w:lang w:eastAsia="en-IE"/>
        </w:rPr>
        <w:t>Tenants Rights and Obligations</w:t>
      </w:r>
      <w:r w:rsidR="00A3446A" w:rsidRPr="00514EDC">
        <w:rPr>
          <w:lang w:eastAsia="en-IE"/>
        </w:rPr>
        <w:t>.</w:t>
      </w:r>
      <w:r w:rsidR="00A3446A" w:rsidRPr="00514EDC">
        <w:rPr>
          <w:rStyle w:val="FootnoteReference"/>
          <w:rFonts w:ascii="Calibri" w:eastAsia="Times New Roman" w:hAnsi="Calibri" w:cs="Calibri"/>
          <w:sz w:val="22"/>
          <w:lang w:eastAsia="en-IE"/>
        </w:rPr>
        <w:footnoteReference w:id="2"/>
      </w:r>
      <w:r w:rsidR="00A3446A" w:rsidRPr="00514EDC">
        <w:rPr>
          <w:lang w:eastAsia="en-IE"/>
        </w:rPr>
        <w:t xml:space="preserve"> </w:t>
      </w:r>
      <w:r w:rsidR="00E40EC2">
        <w:rPr>
          <w:lang w:eastAsia="en-IE"/>
        </w:rPr>
        <w:br/>
      </w:r>
      <w:r w:rsidR="009C24B4" w:rsidRPr="00BD331B">
        <w:rPr>
          <w:b/>
          <w:sz w:val="22"/>
          <w:lang w:val="en-US"/>
        </w:rPr>
        <w:br w:type="page"/>
      </w:r>
    </w:p>
    <w:p w14:paraId="1071D73F" w14:textId="4AA5E030" w:rsidR="00942712" w:rsidRPr="00594D87" w:rsidRDefault="00942712" w:rsidP="00942712">
      <w:pPr>
        <w:jc w:val="both"/>
        <w:rPr>
          <w:sz w:val="22"/>
          <w:szCs w:val="22"/>
          <w:lang w:val="en-US"/>
        </w:rPr>
      </w:pPr>
      <w:r w:rsidRPr="00594D87">
        <w:rPr>
          <w:b/>
          <w:sz w:val="22"/>
          <w:szCs w:val="22"/>
          <w:lang w:val="en-US"/>
        </w:rPr>
        <w:lastRenderedPageBreak/>
        <w:t>Table 6</w:t>
      </w:r>
      <w:r w:rsidRPr="00594D87">
        <w:rPr>
          <w:sz w:val="22"/>
          <w:szCs w:val="22"/>
          <w:lang w:val="en-US"/>
        </w:rPr>
        <w:t xml:space="preserve"> details the </w:t>
      </w:r>
      <w:r w:rsidRPr="00594D87">
        <w:rPr>
          <w:b/>
          <w:sz w:val="22"/>
          <w:szCs w:val="22"/>
          <w:lang w:val="en-US"/>
        </w:rPr>
        <w:t>Social Welfare</w:t>
      </w:r>
      <w:r w:rsidRPr="00594D87">
        <w:rPr>
          <w:sz w:val="22"/>
          <w:szCs w:val="22"/>
          <w:lang w:val="en-US"/>
        </w:rPr>
        <w:t xml:space="preserve"> query dataset for Quarter </w:t>
      </w:r>
      <w:r w:rsidR="00B376FE">
        <w:rPr>
          <w:sz w:val="22"/>
          <w:szCs w:val="22"/>
          <w:lang w:val="en-US"/>
        </w:rPr>
        <w:t>4</w:t>
      </w:r>
      <w:r w:rsidRPr="00594D87">
        <w:rPr>
          <w:sz w:val="22"/>
          <w:szCs w:val="22"/>
          <w:lang w:val="en-US"/>
        </w:rPr>
        <w:t xml:space="preserve">, 2022.  Social Welfare </w:t>
      </w:r>
      <w:r w:rsidR="00B02B94">
        <w:rPr>
          <w:sz w:val="22"/>
          <w:szCs w:val="22"/>
          <w:lang w:val="en-US"/>
        </w:rPr>
        <w:t xml:space="preserve">related </w:t>
      </w:r>
      <w:r w:rsidRPr="00594D87">
        <w:rPr>
          <w:sz w:val="22"/>
          <w:szCs w:val="22"/>
          <w:lang w:val="en-US"/>
        </w:rPr>
        <w:t xml:space="preserve">queries </w:t>
      </w:r>
      <w:r w:rsidR="00B02B94">
        <w:rPr>
          <w:sz w:val="22"/>
          <w:szCs w:val="22"/>
          <w:lang w:val="en-US"/>
        </w:rPr>
        <w:t>continue to be the</w:t>
      </w:r>
      <w:r w:rsidRPr="00594D87">
        <w:rPr>
          <w:sz w:val="22"/>
          <w:szCs w:val="22"/>
          <w:lang w:val="en-US"/>
        </w:rPr>
        <w:t xml:space="preserve"> </w:t>
      </w:r>
      <w:r w:rsidR="00B02B94">
        <w:rPr>
          <w:sz w:val="22"/>
          <w:szCs w:val="22"/>
          <w:lang w:val="en-US"/>
        </w:rPr>
        <w:t>most popular</w:t>
      </w:r>
      <w:r w:rsidRPr="00594D87">
        <w:rPr>
          <w:sz w:val="22"/>
          <w:szCs w:val="22"/>
          <w:lang w:val="en-US"/>
        </w:rPr>
        <w:t xml:space="preserve"> query area, representing </w:t>
      </w:r>
      <w:r w:rsidR="00B376FE">
        <w:rPr>
          <w:sz w:val="22"/>
          <w:szCs w:val="22"/>
          <w:lang w:val="en-US"/>
        </w:rPr>
        <w:t>50.</w:t>
      </w:r>
      <w:r w:rsidR="00490251">
        <w:rPr>
          <w:sz w:val="22"/>
          <w:szCs w:val="22"/>
          <w:lang w:val="en-US"/>
        </w:rPr>
        <w:t>9</w:t>
      </w:r>
      <w:r w:rsidRPr="00594D87">
        <w:rPr>
          <w:sz w:val="22"/>
          <w:szCs w:val="22"/>
          <w:lang w:val="en-US"/>
        </w:rPr>
        <w:t>% of all queries compared with 4</w:t>
      </w:r>
      <w:r w:rsidR="00B376FE">
        <w:rPr>
          <w:sz w:val="22"/>
          <w:szCs w:val="22"/>
          <w:lang w:val="en-US"/>
        </w:rPr>
        <w:t>5.</w:t>
      </w:r>
      <w:r w:rsidR="00490251">
        <w:rPr>
          <w:sz w:val="22"/>
          <w:szCs w:val="22"/>
          <w:lang w:val="en-US"/>
        </w:rPr>
        <w:t>9</w:t>
      </w:r>
      <w:r w:rsidRPr="00594D87">
        <w:rPr>
          <w:sz w:val="22"/>
          <w:szCs w:val="22"/>
          <w:lang w:val="en-US"/>
        </w:rPr>
        <w:t xml:space="preserve">% for the same quarter in the previous year. </w:t>
      </w:r>
    </w:p>
    <w:p w14:paraId="7A5B3CA9" w14:textId="71124857" w:rsidR="00942712" w:rsidRPr="00594D87" w:rsidRDefault="00942712" w:rsidP="00942712">
      <w:pPr>
        <w:spacing w:line="240" w:lineRule="auto"/>
        <w:jc w:val="both"/>
        <w:rPr>
          <w:color w:val="00B050"/>
          <w:sz w:val="22"/>
          <w:szCs w:val="22"/>
          <w:lang w:val="en-US"/>
        </w:rPr>
      </w:pPr>
      <w:r w:rsidRPr="00594D87">
        <w:rPr>
          <w:b/>
          <w:sz w:val="22"/>
          <w:szCs w:val="22"/>
          <w:lang w:val="en-US"/>
        </w:rPr>
        <w:t xml:space="preserve">Social Welfare payment trends </w:t>
      </w:r>
      <w:r w:rsidR="00922A7C">
        <w:rPr>
          <w:b/>
          <w:sz w:val="22"/>
          <w:szCs w:val="22"/>
          <w:lang w:val="en-US"/>
        </w:rPr>
        <w:t>Q4</w:t>
      </w:r>
      <w:r w:rsidRPr="00594D87">
        <w:rPr>
          <w:b/>
          <w:sz w:val="22"/>
          <w:szCs w:val="22"/>
          <w:lang w:val="en-US"/>
        </w:rPr>
        <w:t>, 2022</w:t>
      </w:r>
      <w:r w:rsidRPr="00594D87">
        <w:rPr>
          <w:sz w:val="22"/>
          <w:szCs w:val="22"/>
          <w:lang w:val="en-US"/>
        </w:rPr>
        <w:t>:</w:t>
      </w:r>
    </w:p>
    <w:p w14:paraId="7DDE0EF8" w14:textId="1B4509BE" w:rsidR="00BD3429" w:rsidRPr="00514EDC" w:rsidRDefault="00942712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The top four sub-categories were </w:t>
      </w:r>
      <w:r w:rsidRPr="00514EDC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Extra Social Welfare Benefits</w:t>
      </w:r>
      <w:r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; </w:t>
      </w:r>
      <w:r w:rsidRPr="00514EDC">
        <w:rPr>
          <w:rFonts w:eastAsia="Times New Roman" w:cs="Calibri"/>
          <w:b/>
          <w:bCs/>
          <w:sz w:val="22"/>
          <w:szCs w:val="22"/>
          <w:lang w:eastAsia="en-IE"/>
        </w:rPr>
        <w:t>Disability and Illness</w:t>
      </w:r>
      <w:r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; </w:t>
      </w:r>
      <w:r w:rsidRPr="00514EDC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Older and Retired People,</w:t>
      </w:r>
      <w:r w:rsidR="0036563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 xml:space="preserve"> and Carer’s</w:t>
      </w:r>
      <w:r w:rsidRPr="00514EDC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 xml:space="preserve"> </w:t>
      </w:r>
      <w:r w:rsidRPr="00514EDC">
        <w:rPr>
          <w:rFonts w:eastAsia="Times New Roman" w:cs="Calibri"/>
          <w:bCs/>
          <w:sz w:val="22"/>
          <w:szCs w:val="22"/>
          <w:lang w:eastAsia="en-IE"/>
        </w:rPr>
        <w:t>respectively.</w:t>
      </w:r>
    </w:p>
    <w:p w14:paraId="27CC34CE" w14:textId="7E8E6A52" w:rsidR="00352513" w:rsidRPr="005C731F" w:rsidRDefault="00942712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914912">
        <w:rPr>
          <w:rFonts w:cs="Calibri"/>
          <w:b/>
          <w:sz w:val="22"/>
          <w:szCs w:val="22"/>
        </w:rPr>
        <w:t xml:space="preserve">Extra Social Welfare Benefits </w:t>
      </w:r>
      <w:r w:rsidRPr="00914912">
        <w:rPr>
          <w:rFonts w:cs="Calibri"/>
          <w:sz w:val="22"/>
          <w:szCs w:val="22"/>
        </w:rPr>
        <w:t xml:space="preserve">was the highest sub-category under Social Welfare with </w:t>
      </w:r>
      <w:r w:rsidR="0036563A" w:rsidRPr="00914912">
        <w:rPr>
          <w:rFonts w:cs="Calibri"/>
          <w:sz w:val="22"/>
          <w:szCs w:val="22"/>
        </w:rPr>
        <w:t>25</w:t>
      </w:r>
      <w:r w:rsidRPr="00914912">
        <w:rPr>
          <w:rFonts w:cs="Calibri"/>
          <w:sz w:val="22"/>
          <w:szCs w:val="22"/>
        </w:rPr>
        <w:t>,</w:t>
      </w:r>
      <w:r w:rsidR="0036563A" w:rsidRPr="00914912">
        <w:rPr>
          <w:rFonts w:cs="Calibri"/>
          <w:sz w:val="22"/>
          <w:szCs w:val="22"/>
        </w:rPr>
        <w:t>964</w:t>
      </w:r>
      <w:r w:rsidRPr="00914912">
        <w:rPr>
          <w:rFonts w:cs="Calibri"/>
          <w:sz w:val="22"/>
          <w:szCs w:val="22"/>
        </w:rPr>
        <w:t xml:space="preserve"> queries compared to 1</w:t>
      </w:r>
      <w:r w:rsidR="0036563A" w:rsidRPr="00914912">
        <w:rPr>
          <w:rFonts w:cs="Calibri"/>
          <w:sz w:val="22"/>
          <w:szCs w:val="22"/>
        </w:rPr>
        <w:t>2,673</w:t>
      </w:r>
      <w:r w:rsidRPr="00914912">
        <w:rPr>
          <w:rFonts w:cs="Calibri"/>
          <w:sz w:val="22"/>
          <w:szCs w:val="22"/>
        </w:rPr>
        <w:t xml:space="preserve"> last year, </w:t>
      </w:r>
      <w:r w:rsidR="000502ED">
        <w:rPr>
          <w:rFonts w:cs="Calibri"/>
          <w:sz w:val="22"/>
          <w:szCs w:val="22"/>
        </w:rPr>
        <w:t xml:space="preserve">a doubling in enquiries on the same quarter last year and </w:t>
      </w:r>
      <w:r w:rsidR="007A1AE3" w:rsidRPr="00914912">
        <w:rPr>
          <w:rFonts w:cs="Calibri"/>
          <w:sz w:val="22"/>
          <w:szCs w:val="22"/>
          <w:lang w:eastAsia="en-IE"/>
        </w:rPr>
        <w:t xml:space="preserve">up by </w:t>
      </w:r>
      <w:r w:rsidR="00914912" w:rsidRPr="00914912">
        <w:rPr>
          <w:rFonts w:cs="Calibri"/>
          <w:sz w:val="22"/>
          <w:szCs w:val="22"/>
          <w:lang w:eastAsia="en-IE"/>
        </w:rPr>
        <w:t>3</w:t>
      </w:r>
      <w:r w:rsidR="00D36A5E">
        <w:rPr>
          <w:rFonts w:cs="Calibri"/>
          <w:sz w:val="22"/>
          <w:szCs w:val="22"/>
          <w:lang w:eastAsia="en-IE"/>
        </w:rPr>
        <w:t>1.5</w:t>
      </w:r>
      <w:r w:rsidR="007A1AE3" w:rsidRPr="00914912">
        <w:rPr>
          <w:rFonts w:cs="Calibri"/>
          <w:sz w:val="22"/>
          <w:szCs w:val="22"/>
          <w:lang w:eastAsia="en-IE"/>
        </w:rPr>
        <w:t>%</w:t>
      </w:r>
      <w:r w:rsidR="00DC23EE" w:rsidRPr="00914912">
        <w:rPr>
          <w:rFonts w:cs="Calibri"/>
          <w:sz w:val="22"/>
          <w:szCs w:val="22"/>
          <w:lang w:eastAsia="en-IE"/>
        </w:rPr>
        <w:t xml:space="preserve"> </w:t>
      </w:r>
      <w:r w:rsidR="007A1AE3" w:rsidRPr="00914912">
        <w:rPr>
          <w:rFonts w:cs="Calibri"/>
          <w:sz w:val="22"/>
          <w:szCs w:val="22"/>
          <w:lang w:eastAsia="en-IE"/>
        </w:rPr>
        <w:t>compared to Q</w:t>
      </w:r>
      <w:r w:rsidR="0036563A" w:rsidRPr="00914912">
        <w:rPr>
          <w:rFonts w:cs="Calibri"/>
          <w:sz w:val="22"/>
          <w:szCs w:val="22"/>
          <w:lang w:eastAsia="en-IE"/>
        </w:rPr>
        <w:t>3</w:t>
      </w:r>
      <w:r w:rsidR="007A1AE3" w:rsidRPr="00914912">
        <w:rPr>
          <w:rFonts w:cs="Calibri"/>
          <w:sz w:val="22"/>
          <w:szCs w:val="22"/>
          <w:lang w:eastAsia="en-IE"/>
        </w:rPr>
        <w:t xml:space="preserve"> this year</w:t>
      </w:r>
      <w:r w:rsidR="006C4630" w:rsidRPr="00914912">
        <w:rPr>
          <w:rFonts w:cs="Calibri"/>
          <w:sz w:val="22"/>
          <w:szCs w:val="22"/>
          <w:lang w:eastAsia="en-IE"/>
        </w:rPr>
        <w:t xml:space="preserve">. Fuel Allowance queries saw the most significant increase </w:t>
      </w:r>
      <w:r w:rsidR="00914912" w:rsidRPr="00914912">
        <w:rPr>
          <w:rFonts w:cs="Calibri"/>
          <w:sz w:val="22"/>
          <w:szCs w:val="22"/>
          <w:lang w:eastAsia="en-IE"/>
        </w:rPr>
        <w:t>–</w:t>
      </w:r>
      <w:r w:rsidR="00A643B1" w:rsidRPr="00914912">
        <w:rPr>
          <w:rFonts w:cs="Calibri"/>
          <w:sz w:val="22"/>
          <w:szCs w:val="22"/>
          <w:lang w:eastAsia="en-IE"/>
        </w:rPr>
        <w:t xml:space="preserve"> </w:t>
      </w:r>
      <w:r w:rsidR="00914912" w:rsidRPr="00914912">
        <w:rPr>
          <w:rFonts w:cs="Calibri"/>
          <w:sz w:val="22"/>
          <w:szCs w:val="22"/>
          <w:lang w:eastAsia="en-IE"/>
        </w:rPr>
        <w:t xml:space="preserve">a </w:t>
      </w:r>
      <w:r w:rsidR="00997376" w:rsidRPr="00AF125C">
        <w:rPr>
          <w:rFonts w:cs="Calibri"/>
          <w:sz w:val="22"/>
          <w:szCs w:val="22"/>
          <w:lang w:eastAsia="en-IE"/>
        </w:rPr>
        <w:t>145.8%</w:t>
      </w:r>
      <w:r w:rsidR="00997376" w:rsidRPr="00914912">
        <w:t xml:space="preserve"> </w:t>
      </w:r>
      <w:r w:rsidR="00914912" w:rsidRPr="00914912">
        <w:rPr>
          <w:rFonts w:cs="Calibri"/>
          <w:sz w:val="22"/>
          <w:szCs w:val="22"/>
          <w:lang w:eastAsia="en-IE"/>
        </w:rPr>
        <w:t>increase on</w:t>
      </w:r>
      <w:r w:rsidR="006C4630" w:rsidRPr="00914912">
        <w:rPr>
          <w:rFonts w:cs="Calibri"/>
          <w:sz w:val="22"/>
          <w:szCs w:val="22"/>
          <w:lang w:eastAsia="en-IE"/>
        </w:rPr>
        <w:t xml:space="preserve"> Q</w:t>
      </w:r>
      <w:r w:rsidR="00190B0E">
        <w:rPr>
          <w:rFonts w:cs="Calibri"/>
          <w:sz w:val="22"/>
          <w:szCs w:val="22"/>
          <w:lang w:eastAsia="en-IE"/>
        </w:rPr>
        <w:t>4</w:t>
      </w:r>
      <w:r w:rsidR="00914912" w:rsidRPr="00914912">
        <w:rPr>
          <w:rFonts w:cs="Calibri"/>
          <w:sz w:val="22"/>
          <w:szCs w:val="22"/>
          <w:lang w:eastAsia="en-IE"/>
        </w:rPr>
        <w:t xml:space="preserve"> 202</w:t>
      </w:r>
      <w:r w:rsidR="00190B0E">
        <w:rPr>
          <w:rFonts w:cs="Calibri"/>
          <w:sz w:val="22"/>
          <w:szCs w:val="22"/>
          <w:lang w:eastAsia="en-IE"/>
        </w:rPr>
        <w:t>1 and a 60</w:t>
      </w:r>
      <w:r w:rsidR="00EF189F">
        <w:rPr>
          <w:rFonts w:cs="Calibri"/>
          <w:sz w:val="22"/>
          <w:szCs w:val="22"/>
          <w:lang w:eastAsia="en-IE"/>
        </w:rPr>
        <w:t>.3</w:t>
      </w:r>
      <w:r w:rsidR="00190B0E">
        <w:rPr>
          <w:rFonts w:cs="Calibri"/>
          <w:sz w:val="22"/>
          <w:szCs w:val="22"/>
          <w:lang w:eastAsia="en-IE"/>
        </w:rPr>
        <w:t>% increase compared to Q3 2022</w:t>
      </w:r>
      <w:r w:rsidR="00914912" w:rsidRPr="00914912">
        <w:rPr>
          <w:rFonts w:cs="Calibri"/>
          <w:sz w:val="22"/>
          <w:szCs w:val="22"/>
          <w:lang w:eastAsia="en-IE"/>
        </w:rPr>
        <w:t>.</w:t>
      </w:r>
      <w:r w:rsidR="00914AD8">
        <w:rPr>
          <w:rFonts w:cs="Calibri"/>
          <w:sz w:val="22"/>
          <w:szCs w:val="22"/>
          <w:lang w:eastAsia="en-IE"/>
        </w:rPr>
        <w:t xml:space="preserve"> </w:t>
      </w:r>
    </w:p>
    <w:p w14:paraId="29B976FA" w14:textId="690E3001" w:rsidR="005C731F" w:rsidRPr="005C731F" w:rsidRDefault="005C731F" w:rsidP="005C731F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914912">
        <w:rPr>
          <w:rFonts w:cs="Calibri"/>
          <w:sz w:val="22"/>
          <w:szCs w:val="22"/>
          <w:lang w:eastAsia="en-IE"/>
        </w:rPr>
        <w:t xml:space="preserve">The </w:t>
      </w:r>
      <w:r w:rsidRPr="00352513">
        <w:rPr>
          <w:rFonts w:cs="Calibri"/>
          <w:i/>
          <w:iCs/>
          <w:sz w:val="22"/>
          <w:szCs w:val="22"/>
          <w:lang w:eastAsia="en-IE"/>
        </w:rPr>
        <w:t>Living Alone payment</w:t>
      </w:r>
      <w:r w:rsidRPr="00914912">
        <w:rPr>
          <w:rFonts w:cs="Calibri"/>
          <w:sz w:val="22"/>
          <w:szCs w:val="22"/>
          <w:lang w:eastAsia="en-IE"/>
        </w:rPr>
        <w:t xml:space="preserve"> saw an increase of </w:t>
      </w:r>
      <w:r>
        <w:rPr>
          <w:rFonts w:cs="Calibri"/>
          <w:sz w:val="22"/>
          <w:szCs w:val="22"/>
          <w:lang w:eastAsia="en-IE"/>
        </w:rPr>
        <w:t>3</w:t>
      </w:r>
      <w:r w:rsidRPr="00914912">
        <w:rPr>
          <w:rFonts w:cs="Calibri"/>
          <w:sz w:val="22"/>
          <w:szCs w:val="22"/>
          <w:lang w:eastAsia="en-IE"/>
        </w:rPr>
        <w:t>5</w:t>
      </w:r>
      <w:r w:rsidR="005E3AC1">
        <w:rPr>
          <w:rFonts w:cs="Calibri"/>
          <w:sz w:val="22"/>
          <w:szCs w:val="22"/>
          <w:lang w:eastAsia="en-IE"/>
        </w:rPr>
        <w:t>.1</w:t>
      </w:r>
      <w:r w:rsidRPr="00914912">
        <w:rPr>
          <w:rFonts w:cs="Calibri"/>
          <w:sz w:val="22"/>
          <w:szCs w:val="22"/>
          <w:lang w:eastAsia="en-IE"/>
        </w:rPr>
        <w:t xml:space="preserve">% compared to Q3 of this year and </w:t>
      </w:r>
      <w:r>
        <w:rPr>
          <w:rFonts w:cs="Calibri"/>
          <w:sz w:val="22"/>
          <w:szCs w:val="22"/>
          <w:lang w:eastAsia="en-IE"/>
        </w:rPr>
        <w:t>10</w:t>
      </w:r>
      <w:r w:rsidR="00CF60C5">
        <w:rPr>
          <w:rFonts w:cs="Calibri"/>
          <w:sz w:val="22"/>
          <w:szCs w:val="22"/>
          <w:lang w:eastAsia="en-IE"/>
        </w:rPr>
        <w:t>8.6</w:t>
      </w:r>
      <w:r w:rsidRPr="00914912">
        <w:rPr>
          <w:rFonts w:cs="Calibri"/>
          <w:sz w:val="22"/>
          <w:szCs w:val="22"/>
          <w:lang w:eastAsia="en-IE"/>
        </w:rPr>
        <w:t xml:space="preserve">% compared to the same quarter last year. </w:t>
      </w:r>
      <w:r w:rsidRPr="003511CC">
        <w:rPr>
          <w:rFonts w:cs="Calibri"/>
          <w:i/>
          <w:iCs/>
          <w:sz w:val="22"/>
          <w:szCs w:val="22"/>
          <w:lang w:eastAsia="en-IE"/>
        </w:rPr>
        <w:t>Household Benefits Package</w:t>
      </w:r>
      <w:r>
        <w:rPr>
          <w:rFonts w:cs="Calibri"/>
          <w:sz w:val="22"/>
          <w:szCs w:val="22"/>
          <w:lang w:eastAsia="en-IE"/>
        </w:rPr>
        <w:t xml:space="preserve"> saw an increase of 53</w:t>
      </w:r>
      <w:r w:rsidR="006B675C">
        <w:rPr>
          <w:rFonts w:cs="Calibri"/>
          <w:sz w:val="22"/>
          <w:szCs w:val="22"/>
          <w:lang w:eastAsia="en-IE"/>
        </w:rPr>
        <w:t>.4</w:t>
      </w:r>
      <w:r>
        <w:rPr>
          <w:rFonts w:cs="Calibri"/>
          <w:sz w:val="22"/>
          <w:szCs w:val="22"/>
          <w:lang w:eastAsia="en-IE"/>
        </w:rPr>
        <w:t xml:space="preserve">% on Q4 2021. The significantly increased query numbers for </w:t>
      </w:r>
      <w:r w:rsidRPr="00974B0C">
        <w:rPr>
          <w:rFonts w:cs="Calibri"/>
          <w:i/>
          <w:iCs/>
          <w:sz w:val="22"/>
          <w:szCs w:val="22"/>
          <w:lang w:eastAsia="en-IE"/>
        </w:rPr>
        <w:t>Fuel Allowance</w:t>
      </w:r>
      <w:r>
        <w:rPr>
          <w:rFonts w:cs="Calibri"/>
          <w:sz w:val="22"/>
          <w:szCs w:val="22"/>
          <w:lang w:eastAsia="en-IE"/>
        </w:rPr>
        <w:t xml:space="preserve">, </w:t>
      </w:r>
      <w:r w:rsidR="00BD09E8">
        <w:rPr>
          <w:rFonts w:cs="Calibri"/>
          <w:sz w:val="22"/>
          <w:szCs w:val="22"/>
          <w:lang w:eastAsia="en-IE"/>
        </w:rPr>
        <w:t>t</w:t>
      </w:r>
      <w:r>
        <w:rPr>
          <w:rFonts w:cs="Calibri"/>
          <w:sz w:val="22"/>
          <w:szCs w:val="22"/>
          <w:lang w:eastAsia="en-IE"/>
        </w:rPr>
        <w:t xml:space="preserve">he </w:t>
      </w:r>
      <w:r w:rsidRPr="00974B0C">
        <w:rPr>
          <w:rFonts w:cs="Calibri"/>
          <w:i/>
          <w:iCs/>
          <w:sz w:val="22"/>
          <w:szCs w:val="22"/>
          <w:lang w:eastAsia="en-IE"/>
        </w:rPr>
        <w:t xml:space="preserve">Living Alone </w:t>
      </w:r>
      <w:r w:rsidR="00BD09E8" w:rsidRPr="00974B0C">
        <w:rPr>
          <w:rFonts w:cs="Calibri"/>
          <w:i/>
          <w:iCs/>
          <w:sz w:val="22"/>
          <w:szCs w:val="22"/>
          <w:lang w:eastAsia="en-IE"/>
        </w:rPr>
        <w:t>p</w:t>
      </w:r>
      <w:r w:rsidRPr="00974B0C">
        <w:rPr>
          <w:rFonts w:cs="Calibri"/>
          <w:i/>
          <w:iCs/>
          <w:sz w:val="22"/>
          <w:szCs w:val="22"/>
          <w:lang w:eastAsia="en-IE"/>
        </w:rPr>
        <w:t>ayment</w:t>
      </w:r>
      <w:r>
        <w:rPr>
          <w:rFonts w:cs="Calibri"/>
          <w:sz w:val="22"/>
          <w:szCs w:val="22"/>
          <w:lang w:eastAsia="en-IE"/>
        </w:rPr>
        <w:t xml:space="preserve"> and the </w:t>
      </w:r>
      <w:r w:rsidRPr="00974B0C">
        <w:rPr>
          <w:rFonts w:cs="Calibri"/>
          <w:i/>
          <w:iCs/>
          <w:sz w:val="22"/>
          <w:szCs w:val="22"/>
          <w:lang w:eastAsia="en-IE"/>
        </w:rPr>
        <w:t>Household Benefits Package</w:t>
      </w:r>
      <w:r>
        <w:rPr>
          <w:rFonts w:cs="Calibri"/>
          <w:sz w:val="22"/>
          <w:szCs w:val="22"/>
          <w:lang w:eastAsia="en-IE"/>
        </w:rPr>
        <w:t xml:space="preserve"> </w:t>
      </w:r>
      <w:r w:rsidR="00BD09E8">
        <w:rPr>
          <w:rFonts w:cs="Calibri"/>
          <w:sz w:val="22"/>
          <w:szCs w:val="22"/>
          <w:lang w:eastAsia="en-IE"/>
        </w:rPr>
        <w:t xml:space="preserve">are indicative of </w:t>
      </w:r>
      <w:r>
        <w:rPr>
          <w:rFonts w:cs="Calibri"/>
          <w:sz w:val="22"/>
          <w:szCs w:val="22"/>
          <w:lang w:eastAsia="en-IE"/>
        </w:rPr>
        <w:t>the cost-of-living crisis</w:t>
      </w:r>
      <w:r w:rsidR="00336B55">
        <w:rPr>
          <w:rFonts w:cs="Calibri"/>
          <w:sz w:val="22"/>
          <w:szCs w:val="22"/>
          <w:lang w:eastAsia="en-IE"/>
        </w:rPr>
        <w:t xml:space="preserve"> currently facing the population</w:t>
      </w:r>
      <w:r>
        <w:rPr>
          <w:rFonts w:cs="Calibri"/>
          <w:sz w:val="22"/>
          <w:szCs w:val="22"/>
          <w:lang w:eastAsia="en-IE"/>
        </w:rPr>
        <w:t>.</w:t>
      </w:r>
    </w:p>
    <w:p w14:paraId="4019AC95" w14:textId="725B0B0B" w:rsidR="00B54C85" w:rsidRPr="00B54C85" w:rsidRDefault="00B54C85" w:rsidP="00B54C85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B54C85">
        <w:rPr>
          <w:rFonts w:cs="Calibri"/>
          <w:b/>
          <w:bCs/>
          <w:i/>
          <w:iCs/>
          <w:color w:val="000000" w:themeColor="text1"/>
          <w:sz w:val="22"/>
          <w:szCs w:val="22"/>
        </w:rPr>
        <w:t>Disability &amp; Illness</w:t>
      </w:r>
      <w:r>
        <w:rPr>
          <w:rFonts w:cs="Calibri"/>
          <w:color w:val="000000" w:themeColor="text1"/>
          <w:sz w:val="22"/>
          <w:szCs w:val="22"/>
        </w:rPr>
        <w:t xml:space="preserve"> was the second highest sub-category under Social Welfare with 13,157 queries compared to 12,056 queries in the same quarter in 2021 an increase of 9</w:t>
      </w:r>
      <w:r w:rsidR="00197762">
        <w:rPr>
          <w:rFonts w:cs="Calibri"/>
          <w:color w:val="000000" w:themeColor="text1"/>
          <w:sz w:val="22"/>
          <w:szCs w:val="22"/>
        </w:rPr>
        <w:t>.1</w:t>
      </w:r>
      <w:r>
        <w:rPr>
          <w:rFonts w:cs="Calibri"/>
          <w:color w:val="000000" w:themeColor="text1"/>
          <w:sz w:val="22"/>
          <w:szCs w:val="22"/>
        </w:rPr>
        <w:t xml:space="preserve">% this year. The number of </w:t>
      </w:r>
      <w:r w:rsidRPr="00974B0C">
        <w:rPr>
          <w:rFonts w:cs="Calibri"/>
          <w:i/>
          <w:iCs/>
          <w:color w:val="000000" w:themeColor="text1"/>
          <w:sz w:val="22"/>
          <w:szCs w:val="22"/>
        </w:rPr>
        <w:t>Invalidity Pension Queries</w:t>
      </w:r>
      <w:r>
        <w:rPr>
          <w:rFonts w:cs="Calibri"/>
          <w:color w:val="000000" w:themeColor="text1"/>
          <w:sz w:val="22"/>
          <w:szCs w:val="22"/>
        </w:rPr>
        <w:t xml:space="preserve"> increased 21</w:t>
      </w:r>
      <w:r w:rsidR="001D0AB6">
        <w:rPr>
          <w:rFonts w:cs="Calibri"/>
          <w:color w:val="000000" w:themeColor="text1"/>
          <w:sz w:val="22"/>
          <w:szCs w:val="22"/>
        </w:rPr>
        <w:t>.2</w:t>
      </w:r>
      <w:r>
        <w:rPr>
          <w:rFonts w:cs="Calibri"/>
          <w:color w:val="000000" w:themeColor="text1"/>
          <w:sz w:val="22"/>
          <w:szCs w:val="22"/>
        </w:rPr>
        <w:t xml:space="preserve">% compared to Q4 2021 and </w:t>
      </w:r>
      <w:r w:rsidRPr="00974B0C">
        <w:rPr>
          <w:rFonts w:cs="Calibri"/>
          <w:i/>
          <w:iCs/>
          <w:color w:val="000000" w:themeColor="text1"/>
          <w:sz w:val="22"/>
          <w:szCs w:val="22"/>
        </w:rPr>
        <w:t>Other Payments (Blind Pension/Other)</w:t>
      </w:r>
      <w:r>
        <w:rPr>
          <w:rFonts w:cs="Calibri"/>
          <w:color w:val="000000" w:themeColor="text1"/>
          <w:sz w:val="22"/>
          <w:szCs w:val="22"/>
        </w:rPr>
        <w:t xml:space="preserve"> saw a 7</w:t>
      </w:r>
      <w:r w:rsidR="00525391">
        <w:rPr>
          <w:rFonts w:cs="Calibri"/>
          <w:color w:val="000000" w:themeColor="text1"/>
          <w:sz w:val="22"/>
          <w:szCs w:val="22"/>
        </w:rPr>
        <w:t>2.8</w:t>
      </w:r>
      <w:r>
        <w:rPr>
          <w:rFonts w:cs="Calibri"/>
          <w:color w:val="000000" w:themeColor="text1"/>
          <w:sz w:val="22"/>
          <w:szCs w:val="22"/>
        </w:rPr>
        <w:t>% increase in the same period.</w:t>
      </w:r>
    </w:p>
    <w:p w14:paraId="05BB2477" w14:textId="456BE196" w:rsidR="000D550D" w:rsidRPr="00352513" w:rsidRDefault="000D550D" w:rsidP="0099735B">
      <w:pPr>
        <w:pStyle w:val="CommentText"/>
        <w:numPr>
          <w:ilvl w:val="0"/>
          <w:numId w:val="12"/>
        </w:numPr>
        <w:jc w:val="both"/>
        <w:rPr>
          <w:rFonts w:cs="Calibri"/>
          <w:sz w:val="22"/>
          <w:szCs w:val="22"/>
          <w:lang w:eastAsia="en-IE"/>
        </w:rPr>
      </w:pPr>
      <w:r w:rsidRPr="0058485C">
        <w:rPr>
          <w:rFonts w:cs="Calibri"/>
          <w:b/>
          <w:bCs/>
          <w:i/>
          <w:iCs/>
          <w:color w:val="000000" w:themeColor="text1"/>
          <w:sz w:val="22"/>
          <w:szCs w:val="22"/>
        </w:rPr>
        <w:t>Supplementary Welfare Schemes</w:t>
      </w:r>
      <w:r w:rsidRPr="00352513">
        <w:rPr>
          <w:rFonts w:cs="Calibri"/>
          <w:sz w:val="22"/>
          <w:szCs w:val="22"/>
          <w:lang w:eastAsia="en-IE"/>
        </w:rPr>
        <w:t xml:space="preserve"> almost doubled (</w:t>
      </w:r>
      <w:r w:rsidR="005C731F">
        <w:rPr>
          <w:rFonts w:cs="Calibri"/>
          <w:sz w:val="22"/>
          <w:szCs w:val="22"/>
          <w:lang w:eastAsia="en-IE"/>
        </w:rPr>
        <w:t>8</w:t>
      </w:r>
      <w:r w:rsidR="0058485C">
        <w:rPr>
          <w:rFonts w:cs="Calibri"/>
          <w:sz w:val="22"/>
          <w:szCs w:val="22"/>
          <w:lang w:eastAsia="en-IE"/>
        </w:rPr>
        <w:t>7.8</w:t>
      </w:r>
      <w:r w:rsidRPr="00352513">
        <w:rPr>
          <w:rFonts w:cs="Calibri"/>
          <w:sz w:val="22"/>
          <w:szCs w:val="22"/>
          <w:lang w:eastAsia="en-IE"/>
        </w:rPr>
        <w:t xml:space="preserve">%) in queries compared with the same period in 2021.  </w:t>
      </w:r>
      <w:r w:rsidRPr="00B54C85">
        <w:rPr>
          <w:rFonts w:cs="Calibri"/>
          <w:i/>
          <w:iCs/>
          <w:sz w:val="22"/>
          <w:szCs w:val="22"/>
          <w:lang w:eastAsia="en-IE"/>
        </w:rPr>
        <w:t>Additional Needs Payment</w:t>
      </w:r>
      <w:r w:rsidRPr="00352513">
        <w:rPr>
          <w:rFonts w:cs="Calibri"/>
          <w:sz w:val="22"/>
          <w:szCs w:val="22"/>
          <w:lang w:eastAsia="en-IE"/>
        </w:rPr>
        <w:t xml:space="preserve"> had the highest number of queries (3,872) in this sub-category</w:t>
      </w:r>
      <w:r w:rsidR="00336B55">
        <w:rPr>
          <w:rFonts w:cs="Calibri"/>
          <w:sz w:val="22"/>
          <w:szCs w:val="22"/>
          <w:lang w:eastAsia="en-IE"/>
        </w:rPr>
        <w:t xml:space="preserve"> and replaced the </w:t>
      </w:r>
      <w:r w:rsidR="00336B55" w:rsidRPr="00974B0C">
        <w:rPr>
          <w:rFonts w:cs="Calibri"/>
          <w:i/>
          <w:iCs/>
          <w:sz w:val="22"/>
          <w:szCs w:val="22"/>
          <w:lang w:eastAsia="en-IE"/>
        </w:rPr>
        <w:t>Exceptional Needs Payment</w:t>
      </w:r>
      <w:r w:rsidR="00336B55">
        <w:rPr>
          <w:rFonts w:cs="Calibri"/>
          <w:sz w:val="22"/>
          <w:szCs w:val="22"/>
          <w:lang w:eastAsia="en-IE"/>
        </w:rPr>
        <w:t xml:space="preserve"> from July 2022</w:t>
      </w:r>
      <w:r w:rsidRPr="00352513">
        <w:rPr>
          <w:rFonts w:cs="Calibri"/>
          <w:sz w:val="22"/>
          <w:szCs w:val="22"/>
          <w:lang w:eastAsia="en-IE"/>
        </w:rPr>
        <w:t xml:space="preserve">, followed by </w:t>
      </w:r>
      <w:r w:rsidRPr="00974B0C">
        <w:rPr>
          <w:rFonts w:cs="Calibri"/>
          <w:i/>
          <w:iCs/>
          <w:sz w:val="22"/>
          <w:szCs w:val="22"/>
          <w:lang w:eastAsia="en-IE"/>
        </w:rPr>
        <w:t>Basic Supplementary Welfare Allowance</w:t>
      </w:r>
      <w:r w:rsidRPr="00352513">
        <w:rPr>
          <w:rFonts w:cs="Calibri"/>
          <w:sz w:val="22"/>
          <w:szCs w:val="22"/>
          <w:lang w:eastAsia="en-IE"/>
        </w:rPr>
        <w:t xml:space="preserve"> which saw an increase of </w:t>
      </w:r>
      <w:r w:rsidR="005C731F">
        <w:rPr>
          <w:rFonts w:cs="Calibri"/>
          <w:sz w:val="22"/>
          <w:szCs w:val="22"/>
          <w:lang w:eastAsia="en-IE"/>
        </w:rPr>
        <w:t>3</w:t>
      </w:r>
      <w:r w:rsidR="00512DAD">
        <w:rPr>
          <w:rFonts w:cs="Calibri"/>
          <w:sz w:val="22"/>
          <w:szCs w:val="22"/>
          <w:lang w:eastAsia="en-IE"/>
        </w:rPr>
        <w:t>7.9</w:t>
      </w:r>
      <w:r w:rsidRPr="00352513">
        <w:rPr>
          <w:rFonts w:cs="Calibri"/>
          <w:sz w:val="22"/>
          <w:szCs w:val="22"/>
          <w:lang w:eastAsia="en-IE"/>
        </w:rPr>
        <w:t xml:space="preserve">% in queries when compared with Q4 2021. </w:t>
      </w:r>
      <w:r w:rsidR="00F84019">
        <w:rPr>
          <w:rFonts w:cs="Calibri"/>
          <w:sz w:val="22"/>
          <w:szCs w:val="22"/>
          <w:lang w:eastAsia="en-IE"/>
        </w:rPr>
        <w:t>The ongoing affordability challenges by people in Ireland is shown by the rising query numbers as people look for solutions.</w:t>
      </w:r>
      <w:r w:rsidRPr="00352513">
        <w:rPr>
          <w:rFonts w:cs="Calibri"/>
          <w:sz w:val="22"/>
          <w:szCs w:val="22"/>
          <w:lang w:eastAsia="en-IE"/>
        </w:rPr>
        <w:t xml:space="preserve"> </w:t>
      </w:r>
    </w:p>
    <w:p w14:paraId="0E06682D" w14:textId="288FEA30" w:rsidR="000638F0" w:rsidRPr="000638F0" w:rsidRDefault="00AF1751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914912">
        <w:rPr>
          <w:rFonts w:cs="Calibri"/>
          <w:b/>
          <w:bCs/>
          <w:color w:val="000000" w:themeColor="text1"/>
          <w:sz w:val="22"/>
          <w:szCs w:val="22"/>
        </w:rPr>
        <w:t>Carer’s payments</w:t>
      </w:r>
      <w:r w:rsidRPr="00914912">
        <w:rPr>
          <w:rFonts w:cs="Calibri"/>
          <w:bCs/>
          <w:color w:val="000000" w:themeColor="text1"/>
          <w:sz w:val="22"/>
          <w:szCs w:val="22"/>
        </w:rPr>
        <w:t xml:space="preserve"> rose by </w:t>
      </w:r>
      <w:r w:rsidR="00B85389">
        <w:rPr>
          <w:rFonts w:cs="Calibri"/>
          <w:bCs/>
          <w:color w:val="000000" w:themeColor="text1"/>
          <w:sz w:val="22"/>
          <w:szCs w:val="22"/>
        </w:rPr>
        <w:t>1</w:t>
      </w:r>
      <w:r w:rsidR="007E7066">
        <w:rPr>
          <w:rFonts w:cs="Calibri"/>
          <w:bCs/>
          <w:color w:val="000000" w:themeColor="text1"/>
          <w:sz w:val="22"/>
          <w:szCs w:val="22"/>
        </w:rPr>
        <w:t>7.7</w:t>
      </w:r>
      <w:r w:rsidR="00B85389">
        <w:rPr>
          <w:rFonts w:cs="Calibri"/>
          <w:bCs/>
          <w:color w:val="000000" w:themeColor="text1"/>
          <w:sz w:val="22"/>
          <w:szCs w:val="22"/>
        </w:rPr>
        <w:t>% compared to the same quarter last year</w:t>
      </w:r>
      <w:r w:rsidR="00B54C85">
        <w:rPr>
          <w:rFonts w:cs="Calibri"/>
          <w:bCs/>
          <w:color w:val="000000" w:themeColor="text1"/>
          <w:sz w:val="22"/>
          <w:szCs w:val="22"/>
        </w:rPr>
        <w:t>.</w:t>
      </w:r>
      <w:r w:rsidR="00B85389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="00B85389" w:rsidRPr="00974B0C">
        <w:rPr>
          <w:rFonts w:cs="Calibri"/>
          <w:bCs/>
          <w:i/>
          <w:iCs/>
          <w:color w:val="000000" w:themeColor="text1"/>
          <w:sz w:val="22"/>
          <w:szCs w:val="22"/>
        </w:rPr>
        <w:t>Carer’s Allowance,</w:t>
      </w:r>
      <w:r w:rsidR="005C731F" w:rsidRPr="00974B0C">
        <w:rPr>
          <w:rFonts w:cs="Calibri"/>
          <w:bCs/>
          <w:i/>
          <w:iCs/>
          <w:color w:val="000000" w:themeColor="text1"/>
          <w:sz w:val="22"/>
          <w:szCs w:val="22"/>
        </w:rPr>
        <w:t xml:space="preserve"> Carer’s Support Grant</w:t>
      </w:r>
      <w:r w:rsidR="005C731F">
        <w:rPr>
          <w:rFonts w:cs="Calibri"/>
          <w:bCs/>
          <w:color w:val="000000" w:themeColor="text1"/>
          <w:sz w:val="22"/>
          <w:szCs w:val="22"/>
        </w:rPr>
        <w:t xml:space="preserve"> and</w:t>
      </w:r>
      <w:r w:rsidR="00B85389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="00371632" w:rsidRPr="00974B0C">
        <w:rPr>
          <w:rFonts w:cs="Calibri"/>
          <w:bCs/>
          <w:i/>
          <w:iCs/>
          <w:color w:val="000000" w:themeColor="text1"/>
          <w:sz w:val="22"/>
          <w:szCs w:val="22"/>
        </w:rPr>
        <w:t>Domiciliary</w:t>
      </w:r>
      <w:r w:rsidR="00B85389" w:rsidRPr="00974B0C">
        <w:rPr>
          <w:rFonts w:cs="Calibri"/>
          <w:bCs/>
          <w:i/>
          <w:iCs/>
          <w:color w:val="000000" w:themeColor="text1"/>
          <w:sz w:val="22"/>
          <w:szCs w:val="22"/>
        </w:rPr>
        <w:t xml:space="preserve"> Care Allowance</w:t>
      </w:r>
      <w:r w:rsidR="00B85389">
        <w:rPr>
          <w:rFonts w:cs="Calibri"/>
          <w:bCs/>
          <w:color w:val="000000" w:themeColor="text1"/>
          <w:sz w:val="22"/>
          <w:szCs w:val="22"/>
        </w:rPr>
        <w:t xml:space="preserve"> saw increases of 7</w:t>
      </w:r>
      <w:r w:rsidR="00A91CF4">
        <w:rPr>
          <w:rFonts w:cs="Calibri"/>
          <w:bCs/>
          <w:color w:val="000000" w:themeColor="text1"/>
          <w:sz w:val="22"/>
          <w:szCs w:val="22"/>
        </w:rPr>
        <w:t>.4</w:t>
      </w:r>
      <w:r w:rsidR="00B85389">
        <w:rPr>
          <w:rFonts w:cs="Calibri"/>
          <w:bCs/>
          <w:color w:val="000000" w:themeColor="text1"/>
          <w:sz w:val="22"/>
          <w:szCs w:val="22"/>
        </w:rPr>
        <w:t xml:space="preserve">%, </w:t>
      </w:r>
      <w:r w:rsidR="005C731F">
        <w:rPr>
          <w:rFonts w:cs="Calibri"/>
          <w:bCs/>
          <w:color w:val="000000" w:themeColor="text1"/>
          <w:sz w:val="22"/>
          <w:szCs w:val="22"/>
        </w:rPr>
        <w:t>44</w:t>
      </w:r>
      <w:r w:rsidR="00CF67D8">
        <w:rPr>
          <w:rFonts w:cs="Calibri"/>
          <w:bCs/>
          <w:color w:val="000000" w:themeColor="text1"/>
          <w:sz w:val="22"/>
          <w:szCs w:val="22"/>
        </w:rPr>
        <w:t>.4</w:t>
      </w:r>
      <w:r w:rsidR="00B85389">
        <w:rPr>
          <w:rFonts w:cs="Calibri"/>
          <w:bCs/>
          <w:color w:val="000000" w:themeColor="text1"/>
          <w:sz w:val="22"/>
          <w:szCs w:val="22"/>
        </w:rPr>
        <w:t xml:space="preserve">% and </w:t>
      </w:r>
      <w:r w:rsidR="005C731F">
        <w:rPr>
          <w:rFonts w:cs="Calibri"/>
          <w:bCs/>
          <w:color w:val="000000" w:themeColor="text1"/>
          <w:sz w:val="22"/>
          <w:szCs w:val="22"/>
        </w:rPr>
        <w:t>30</w:t>
      </w:r>
      <w:r w:rsidR="00DD2FA6">
        <w:rPr>
          <w:rFonts w:cs="Calibri"/>
          <w:bCs/>
          <w:color w:val="000000" w:themeColor="text1"/>
          <w:sz w:val="22"/>
          <w:szCs w:val="22"/>
        </w:rPr>
        <w:t>.4</w:t>
      </w:r>
      <w:r w:rsidR="00B85389">
        <w:rPr>
          <w:rFonts w:cs="Calibri"/>
          <w:bCs/>
          <w:color w:val="000000" w:themeColor="text1"/>
          <w:sz w:val="22"/>
          <w:szCs w:val="22"/>
        </w:rPr>
        <w:t>% respectively.</w:t>
      </w:r>
    </w:p>
    <w:p w14:paraId="7B5FFF1E" w14:textId="6A98F4E4" w:rsidR="00942712" w:rsidRPr="00914912" w:rsidRDefault="000638F0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190B0E">
        <w:rPr>
          <w:rFonts w:cs="Calibri"/>
          <w:b/>
          <w:color w:val="000000" w:themeColor="text1"/>
          <w:sz w:val="22"/>
          <w:szCs w:val="22"/>
        </w:rPr>
        <w:t>Older</w:t>
      </w:r>
      <w:r w:rsidR="00190B0E" w:rsidRPr="00190B0E">
        <w:rPr>
          <w:rFonts w:cs="Calibri"/>
          <w:b/>
          <w:color w:val="000000" w:themeColor="text1"/>
          <w:sz w:val="22"/>
          <w:szCs w:val="22"/>
        </w:rPr>
        <w:t xml:space="preserve"> and Retired</w:t>
      </w:r>
      <w:r w:rsidRPr="00190B0E">
        <w:rPr>
          <w:rFonts w:cs="Calibri"/>
          <w:b/>
          <w:color w:val="000000" w:themeColor="text1"/>
          <w:sz w:val="22"/>
          <w:szCs w:val="22"/>
        </w:rPr>
        <w:t xml:space="preserve"> </w:t>
      </w:r>
      <w:r w:rsidR="00190B0E" w:rsidRPr="00190B0E">
        <w:rPr>
          <w:rFonts w:cs="Calibri"/>
          <w:b/>
          <w:color w:val="000000" w:themeColor="text1"/>
          <w:sz w:val="22"/>
          <w:szCs w:val="22"/>
        </w:rPr>
        <w:t>P</w:t>
      </w:r>
      <w:r w:rsidRPr="00190B0E">
        <w:rPr>
          <w:rFonts w:cs="Calibri"/>
          <w:b/>
          <w:color w:val="000000" w:themeColor="text1"/>
          <w:sz w:val="22"/>
          <w:szCs w:val="22"/>
        </w:rPr>
        <w:t>eople’s</w:t>
      </w:r>
      <w:r>
        <w:rPr>
          <w:rFonts w:cs="Calibri"/>
          <w:bCs/>
          <w:color w:val="000000" w:themeColor="text1"/>
          <w:sz w:val="22"/>
          <w:szCs w:val="22"/>
        </w:rPr>
        <w:t xml:space="preserve"> payments saw the</w:t>
      </w:r>
      <w:r w:rsidRPr="00914912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="00AF1751" w:rsidRPr="00974B0C">
        <w:rPr>
          <w:rFonts w:cs="Calibri"/>
          <w:bCs/>
          <w:i/>
          <w:iCs/>
          <w:color w:val="000000" w:themeColor="text1"/>
          <w:sz w:val="22"/>
          <w:szCs w:val="22"/>
        </w:rPr>
        <w:t>State Pension (Contributory</w:t>
      </w:r>
      <w:r w:rsidR="00AF1751" w:rsidRPr="00914912">
        <w:rPr>
          <w:rFonts w:cs="Calibri"/>
          <w:bCs/>
          <w:color w:val="000000" w:themeColor="text1"/>
          <w:sz w:val="22"/>
          <w:szCs w:val="22"/>
        </w:rPr>
        <w:t xml:space="preserve">) </w:t>
      </w:r>
      <w:r w:rsidR="003C3802">
        <w:rPr>
          <w:rFonts w:cs="Calibri"/>
          <w:bCs/>
          <w:color w:val="000000" w:themeColor="text1"/>
          <w:sz w:val="22"/>
          <w:szCs w:val="22"/>
        </w:rPr>
        <w:t xml:space="preserve">queries </w:t>
      </w:r>
      <w:r>
        <w:rPr>
          <w:rFonts w:cs="Calibri"/>
          <w:bCs/>
          <w:color w:val="000000" w:themeColor="text1"/>
          <w:sz w:val="22"/>
          <w:szCs w:val="22"/>
        </w:rPr>
        <w:t xml:space="preserve">increase </w:t>
      </w:r>
      <w:r w:rsidR="00AF1751" w:rsidRPr="00914912">
        <w:rPr>
          <w:rFonts w:cs="Calibri"/>
          <w:bCs/>
          <w:color w:val="000000" w:themeColor="text1"/>
          <w:sz w:val="22"/>
          <w:szCs w:val="22"/>
        </w:rPr>
        <w:t>by 22.</w:t>
      </w:r>
      <w:r w:rsidR="008C11AA">
        <w:rPr>
          <w:rFonts w:cs="Calibri"/>
          <w:bCs/>
          <w:color w:val="000000" w:themeColor="text1"/>
          <w:sz w:val="22"/>
          <w:szCs w:val="22"/>
        </w:rPr>
        <w:t>4</w:t>
      </w:r>
      <w:r w:rsidR="00AF1751" w:rsidRPr="00914912">
        <w:rPr>
          <w:rFonts w:cs="Calibri"/>
          <w:bCs/>
          <w:color w:val="000000" w:themeColor="text1"/>
          <w:sz w:val="22"/>
          <w:szCs w:val="22"/>
        </w:rPr>
        <w:t xml:space="preserve">%, and the </w:t>
      </w:r>
      <w:r w:rsidR="00AF1751" w:rsidRPr="00974B0C">
        <w:rPr>
          <w:rFonts w:cs="Calibri"/>
          <w:bCs/>
          <w:i/>
          <w:iCs/>
          <w:color w:val="000000" w:themeColor="text1"/>
          <w:sz w:val="22"/>
          <w:szCs w:val="22"/>
        </w:rPr>
        <w:t>State Pension (Non-Contributory)</w:t>
      </w:r>
      <w:r w:rsidR="00AF1751" w:rsidRPr="00914912">
        <w:rPr>
          <w:rFonts w:cs="Calibri"/>
          <w:bCs/>
          <w:color w:val="000000" w:themeColor="text1"/>
          <w:sz w:val="22"/>
          <w:szCs w:val="22"/>
        </w:rPr>
        <w:t xml:space="preserve"> by </w:t>
      </w:r>
      <w:r w:rsidR="00336B55">
        <w:rPr>
          <w:rFonts w:cs="Calibri"/>
          <w:bCs/>
          <w:color w:val="000000" w:themeColor="text1"/>
          <w:sz w:val="22"/>
          <w:szCs w:val="22"/>
        </w:rPr>
        <w:t>28</w:t>
      </w:r>
      <w:r w:rsidR="00880682">
        <w:rPr>
          <w:rFonts w:cs="Calibri"/>
          <w:bCs/>
          <w:color w:val="000000" w:themeColor="text1"/>
          <w:sz w:val="22"/>
          <w:szCs w:val="22"/>
        </w:rPr>
        <w:t>.1</w:t>
      </w:r>
      <w:r w:rsidR="00AF1751" w:rsidRPr="00914912">
        <w:rPr>
          <w:rFonts w:cs="Calibri"/>
          <w:bCs/>
          <w:color w:val="000000" w:themeColor="text1"/>
          <w:sz w:val="22"/>
          <w:szCs w:val="22"/>
        </w:rPr>
        <w:t>% compared to last year.</w:t>
      </w:r>
    </w:p>
    <w:p w14:paraId="32524580" w14:textId="77777777" w:rsidR="00942712" w:rsidRPr="00514EDC" w:rsidRDefault="00942712" w:rsidP="00B85389">
      <w:pPr>
        <w:ind w:left="720"/>
      </w:pPr>
    </w:p>
    <w:p w14:paraId="3593805A" w14:textId="77777777" w:rsidR="001636C3" w:rsidRDefault="001636C3">
      <w:pPr>
        <w:rPr>
          <w:rFonts w:ascii="Tw Cen MT Condensed" w:eastAsiaTheme="majorEastAsia" w:hAnsi="Tw Cen MT Condensed"/>
          <w:b/>
          <w:color w:val="1481AB" w:themeColor="accent1" w:themeShade="BF"/>
          <w:lang w:val="en-US"/>
        </w:rPr>
      </w:pPr>
      <w:r>
        <w:rPr>
          <w:rFonts w:ascii="Tw Cen MT Condensed" w:hAnsi="Tw Cen MT Condensed"/>
          <w:b/>
          <w:lang w:val="en-US"/>
        </w:rPr>
        <w:br w:type="page"/>
      </w:r>
    </w:p>
    <w:p w14:paraId="70EED65A" w14:textId="0EC4F90F" w:rsidR="00942712" w:rsidRPr="00420C57" w:rsidRDefault="00942712" w:rsidP="00942712">
      <w:pPr>
        <w:pStyle w:val="Heading1"/>
        <w:shd w:val="clear" w:color="auto" w:fill="FFFFFF" w:themeFill="background1"/>
        <w:rPr>
          <w:rFonts w:ascii="Tw Cen MT Condensed" w:hAnsi="Tw Cen MT Condensed"/>
          <w:b/>
          <w:sz w:val="24"/>
          <w:szCs w:val="24"/>
          <w:lang w:val="en-US"/>
        </w:rPr>
      </w:pPr>
      <w:r w:rsidRPr="00420C57">
        <w:rPr>
          <w:rFonts w:ascii="Tw Cen MT Condensed" w:hAnsi="Tw Cen MT Condensed" w:cs="Calibri"/>
          <w:b/>
          <w:sz w:val="24"/>
          <w:szCs w:val="24"/>
          <w:lang w:val="en-US"/>
        </w:rPr>
        <w:lastRenderedPageBreak/>
        <w:t xml:space="preserve">Table 6 </w:t>
      </w:r>
      <w:r w:rsidRPr="00420C57">
        <w:rPr>
          <w:rFonts w:ascii="Tw Cen MT Condensed" w:hAnsi="Tw Cen MT Condensed"/>
          <w:b/>
          <w:sz w:val="24"/>
          <w:szCs w:val="24"/>
          <w:lang w:val="en-US"/>
        </w:rPr>
        <w:t xml:space="preserve">– </w:t>
      </w:r>
      <w:r w:rsidRPr="00420C57">
        <w:rPr>
          <w:rFonts w:ascii="Tw Cen MT Condensed" w:hAnsi="Tw Cen MT Condensed" w:cs="Calibri"/>
          <w:b/>
          <w:sz w:val="24"/>
          <w:szCs w:val="24"/>
          <w:lang w:val="en-US"/>
        </w:rPr>
        <w:t xml:space="preserve">Social Welfare Query Breakdown, </w:t>
      </w:r>
      <w:r w:rsidR="00922A7C">
        <w:rPr>
          <w:rFonts w:ascii="Tw Cen MT Condensed" w:hAnsi="Tw Cen MT Condensed" w:cs="Calibri"/>
          <w:b/>
          <w:sz w:val="24"/>
          <w:szCs w:val="24"/>
          <w:lang w:val="en-US"/>
        </w:rPr>
        <w:t>Q4</w:t>
      </w:r>
      <w:r w:rsidRPr="00420C57">
        <w:rPr>
          <w:rFonts w:ascii="Tw Cen MT Condensed" w:hAnsi="Tw Cen MT Condensed" w:cs="Calibri"/>
          <w:b/>
          <w:sz w:val="24"/>
          <w:szCs w:val="24"/>
          <w:lang w:val="en-US"/>
        </w:rPr>
        <w:t xml:space="preserve"> 2022</w:t>
      </w:r>
      <w:r w:rsidR="00624209">
        <w:rPr>
          <w:rStyle w:val="FootnoteReference"/>
          <w:rFonts w:ascii="Tw Cen MT Condensed" w:hAnsi="Tw Cen MT Condensed" w:cs="Calibri"/>
          <w:b/>
          <w:sz w:val="24"/>
          <w:szCs w:val="24"/>
          <w:lang w:val="en-US"/>
        </w:rPr>
        <w:footnoteReference w:id="3"/>
      </w:r>
    </w:p>
    <w:tbl>
      <w:tblPr>
        <w:tblStyle w:val="GridTable5Dark-Accent6"/>
        <w:tblW w:w="13297" w:type="dxa"/>
        <w:tblLook w:val="04A0" w:firstRow="1" w:lastRow="0" w:firstColumn="1" w:lastColumn="0" w:noHBand="0" w:noVBand="1"/>
      </w:tblPr>
      <w:tblGrid>
        <w:gridCol w:w="1870"/>
        <w:gridCol w:w="4074"/>
        <w:gridCol w:w="4604"/>
        <w:gridCol w:w="1213"/>
        <w:gridCol w:w="1536"/>
      </w:tblGrid>
      <w:tr w:rsidR="00942712" w:rsidRPr="00514EDC" w14:paraId="62FA09E5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hideMark/>
          </w:tcPr>
          <w:p w14:paraId="15A23C5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074" w:type="dxa"/>
            <w:noWrap/>
            <w:hideMark/>
          </w:tcPr>
          <w:p w14:paraId="0BF0F8EC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604" w:type="dxa"/>
            <w:hideMark/>
          </w:tcPr>
          <w:p w14:paraId="368A3520" w14:textId="035B9A3D" w:rsidR="00942712" w:rsidRPr="00514EDC" w:rsidRDefault="00922A7C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Q4</w:t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, 2022 Sub-category Breakdown</w:t>
            </w:r>
          </w:p>
        </w:tc>
        <w:tc>
          <w:tcPr>
            <w:tcW w:w="1213" w:type="dxa"/>
            <w:hideMark/>
          </w:tcPr>
          <w:p w14:paraId="6F24D9B9" w14:textId="57410AB2" w:rsidR="00942712" w:rsidRPr="00514EDC" w:rsidRDefault="00942712" w:rsidP="00D503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# </w:t>
            </w:r>
            <w:r w:rsidR="00E54FF3"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Of</w:t>
            </w: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Queries</w:t>
            </w:r>
          </w:p>
        </w:tc>
        <w:tc>
          <w:tcPr>
            <w:tcW w:w="1536" w:type="dxa"/>
            <w:hideMark/>
          </w:tcPr>
          <w:p w14:paraId="73C18AE3" w14:textId="567BC460" w:rsidR="00942712" w:rsidRPr="00514EDC" w:rsidRDefault="00942712" w:rsidP="00D503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% </w:t>
            </w:r>
            <w:r w:rsidR="00E54FF3"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Of</w:t>
            </w: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Social Welfare Sub-category</w:t>
            </w:r>
          </w:p>
        </w:tc>
      </w:tr>
      <w:tr w:rsidR="00942712" w:rsidRPr="00514EDC" w14:paraId="01C231F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2D5A7188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Extra Social Welfare Benefits</w:t>
            </w:r>
          </w:p>
        </w:tc>
      </w:tr>
      <w:tr w:rsidR="005C5E03" w:rsidRPr="00514EDC" w14:paraId="18AB86C7" w14:textId="77777777" w:rsidTr="00D5036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204B0F9" w14:textId="77777777" w:rsidR="005C5E03" w:rsidRPr="00514EDC" w:rsidRDefault="005C5E03" w:rsidP="005C5E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5905EFD0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3CDE79C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Fuel Allowance</w:t>
            </w:r>
          </w:p>
        </w:tc>
        <w:tc>
          <w:tcPr>
            <w:tcW w:w="1213" w:type="dxa"/>
            <w:noWrap/>
            <w:hideMark/>
          </w:tcPr>
          <w:p w14:paraId="1D3B3ED7" w14:textId="1B8E3556" w:rsidR="005C5E03" w:rsidRPr="00514EDC" w:rsidRDefault="005C5E03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14,787</w:t>
            </w:r>
          </w:p>
        </w:tc>
        <w:tc>
          <w:tcPr>
            <w:tcW w:w="1536" w:type="dxa"/>
            <w:noWrap/>
            <w:vAlign w:val="bottom"/>
          </w:tcPr>
          <w:p w14:paraId="04E6788E" w14:textId="35C7BE1F" w:rsidR="005C5E03" w:rsidRPr="0021132E" w:rsidRDefault="005C5E03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C5E03">
              <w:rPr>
                <w:rFonts w:ascii="Calibri" w:hAnsi="Calibri" w:cs="Calibri"/>
                <w:sz w:val="20"/>
                <w:szCs w:val="20"/>
              </w:rPr>
              <w:t>5</w:t>
            </w:r>
            <w:r w:rsidR="00465135">
              <w:rPr>
                <w:rFonts w:ascii="Calibri" w:hAnsi="Calibri" w:cs="Calibri"/>
                <w:sz w:val="20"/>
                <w:szCs w:val="20"/>
              </w:rPr>
              <w:t>7.0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C5E03" w:rsidRPr="00514EDC" w14:paraId="4A164BA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75E33B3" w14:textId="77777777" w:rsidR="005C5E03" w:rsidRPr="00514EDC" w:rsidRDefault="005C5E03" w:rsidP="005C5E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3F1FE5E" w14:textId="77777777" w:rsidR="005C5E03" w:rsidRPr="00514EDC" w:rsidRDefault="005C5E03" w:rsidP="005C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35B839A9" w14:textId="77777777" w:rsidR="005C5E03" w:rsidRPr="00514EDC" w:rsidRDefault="005C5E03" w:rsidP="005C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Household Benefits Package</w:t>
            </w:r>
          </w:p>
        </w:tc>
        <w:tc>
          <w:tcPr>
            <w:tcW w:w="1213" w:type="dxa"/>
            <w:noWrap/>
            <w:hideMark/>
          </w:tcPr>
          <w:p w14:paraId="7788D63E" w14:textId="6E3234F7" w:rsidR="005C5E03" w:rsidRPr="00514EDC" w:rsidRDefault="005C5E03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5,</w:t>
            </w:r>
            <w:r>
              <w:rPr>
                <w:rFonts w:ascii="Calibri" w:hAnsi="Calibri" w:cs="Calibri"/>
                <w:sz w:val="20"/>
                <w:szCs w:val="20"/>
              </w:rPr>
              <w:t>286</w:t>
            </w:r>
          </w:p>
        </w:tc>
        <w:tc>
          <w:tcPr>
            <w:tcW w:w="1536" w:type="dxa"/>
            <w:noWrap/>
            <w:vAlign w:val="bottom"/>
          </w:tcPr>
          <w:p w14:paraId="578FFE29" w14:textId="7C60081D" w:rsidR="005C5E03" w:rsidRPr="0021132E" w:rsidRDefault="005C5E03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C5E03">
              <w:rPr>
                <w:rFonts w:ascii="Calibri" w:hAnsi="Calibri" w:cs="Calibri"/>
                <w:sz w:val="20"/>
                <w:szCs w:val="20"/>
              </w:rPr>
              <w:t>20.</w:t>
            </w:r>
            <w:r w:rsidR="00465135">
              <w:rPr>
                <w:rFonts w:ascii="Calibri" w:hAnsi="Calibri" w:cs="Calibri"/>
                <w:sz w:val="20"/>
                <w:szCs w:val="20"/>
              </w:rPr>
              <w:t>4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C5E03" w:rsidRPr="00514EDC" w14:paraId="6C0835F3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9BF9C1" w14:textId="77777777" w:rsidR="005C5E03" w:rsidRPr="00514EDC" w:rsidRDefault="005C5E03" w:rsidP="005C5E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AC9340F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3DF0036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Living Alone Increase</w:t>
            </w:r>
          </w:p>
        </w:tc>
        <w:tc>
          <w:tcPr>
            <w:tcW w:w="1213" w:type="dxa"/>
            <w:noWrap/>
            <w:hideMark/>
          </w:tcPr>
          <w:p w14:paraId="2D17EC83" w14:textId="4894450E" w:rsidR="005C5E03" w:rsidRPr="00514EDC" w:rsidRDefault="005C5E03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2,</w:t>
            </w:r>
            <w:r>
              <w:rPr>
                <w:rFonts w:ascii="Calibri" w:hAnsi="Calibri" w:cs="Calibri"/>
                <w:sz w:val="20"/>
                <w:szCs w:val="20"/>
              </w:rPr>
              <w:t>784</w:t>
            </w:r>
          </w:p>
        </w:tc>
        <w:tc>
          <w:tcPr>
            <w:tcW w:w="1536" w:type="dxa"/>
            <w:noWrap/>
            <w:vAlign w:val="bottom"/>
          </w:tcPr>
          <w:p w14:paraId="09D92FB7" w14:textId="1F27F60F" w:rsidR="005C5E03" w:rsidRPr="0021132E" w:rsidRDefault="00D75D2C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65135">
              <w:rPr>
                <w:rFonts w:ascii="Calibri" w:hAnsi="Calibri" w:cs="Calibri"/>
                <w:sz w:val="20"/>
                <w:szCs w:val="20"/>
              </w:rPr>
              <w:t>0.7</w:t>
            </w:r>
            <w:r w:rsidR="005C5E03"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44BBD14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7BB2D78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2CC169C" w14:textId="1FDFC979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</w:tcPr>
          <w:p w14:paraId="6A8C131F" w14:textId="6740EB3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Free Travel (Travel Card, Companion Card, etc)</w:t>
            </w:r>
          </w:p>
        </w:tc>
        <w:tc>
          <w:tcPr>
            <w:tcW w:w="1213" w:type="dxa"/>
            <w:noWrap/>
          </w:tcPr>
          <w:p w14:paraId="1AC66BCD" w14:textId="14B79A5A" w:rsidR="00604776" w:rsidRPr="00514EDC" w:rsidRDefault="00604776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1,694</w:t>
            </w:r>
          </w:p>
        </w:tc>
        <w:tc>
          <w:tcPr>
            <w:tcW w:w="1536" w:type="dxa"/>
            <w:noWrap/>
            <w:vAlign w:val="bottom"/>
          </w:tcPr>
          <w:p w14:paraId="4922524B" w14:textId="2CA7564F" w:rsidR="00604776" w:rsidRPr="00465135" w:rsidRDefault="00604776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C5E03">
              <w:rPr>
                <w:rFonts w:ascii="Calibri" w:hAnsi="Calibri" w:cs="Calibri"/>
                <w:sz w:val="20"/>
                <w:szCs w:val="20"/>
              </w:rPr>
              <w:t>6.</w:t>
            </w:r>
            <w:r w:rsidR="00465135">
              <w:rPr>
                <w:rFonts w:ascii="Calibri" w:hAnsi="Calibri" w:cs="Calibri"/>
                <w:sz w:val="20"/>
                <w:szCs w:val="20"/>
              </w:rPr>
              <w:t>5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251548" w:rsidRPr="00514EDC" w14:paraId="6F37F533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D7AF757" w14:textId="77777777" w:rsidR="00251548" w:rsidRPr="00514EDC" w:rsidRDefault="00251548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6F990C" w14:textId="4AC8FF4F" w:rsidR="00251548" w:rsidRPr="00514EDC" w:rsidRDefault="00251548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</w:tcPr>
          <w:p w14:paraId="114F5667" w14:textId="1BC8EC68" w:rsidR="00251548" w:rsidRPr="00514EDC" w:rsidRDefault="00251548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515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Cost of Living Increase</w:t>
            </w:r>
          </w:p>
        </w:tc>
        <w:tc>
          <w:tcPr>
            <w:tcW w:w="1213" w:type="dxa"/>
            <w:noWrap/>
          </w:tcPr>
          <w:p w14:paraId="2BB25641" w14:textId="1B23EB24" w:rsidR="00251548" w:rsidRDefault="00251548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51548">
              <w:rPr>
                <w:rFonts w:ascii="Calibri" w:hAnsi="Calibri" w:cs="Calibri"/>
                <w:sz w:val="20"/>
                <w:szCs w:val="20"/>
              </w:rPr>
              <w:t>610</w:t>
            </w:r>
          </w:p>
        </w:tc>
        <w:tc>
          <w:tcPr>
            <w:tcW w:w="1536" w:type="dxa"/>
            <w:noWrap/>
            <w:vAlign w:val="bottom"/>
          </w:tcPr>
          <w:p w14:paraId="73A3D53A" w14:textId="0BCBDAA1" w:rsidR="00251548" w:rsidRPr="00465135" w:rsidRDefault="00465135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65135"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</w:tr>
      <w:tr w:rsidR="005C5E03" w:rsidRPr="00514EDC" w14:paraId="5FCFC71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20AAD81" w14:textId="77777777" w:rsidR="005C5E03" w:rsidRPr="00514EDC" w:rsidRDefault="005C5E03" w:rsidP="005C5E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EAEFC04" w14:textId="77777777" w:rsidR="005C5E03" w:rsidRPr="00514EDC" w:rsidRDefault="005C5E03" w:rsidP="005C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A06EA3C" w14:textId="77777777" w:rsidR="005C5E03" w:rsidRPr="00514EDC" w:rsidRDefault="005C5E03" w:rsidP="005C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Telephone Support Allowance</w:t>
            </w:r>
          </w:p>
        </w:tc>
        <w:tc>
          <w:tcPr>
            <w:tcW w:w="1213" w:type="dxa"/>
            <w:noWrap/>
            <w:hideMark/>
          </w:tcPr>
          <w:p w14:paraId="5654F642" w14:textId="0F1D71D0" w:rsidR="005C5E03" w:rsidRPr="00514EDC" w:rsidRDefault="005C5E03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1536" w:type="dxa"/>
            <w:noWrap/>
            <w:vAlign w:val="bottom"/>
          </w:tcPr>
          <w:p w14:paraId="1478227D" w14:textId="328F9353" w:rsidR="005C5E03" w:rsidRPr="0021132E" w:rsidRDefault="005C5E03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C5E03"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</w:tr>
      <w:tr w:rsidR="005C5E03" w:rsidRPr="00514EDC" w14:paraId="369B9E8B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647E8C4" w14:textId="77777777" w:rsidR="005C5E03" w:rsidRPr="00514EDC" w:rsidRDefault="005C5E03" w:rsidP="005C5E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FB9683F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6E0DF79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Christmas Bonus</w:t>
            </w:r>
          </w:p>
        </w:tc>
        <w:tc>
          <w:tcPr>
            <w:tcW w:w="1213" w:type="dxa"/>
            <w:noWrap/>
            <w:hideMark/>
          </w:tcPr>
          <w:p w14:paraId="0BEA13B4" w14:textId="67948270" w:rsidR="005C5E03" w:rsidRPr="00514EDC" w:rsidRDefault="005C5E03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1536" w:type="dxa"/>
            <w:noWrap/>
            <w:vAlign w:val="bottom"/>
          </w:tcPr>
          <w:p w14:paraId="2E02A5B3" w14:textId="235B54A4" w:rsidR="005C5E03" w:rsidRPr="0021132E" w:rsidRDefault="005C5E03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C5E03"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</w:tr>
      <w:tr w:rsidR="00604776" w:rsidRPr="00514EDC" w14:paraId="1C8D2FC7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1CFD97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13952C3" w14:textId="2FF1FEF9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</w:tcPr>
          <w:p w14:paraId="4F28D290" w14:textId="71CF6D5F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Treatment Benefits</w:t>
            </w:r>
          </w:p>
        </w:tc>
        <w:tc>
          <w:tcPr>
            <w:tcW w:w="1213" w:type="dxa"/>
            <w:noWrap/>
          </w:tcPr>
          <w:p w14:paraId="6C22C257" w14:textId="5616B891" w:rsidR="00604776" w:rsidRPr="00514EDC" w:rsidRDefault="00604776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536" w:type="dxa"/>
            <w:noWrap/>
            <w:vAlign w:val="bottom"/>
          </w:tcPr>
          <w:p w14:paraId="0C867041" w14:textId="4F95B2E2" w:rsidR="00604776" w:rsidRPr="005C5E03" w:rsidRDefault="00604776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5E03"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</w:tr>
      <w:tr w:rsidR="00604776" w:rsidRPr="00514EDC" w14:paraId="315A9451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B1DFE29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8AC1F32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E3592C3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084C1544" w14:textId="5FDAF763" w:rsidR="00604776" w:rsidRPr="00514EDC" w:rsidRDefault="00604776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</w:t>
            </w:r>
            <w:r w:rsidR="004651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5,964</w:t>
            </w:r>
          </w:p>
        </w:tc>
        <w:tc>
          <w:tcPr>
            <w:tcW w:w="1536" w:type="dxa"/>
            <w:noWrap/>
          </w:tcPr>
          <w:p w14:paraId="69D87DAF" w14:textId="77777777" w:rsidR="00604776" w:rsidRPr="00514EDC" w:rsidRDefault="00604776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04776" w:rsidRPr="00514EDC" w14:paraId="328E713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7AF8B6EC" w14:textId="77777777" w:rsidR="00604776" w:rsidRPr="00514EDC" w:rsidRDefault="00604776" w:rsidP="0060477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Disability and Illness</w:t>
            </w:r>
          </w:p>
        </w:tc>
      </w:tr>
      <w:tr w:rsidR="00604776" w:rsidRPr="00514EDC" w14:paraId="4388CCAC" w14:textId="77777777" w:rsidTr="00EE0DC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D9A6A5B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47EEE5F2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32F85A4B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Disability Allowance</w:t>
            </w:r>
          </w:p>
        </w:tc>
        <w:tc>
          <w:tcPr>
            <w:tcW w:w="1213" w:type="dxa"/>
            <w:noWrap/>
            <w:hideMark/>
          </w:tcPr>
          <w:p w14:paraId="7CACBFDE" w14:textId="55B5A7DD" w:rsidR="00604776" w:rsidRPr="00514EDC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5,925</w:t>
            </w:r>
          </w:p>
        </w:tc>
        <w:tc>
          <w:tcPr>
            <w:tcW w:w="1536" w:type="dxa"/>
            <w:noWrap/>
            <w:vAlign w:val="bottom"/>
          </w:tcPr>
          <w:p w14:paraId="0A499293" w14:textId="70FA08DE" w:rsidR="00604776" w:rsidRPr="00B90B6E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45.0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6B0ADC5F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20AFF5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B0B4329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2A1C7129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Illness Benefit</w:t>
            </w:r>
          </w:p>
        </w:tc>
        <w:tc>
          <w:tcPr>
            <w:tcW w:w="1213" w:type="dxa"/>
            <w:noWrap/>
            <w:hideMark/>
          </w:tcPr>
          <w:p w14:paraId="202DEFB6" w14:textId="5245BFD8" w:rsidR="00604776" w:rsidRPr="00514EDC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,510</w:t>
            </w:r>
          </w:p>
        </w:tc>
        <w:tc>
          <w:tcPr>
            <w:tcW w:w="1536" w:type="dxa"/>
            <w:noWrap/>
            <w:vAlign w:val="bottom"/>
          </w:tcPr>
          <w:p w14:paraId="1D51ED57" w14:textId="1F8799C6" w:rsidR="00604776" w:rsidRPr="00B90B6E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26.</w:t>
            </w:r>
            <w:r>
              <w:rPr>
                <w:rFonts w:ascii="Calibri" w:hAnsi="Calibri" w:cs="Calibri"/>
                <w:sz w:val="20"/>
                <w:szCs w:val="20"/>
              </w:rPr>
              <w:t>7%</w:t>
            </w:r>
          </w:p>
        </w:tc>
      </w:tr>
      <w:tr w:rsidR="00604776" w:rsidRPr="00514EDC" w14:paraId="52CCBC02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B52A71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329E354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6902E2C8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Invalidity Pension</w:t>
            </w:r>
          </w:p>
        </w:tc>
        <w:tc>
          <w:tcPr>
            <w:tcW w:w="1213" w:type="dxa"/>
            <w:noWrap/>
            <w:hideMark/>
          </w:tcPr>
          <w:p w14:paraId="2EC3079F" w14:textId="58DDB48F" w:rsidR="00604776" w:rsidRPr="00514EDC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2,815</w:t>
            </w:r>
          </w:p>
        </w:tc>
        <w:tc>
          <w:tcPr>
            <w:tcW w:w="1536" w:type="dxa"/>
            <w:noWrap/>
            <w:vAlign w:val="bottom"/>
          </w:tcPr>
          <w:p w14:paraId="0B0826FF" w14:textId="269855B3" w:rsidR="00604776" w:rsidRPr="00B90B6E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21.4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5AB09B1C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3557B7C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16F06F5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2B6AC6B6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Partial Capacity Benefit</w:t>
            </w:r>
          </w:p>
        </w:tc>
        <w:tc>
          <w:tcPr>
            <w:tcW w:w="1213" w:type="dxa"/>
            <w:noWrap/>
            <w:hideMark/>
          </w:tcPr>
          <w:p w14:paraId="3A560890" w14:textId="4D1F360E" w:rsidR="00604776" w:rsidRPr="00514EDC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432</w:t>
            </w:r>
          </w:p>
        </w:tc>
        <w:tc>
          <w:tcPr>
            <w:tcW w:w="1536" w:type="dxa"/>
            <w:noWrap/>
            <w:vAlign w:val="bottom"/>
          </w:tcPr>
          <w:p w14:paraId="11934AFE" w14:textId="411327CE" w:rsidR="00604776" w:rsidRPr="00B90B6E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604776" w:rsidRPr="00514EDC" w14:paraId="651F51EB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462145F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1B42B99" w14:textId="669C646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</w:tcPr>
          <w:p w14:paraId="47F95111" w14:textId="18C4B3F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 Payment (Blind Pension/Other)</w:t>
            </w:r>
          </w:p>
        </w:tc>
        <w:tc>
          <w:tcPr>
            <w:tcW w:w="1213" w:type="dxa"/>
            <w:noWrap/>
          </w:tcPr>
          <w:p w14:paraId="42A7D3C4" w14:textId="09D8668D" w:rsidR="00604776" w:rsidRPr="00514EDC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36" w:type="dxa"/>
            <w:noWrap/>
            <w:vAlign w:val="bottom"/>
          </w:tcPr>
          <w:p w14:paraId="3B73D0D5" w14:textId="13E31491" w:rsidR="00604776" w:rsidRPr="00B90B6E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4%</w:t>
            </w:r>
          </w:p>
        </w:tc>
      </w:tr>
      <w:tr w:rsidR="00604776" w:rsidRPr="00514EDC" w14:paraId="64FCA210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43B5AC9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416B427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6609FB8E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Injury Benefit</w:t>
            </w:r>
          </w:p>
        </w:tc>
        <w:tc>
          <w:tcPr>
            <w:tcW w:w="1213" w:type="dxa"/>
            <w:noWrap/>
            <w:hideMark/>
          </w:tcPr>
          <w:p w14:paraId="28046A0D" w14:textId="12035704" w:rsidR="00604776" w:rsidRPr="00514EDC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1536" w:type="dxa"/>
            <w:noWrap/>
            <w:vAlign w:val="bottom"/>
          </w:tcPr>
          <w:p w14:paraId="4C654B0A" w14:textId="5AD09459" w:rsidR="00604776" w:rsidRPr="00B90B6E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3D054684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B0C7C7D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910A6A4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3ED5DC9C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Occupational Injuries Benefit Scheme</w:t>
            </w:r>
          </w:p>
        </w:tc>
        <w:tc>
          <w:tcPr>
            <w:tcW w:w="1213" w:type="dxa"/>
            <w:noWrap/>
            <w:hideMark/>
          </w:tcPr>
          <w:p w14:paraId="2D7D3041" w14:textId="252DEEF9" w:rsidR="00604776" w:rsidRPr="00514EDC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536" w:type="dxa"/>
            <w:noWrap/>
            <w:vAlign w:val="bottom"/>
          </w:tcPr>
          <w:p w14:paraId="36B0F073" w14:textId="3229A4BC" w:rsidR="00604776" w:rsidRPr="00B90B6E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1.0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41F63687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E6F0E86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58CD29E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678CA1F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32EECF1E" w14:textId="0708BC99" w:rsidR="00604776" w:rsidRPr="00514EDC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3,157</w:t>
            </w:r>
          </w:p>
        </w:tc>
        <w:tc>
          <w:tcPr>
            <w:tcW w:w="1536" w:type="dxa"/>
            <w:noWrap/>
            <w:hideMark/>
          </w:tcPr>
          <w:p w14:paraId="0E8C9329" w14:textId="77777777" w:rsidR="00604776" w:rsidRPr="00514EDC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</w:tbl>
    <w:p w14:paraId="1210C2D6" w14:textId="029DAB6E" w:rsidR="00C63A87" w:rsidRDefault="00C63A87"/>
    <w:tbl>
      <w:tblPr>
        <w:tblStyle w:val="GridTable5Dark-Accent6"/>
        <w:tblW w:w="13297" w:type="dxa"/>
        <w:tblLook w:val="04A0" w:firstRow="1" w:lastRow="0" w:firstColumn="1" w:lastColumn="0" w:noHBand="0" w:noVBand="1"/>
      </w:tblPr>
      <w:tblGrid>
        <w:gridCol w:w="1870"/>
        <w:gridCol w:w="4074"/>
        <w:gridCol w:w="4604"/>
        <w:gridCol w:w="1213"/>
        <w:gridCol w:w="1536"/>
      </w:tblGrid>
      <w:tr w:rsidR="00C63A87" w:rsidRPr="00514EDC" w14:paraId="79FC2C7D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ADDBB8D" w14:textId="17D99AB5" w:rsidR="00C63A87" w:rsidRPr="00514EDC" w:rsidRDefault="00C63A87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77104CF" w14:textId="77777777" w:rsidR="00C63A87" w:rsidRPr="00514EDC" w:rsidRDefault="00C63A87" w:rsidP="006047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25D26B51" w14:textId="67E8A2E4" w:rsidR="00C63A87" w:rsidRPr="00514EDC" w:rsidRDefault="00C63A87" w:rsidP="006047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Older and Retired People</w:t>
            </w:r>
          </w:p>
        </w:tc>
        <w:tc>
          <w:tcPr>
            <w:tcW w:w="1213" w:type="dxa"/>
            <w:noWrap/>
          </w:tcPr>
          <w:p w14:paraId="146BCE68" w14:textId="77777777" w:rsidR="00C63A87" w:rsidRPr="00514EDC" w:rsidRDefault="00C63A87" w:rsidP="00465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1536" w:type="dxa"/>
            <w:noWrap/>
          </w:tcPr>
          <w:p w14:paraId="06DA264E" w14:textId="77777777" w:rsidR="00C63A87" w:rsidRPr="00514EDC" w:rsidRDefault="00C63A87" w:rsidP="00465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</w:tr>
      <w:tr w:rsidR="00C63A87" w:rsidRPr="00514EDC" w14:paraId="10AB4F36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F6945BE" w14:textId="7A3DDC7C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C63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64A5613D" w14:textId="4B2DC158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37904B7C" w14:textId="472E3E67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Pension/Contributory</w:t>
            </w:r>
          </w:p>
        </w:tc>
        <w:tc>
          <w:tcPr>
            <w:tcW w:w="1213" w:type="dxa"/>
            <w:noWrap/>
          </w:tcPr>
          <w:p w14:paraId="35ACA439" w14:textId="7455A5E0" w:rsidR="00C63A87" w:rsidRPr="00514EDC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5,705</w:t>
            </w:r>
          </w:p>
        </w:tc>
        <w:tc>
          <w:tcPr>
            <w:tcW w:w="1536" w:type="dxa"/>
            <w:noWrap/>
            <w:vAlign w:val="bottom"/>
          </w:tcPr>
          <w:p w14:paraId="3B24DFD2" w14:textId="14C98A39" w:rsidR="00C63A87" w:rsidRPr="00514EDC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57.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</w:tr>
      <w:tr w:rsidR="00C63A87" w:rsidRPr="00514EDC" w14:paraId="6135EEF6" w14:textId="77777777" w:rsidTr="0026677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C76DC58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6EFDB0F" w14:textId="4C95D845" w:rsidR="00C63A87" w:rsidRPr="00514EDC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B7863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7AB3A60A" w14:textId="541CD7CC" w:rsidR="00C63A87" w:rsidRPr="00514EDC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Pension/Non-Contributory Pension</w:t>
            </w:r>
          </w:p>
        </w:tc>
        <w:tc>
          <w:tcPr>
            <w:tcW w:w="1213" w:type="dxa"/>
            <w:noWrap/>
          </w:tcPr>
          <w:p w14:paraId="58F5B46F" w14:textId="12C86C53" w:rsidR="00C63A87" w:rsidRPr="00514EDC" w:rsidRDefault="00C63A87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2,608</w:t>
            </w:r>
          </w:p>
        </w:tc>
        <w:tc>
          <w:tcPr>
            <w:tcW w:w="1536" w:type="dxa"/>
            <w:noWrap/>
            <w:vAlign w:val="bottom"/>
          </w:tcPr>
          <w:p w14:paraId="6517E841" w14:textId="2DF067CC" w:rsidR="00C63A87" w:rsidRPr="00514EDC" w:rsidRDefault="00C63A87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26.</w:t>
            </w: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C63A87" w:rsidRPr="00514EDC" w14:paraId="4D4895C1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CAF7A8B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2FD2100" w14:textId="2B969AD2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B7863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73E7FC9A" w14:textId="718F99E7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Payment for people who retire at 65</w:t>
            </w:r>
          </w:p>
        </w:tc>
        <w:tc>
          <w:tcPr>
            <w:tcW w:w="1213" w:type="dxa"/>
            <w:noWrap/>
          </w:tcPr>
          <w:p w14:paraId="25D286AD" w14:textId="7ACAC70F" w:rsidR="00C63A87" w:rsidRPr="00514EDC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542</w:t>
            </w:r>
          </w:p>
        </w:tc>
        <w:tc>
          <w:tcPr>
            <w:tcW w:w="1536" w:type="dxa"/>
            <w:noWrap/>
            <w:vAlign w:val="bottom"/>
          </w:tcPr>
          <w:p w14:paraId="18854F86" w14:textId="5043955E" w:rsidR="00C63A87" w:rsidRPr="00514EDC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</w:tr>
      <w:tr w:rsidR="00C63A87" w:rsidRPr="00514EDC" w14:paraId="53A01C12" w14:textId="77777777" w:rsidTr="0026677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58BC5BA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E2D3F2B" w14:textId="4BBE3644" w:rsidR="00C63A87" w:rsidRPr="00514EDC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B7863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28DD4338" w14:textId="2D10293B" w:rsidR="00C63A87" w:rsidRPr="00514EDC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Qualified Adults</w:t>
            </w:r>
          </w:p>
        </w:tc>
        <w:tc>
          <w:tcPr>
            <w:tcW w:w="1213" w:type="dxa"/>
            <w:noWrap/>
          </w:tcPr>
          <w:p w14:paraId="4B6872B7" w14:textId="4BC607FF" w:rsidR="00C63A87" w:rsidRPr="00514EDC" w:rsidRDefault="00C63A87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517</w:t>
            </w:r>
          </w:p>
        </w:tc>
        <w:tc>
          <w:tcPr>
            <w:tcW w:w="1536" w:type="dxa"/>
            <w:noWrap/>
            <w:vAlign w:val="bottom"/>
          </w:tcPr>
          <w:p w14:paraId="0105B93D" w14:textId="072D9B1B" w:rsidR="00C63A87" w:rsidRPr="00514EDC" w:rsidRDefault="00C63A87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5.2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63A87" w:rsidRPr="00514EDC" w14:paraId="69278BA2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7F2D7A6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A47EFE5" w14:textId="5B34AF96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B7863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54CAEFF1" w14:textId="600A8F14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UK Pensions/Brexit</w:t>
            </w:r>
          </w:p>
        </w:tc>
        <w:tc>
          <w:tcPr>
            <w:tcW w:w="1213" w:type="dxa"/>
            <w:noWrap/>
          </w:tcPr>
          <w:p w14:paraId="0863E2E5" w14:textId="7BA409A3" w:rsidR="00C63A87" w:rsidRPr="00514EDC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1536" w:type="dxa"/>
            <w:noWrap/>
            <w:vAlign w:val="bottom"/>
          </w:tcPr>
          <w:p w14:paraId="7B0425B5" w14:textId="5F12A035" w:rsidR="00C63A87" w:rsidRPr="00514EDC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4.1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63A87" w:rsidRPr="00514EDC" w14:paraId="24C92CBB" w14:textId="77777777" w:rsidTr="0026677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D455F18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95E073E" w14:textId="0F40E204" w:rsidR="00C63A87" w:rsidRPr="00514EDC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B7863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4748A22D" w14:textId="101FD985" w:rsidR="00C63A87" w:rsidRPr="00514EDC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EU/International Pensions</w:t>
            </w:r>
          </w:p>
        </w:tc>
        <w:tc>
          <w:tcPr>
            <w:tcW w:w="1213" w:type="dxa"/>
            <w:noWrap/>
          </w:tcPr>
          <w:p w14:paraId="48826B38" w14:textId="689903F8" w:rsidR="00C63A87" w:rsidRPr="00514EDC" w:rsidRDefault="00C63A87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1536" w:type="dxa"/>
            <w:noWrap/>
            <w:vAlign w:val="bottom"/>
          </w:tcPr>
          <w:p w14:paraId="4E581923" w14:textId="513A1E74" w:rsidR="00C63A87" w:rsidRPr="00514EDC" w:rsidRDefault="00C63A87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1.5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63A87" w:rsidRPr="00514EDC" w14:paraId="6F4DD46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5D996A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ED34DE7" w14:textId="472B62BC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B7863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4B605AF4" w14:textId="30E88255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4A8E19C8" w14:textId="3DAF2E6B" w:rsidR="00C63A87" w:rsidRPr="00514EDC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9,930</w:t>
            </w:r>
          </w:p>
        </w:tc>
        <w:tc>
          <w:tcPr>
            <w:tcW w:w="1536" w:type="dxa"/>
            <w:noWrap/>
          </w:tcPr>
          <w:p w14:paraId="487FF103" w14:textId="04949664" w:rsidR="00C63A87" w:rsidRPr="00514EDC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36B55" w:rsidRPr="00514EDC" w14:paraId="67E31E4F" w14:textId="77777777" w:rsidTr="0026677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68E658A2" w14:textId="6B9ED9FA" w:rsidR="00336B55" w:rsidRPr="00336B55" w:rsidRDefault="00336B55" w:rsidP="00336B5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36B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Carers</w:t>
            </w:r>
          </w:p>
        </w:tc>
      </w:tr>
      <w:tr w:rsidR="00336B55" w:rsidRPr="00514EDC" w14:paraId="12930ABB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4198D1D" w14:textId="52DB6F4C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23477C29" w14:textId="4749A6B4" w:rsidR="00336B55" w:rsidRPr="005B7863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0872F695" w14:textId="157CFEC7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Allowance</w:t>
            </w:r>
          </w:p>
        </w:tc>
        <w:tc>
          <w:tcPr>
            <w:tcW w:w="1213" w:type="dxa"/>
            <w:noWrap/>
          </w:tcPr>
          <w:p w14:paraId="3D6A62C2" w14:textId="7746DA01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5,627</w:t>
            </w:r>
          </w:p>
        </w:tc>
        <w:tc>
          <w:tcPr>
            <w:tcW w:w="1536" w:type="dxa"/>
            <w:noWrap/>
            <w:vAlign w:val="bottom"/>
          </w:tcPr>
          <w:p w14:paraId="355B81E5" w14:textId="742654AB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62.9%</w:t>
            </w:r>
          </w:p>
        </w:tc>
      </w:tr>
      <w:tr w:rsidR="00336B55" w:rsidRPr="00514EDC" w14:paraId="3C8B83EE" w14:textId="77777777" w:rsidTr="0026677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DC85696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9AE9F4C" w14:textId="6F8D1709" w:rsidR="00336B55" w:rsidRPr="005B7863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5B21E22D" w14:textId="7D8B0B25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Carer’s Support Grant (Respite Care Grant)</w:t>
            </w:r>
          </w:p>
        </w:tc>
        <w:tc>
          <w:tcPr>
            <w:tcW w:w="1213" w:type="dxa"/>
            <w:noWrap/>
          </w:tcPr>
          <w:p w14:paraId="3DEEC1B3" w14:textId="5A37815A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940</w:t>
            </w:r>
          </w:p>
        </w:tc>
        <w:tc>
          <w:tcPr>
            <w:tcW w:w="1536" w:type="dxa"/>
            <w:noWrap/>
            <w:vAlign w:val="bottom"/>
          </w:tcPr>
          <w:p w14:paraId="0B89B258" w14:textId="1E6A3DBA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10.5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5A2853A2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B958EA8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38E883B" w14:textId="12B9B7B2" w:rsidR="00336B55" w:rsidRPr="005B7863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2E0CFC50" w14:textId="6CCECEDA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213" w:type="dxa"/>
            <w:noWrap/>
          </w:tcPr>
          <w:p w14:paraId="43386616" w14:textId="54E26992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936</w:t>
            </w:r>
          </w:p>
        </w:tc>
        <w:tc>
          <w:tcPr>
            <w:tcW w:w="1536" w:type="dxa"/>
            <w:noWrap/>
            <w:vAlign w:val="bottom"/>
          </w:tcPr>
          <w:p w14:paraId="65B13417" w14:textId="0CF8E0EE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10.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</w:tr>
      <w:tr w:rsidR="00336B55" w:rsidRPr="00514EDC" w14:paraId="3D55F676" w14:textId="77777777" w:rsidTr="0026677C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A7FD013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45E6056" w14:textId="79C8F237" w:rsidR="00336B55" w:rsidRPr="005B7863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63A2B19C" w14:textId="42D9CA9A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Benefit</w:t>
            </w:r>
          </w:p>
        </w:tc>
        <w:tc>
          <w:tcPr>
            <w:tcW w:w="1213" w:type="dxa"/>
            <w:noWrap/>
          </w:tcPr>
          <w:p w14:paraId="73849CF0" w14:textId="383E3C01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  <w:tc>
          <w:tcPr>
            <w:tcW w:w="1536" w:type="dxa"/>
            <w:noWrap/>
            <w:vAlign w:val="bottom"/>
          </w:tcPr>
          <w:p w14:paraId="41859946" w14:textId="4690C5D5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10.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</w:tr>
      <w:tr w:rsidR="00336B55" w:rsidRPr="00514EDC" w14:paraId="796CEB2C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80E4025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5BF7759" w14:textId="2D011DEB" w:rsidR="00336B55" w:rsidRPr="005B7863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4D527C1B" w14:textId="3B02638E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Half-rate Carer's Allowance</w:t>
            </w:r>
          </w:p>
        </w:tc>
        <w:tc>
          <w:tcPr>
            <w:tcW w:w="1213" w:type="dxa"/>
            <w:noWrap/>
          </w:tcPr>
          <w:p w14:paraId="706FEB80" w14:textId="65B21CFE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501</w:t>
            </w:r>
          </w:p>
        </w:tc>
        <w:tc>
          <w:tcPr>
            <w:tcW w:w="1536" w:type="dxa"/>
            <w:noWrap/>
            <w:vAlign w:val="bottom"/>
          </w:tcPr>
          <w:p w14:paraId="10AA8996" w14:textId="7D0F3761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5.6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2BDAF13F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118B4EB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BE189F8" w14:textId="77777777" w:rsidR="00336B55" w:rsidRPr="005B7863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5676BD78" w14:textId="4BCC6EC9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244F7E49" w14:textId="7CC2FA3F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8,939</w:t>
            </w:r>
          </w:p>
        </w:tc>
        <w:tc>
          <w:tcPr>
            <w:tcW w:w="1536" w:type="dxa"/>
            <w:noWrap/>
          </w:tcPr>
          <w:p w14:paraId="18AC7A42" w14:textId="5F072BEF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04776" w:rsidRPr="00514EDC" w14:paraId="0108535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DF81347" w14:textId="64584EC9" w:rsidR="00604776" w:rsidRPr="00514EDC" w:rsidRDefault="00E54FF3" w:rsidP="0060477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br w:type="page"/>
            </w:r>
            <w:r w:rsidR="00604776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Families and Children</w:t>
            </w:r>
          </w:p>
        </w:tc>
      </w:tr>
      <w:tr w:rsidR="00336B55" w:rsidRPr="00514EDC" w14:paraId="6077E75A" w14:textId="77777777" w:rsidTr="00EE0DC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7716A66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150B9D54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99F6F63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Working Family Payment (WFP) formerly FIS</w:t>
            </w:r>
          </w:p>
        </w:tc>
        <w:tc>
          <w:tcPr>
            <w:tcW w:w="1213" w:type="dxa"/>
            <w:noWrap/>
          </w:tcPr>
          <w:p w14:paraId="74811AEE" w14:textId="777FEA03" w:rsidR="00604776" w:rsidRPr="00465135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3,</w:t>
            </w:r>
            <w:r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1536" w:type="dxa"/>
            <w:noWrap/>
            <w:vAlign w:val="bottom"/>
          </w:tcPr>
          <w:p w14:paraId="17F300F1" w14:textId="6C51409E" w:rsidR="00604776" w:rsidRPr="008B3F88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36.2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55B98A0D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F364AC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E6A19C9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476C253C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One Parent Family Payment (OFP)</w:t>
            </w:r>
          </w:p>
        </w:tc>
        <w:tc>
          <w:tcPr>
            <w:tcW w:w="1213" w:type="dxa"/>
            <w:noWrap/>
          </w:tcPr>
          <w:p w14:paraId="1ADD5A52" w14:textId="432CFECF" w:rsidR="00604776" w:rsidRPr="00465135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608</w:t>
            </w:r>
          </w:p>
        </w:tc>
        <w:tc>
          <w:tcPr>
            <w:tcW w:w="1536" w:type="dxa"/>
            <w:noWrap/>
            <w:vAlign w:val="bottom"/>
          </w:tcPr>
          <w:p w14:paraId="38DEC85E" w14:textId="4FDB4A07" w:rsidR="00604776" w:rsidRPr="008B3F88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18.</w:t>
            </w: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336B55" w:rsidRPr="00514EDC" w14:paraId="714589A0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2D148A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679BC17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77317C8B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Child Benefit</w:t>
            </w:r>
          </w:p>
        </w:tc>
        <w:tc>
          <w:tcPr>
            <w:tcW w:w="1213" w:type="dxa"/>
            <w:noWrap/>
          </w:tcPr>
          <w:p w14:paraId="4083D78F" w14:textId="75452A04" w:rsidR="00604776" w:rsidRPr="00514EDC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,521</w:t>
            </w:r>
          </w:p>
        </w:tc>
        <w:tc>
          <w:tcPr>
            <w:tcW w:w="1536" w:type="dxa"/>
            <w:noWrap/>
            <w:vAlign w:val="bottom"/>
          </w:tcPr>
          <w:p w14:paraId="1CF1548E" w14:textId="25C63D8D" w:rsidR="00604776" w:rsidRPr="008B3F88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17.</w:t>
            </w: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336B55" w:rsidRPr="00514EDC" w14:paraId="23C4F1BD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3BDA841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DEC7318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23084360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Maternity/ Adoptive Benefit</w:t>
            </w:r>
          </w:p>
        </w:tc>
        <w:tc>
          <w:tcPr>
            <w:tcW w:w="1213" w:type="dxa"/>
            <w:noWrap/>
          </w:tcPr>
          <w:p w14:paraId="0F0D83D5" w14:textId="7969CEC4" w:rsidR="00604776" w:rsidRPr="00465135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625</w:t>
            </w:r>
          </w:p>
        </w:tc>
        <w:tc>
          <w:tcPr>
            <w:tcW w:w="1536" w:type="dxa"/>
            <w:noWrap/>
            <w:vAlign w:val="bottom"/>
          </w:tcPr>
          <w:p w14:paraId="14874093" w14:textId="38EE7C4F" w:rsidR="00604776" w:rsidRPr="008B3F88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7.2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30E7C560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57AAB30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E062DDF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2E1AB142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Increase for a Qualified Adult (IQA)</w:t>
            </w:r>
          </w:p>
        </w:tc>
        <w:tc>
          <w:tcPr>
            <w:tcW w:w="1213" w:type="dxa"/>
            <w:noWrap/>
          </w:tcPr>
          <w:p w14:paraId="510F045F" w14:textId="6428C688" w:rsidR="00604776" w:rsidRPr="00465135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584</w:t>
            </w:r>
          </w:p>
        </w:tc>
        <w:tc>
          <w:tcPr>
            <w:tcW w:w="1536" w:type="dxa"/>
            <w:noWrap/>
            <w:vAlign w:val="bottom"/>
          </w:tcPr>
          <w:p w14:paraId="482790B8" w14:textId="5ACAA462" w:rsidR="00604776" w:rsidRPr="008B3F88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6.</w:t>
            </w:r>
            <w:r w:rsidR="00465135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7C14B740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68BC83F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B8DE097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0CEDFA8B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Increase for a Qualified Child (IQC)</w:t>
            </w:r>
          </w:p>
        </w:tc>
        <w:tc>
          <w:tcPr>
            <w:tcW w:w="1213" w:type="dxa"/>
            <w:noWrap/>
          </w:tcPr>
          <w:p w14:paraId="20B15960" w14:textId="5DA62159" w:rsidR="00604776" w:rsidRPr="00514EDC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536" w:type="dxa"/>
            <w:noWrap/>
            <w:vAlign w:val="bottom"/>
          </w:tcPr>
          <w:p w14:paraId="4EBE782A" w14:textId="38339688" w:rsidR="00604776" w:rsidRPr="008B3F88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4.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336B55" w:rsidRPr="00514EDC" w14:paraId="4D2B2382" w14:textId="77777777" w:rsidTr="00EE0DCE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C703D7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AEB3709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CAB0545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Parent's Benefit</w:t>
            </w:r>
          </w:p>
        </w:tc>
        <w:tc>
          <w:tcPr>
            <w:tcW w:w="1213" w:type="dxa"/>
            <w:noWrap/>
          </w:tcPr>
          <w:p w14:paraId="47F62053" w14:textId="284C4B91" w:rsidR="00604776" w:rsidRPr="00465135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1536" w:type="dxa"/>
            <w:noWrap/>
            <w:vAlign w:val="bottom"/>
          </w:tcPr>
          <w:p w14:paraId="4842FE86" w14:textId="158EF4AC" w:rsidR="00604776" w:rsidRPr="008B3F88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3.3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484F49AD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44D11A5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BAAAA01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D48B1A4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Work Family Dividend</w:t>
            </w:r>
          </w:p>
        </w:tc>
        <w:tc>
          <w:tcPr>
            <w:tcW w:w="1213" w:type="dxa"/>
            <w:noWrap/>
          </w:tcPr>
          <w:p w14:paraId="68D3D324" w14:textId="007BF3D8" w:rsidR="00604776" w:rsidRPr="00465135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1536" w:type="dxa"/>
            <w:noWrap/>
            <w:vAlign w:val="bottom"/>
          </w:tcPr>
          <w:p w14:paraId="215801F1" w14:textId="1C4FA57C" w:rsidR="00604776" w:rsidRPr="008B3F88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2.</w:t>
            </w:r>
            <w:r w:rsidR="00465135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64D8625E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DCFB81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2A94AC0" w14:textId="632398D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03A554C9" w14:textId="67AB5B7A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School Clothing &amp; Footwear Allowance (BTSCFA)</w:t>
            </w:r>
          </w:p>
        </w:tc>
        <w:tc>
          <w:tcPr>
            <w:tcW w:w="1213" w:type="dxa"/>
            <w:noWrap/>
          </w:tcPr>
          <w:p w14:paraId="78B25CDC" w14:textId="59176CE2" w:rsidR="00604776" w:rsidRPr="00465135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1536" w:type="dxa"/>
            <w:noWrap/>
            <w:vAlign w:val="bottom"/>
          </w:tcPr>
          <w:p w14:paraId="6DA16CD0" w14:textId="62D4104C" w:rsidR="00604776" w:rsidRPr="008B3F88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</w:tr>
      <w:tr w:rsidR="00336B55" w:rsidRPr="00514EDC" w14:paraId="2534DF9D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3CA6F22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8164F15" w14:textId="715FA10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4AE4A97A" w14:textId="7CB1858C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Paternity Benefit</w:t>
            </w:r>
          </w:p>
        </w:tc>
        <w:tc>
          <w:tcPr>
            <w:tcW w:w="1213" w:type="dxa"/>
            <w:noWrap/>
          </w:tcPr>
          <w:p w14:paraId="414686C9" w14:textId="72B8FED7" w:rsidR="00604776" w:rsidRPr="00465135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1536" w:type="dxa"/>
            <w:noWrap/>
            <w:vAlign w:val="bottom"/>
          </w:tcPr>
          <w:p w14:paraId="49ADA236" w14:textId="31086CE9" w:rsidR="00604776" w:rsidRPr="008B3F88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7%</w:t>
            </w:r>
          </w:p>
        </w:tc>
      </w:tr>
      <w:tr w:rsidR="00336B55" w:rsidRPr="00514EDC" w14:paraId="65C699D0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4CA447F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EB27D05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2073348F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Health and Safety Benefit</w:t>
            </w:r>
          </w:p>
        </w:tc>
        <w:tc>
          <w:tcPr>
            <w:tcW w:w="1213" w:type="dxa"/>
            <w:noWrap/>
          </w:tcPr>
          <w:p w14:paraId="7EB422A5" w14:textId="57FAA146" w:rsidR="00604776" w:rsidRPr="00465135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536" w:type="dxa"/>
            <w:noWrap/>
            <w:vAlign w:val="bottom"/>
          </w:tcPr>
          <w:p w14:paraId="5FA205D5" w14:textId="2246C171" w:rsidR="00604776" w:rsidRPr="008B3F88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0.3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35413B47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07ADD0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4A3B198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06E0F46E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Deserted Wife's Benefit</w:t>
            </w:r>
          </w:p>
        </w:tc>
        <w:tc>
          <w:tcPr>
            <w:tcW w:w="1213" w:type="dxa"/>
            <w:noWrap/>
          </w:tcPr>
          <w:p w14:paraId="7F0DDC20" w14:textId="24B6D186" w:rsidR="00604776" w:rsidRPr="00465135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6" w:type="dxa"/>
            <w:noWrap/>
            <w:vAlign w:val="bottom"/>
          </w:tcPr>
          <w:p w14:paraId="51C2B25B" w14:textId="714FAB8B" w:rsidR="00604776" w:rsidRPr="008B3F88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2%</w:t>
            </w:r>
          </w:p>
        </w:tc>
      </w:tr>
      <w:tr w:rsidR="00336B55" w:rsidRPr="00514EDC" w14:paraId="1254DEB9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8BF40D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E1E67B8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1F7DE53F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Deserted Wife's Allowance</w:t>
            </w:r>
          </w:p>
        </w:tc>
        <w:tc>
          <w:tcPr>
            <w:tcW w:w="1213" w:type="dxa"/>
            <w:noWrap/>
          </w:tcPr>
          <w:p w14:paraId="3BD06ED7" w14:textId="140BB173" w:rsidR="00604776" w:rsidRPr="00465135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36" w:type="dxa"/>
            <w:noWrap/>
            <w:vAlign w:val="bottom"/>
          </w:tcPr>
          <w:p w14:paraId="4638F67C" w14:textId="1493281D" w:rsidR="00604776" w:rsidRPr="008B3F88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336B55" w:rsidRPr="00514EDC" w14:paraId="1FCD1F2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CF1135B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27807415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05F2244C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356722D8" w14:textId="23DA1D74" w:rsidR="00604776" w:rsidRPr="00514EDC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8,655</w:t>
            </w:r>
          </w:p>
        </w:tc>
        <w:tc>
          <w:tcPr>
            <w:tcW w:w="1536" w:type="dxa"/>
            <w:noWrap/>
          </w:tcPr>
          <w:p w14:paraId="50B08AE4" w14:textId="77777777" w:rsidR="00604776" w:rsidRPr="00514EDC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6589FB4D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4052C86" w14:textId="312D6324" w:rsidR="00942712" w:rsidRPr="00C052F4" w:rsidRDefault="008B3F88" w:rsidP="00E54FF3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br w:type="page"/>
            </w:r>
            <w:r w:rsidR="00942712" w:rsidRPr="00C052F4">
              <w:rPr>
                <w:rFonts w:ascii="Calibri" w:hAnsi="Calibri" w:cs="Calibri"/>
                <w:color w:val="auto"/>
                <w:sz w:val="20"/>
                <w:szCs w:val="20"/>
              </w:rPr>
              <w:t>Supplementary Welfare Schemes</w:t>
            </w:r>
          </w:p>
        </w:tc>
      </w:tr>
      <w:tr w:rsidR="00C052F4" w:rsidRPr="00514EDC" w14:paraId="1BADBBCD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7AA504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711987CE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7B7BE5B0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Additional Needs Payment</w:t>
            </w:r>
          </w:p>
        </w:tc>
        <w:tc>
          <w:tcPr>
            <w:tcW w:w="1213" w:type="dxa"/>
            <w:noWrap/>
            <w:hideMark/>
          </w:tcPr>
          <w:p w14:paraId="5B279AE1" w14:textId="3B9225D8" w:rsidR="00C052F4" w:rsidRPr="00514EDC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3,872</w:t>
            </w:r>
          </w:p>
        </w:tc>
        <w:tc>
          <w:tcPr>
            <w:tcW w:w="1536" w:type="dxa"/>
            <w:noWrap/>
            <w:vAlign w:val="bottom"/>
          </w:tcPr>
          <w:p w14:paraId="196D9304" w14:textId="00A72383" w:rsidR="00C052F4" w:rsidRPr="00C052F4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47.6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052F4" w:rsidRPr="00514EDC" w14:paraId="1502D501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30A558D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E80F742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</w:tcPr>
          <w:p w14:paraId="649A94B0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Basic Supplementary Welfare Allowance</w:t>
            </w:r>
          </w:p>
        </w:tc>
        <w:tc>
          <w:tcPr>
            <w:tcW w:w="1213" w:type="dxa"/>
            <w:noWrap/>
          </w:tcPr>
          <w:p w14:paraId="19470B91" w14:textId="74F1E3DF" w:rsidR="00C052F4" w:rsidRPr="00514EDC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3,305</w:t>
            </w:r>
          </w:p>
        </w:tc>
        <w:tc>
          <w:tcPr>
            <w:tcW w:w="1536" w:type="dxa"/>
            <w:noWrap/>
            <w:vAlign w:val="bottom"/>
          </w:tcPr>
          <w:p w14:paraId="5593752B" w14:textId="37C2F7F1" w:rsidR="00C052F4" w:rsidRPr="00C052F4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40.6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052F4" w:rsidRPr="00514EDC" w14:paraId="0FC75140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8B24DCC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B5F5B0E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74352104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Rent Supplement (RS)</w:t>
            </w:r>
          </w:p>
        </w:tc>
        <w:tc>
          <w:tcPr>
            <w:tcW w:w="1213" w:type="dxa"/>
            <w:noWrap/>
            <w:hideMark/>
          </w:tcPr>
          <w:p w14:paraId="35409D1A" w14:textId="207EBEF0" w:rsidR="00C052F4" w:rsidRPr="00514EDC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886</w:t>
            </w:r>
          </w:p>
        </w:tc>
        <w:tc>
          <w:tcPr>
            <w:tcW w:w="1536" w:type="dxa"/>
            <w:noWrap/>
            <w:vAlign w:val="bottom"/>
          </w:tcPr>
          <w:p w14:paraId="0AD7B1A9" w14:textId="04AEB3CB" w:rsidR="00C052F4" w:rsidRPr="00C052F4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10.9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196C847D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B1ADC71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087BDF4" w14:textId="0A579C98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</w:tcPr>
          <w:p w14:paraId="528F30DA" w14:textId="5E1F3993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Diet/Heating Supplement</w:t>
            </w:r>
          </w:p>
        </w:tc>
        <w:tc>
          <w:tcPr>
            <w:tcW w:w="1213" w:type="dxa"/>
            <w:noWrap/>
          </w:tcPr>
          <w:p w14:paraId="5A51F4A9" w14:textId="396FCEEF" w:rsidR="00604776" w:rsidRPr="00514EDC" w:rsidRDefault="00604776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536" w:type="dxa"/>
            <w:noWrap/>
            <w:vAlign w:val="bottom"/>
          </w:tcPr>
          <w:p w14:paraId="1523CC97" w14:textId="21F99515" w:rsidR="00604776" w:rsidRPr="00C052F4" w:rsidRDefault="00604776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0.8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241283C4" w14:textId="77777777" w:rsidTr="00604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C84C835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D018FCA" w14:textId="7BEC51D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</w:tcPr>
          <w:p w14:paraId="7FF62001" w14:textId="340C9965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Mortgage Interest Supplement (MIS)</w:t>
            </w:r>
          </w:p>
        </w:tc>
        <w:tc>
          <w:tcPr>
            <w:tcW w:w="1213" w:type="dxa"/>
            <w:noWrap/>
          </w:tcPr>
          <w:p w14:paraId="2036CE96" w14:textId="1162872F" w:rsidR="00604776" w:rsidRPr="00514EDC" w:rsidRDefault="00604776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36" w:type="dxa"/>
            <w:noWrap/>
            <w:vAlign w:val="bottom"/>
          </w:tcPr>
          <w:p w14:paraId="71A00CA8" w14:textId="78BA7FCC" w:rsidR="00604776" w:rsidRPr="00C052F4" w:rsidRDefault="00604776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0.</w:t>
            </w:r>
            <w:r w:rsidR="00BA39B1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42712" w:rsidRPr="00514EDC" w14:paraId="6D59C13B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308885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963A34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4E7B0E8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61E8BB3D" w14:textId="65D5AF58" w:rsidR="00942712" w:rsidRPr="00514EDC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8,132</w:t>
            </w:r>
          </w:p>
        </w:tc>
        <w:tc>
          <w:tcPr>
            <w:tcW w:w="1536" w:type="dxa"/>
            <w:noWrap/>
          </w:tcPr>
          <w:p w14:paraId="3863F278" w14:textId="77777777" w:rsidR="00942712" w:rsidRPr="00514EDC" w:rsidRDefault="00942712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490BBB8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2756D3E5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Unemployed People</w:t>
            </w:r>
          </w:p>
        </w:tc>
      </w:tr>
      <w:tr w:rsidR="00C052F4" w:rsidRPr="00514EDC" w14:paraId="2A77DCB1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226F560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0BA045F6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1EA898EE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Allowance</w:t>
            </w:r>
          </w:p>
        </w:tc>
        <w:tc>
          <w:tcPr>
            <w:tcW w:w="1213" w:type="dxa"/>
            <w:noWrap/>
            <w:hideMark/>
          </w:tcPr>
          <w:p w14:paraId="44FF9C88" w14:textId="2C36F655" w:rsidR="00C052F4" w:rsidRPr="00514EDC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3,608</w:t>
            </w:r>
          </w:p>
        </w:tc>
        <w:tc>
          <w:tcPr>
            <w:tcW w:w="1536" w:type="dxa"/>
            <w:noWrap/>
            <w:vAlign w:val="bottom"/>
          </w:tcPr>
          <w:p w14:paraId="1D24DE7B" w14:textId="577F7857" w:rsidR="00C052F4" w:rsidRPr="00C052F4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54.4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052F4" w:rsidRPr="00514EDC" w14:paraId="09A98E93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35A3B21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79B501B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2C5D03F6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Benefit</w:t>
            </w:r>
          </w:p>
        </w:tc>
        <w:tc>
          <w:tcPr>
            <w:tcW w:w="1213" w:type="dxa"/>
            <w:noWrap/>
            <w:hideMark/>
          </w:tcPr>
          <w:p w14:paraId="076DBA47" w14:textId="116C4BD3" w:rsidR="00C052F4" w:rsidRPr="00514EDC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1,980</w:t>
            </w:r>
          </w:p>
        </w:tc>
        <w:tc>
          <w:tcPr>
            <w:tcW w:w="1536" w:type="dxa"/>
            <w:noWrap/>
            <w:vAlign w:val="bottom"/>
          </w:tcPr>
          <w:p w14:paraId="178FFB54" w14:textId="67F81F4F" w:rsidR="00C052F4" w:rsidRPr="00C052F4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29.</w:t>
            </w:r>
            <w:r w:rsidR="00D75D2C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052F4" w:rsidRPr="00514EDC" w14:paraId="0AFC658A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8CF54B3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4F132D0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443742F5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Social Welfare Payments and Work</w:t>
            </w:r>
          </w:p>
        </w:tc>
        <w:tc>
          <w:tcPr>
            <w:tcW w:w="1213" w:type="dxa"/>
            <w:noWrap/>
            <w:hideMark/>
          </w:tcPr>
          <w:p w14:paraId="17109257" w14:textId="268C3BD7" w:rsidR="00C052F4" w:rsidRPr="00514EDC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499</w:t>
            </w:r>
          </w:p>
        </w:tc>
        <w:tc>
          <w:tcPr>
            <w:tcW w:w="1536" w:type="dxa"/>
            <w:noWrap/>
            <w:vAlign w:val="bottom"/>
          </w:tcPr>
          <w:p w14:paraId="71CAC535" w14:textId="619EADA0" w:rsidR="00C052F4" w:rsidRPr="00C052F4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7.5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052F4" w:rsidRPr="00514EDC" w14:paraId="1E605CF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D0062C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A8991D0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4AABAB82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Transitional Payment</w:t>
            </w:r>
          </w:p>
        </w:tc>
        <w:tc>
          <w:tcPr>
            <w:tcW w:w="1213" w:type="dxa"/>
            <w:noWrap/>
            <w:hideMark/>
          </w:tcPr>
          <w:p w14:paraId="36DF76FD" w14:textId="79FC60E4" w:rsidR="00C052F4" w:rsidRPr="00514EDC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470</w:t>
            </w:r>
          </w:p>
        </w:tc>
        <w:tc>
          <w:tcPr>
            <w:tcW w:w="1536" w:type="dxa"/>
            <w:noWrap/>
            <w:vAlign w:val="bottom"/>
          </w:tcPr>
          <w:p w14:paraId="35E49CCE" w14:textId="2E8506E7" w:rsidR="00C052F4" w:rsidRPr="00C052F4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7.</w:t>
            </w:r>
            <w:r w:rsidR="00D75D2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052F4" w:rsidRPr="00514EDC" w14:paraId="0E730767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1DAFFD6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995B6F7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7F99163E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Unemployed following self-employment</w:t>
            </w:r>
          </w:p>
        </w:tc>
        <w:tc>
          <w:tcPr>
            <w:tcW w:w="1213" w:type="dxa"/>
            <w:noWrap/>
            <w:hideMark/>
          </w:tcPr>
          <w:p w14:paraId="2EF733BF" w14:textId="33669D01" w:rsidR="00C052F4" w:rsidRPr="00514EDC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6" w:type="dxa"/>
            <w:noWrap/>
            <w:vAlign w:val="bottom"/>
          </w:tcPr>
          <w:p w14:paraId="5C88FD87" w14:textId="6B999B9A" w:rsidR="00C052F4" w:rsidRPr="00C052F4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1.</w:t>
            </w:r>
            <w:r w:rsidR="00D75D2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42712" w:rsidRPr="00514EDC" w14:paraId="111086A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DEFA85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E1A457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70E68AC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7665A11" w14:textId="4D3EF125" w:rsidR="00942712" w:rsidRPr="00514EDC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6,629</w:t>
            </w:r>
          </w:p>
        </w:tc>
        <w:tc>
          <w:tcPr>
            <w:tcW w:w="1536" w:type="dxa"/>
            <w:noWrap/>
          </w:tcPr>
          <w:p w14:paraId="0C9A2881" w14:textId="77777777" w:rsidR="00942712" w:rsidRPr="00514EDC" w:rsidRDefault="00942712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</w:tbl>
    <w:p w14:paraId="3ED19747" w14:textId="77777777" w:rsidR="00C052F4" w:rsidRDefault="00C052F4">
      <w:r>
        <w:rPr>
          <w:b/>
          <w:bCs/>
        </w:rPr>
        <w:br w:type="page"/>
      </w:r>
    </w:p>
    <w:tbl>
      <w:tblPr>
        <w:tblStyle w:val="GridTable5Dark-Accent6"/>
        <w:tblW w:w="13297" w:type="dxa"/>
        <w:tblLook w:val="04A0" w:firstRow="1" w:lastRow="0" w:firstColumn="1" w:lastColumn="0" w:noHBand="0" w:noVBand="1"/>
      </w:tblPr>
      <w:tblGrid>
        <w:gridCol w:w="1870"/>
        <w:gridCol w:w="4074"/>
        <w:gridCol w:w="4604"/>
        <w:gridCol w:w="1213"/>
        <w:gridCol w:w="1536"/>
      </w:tblGrid>
      <w:tr w:rsidR="00942712" w:rsidRPr="00514EDC" w14:paraId="48D3C049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20B5BF6" w14:textId="71E6D04A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lastRenderedPageBreak/>
              <w:t>Social Welfare Miscellaneous</w:t>
            </w:r>
          </w:p>
        </w:tc>
      </w:tr>
      <w:tr w:rsidR="00F71993" w:rsidRPr="00514EDC" w14:paraId="1A46C7A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E849B24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4040A020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0A4BC2C5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177BBC90" w14:textId="4744A1DE" w:rsidR="00F71993" w:rsidRPr="00514EDC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1,8</w:t>
            </w: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536" w:type="dxa"/>
            <w:noWrap/>
            <w:vAlign w:val="bottom"/>
          </w:tcPr>
          <w:p w14:paraId="00FD8E3F" w14:textId="1CCECFED" w:rsidR="00F71993" w:rsidRPr="00D55407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71993">
              <w:rPr>
                <w:rFonts w:ascii="Calibri" w:hAnsi="Calibri" w:cs="Calibri"/>
                <w:sz w:val="20"/>
                <w:szCs w:val="20"/>
              </w:rPr>
              <w:t>3</w:t>
            </w:r>
            <w:r w:rsidR="00AA47C1">
              <w:rPr>
                <w:rFonts w:ascii="Calibri" w:hAnsi="Calibri" w:cs="Calibri"/>
                <w:sz w:val="20"/>
                <w:szCs w:val="20"/>
              </w:rPr>
              <w:t>6.6</w:t>
            </w:r>
            <w:r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6C64FED3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8651C92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A05CB0B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5B4B3774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Public Services Card</w:t>
            </w:r>
          </w:p>
        </w:tc>
        <w:tc>
          <w:tcPr>
            <w:tcW w:w="1213" w:type="dxa"/>
            <w:noWrap/>
          </w:tcPr>
          <w:p w14:paraId="6F9B4630" w14:textId="11FFBCFE" w:rsidR="00F71993" w:rsidRPr="00514EDC" w:rsidRDefault="00F71993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918</w:t>
            </w:r>
          </w:p>
        </w:tc>
        <w:tc>
          <w:tcPr>
            <w:tcW w:w="1536" w:type="dxa"/>
            <w:noWrap/>
            <w:vAlign w:val="bottom"/>
          </w:tcPr>
          <w:p w14:paraId="32E0929A" w14:textId="78A03DC3" w:rsidR="00F71993" w:rsidRPr="00D55407" w:rsidRDefault="00F71993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71993">
              <w:rPr>
                <w:rFonts w:ascii="Calibri" w:hAnsi="Calibri" w:cs="Calibri"/>
                <w:sz w:val="20"/>
                <w:szCs w:val="20"/>
              </w:rPr>
              <w:t>1</w:t>
            </w:r>
            <w:r w:rsidR="00AA47C1">
              <w:rPr>
                <w:rFonts w:ascii="Calibri" w:hAnsi="Calibri" w:cs="Calibri"/>
                <w:sz w:val="20"/>
                <w:szCs w:val="20"/>
              </w:rPr>
              <w:t>8.3</w:t>
            </w:r>
            <w:r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675A699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990DF88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5DC606A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326B8DA9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Means Tests</w:t>
            </w:r>
          </w:p>
        </w:tc>
        <w:tc>
          <w:tcPr>
            <w:tcW w:w="1213" w:type="dxa"/>
            <w:noWrap/>
          </w:tcPr>
          <w:p w14:paraId="63266D5A" w14:textId="37A4BB9F" w:rsidR="00F71993" w:rsidRPr="00514EDC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918</w:t>
            </w:r>
          </w:p>
        </w:tc>
        <w:tc>
          <w:tcPr>
            <w:tcW w:w="1536" w:type="dxa"/>
            <w:noWrap/>
            <w:vAlign w:val="bottom"/>
          </w:tcPr>
          <w:p w14:paraId="543DF12F" w14:textId="7FB68BC9" w:rsidR="00F71993" w:rsidRPr="00D55407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71993">
              <w:rPr>
                <w:rFonts w:ascii="Calibri" w:hAnsi="Calibri" w:cs="Calibri"/>
                <w:sz w:val="20"/>
                <w:szCs w:val="20"/>
              </w:rPr>
              <w:t>1</w:t>
            </w:r>
            <w:r w:rsidR="00AA47C1">
              <w:rPr>
                <w:rFonts w:ascii="Calibri" w:hAnsi="Calibri" w:cs="Calibri"/>
                <w:sz w:val="20"/>
                <w:szCs w:val="20"/>
              </w:rPr>
              <w:t>8.3</w:t>
            </w:r>
            <w:r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0A83A30A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291DE0A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0FFD5BE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71B77EA9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Habitual Residence Condition</w:t>
            </w:r>
          </w:p>
        </w:tc>
        <w:tc>
          <w:tcPr>
            <w:tcW w:w="1213" w:type="dxa"/>
            <w:noWrap/>
            <w:hideMark/>
          </w:tcPr>
          <w:p w14:paraId="278312C8" w14:textId="45BEA72A" w:rsidR="00F71993" w:rsidRPr="00514EDC" w:rsidRDefault="00F71993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</w:t>
            </w:r>
          </w:p>
        </w:tc>
        <w:tc>
          <w:tcPr>
            <w:tcW w:w="1536" w:type="dxa"/>
            <w:noWrap/>
            <w:vAlign w:val="bottom"/>
          </w:tcPr>
          <w:p w14:paraId="6A744B8F" w14:textId="13142921" w:rsidR="00F71993" w:rsidRPr="00D55407" w:rsidRDefault="00AA47C1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</w:t>
            </w:r>
            <w:r w:rsidR="00F71993"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5748EC9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712744C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A047442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37ECCA24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MyWelfare.ie</w:t>
            </w:r>
          </w:p>
        </w:tc>
        <w:tc>
          <w:tcPr>
            <w:tcW w:w="1213" w:type="dxa"/>
            <w:noWrap/>
            <w:hideMark/>
          </w:tcPr>
          <w:p w14:paraId="12138978" w14:textId="3E1FDF62" w:rsidR="00F71993" w:rsidRPr="00514EDC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1536" w:type="dxa"/>
            <w:noWrap/>
            <w:vAlign w:val="bottom"/>
          </w:tcPr>
          <w:p w14:paraId="128D7186" w14:textId="6D094ABC" w:rsidR="00F71993" w:rsidRPr="00D55407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71993">
              <w:rPr>
                <w:rFonts w:ascii="Calibri" w:hAnsi="Calibri" w:cs="Calibri"/>
                <w:sz w:val="20"/>
                <w:szCs w:val="20"/>
              </w:rPr>
              <w:t>6.</w:t>
            </w:r>
            <w:r w:rsidR="00AA47C1">
              <w:rPr>
                <w:rFonts w:ascii="Calibri" w:hAnsi="Calibri" w:cs="Calibri"/>
                <w:sz w:val="20"/>
                <w:szCs w:val="20"/>
              </w:rPr>
              <w:t>6</w:t>
            </w:r>
            <w:r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7947497E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3A9E8BA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851E90F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0966B4DA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Overpayments</w:t>
            </w:r>
          </w:p>
        </w:tc>
        <w:tc>
          <w:tcPr>
            <w:tcW w:w="1213" w:type="dxa"/>
            <w:noWrap/>
            <w:hideMark/>
          </w:tcPr>
          <w:p w14:paraId="4434BEDA" w14:textId="3934C733" w:rsidR="00F71993" w:rsidRPr="00514EDC" w:rsidRDefault="00F71993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536" w:type="dxa"/>
            <w:noWrap/>
            <w:vAlign w:val="bottom"/>
          </w:tcPr>
          <w:p w14:paraId="368A78C1" w14:textId="5F12F5FB" w:rsidR="00F71993" w:rsidRPr="00D55407" w:rsidRDefault="00F71993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71993">
              <w:rPr>
                <w:rFonts w:ascii="Calibri" w:hAnsi="Calibri" w:cs="Calibri"/>
                <w:sz w:val="20"/>
                <w:szCs w:val="20"/>
              </w:rPr>
              <w:t>4.</w:t>
            </w:r>
            <w:r w:rsidR="00AA47C1">
              <w:rPr>
                <w:rFonts w:ascii="Calibri" w:hAnsi="Calibri" w:cs="Calibri"/>
                <w:sz w:val="20"/>
                <w:szCs w:val="20"/>
              </w:rPr>
              <w:t>5</w:t>
            </w:r>
            <w:r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08D7DA9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EDB6E9E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32F8961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51B609E1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UK Entitlements Brexit</w:t>
            </w:r>
          </w:p>
        </w:tc>
        <w:tc>
          <w:tcPr>
            <w:tcW w:w="1213" w:type="dxa"/>
            <w:noWrap/>
            <w:hideMark/>
          </w:tcPr>
          <w:p w14:paraId="4FA5ED0F" w14:textId="54D2E162" w:rsidR="00F71993" w:rsidRPr="00514EDC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536" w:type="dxa"/>
            <w:noWrap/>
            <w:vAlign w:val="bottom"/>
          </w:tcPr>
          <w:p w14:paraId="2B842DA5" w14:textId="2D04CFE8" w:rsidR="00F71993" w:rsidRPr="00D55407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71993">
              <w:rPr>
                <w:rFonts w:ascii="Calibri" w:hAnsi="Calibri" w:cs="Calibri"/>
                <w:sz w:val="20"/>
                <w:szCs w:val="20"/>
              </w:rPr>
              <w:t>2.</w:t>
            </w:r>
            <w:r w:rsidR="00AA47C1">
              <w:rPr>
                <w:rFonts w:ascii="Calibri" w:hAnsi="Calibri" w:cs="Calibri"/>
                <w:sz w:val="20"/>
                <w:szCs w:val="20"/>
              </w:rPr>
              <w:t>3</w:t>
            </w:r>
            <w:r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0881423F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BE905C1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58E9A7A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1AC8FA3D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EU Contributions and Entitlements</w:t>
            </w:r>
          </w:p>
        </w:tc>
        <w:tc>
          <w:tcPr>
            <w:tcW w:w="1213" w:type="dxa"/>
            <w:noWrap/>
            <w:hideMark/>
          </w:tcPr>
          <w:p w14:paraId="2B34A751" w14:textId="3388CA33" w:rsidR="00F71993" w:rsidRPr="00514EDC" w:rsidRDefault="00F71993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536" w:type="dxa"/>
            <w:noWrap/>
            <w:vAlign w:val="bottom"/>
          </w:tcPr>
          <w:p w14:paraId="1E0387E6" w14:textId="7D08EAB1" w:rsidR="00F71993" w:rsidRPr="00D55407" w:rsidRDefault="00AA47C1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  <w:r w:rsidR="00F71993"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4CBBE7F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1D72D7F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F94D56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75189ACE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Late Claims</w:t>
            </w:r>
          </w:p>
        </w:tc>
        <w:tc>
          <w:tcPr>
            <w:tcW w:w="1213" w:type="dxa"/>
            <w:noWrap/>
            <w:hideMark/>
          </w:tcPr>
          <w:p w14:paraId="4BF7C460" w14:textId="2159DAE8" w:rsidR="00F71993" w:rsidRPr="00514EDC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6" w:type="dxa"/>
            <w:noWrap/>
            <w:vAlign w:val="bottom"/>
          </w:tcPr>
          <w:p w14:paraId="7B35744F" w14:textId="01904101" w:rsidR="00F71993" w:rsidRPr="00D55407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71993"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</w:tr>
      <w:tr w:rsidR="00AA47C1" w:rsidRPr="00514EDC" w14:paraId="624DC7C3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EE4D1FE" w14:textId="77777777" w:rsidR="00AA47C1" w:rsidRPr="00514EDC" w:rsidRDefault="00AA47C1" w:rsidP="00F71993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B58D98D" w14:textId="1C43786E" w:rsidR="00AA47C1" w:rsidRPr="00514EDC" w:rsidRDefault="00AA47C1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6A9EB0F7" w14:textId="592E8423" w:rsidR="00AA47C1" w:rsidRPr="00514EDC" w:rsidRDefault="00AA47C1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A47C1">
              <w:rPr>
                <w:rFonts w:ascii="Calibri" w:hAnsi="Calibri" w:cs="Calibri"/>
                <w:b/>
                <w:bCs/>
                <w:sz w:val="20"/>
                <w:szCs w:val="20"/>
              </w:rPr>
              <w:t>Insolvency Payments</w:t>
            </w:r>
          </w:p>
        </w:tc>
        <w:tc>
          <w:tcPr>
            <w:tcW w:w="1213" w:type="dxa"/>
            <w:noWrap/>
          </w:tcPr>
          <w:p w14:paraId="64F7DD27" w14:textId="636FC496" w:rsidR="00AA47C1" w:rsidRDefault="00AA47C1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6" w:type="dxa"/>
            <w:noWrap/>
            <w:vAlign w:val="bottom"/>
          </w:tcPr>
          <w:p w14:paraId="13EC10D0" w14:textId="3CB4297B" w:rsidR="00AA47C1" w:rsidRPr="00F71993" w:rsidRDefault="00AA47C1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7C1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942712" w:rsidRPr="00514EDC" w14:paraId="4157D78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FBE0275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177130A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  <w:hideMark/>
          </w:tcPr>
          <w:p w14:paraId="6C642A9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9C2DE56" w14:textId="0EED78EC" w:rsidR="00942712" w:rsidRPr="00514EDC" w:rsidRDefault="00942712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</w:t>
            </w:r>
            <w:r w:rsidR="00AA47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017</w:t>
            </w:r>
          </w:p>
        </w:tc>
        <w:tc>
          <w:tcPr>
            <w:tcW w:w="1536" w:type="dxa"/>
            <w:noWrap/>
          </w:tcPr>
          <w:p w14:paraId="23D87045" w14:textId="77777777" w:rsidR="00942712" w:rsidRPr="00514EDC" w:rsidRDefault="00942712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0195B6B4" w14:textId="77777777" w:rsidTr="00D503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1F4A61E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Insurance (PRSI)</w:t>
            </w:r>
          </w:p>
        </w:tc>
      </w:tr>
      <w:tr w:rsidR="00D55407" w:rsidRPr="00514EDC" w14:paraId="07FAB0A1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78EB6C9" w14:textId="1F465B32" w:rsidR="00D55407" w:rsidRPr="00514EDC" w:rsidRDefault="00BA39B1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Social Welfare</w:t>
            </w:r>
          </w:p>
        </w:tc>
        <w:tc>
          <w:tcPr>
            <w:tcW w:w="4074" w:type="dxa"/>
            <w:noWrap/>
            <w:hideMark/>
          </w:tcPr>
          <w:p w14:paraId="69071AFB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0A2EBF2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PRSI Records/Paid Contributions</w:t>
            </w:r>
          </w:p>
        </w:tc>
        <w:tc>
          <w:tcPr>
            <w:tcW w:w="1213" w:type="dxa"/>
            <w:noWrap/>
            <w:hideMark/>
          </w:tcPr>
          <w:p w14:paraId="154277D0" w14:textId="616C01ED" w:rsidR="00D55407" w:rsidRPr="00514EDC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1,630</w:t>
            </w:r>
          </w:p>
        </w:tc>
        <w:tc>
          <w:tcPr>
            <w:tcW w:w="1536" w:type="dxa"/>
            <w:noWrap/>
            <w:vAlign w:val="bottom"/>
          </w:tcPr>
          <w:p w14:paraId="31FB1252" w14:textId="48679B2A" w:rsidR="00D55407" w:rsidRPr="00D55407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39.</w:t>
            </w:r>
            <w:r w:rsidR="000B2348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5C43DEA6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756C5FD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F648EA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0157EFDC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PPS Number</w:t>
            </w:r>
          </w:p>
        </w:tc>
        <w:tc>
          <w:tcPr>
            <w:tcW w:w="1213" w:type="dxa"/>
            <w:noWrap/>
            <w:hideMark/>
          </w:tcPr>
          <w:p w14:paraId="25997CE7" w14:textId="27058DBA" w:rsidR="00D55407" w:rsidRPr="00514EDC" w:rsidRDefault="00D55407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1,</w:t>
            </w:r>
            <w:r>
              <w:rPr>
                <w:rFonts w:ascii="Calibri" w:hAnsi="Calibri" w:cs="Calibri"/>
                <w:sz w:val="20"/>
                <w:szCs w:val="20"/>
              </w:rPr>
              <w:t>040</w:t>
            </w:r>
          </w:p>
        </w:tc>
        <w:tc>
          <w:tcPr>
            <w:tcW w:w="1536" w:type="dxa"/>
            <w:noWrap/>
            <w:vAlign w:val="bottom"/>
          </w:tcPr>
          <w:p w14:paraId="0C596351" w14:textId="3B6D54C6" w:rsidR="00D55407" w:rsidRPr="00D55407" w:rsidRDefault="00D55407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25.</w:t>
            </w:r>
            <w:r w:rsidR="000B234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440E2AA4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2C15BB0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EE734C5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46E04E7F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Credited Contributions</w:t>
            </w:r>
          </w:p>
        </w:tc>
        <w:tc>
          <w:tcPr>
            <w:tcW w:w="1213" w:type="dxa"/>
            <w:noWrap/>
            <w:hideMark/>
          </w:tcPr>
          <w:p w14:paraId="26302B51" w14:textId="1B1ADF28" w:rsidR="00D55407" w:rsidRPr="00514EDC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455</w:t>
            </w:r>
          </w:p>
        </w:tc>
        <w:tc>
          <w:tcPr>
            <w:tcW w:w="1536" w:type="dxa"/>
            <w:noWrap/>
            <w:vAlign w:val="bottom"/>
          </w:tcPr>
          <w:p w14:paraId="20FA795A" w14:textId="4361A9F8" w:rsidR="00D55407" w:rsidRPr="00D55407" w:rsidRDefault="000B2348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</w:t>
            </w:r>
            <w:r w:rsidR="00D5540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4EC7D539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E86B137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0496A70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B853469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213" w:type="dxa"/>
            <w:noWrap/>
            <w:hideMark/>
          </w:tcPr>
          <w:p w14:paraId="2038854D" w14:textId="379B186A" w:rsidR="00D55407" w:rsidRPr="00514EDC" w:rsidRDefault="00D55407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36" w:type="dxa"/>
            <w:noWrap/>
            <w:vAlign w:val="bottom"/>
          </w:tcPr>
          <w:p w14:paraId="335E96B1" w14:textId="661F3C8D" w:rsidR="00D55407" w:rsidRPr="00D55407" w:rsidRDefault="00D55407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8.</w:t>
            </w:r>
            <w:r w:rsidR="000B234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67EA2E81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E570B6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721DE7E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196162AA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213" w:type="dxa"/>
            <w:noWrap/>
            <w:hideMark/>
          </w:tcPr>
          <w:p w14:paraId="4812D3E5" w14:textId="4B043F97" w:rsidR="00D55407" w:rsidRPr="00514EDC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1536" w:type="dxa"/>
            <w:noWrap/>
            <w:vAlign w:val="bottom"/>
          </w:tcPr>
          <w:p w14:paraId="1557E49E" w14:textId="43CB7A83" w:rsidR="00D55407" w:rsidRPr="00D55407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6.8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0100BB49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95E0687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72D4CD8" w14:textId="2DCC6B7F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4FE9F893" w14:textId="1644A62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Homemakers Scheme/</w:t>
            </w: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HomeCaring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Periods Scheme</w:t>
            </w:r>
          </w:p>
        </w:tc>
        <w:tc>
          <w:tcPr>
            <w:tcW w:w="1213" w:type="dxa"/>
            <w:noWrap/>
          </w:tcPr>
          <w:p w14:paraId="5DF1EDC7" w14:textId="43221CCE" w:rsidR="00604776" w:rsidRPr="00514EDC" w:rsidRDefault="00604776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536" w:type="dxa"/>
            <w:noWrap/>
            <w:vAlign w:val="bottom"/>
          </w:tcPr>
          <w:p w14:paraId="253BC4FC" w14:textId="3A568E4E" w:rsidR="00604776" w:rsidRPr="00D55407" w:rsidRDefault="00604776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5.8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372464FE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E06F20B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B80480C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358A2BD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</w:tcPr>
          <w:p w14:paraId="0A681736" w14:textId="3EC41E6B" w:rsidR="00D55407" w:rsidRPr="00514EDC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536" w:type="dxa"/>
            <w:noWrap/>
            <w:vAlign w:val="bottom"/>
          </w:tcPr>
          <w:p w14:paraId="564F3155" w14:textId="68B8F043" w:rsidR="00D55407" w:rsidRPr="00D55407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2.</w:t>
            </w:r>
            <w:r w:rsidR="00AA47C1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3A5F07D7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433952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FFAB87C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608441A4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Employer’s PRSI</w:t>
            </w:r>
          </w:p>
        </w:tc>
        <w:tc>
          <w:tcPr>
            <w:tcW w:w="1213" w:type="dxa"/>
            <w:noWrap/>
            <w:hideMark/>
          </w:tcPr>
          <w:p w14:paraId="4CD70D30" w14:textId="04CFC3C5" w:rsidR="00D55407" w:rsidRPr="00514EDC" w:rsidRDefault="00D55407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1536" w:type="dxa"/>
            <w:noWrap/>
            <w:vAlign w:val="bottom"/>
          </w:tcPr>
          <w:p w14:paraId="7121D7C1" w14:textId="406DE6A4" w:rsidR="00D55407" w:rsidRPr="00D55407" w:rsidRDefault="00D55407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1.2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42712" w:rsidRPr="00514EDC" w14:paraId="5C7F560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ABC9F5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6139BD72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7F25AD61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637962D0" w14:textId="200E4298" w:rsidR="00942712" w:rsidRPr="00514EDC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4,151</w:t>
            </w:r>
          </w:p>
        </w:tc>
        <w:tc>
          <w:tcPr>
            <w:tcW w:w="1536" w:type="dxa"/>
            <w:noWrap/>
          </w:tcPr>
          <w:p w14:paraId="42D0BA13" w14:textId="77777777" w:rsidR="00942712" w:rsidRPr="00514EDC" w:rsidRDefault="00942712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36B55" w:rsidRPr="00514EDC" w14:paraId="6D5C76DD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584515A6" w14:textId="1B5F15E5" w:rsidR="00336B55" w:rsidRPr="00514EDC" w:rsidRDefault="00336B55" w:rsidP="00AA47C1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Appeals</w:t>
            </w:r>
          </w:p>
        </w:tc>
      </w:tr>
      <w:tr w:rsidR="00336B55" w:rsidRPr="00514EDC" w14:paraId="4EFACFEF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AA98BC9" w14:textId="49768001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5564A065" w14:textId="621975C9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106A1EA2" w14:textId="05C88E8B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213" w:type="dxa"/>
            <w:noWrap/>
          </w:tcPr>
          <w:p w14:paraId="5225DB75" w14:textId="7A111AE6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  <w:tc>
          <w:tcPr>
            <w:tcW w:w="1536" w:type="dxa"/>
            <w:noWrap/>
            <w:vAlign w:val="bottom"/>
          </w:tcPr>
          <w:p w14:paraId="1160F099" w14:textId="7D41D06E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32.</w:t>
            </w:r>
            <w:r>
              <w:rPr>
                <w:rFonts w:ascii="Calibri" w:hAnsi="Calibri" w:cs="Calibri"/>
                <w:sz w:val="20"/>
                <w:szCs w:val="20"/>
              </w:rPr>
              <w:t>8%</w:t>
            </w:r>
          </w:p>
        </w:tc>
      </w:tr>
      <w:tr w:rsidR="00336B55" w:rsidRPr="00514EDC" w14:paraId="3FA0B3C3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6C16066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39BD2CA" w14:textId="60E5F4EF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4BF26FE4" w14:textId="70F26118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Carer's Allowance/Benefit</w:t>
            </w:r>
          </w:p>
        </w:tc>
        <w:tc>
          <w:tcPr>
            <w:tcW w:w="1213" w:type="dxa"/>
            <w:noWrap/>
          </w:tcPr>
          <w:p w14:paraId="2EBB55DF" w14:textId="1D83C19E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536" w:type="dxa"/>
            <w:noWrap/>
            <w:vAlign w:val="bottom"/>
          </w:tcPr>
          <w:p w14:paraId="63DA0FE5" w14:textId="62A79374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14.6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5332008A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A9583B1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4E9E9A7" w14:textId="51D0A6CD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7CB58906" w14:textId="4C9BE242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213" w:type="dxa"/>
            <w:noWrap/>
          </w:tcPr>
          <w:p w14:paraId="5B56B7D2" w14:textId="1343EB60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1536" w:type="dxa"/>
            <w:noWrap/>
            <w:vAlign w:val="bottom"/>
          </w:tcPr>
          <w:p w14:paraId="28D6CAE2" w14:textId="2FA97CD8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14.0%</w:t>
            </w:r>
          </w:p>
        </w:tc>
      </w:tr>
      <w:tr w:rsidR="00336B55" w:rsidRPr="00514EDC" w14:paraId="3233D780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85EC6C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ECBB03E" w14:textId="14274270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77351F86" w14:textId="412C7F9B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13" w:type="dxa"/>
            <w:noWrap/>
          </w:tcPr>
          <w:p w14:paraId="4C075230" w14:textId="63282AA2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536" w:type="dxa"/>
            <w:noWrap/>
            <w:vAlign w:val="bottom"/>
          </w:tcPr>
          <w:p w14:paraId="4FE8D4AD" w14:textId="16F87414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10.</w:t>
            </w: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336B55" w:rsidRPr="00514EDC" w14:paraId="7603903E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BDD2DD8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F349FB2" w14:textId="5489D3F8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40DF3C9E" w14:textId="4695AD7B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213" w:type="dxa"/>
            <w:noWrap/>
          </w:tcPr>
          <w:p w14:paraId="4F2541C7" w14:textId="772D2019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536" w:type="dxa"/>
            <w:noWrap/>
            <w:vAlign w:val="bottom"/>
          </w:tcPr>
          <w:p w14:paraId="63595AF7" w14:textId="193545D0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7.</w:t>
            </w:r>
            <w:r>
              <w:rPr>
                <w:rFonts w:ascii="Calibri" w:hAnsi="Calibri" w:cs="Calibri"/>
                <w:sz w:val="20"/>
                <w:szCs w:val="20"/>
              </w:rPr>
              <w:t>7%</w:t>
            </w:r>
          </w:p>
        </w:tc>
      </w:tr>
      <w:tr w:rsidR="00336B55" w:rsidRPr="00514EDC" w14:paraId="55541578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CBFAC97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04CD820" w14:textId="2BC3F13D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0F0C111B" w14:textId="170A7F3D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Domiciliary Care Allowance</w:t>
            </w:r>
          </w:p>
        </w:tc>
        <w:tc>
          <w:tcPr>
            <w:tcW w:w="1213" w:type="dxa"/>
            <w:noWrap/>
          </w:tcPr>
          <w:p w14:paraId="5CF8E53D" w14:textId="08C004FB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536" w:type="dxa"/>
            <w:noWrap/>
            <w:vAlign w:val="bottom"/>
          </w:tcPr>
          <w:p w14:paraId="537F4A59" w14:textId="498BBF0A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3.2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7184F1AB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8399556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422F7A1" w14:textId="112CC2C5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E37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5C82D133" w14:textId="7D38B4C3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Allowance</w:t>
            </w:r>
          </w:p>
        </w:tc>
        <w:tc>
          <w:tcPr>
            <w:tcW w:w="1213" w:type="dxa"/>
            <w:noWrap/>
          </w:tcPr>
          <w:p w14:paraId="21A07915" w14:textId="037B9BB3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36" w:type="dxa"/>
            <w:noWrap/>
            <w:vAlign w:val="bottom"/>
          </w:tcPr>
          <w:p w14:paraId="2451CF28" w14:textId="3810C312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sz w:val="20"/>
                <w:szCs w:val="20"/>
              </w:rPr>
              <w:t>9%</w:t>
            </w:r>
          </w:p>
        </w:tc>
      </w:tr>
      <w:tr w:rsidR="00336B55" w:rsidRPr="00514EDC" w14:paraId="6FE3ADBB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53CB6EB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541FF7B" w14:textId="76186759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5FF2EEAB" w14:textId="2141AB0F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213" w:type="dxa"/>
            <w:noWrap/>
          </w:tcPr>
          <w:p w14:paraId="05BAFFEC" w14:textId="6F4C1D50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536" w:type="dxa"/>
            <w:noWrap/>
            <w:vAlign w:val="bottom"/>
          </w:tcPr>
          <w:p w14:paraId="71F8C67D" w14:textId="560D6F1C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sz w:val="20"/>
                <w:szCs w:val="20"/>
              </w:rPr>
              <w:t>9%</w:t>
            </w:r>
          </w:p>
        </w:tc>
      </w:tr>
      <w:tr w:rsidR="00336B55" w:rsidRPr="00514EDC" w14:paraId="3965E4FB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651CE41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B627446" w14:textId="5C6C787C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E37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2B13610C" w14:textId="48571BCA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213" w:type="dxa"/>
            <w:noWrap/>
          </w:tcPr>
          <w:p w14:paraId="217EC501" w14:textId="50D2000E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536" w:type="dxa"/>
            <w:noWrap/>
            <w:vAlign w:val="bottom"/>
          </w:tcPr>
          <w:p w14:paraId="17588152" w14:textId="2358F39A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2.2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765E1AD6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E0DAECA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DF75CA4" w14:textId="26861E9C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E37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25A9D094" w14:textId="0250FAFA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1213" w:type="dxa"/>
            <w:noWrap/>
          </w:tcPr>
          <w:p w14:paraId="7EB37ECD" w14:textId="77B8F40D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536" w:type="dxa"/>
            <w:noWrap/>
            <w:vAlign w:val="bottom"/>
          </w:tcPr>
          <w:p w14:paraId="471471CA" w14:textId="0D778F83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336B55" w:rsidRPr="00514EDC" w14:paraId="5F5C137B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39108A7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E0594E1" w14:textId="3EC957A7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672D6E00" w14:textId="4D346AF3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State Pension (Non-Contributory)</w:t>
            </w:r>
          </w:p>
        </w:tc>
        <w:tc>
          <w:tcPr>
            <w:tcW w:w="1213" w:type="dxa"/>
            <w:noWrap/>
          </w:tcPr>
          <w:p w14:paraId="54E1F65A" w14:textId="6EF7B87A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536" w:type="dxa"/>
            <w:noWrap/>
            <w:vAlign w:val="bottom"/>
          </w:tcPr>
          <w:p w14:paraId="7BB4BA4D" w14:textId="306D161C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1.9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7436ED0E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51689A1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CAAC52C" w14:textId="63F5F853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1E5B011A" w14:textId="6E448548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213" w:type="dxa"/>
            <w:noWrap/>
          </w:tcPr>
          <w:p w14:paraId="24460D4D" w14:textId="55BA0208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36" w:type="dxa"/>
            <w:noWrap/>
            <w:vAlign w:val="bottom"/>
          </w:tcPr>
          <w:p w14:paraId="2E79080F" w14:textId="5BECD5E1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1.5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7896630D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D19EEFA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6F1949C" w14:textId="27D604F0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6CDEE974" w14:textId="588829C0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Working Family Payment (WFP)</w:t>
            </w:r>
          </w:p>
        </w:tc>
        <w:tc>
          <w:tcPr>
            <w:tcW w:w="1213" w:type="dxa"/>
            <w:noWrap/>
          </w:tcPr>
          <w:p w14:paraId="3EAEFD9A" w14:textId="7AB69E49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36" w:type="dxa"/>
            <w:noWrap/>
            <w:vAlign w:val="bottom"/>
          </w:tcPr>
          <w:p w14:paraId="5A43DD87" w14:textId="4AE35A2B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1.5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2F080262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06C7558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BDE7D8C" w14:textId="0F070302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31832FC3" w14:textId="1B0B1FF9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213" w:type="dxa"/>
            <w:noWrap/>
          </w:tcPr>
          <w:p w14:paraId="10CC25C2" w14:textId="14D6486F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36" w:type="dxa"/>
            <w:noWrap/>
            <w:vAlign w:val="bottom"/>
          </w:tcPr>
          <w:p w14:paraId="02D135C2" w14:textId="7BA58DE8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4%</w:t>
            </w:r>
          </w:p>
        </w:tc>
      </w:tr>
      <w:tr w:rsidR="00336B55" w:rsidRPr="00514EDC" w14:paraId="4F8C5692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4F952CD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BEA7D48" w14:textId="1941F758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0DD501E9" w14:textId="12BA9A67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Carer's Support Grant</w:t>
            </w:r>
          </w:p>
        </w:tc>
        <w:tc>
          <w:tcPr>
            <w:tcW w:w="1213" w:type="dxa"/>
            <w:noWrap/>
          </w:tcPr>
          <w:p w14:paraId="3FB6F773" w14:textId="1BC21412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36" w:type="dxa"/>
            <w:noWrap/>
            <w:vAlign w:val="bottom"/>
          </w:tcPr>
          <w:p w14:paraId="693FCC45" w14:textId="7F88C848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</w:tr>
      <w:tr w:rsidR="00336B55" w:rsidRPr="00514EDC" w14:paraId="58A1C2AE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8FFDED4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B143785" w14:textId="3D7878E1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71A2AE3F" w14:textId="51C219FE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0265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Widow/Widower/surviving Civil Partner Pension</w:t>
            </w:r>
          </w:p>
        </w:tc>
        <w:tc>
          <w:tcPr>
            <w:tcW w:w="1213" w:type="dxa"/>
            <w:noWrap/>
          </w:tcPr>
          <w:p w14:paraId="0903AB4A" w14:textId="1E6BFF57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36" w:type="dxa"/>
            <w:noWrap/>
            <w:vAlign w:val="bottom"/>
          </w:tcPr>
          <w:p w14:paraId="6CCEE7DC" w14:textId="302F6CD2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0.3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6850AF1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38C77C" w14:textId="266E8151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5D49B131" w14:textId="7863CFC6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</w:tcPr>
          <w:p w14:paraId="6F1F9A23" w14:textId="2826C67B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2A691BCA" w14:textId="729937B8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251</w:t>
            </w:r>
          </w:p>
        </w:tc>
        <w:tc>
          <w:tcPr>
            <w:tcW w:w="1536" w:type="dxa"/>
            <w:noWrap/>
          </w:tcPr>
          <w:p w14:paraId="1D5BDD97" w14:textId="7AFB8247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36B55" w:rsidRPr="00514EDC" w14:paraId="67E078C3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5DD5A324" w14:textId="0A634814" w:rsidR="00336B55" w:rsidRPr="00514EDC" w:rsidRDefault="00336B55" w:rsidP="00336B55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Benefits Check</w:t>
            </w:r>
          </w:p>
        </w:tc>
      </w:tr>
      <w:tr w:rsidR="00336B55" w:rsidRPr="00514EDC" w14:paraId="59FF5C0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CBBE202" w14:textId="111E0663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4EDA5399" w14:textId="47E7B63E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4604" w:type="dxa"/>
            <w:noWrap/>
          </w:tcPr>
          <w:p w14:paraId="28C5EB93" w14:textId="1F473DCB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1213" w:type="dxa"/>
            <w:noWrap/>
          </w:tcPr>
          <w:p w14:paraId="4BEB3BD2" w14:textId="0B1A6359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220</w:t>
            </w:r>
          </w:p>
        </w:tc>
        <w:tc>
          <w:tcPr>
            <w:tcW w:w="1536" w:type="dxa"/>
            <w:noWrap/>
          </w:tcPr>
          <w:p w14:paraId="1A62C3D4" w14:textId="77777777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336B55" w:rsidRPr="00514EDC" w14:paraId="0D75968D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5578558" w14:textId="0E621591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69A362E6" w14:textId="63E2130C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</w:tcPr>
          <w:p w14:paraId="3C15FAE8" w14:textId="7301961D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32475898" w14:textId="1EE8BFD0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220</w:t>
            </w:r>
          </w:p>
        </w:tc>
        <w:tc>
          <w:tcPr>
            <w:tcW w:w="1536" w:type="dxa"/>
            <w:noWrap/>
          </w:tcPr>
          <w:p w14:paraId="761E8F8A" w14:textId="621349FB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B6F50" w:rsidRPr="00514EDC" w14:paraId="4FA834C1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591D2F30" w14:textId="49C4CCDE" w:rsidR="003B6F50" w:rsidRPr="00514EDC" w:rsidRDefault="003B6F50" w:rsidP="00336B55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Death Related Benefits</w:t>
            </w:r>
          </w:p>
        </w:tc>
      </w:tr>
      <w:tr w:rsidR="003B6F50" w:rsidRPr="00514EDC" w14:paraId="29F5930F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57CD7F3" w14:textId="4D0595DF" w:rsidR="003B6F50" w:rsidRPr="00514EDC" w:rsidRDefault="003B6F50" w:rsidP="003B6F50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31756569" w14:textId="6A537C2D" w:rsidR="003B6F50" w:rsidRPr="00514EDC" w:rsidRDefault="003B6F50" w:rsidP="003B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7FC048B4" w14:textId="1FCFC755" w:rsidR="003B6F50" w:rsidRPr="00514EDC" w:rsidRDefault="003B6F50" w:rsidP="003B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Widow's, Widower's or Surviving Civil Partner's (Contributory) Pension</w:t>
            </w:r>
          </w:p>
        </w:tc>
        <w:tc>
          <w:tcPr>
            <w:tcW w:w="1213" w:type="dxa"/>
            <w:noWrap/>
          </w:tcPr>
          <w:p w14:paraId="0EB2203F" w14:textId="011EBA76" w:rsidR="003B6F50" w:rsidRPr="00514EDC" w:rsidRDefault="003B6F50" w:rsidP="003B6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6" w:type="dxa"/>
            <w:noWrap/>
            <w:vAlign w:val="bottom"/>
          </w:tcPr>
          <w:p w14:paraId="628BD84B" w14:textId="12E3E549" w:rsidR="003B6F50" w:rsidRPr="00514EDC" w:rsidRDefault="003B6F50" w:rsidP="003B6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66.3%</w:t>
            </w:r>
          </w:p>
        </w:tc>
      </w:tr>
      <w:tr w:rsidR="003B6F50" w:rsidRPr="00514EDC" w14:paraId="6BD3B937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C9A995" w14:textId="77777777" w:rsidR="003B6F50" w:rsidRPr="00514EDC" w:rsidRDefault="003B6F50" w:rsidP="003B6F50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D7B8123" w14:textId="4BDFDFA3" w:rsidR="003B6F50" w:rsidRPr="00514EDC" w:rsidRDefault="003B6F50" w:rsidP="003B6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7615E48B" w14:textId="66934572" w:rsidR="003B6F50" w:rsidRPr="00514EDC" w:rsidRDefault="003B6F50" w:rsidP="003B6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Help with Funeral Costs</w:t>
            </w:r>
          </w:p>
        </w:tc>
        <w:tc>
          <w:tcPr>
            <w:tcW w:w="1213" w:type="dxa"/>
            <w:noWrap/>
          </w:tcPr>
          <w:p w14:paraId="40ED979D" w14:textId="3ADC04AD" w:rsidR="003B6F50" w:rsidRPr="00514EDC" w:rsidRDefault="003B6F50" w:rsidP="003B6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536" w:type="dxa"/>
            <w:noWrap/>
            <w:vAlign w:val="bottom"/>
          </w:tcPr>
          <w:p w14:paraId="75DE4A42" w14:textId="25AC27A8" w:rsidR="003B6F50" w:rsidRPr="00514EDC" w:rsidRDefault="003B6F50" w:rsidP="003B6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</w:t>
            </w:r>
            <w:r w:rsidRPr="00384C4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60EC4C99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CD44533" w14:textId="77777777" w:rsidR="003B6F50" w:rsidRPr="00514EDC" w:rsidRDefault="003B6F50" w:rsidP="003B6F50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66F88B4" w14:textId="587A2475" w:rsidR="003B6F50" w:rsidRPr="00514EDC" w:rsidRDefault="003B6F50" w:rsidP="003B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7FDC0654" w14:textId="60D580D5" w:rsidR="003B6F50" w:rsidRPr="00514EDC" w:rsidRDefault="003B6F50" w:rsidP="003B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Widow's, Widower's or Surviving Civil Partner's (Non-Contributory) Pension</w:t>
            </w:r>
          </w:p>
        </w:tc>
        <w:tc>
          <w:tcPr>
            <w:tcW w:w="1213" w:type="dxa"/>
            <w:noWrap/>
          </w:tcPr>
          <w:p w14:paraId="36EBB369" w14:textId="79BC4D88" w:rsidR="003B6F50" w:rsidRPr="00514EDC" w:rsidRDefault="003B6F50" w:rsidP="003B6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536" w:type="dxa"/>
            <w:noWrap/>
            <w:vAlign w:val="bottom"/>
          </w:tcPr>
          <w:p w14:paraId="0B4E9665" w14:textId="47F758A9" w:rsidR="003B6F50" w:rsidRPr="00514EDC" w:rsidRDefault="003B6F50" w:rsidP="003B6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10.2%</w:t>
            </w:r>
          </w:p>
        </w:tc>
      </w:tr>
      <w:tr w:rsidR="003B6F50" w:rsidRPr="00514EDC" w14:paraId="4144A9D5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6772097" w14:textId="77777777" w:rsidR="003B6F50" w:rsidRPr="00514EDC" w:rsidRDefault="003B6F50" w:rsidP="003B6F50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329F47A" w14:textId="771127C7" w:rsidR="003B6F50" w:rsidRPr="00514EDC" w:rsidRDefault="003B6F50" w:rsidP="003B6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2B94F24B" w14:textId="682FFC12" w:rsidR="003B6F50" w:rsidRPr="00514EDC" w:rsidRDefault="003B6F50" w:rsidP="003B6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Widow/Widower/Surviving Civil Partner Grant</w:t>
            </w:r>
          </w:p>
        </w:tc>
        <w:tc>
          <w:tcPr>
            <w:tcW w:w="1213" w:type="dxa"/>
            <w:noWrap/>
          </w:tcPr>
          <w:p w14:paraId="0C1FF866" w14:textId="13E62545" w:rsidR="003B6F50" w:rsidRPr="00514EDC" w:rsidRDefault="003B6F50" w:rsidP="003B6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1536" w:type="dxa"/>
            <w:noWrap/>
            <w:vAlign w:val="bottom"/>
          </w:tcPr>
          <w:p w14:paraId="418909AB" w14:textId="7F307CAA" w:rsidR="003B6F50" w:rsidRPr="00514EDC" w:rsidRDefault="003B6F50" w:rsidP="003B6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7.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384C4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3F6D9AD4" w14:textId="77777777" w:rsidTr="0026677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E14DF25" w14:textId="77777777" w:rsidR="003B6F50" w:rsidRPr="00514EDC" w:rsidRDefault="003B6F50" w:rsidP="003B6F50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1C17386" w14:textId="022B733B" w:rsidR="003B6F50" w:rsidRPr="00514EDC" w:rsidRDefault="003B6F50" w:rsidP="003B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4579906E" w14:textId="57F06072" w:rsidR="003B6F50" w:rsidRPr="00514EDC" w:rsidRDefault="003B6F50" w:rsidP="003B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Guardian's Payment</w:t>
            </w:r>
          </w:p>
        </w:tc>
        <w:tc>
          <w:tcPr>
            <w:tcW w:w="1213" w:type="dxa"/>
            <w:noWrap/>
          </w:tcPr>
          <w:p w14:paraId="63A6A101" w14:textId="3BB0D03B" w:rsidR="003B6F50" w:rsidRPr="00514EDC" w:rsidRDefault="003B6F50" w:rsidP="003B6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536" w:type="dxa"/>
            <w:noWrap/>
            <w:vAlign w:val="bottom"/>
          </w:tcPr>
          <w:p w14:paraId="0A7B836D" w14:textId="0931379C" w:rsidR="003B6F50" w:rsidRPr="00514EDC" w:rsidRDefault="003B6F50" w:rsidP="003B6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</w:tr>
      <w:tr w:rsidR="003B6F50" w:rsidRPr="00514EDC" w14:paraId="62BD2C77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915DF7F" w14:textId="402F1CC9" w:rsidR="003B6F50" w:rsidRPr="00514EDC" w:rsidRDefault="003B6F50" w:rsidP="003B6F50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772BBAB7" w14:textId="6A701EF0" w:rsidR="003B6F50" w:rsidRPr="00514EDC" w:rsidRDefault="003B6F50" w:rsidP="003B6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63A6E56E" w14:textId="6A5FC7CF" w:rsidR="003B6F50" w:rsidRPr="00514EDC" w:rsidRDefault="003B6F50" w:rsidP="003B6F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Special Funeral Grant (Occ. Injuries Scheme only)</w:t>
            </w:r>
          </w:p>
        </w:tc>
        <w:tc>
          <w:tcPr>
            <w:tcW w:w="1213" w:type="dxa"/>
            <w:noWrap/>
          </w:tcPr>
          <w:p w14:paraId="14BC9CFB" w14:textId="77813C3E" w:rsidR="003B6F50" w:rsidRPr="00514EDC" w:rsidRDefault="003B6F50" w:rsidP="003B6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536" w:type="dxa"/>
            <w:noWrap/>
            <w:vAlign w:val="bottom"/>
          </w:tcPr>
          <w:p w14:paraId="22DF11DE" w14:textId="33F113E1" w:rsidR="003B6F50" w:rsidRPr="00514EDC" w:rsidRDefault="003B6F50" w:rsidP="003B6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</w:tr>
      <w:tr w:rsidR="003B6F50" w:rsidRPr="00514EDC" w14:paraId="19523225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073781" w14:textId="77777777" w:rsidR="003B6F50" w:rsidRPr="00514EDC" w:rsidRDefault="003B6F50" w:rsidP="003B6F50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DE94B7F" w14:textId="77777777" w:rsidR="003B6F50" w:rsidRPr="00514EDC" w:rsidRDefault="003B6F50" w:rsidP="003B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3A0215BD" w14:textId="4294743B" w:rsidR="003B6F50" w:rsidRPr="00514EDC" w:rsidRDefault="003B6F50" w:rsidP="003B6F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7D08BBE3" w14:textId="543BDEF0" w:rsidR="003B6F50" w:rsidRPr="00514EDC" w:rsidRDefault="003B6F50" w:rsidP="003B6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,16</w:t>
            </w: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536" w:type="dxa"/>
            <w:noWrap/>
          </w:tcPr>
          <w:p w14:paraId="531CF790" w14:textId="17E47F6C" w:rsidR="003B6F50" w:rsidRPr="00514EDC" w:rsidRDefault="003B6F50" w:rsidP="003B6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</w:tbl>
    <w:p w14:paraId="5FCFA293" w14:textId="77777777" w:rsidR="00267F94" w:rsidRDefault="00267F94">
      <w:r>
        <w:rPr>
          <w:b/>
          <w:bCs/>
        </w:rPr>
        <w:br w:type="page"/>
      </w:r>
    </w:p>
    <w:tbl>
      <w:tblPr>
        <w:tblStyle w:val="GridTable5Dark-Accent6"/>
        <w:tblW w:w="13297" w:type="dxa"/>
        <w:tblLook w:val="04A0" w:firstRow="1" w:lastRow="0" w:firstColumn="1" w:lastColumn="0" w:noHBand="0" w:noVBand="1"/>
      </w:tblPr>
      <w:tblGrid>
        <w:gridCol w:w="1870"/>
        <w:gridCol w:w="4074"/>
        <w:gridCol w:w="4604"/>
        <w:gridCol w:w="1213"/>
        <w:gridCol w:w="1536"/>
      </w:tblGrid>
      <w:tr w:rsidR="00942712" w:rsidRPr="00514EDC" w14:paraId="6CCD58CB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1C1500D3" w14:textId="1E87EE5A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lastRenderedPageBreak/>
              <w:t>Activation Schemes, Education and Training</w:t>
            </w:r>
          </w:p>
        </w:tc>
      </w:tr>
      <w:tr w:rsidR="003B6F50" w:rsidRPr="00514EDC" w14:paraId="66978295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CD46227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1AC63621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41176029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Education Allowance (BTEA)</w:t>
            </w:r>
          </w:p>
        </w:tc>
        <w:tc>
          <w:tcPr>
            <w:tcW w:w="1213" w:type="dxa"/>
            <w:noWrap/>
            <w:hideMark/>
          </w:tcPr>
          <w:p w14:paraId="38D0EC5F" w14:textId="044E37CD" w:rsidR="00D55407" w:rsidRPr="00514EDC" w:rsidRDefault="00D55407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412</w:t>
            </w:r>
          </w:p>
        </w:tc>
        <w:tc>
          <w:tcPr>
            <w:tcW w:w="1536" w:type="dxa"/>
            <w:noWrap/>
            <w:vAlign w:val="bottom"/>
          </w:tcPr>
          <w:p w14:paraId="4208CC6E" w14:textId="0FB53D88" w:rsidR="00D55407" w:rsidRPr="00D55407" w:rsidRDefault="00D55407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36.3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6ABFB7CF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D797A2D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850E758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72C7CA05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Community Employment (CE)</w:t>
            </w:r>
          </w:p>
        </w:tc>
        <w:tc>
          <w:tcPr>
            <w:tcW w:w="1213" w:type="dxa"/>
            <w:noWrap/>
            <w:hideMark/>
          </w:tcPr>
          <w:p w14:paraId="759E24B7" w14:textId="16D45352" w:rsidR="00D55407" w:rsidRPr="00514EDC" w:rsidRDefault="00D55407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1536" w:type="dxa"/>
            <w:noWrap/>
            <w:vAlign w:val="bottom"/>
          </w:tcPr>
          <w:p w14:paraId="4EF366E8" w14:textId="770C052E" w:rsidR="00D55407" w:rsidRPr="00D55407" w:rsidRDefault="00D55407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30.</w:t>
            </w:r>
            <w:r w:rsidR="000B234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7526FF3C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7FB5EC2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6F1B28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7E71AFD5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Work Enterprise Allowance (BTWEA)</w:t>
            </w:r>
          </w:p>
        </w:tc>
        <w:tc>
          <w:tcPr>
            <w:tcW w:w="1213" w:type="dxa"/>
            <w:noWrap/>
            <w:hideMark/>
          </w:tcPr>
          <w:p w14:paraId="6A738A91" w14:textId="44CBE9D5" w:rsidR="00D55407" w:rsidRPr="00514EDC" w:rsidRDefault="00D55407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36" w:type="dxa"/>
            <w:noWrap/>
            <w:vAlign w:val="bottom"/>
          </w:tcPr>
          <w:p w14:paraId="6D97D72E" w14:textId="3F8F0C79" w:rsidR="00D55407" w:rsidRPr="00D55407" w:rsidRDefault="00D55407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17.</w:t>
            </w:r>
            <w:r w:rsidR="00DA615E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00211219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41AA6FE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D854467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3C9DED13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Tús</w:t>
            </w:r>
            <w:proofErr w:type="spellEnd"/>
          </w:p>
        </w:tc>
        <w:tc>
          <w:tcPr>
            <w:tcW w:w="1213" w:type="dxa"/>
            <w:noWrap/>
            <w:hideMark/>
          </w:tcPr>
          <w:p w14:paraId="119CBA96" w14:textId="033A749A" w:rsidR="00D55407" w:rsidRPr="00514EDC" w:rsidRDefault="00D55407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536" w:type="dxa"/>
            <w:noWrap/>
            <w:vAlign w:val="bottom"/>
          </w:tcPr>
          <w:p w14:paraId="44AEC750" w14:textId="37481E55" w:rsidR="00D55407" w:rsidRPr="00D55407" w:rsidRDefault="00D55407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4.4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5BDAE509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4434C48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4D22B89" w14:textId="3B396C50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3DDD2E9D" w14:textId="24FD1BAC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JobPath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Seetec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Turas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Nua</w:t>
            </w:r>
          </w:p>
        </w:tc>
        <w:tc>
          <w:tcPr>
            <w:tcW w:w="1213" w:type="dxa"/>
            <w:noWrap/>
          </w:tcPr>
          <w:p w14:paraId="69522303" w14:textId="019FD1E4" w:rsidR="00604776" w:rsidRPr="00514EDC" w:rsidRDefault="00604776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536" w:type="dxa"/>
            <w:noWrap/>
            <w:vAlign w:val="bottom"/>
          </w:tcPr>
          <w:p w14:paraId="0F160C19" w14:textId="3B045474" w:rsidR="00604776" w:rsidRPr="00D55407" w:rsidRDefault="00604776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2%</w:t>
            </w:r>
          </w:p>
        </w:tc>
      </w:tr>
      <w:tr w:rsidR="003B6F50" w:rsidRPr="00514EDC" w14:paraId="4D7E5491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BFE7E1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02F6F51" w14:textId="1EC01699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46CE50B2" w14:textId="4A2FB4F0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Rural Social Scheme</w:t>
            </w:r>
          </w:p>
        </w:tc>
        <w:tc>
          <w:tcPr>
            <w:tcW w:w="1213" w:type="dxa"/>
            <w:noWrap/>
          </w:tcPr>
          <w:p w14:paraId="73FA99A6" w14:textId="201820D3" w:rsidR="00604776" w:rsidRPr="00514EDC" w:rsidRDefault="00604776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536" w:type="dxa"/>
            <w:noWrap/>
            <w:vAlign w:val="bottom"/>
          </w:tcPr>
          <w:p w14:paraId="6FE55F1A" w14:textId="7D284AB9" w:rsidR="00604776" w:rsidRPr="00D55407" w:rsidRDefault="00604776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sz w:val="20"/>
                <w:szCs w:val="20"/>
              </w:rPr>
              <w:t>4%</w:t>
            </w:r>
          </w:p>
        </w:tc>
      </w:tr>
      <w:tr w:rsidR="003B6F50" w:rsidRPr="00514EDC" w14:paraId="4D308B09" w14:textId="77777777" w:rsidTr="00604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BC9E41B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B40E615" w14:textId="64957AB8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53C77A49" w14:textId="5591D443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Short-Term Enterprise Allowance</w:t>
            </w:r>
          </w:p>
        </w:tc>
        <w:tc>
          <w:tcPr>
            <w:tcW w:w="1213" w:type="dxa"/>
            <w:noWrap/>
          </w:tcPr>
          <w:p w14:paraId="26AB2760" w14:textId="7504BE53" w:rsidR="00604776" w:rsidRPr="00514EDC" w:rsidRDefault="00604776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536" w:type="dxa"/>
            <w:noWrap/>
            <w:vAlign w:val="bottom"/>
          </w:tcPr>
          <w:p w14:paraId="0F125416" w14:textId="5DD297C9" w:rsidR="00604776" w:rsidRPr="00D55407" w:rsidRDefault="00604776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2.2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5E4B862F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EBBF4BC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BA894C8" w14:textId="2B7F21BD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7D60973E" w14:textId="473E0DB3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Part-time Education Option (PTEO)</w:t>
            </w:r>
          </w:p>
        </w:tc>
        <w:tc>
          <w:tcPr>
            <w:tcW w:w="1213" w:type="dxa"/>
            <w:noWrap/>
          </w:tcPr>
          <w:p w14:paraId="7D971683" w14:textId="5B146888" w:rsidR="00604776" w:rsidRPr="00514EDC" w:rsidRDefault="00604776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36" w:type="dxa"/>
            <w:noWrap/>
            <w:vAlign w:val="bottom"/>
          </w:tcPr>
          <w:p w14:paraId="28479C7F" w14:textId="50BB2CF0" w:rsidR="00604776" w:rsidRPr="00D55407" w:rsidRDefault="00604776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3B6F50" w:rsidRPr="00514EDC" w14:paraId="2FD77EF9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8AC377C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1D95C79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4ABD7249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JobsPlus</w:t>
            </w:r>
            <w:proofErr w:type="spellEnd"/>
          </w:p>
        </w:tc>
        <w:tc>
          <w:tcPr>
            <w:tcW w:w="1213" w:type="dxa"/>
            <w:noWrap/>
            <w:hideMark/>
          </w:tcPr>
          <w:p w14:paraId="60D63CAD" w14:textId="11F76B35" w:rsidR="00D55407" w:rsidRPr="00514EDC" w:rsidRDefault="00D55407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536" w:type="dxa"/>
            <w:noWrap/>
            <w:vAlign w:val="bottom"/>
          </w:tcPr>
          <w:p w14:paraId="15E290BE" w14:textId="015EC74A" w:rsidR="00D55407" w:rsidRPr="00D55407" w:rsidRDefault="00D55407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1.2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7FCB963F" w14:textId="77777777" w:rsidTr="00EE0DC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92EE7E7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78373C5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28FD00F1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Part-Time Job Incentive Scheme (PTJI)</w:t>
            </w:r>
          </w:p>
        </w:tc>
        <w:tc>
          <w:tcPr>
            <w:tcW w:w="1213" w:type="dxa"/>
            <w:noWrap/>
            <w:hideMark/>
          </w:tcPr>
          <w:p w14:paraId="0D19F61F" w14:textId="1CA14A57" w:rsidR="00D55407" w:rsidRPr="00514EDC" w:rsidRDefault="00D55407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536" w:type="dxa"/>
            <w:noWrap/>
            <w:vAlign w:val="bottom"/>
          </w:tcPr>
          <w:p w14:paraId="3803AB33" w14:textId="4DBEA596" w:rsidR="00D55407" w:rsidRPr="00D55407" w:rsidRDefault="00D55407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0.</w:t>
            </w:r>
            <w:r w:rsidR="000B2348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1A554F20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4FDD1B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2E23624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4B43DB0B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JobBridge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/ First Steps - Youth Internship</w:t>
            </w:r>
          </w:p>
        </w:tc>
        <w:tc>
          <w:tcPr>
            <w:tcW w:w="1213" w:type="dxa"/>
            <w:noWrap/>
          </w:tcPr>
          <w:p w14:paraId="05371848" w14:textId="0C493CF2" w:rsidR="00D55407" w:rsidRPr="00514EDC" w:rsidRDefault="00D55407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6" w:type="dxa"/>
            <w:noWrap/>
            <w:vAlign w:val="bottom"/>
          </w:tcPr>
          <w:p w14:paraId="2DAB291F" w14:textId="140F3A55" w:rsidR="00D55407" w:rsidRPr="00D55407" w:rsidRDefault="00D55407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0.</w:t>
            </w:r>
            <w:r w:rsidR="000B2348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0A7FAE93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AB0471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7A35162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2F760055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CF78DA6" w14:textId="4508AA61" w:rsidR="00942712" w:rsidRPr="00514EDC" w:rsidRDefault="00942712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 w:rsidR="00384C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134</w:t>
            </w:r>
          </w:p>
        </w:tc>
        <w:tc>
          <w:tcPr>
            <w:tcW w:w="1536" w:type="dxa"/>
            <w:noWrap/>
            <w:hideMark/>
          </w:tcPr>
          <w:p w14:paraId="2002122B" w14:textId="77777777" w:rsidR="00942712" w:rsidRPr="00514EDC" w:rsidRDefault="00942712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0D6CC4D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F8C1E22" w14:textId="77777777" w:rsidR="00942712" w:rsidRPr="00514EDC" w:rsidRDefault="00942712" w:rsidP="008A4BFE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Payments and Work</w:t>
            </w:r>
          </w:p>
        </w:tc>
      </w:tr>
      <w:tr w:rsidR="003B6F50" w:rsidRPr="00514EDC" w14:paraId="3DA74D2E" w14:textId="77777777" w:rsidTr="00D50363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0C902D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hideMark/>
          </w:tcPr>
          <w:p w14:paraId="5A7EC08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4604" w:type="dxa"/>
            <w:hideMark/>
          </w:tcPr>
          <w:p w14:paraId="4BADE83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1213" w:type="dxa"/>
            <w:noWrap/>
            <w:hideMark/>
          </w:tcPr>
          <w:p w14:paraId="69B37880" w14:textId="51D07971" w:rsidR="00942712" w:rsidRPr="00514EDC" w:rsidRDefault="00111119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597</w:t>
            </w:r>
          </w:p>
        </w:tc>
        <w:tc>
          <w:tcPr>
            <w:tcW w:w="1536" w:type="dxa"/>
            <w:noWrap/>
            <w:hideMark/>
          </w:tcPr>
          <w:p w14:paraId="2522A882" w14:textId="77777777" w:rsidR="00942712" w:rsidRPr="00514EDC" w:rsidRDefault="00942712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3B6F50" w:rsidRPr="00514EDC" w14:paraId="256ECE2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648C24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40517B6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0F7E9F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11D6C65A" w14:textId="07927A28" w:rsidR="00942712" w:rsidRPr="00514EDC" w:rsidRDefault="00111119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597</w:t>
            </w:r>
          </w:p>
        </w:tc>
        <w:tc>
          <w:tcPr>
            <w:tcW w:w="1536" w:type="dxa"/>
            <w:noWrap/>
            <w:hideMark/>
          </w:tcPr>
          <w:p w14:paraId="77843193" w14:textId="77777777" w:rsidR="00942712" w:rsidRPr="00514EDC" w:rsidRDefault="00942712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27D036D9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26E7DB2E" w14:textId="77777777" w:rsidR="00942712" w:rsidRPr="00514EDC" w:rsidRDefault="00942712" w:rsidP="008A4BFE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Farmers</w:t>
            </w:r>
          </w:p>
        </w:tc>
      </w:tr>
      <w:tr w:rsidR="003B6F50" w:rsidRPr="00514EDC" w14:paraId="3BC0A66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D4F31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797E34B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604" w:type="dxa"/>
            <w:noWrap/>
            <w:hideMark/>
          </w:tcPr>
          <w:p w14:paraId="79B8FA1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213" w:type="dxa"/>
            <w:noWrap/>
            <w:hideMark/>
          </w:tcPr>
          <w:p w14:paraId="485E30D2" w14:textId="52B0D9E6" w:rsidR="00942712" w:rsidRPr="00514EDC" w:rsidRDefault="00942712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13</w:t>
            </w:r>
            <w:r w:rsidR="0011111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536" w:type="dxa"/>
            <w:noWrap/>
          </w:tcPr>
          <w:p w14:paraId="6083CF9D" w14:textId="5DAC79B3" w:rsidR="00942712" w:rsidRPr="00514EDC" w:rsidRDefault="00111119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</w:t>
            </w:r>
            <w:r w:rsidR="000B2348">
              <w:rPr>
                <w:rFonts w:ascii="Calibri" w:hAnsi="Calibri" w:cs="Calibri"/>
                <w:sz w:val="20"/>
                <w:szCs w:val="20"/>
              </w:rPr>
              <w:t>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4271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0E2CDF46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8BBCA1A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74532BF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  <w:hideMark/>
          </w:tcPr>
          <w:p w14:paraId="04B8811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353BF4B7" w14:textId="313896EE" w:rsidR="00942712" w:rsidRPr="00514EDC" w:rsidRDefault="00111119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40</w:t>
            </w:r>
          </w:p>
        </w:tc>
        <w:tc>
          <w:tcPr>
            <w:tcW w:w="1536" w:type="dxa"/>
            <w:noWrap/>
          </w:tcPr>
          <w:p w14:paraId="5827E945" w14:textId="1D330349" w:rsidR="00942712" w:rsidRPr="00514EDC" w:rsidRDefault="00111119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  <w:r w:rsidR="00942712" w:rsidRPr="00514EDC">
              <w:rPr>
                <w:rFonts w:ascii="Calibri" w:hAnsi="Calibri" w:cs="Calibri"/>
                <w:sz w:val="20"/>
                <w:szCs w:val="20"/>
              </w:rPr>
              <w:t>.</w:t>
            </w:r>
            <w:r w:rsidR="008A4BFE">
              <w:rPr>
                <w:rFonts w:ascii="Calibri" w:hAnsi="Calibri" w:cs="Calibri"/>
                <w:sz w:val="20"/>
                <w:szCs w:val="20"/>
              </w:rPr>
              <w:t>3</w:t>
            </w:r>
            <w:r w:rsidR="0094271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16AA3F3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A7E46C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96E7C5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6EA5D27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6A88723A" w14:textId="65B38DBE" w:rsidR="00942712" w:rsidRPr="00514EDC" w:rsidRDefault="00942712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1111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79</w:t>
            </w:r>
          </w:p>
        </w:tc>
        <w:tc>
          <w:tcPr>
            <w:tcW w:w="1536" w:type="dxa"/>
            <w:noWrap/>
            <w:hideMark/>
          </w:tcPr>
          <w:p w14:paraId="0F930818" w14:textId="77777777" w:rsidR="00942712" w:rsidRPr="00514EDC" w:rsidRDefault="00942712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B6F50" w:rsidRPr="00514EDC" w14:paraId="4FBF2ED6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C47C0D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7BD401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024F5E63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213" w:type="dxa"/>
            <w:noWrap/>
            <w:hideMark/>
          </w:tcPr>
          <w:p w14:paraId="39E4B4C3" w14:textId="0BB1F1A2" w:rsidR="00942712" w:rsidRPr="00514EDC" w:rsidRDefault="00111119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96,121</w:t>
            </w:r>
          </w:p>
        </w:tc>
        <w:tc>
          <w:tcPr>
            <w:tcW w:w="1536" w:type="dxa"/>
            <w:noWrap/>
          </w:tcPr>
          <w:p w14:paraId="15F76A8C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40461E9F" w14:textId="77777777" w:rsidR="003B6F50" w:rsidRDefault="003B6F50" w:rsidP="00942712">
      <w:pPr>
        <w:pStyle w:val="Heading1"/>
        <w:jc w:val="both"/>
        <w:rPr>
          <w:rFonts w:ascii="Calibri" w:hAnsi="Calibri" w:cs="Calibri"/>
          <w:b/>
          <w:color w:val="auto"/>
          <w:sz w:val="22"/>
          <w:szCs w:val="22"/>
          <w:lang w:val="en-US"/>
        </w:rPr>
      </w:pPr>
    </w:p>
    <w:p w14:paraId="067DAAF1" w14:textId="77777777" w:rsidR="003B6F50" w:rsidRDefault="003B6F50">
      <w:pPr>
        <w:rPr>
          <w:rFonts w:eastAsiaTheme="majorEastAsia"/>
          <w:b/>
          <w:color w:val="auto"/>
          <w:sz w:val="22"/>
          <w:szCs w:val="22"/>
          <w:lang w:val="en-US"/>
        </w:rPr>
      </w:pPr>
      <w:r>
        <w:rPr>
          <w:b/>
          <w:color w:val="auto"/>
          <w:sz w:val="22"/>
          <w:szCs w:val="22"/>
          <w:lang w:val="en-US"/>
        </w:rPr>
        <w:br w:type="page"/>
      </w:r>
    </w:p>
    <w:p w14:paraId="7474A77F" w14:textId="5D119493" w:rsidR="00942712" w:rsidRPr="00A76ACB" w:rsidRDefault="00942712" w:rsidP="00942712">
      <w:pPr>
        <w:pStyle w:val="Heading1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A76ACB"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>Table 7</w:t>
      </w:r>
      <w:r w:rsidRPr="00A76ACB">
        <w:rPr>
          <w:rFonts w:ascii="Calibri" w:hAnsi="Calibri" w:cs="Calibri"/>
          <w:color w:val="auto"/>
          <w:sz w:val="22"/>
          <w:szCs w:val="22"/>
          <w:lang w:val="en-US"/>
        </w:rPr>
        <w:t xml:space="preserve"> below sets out the </w:t>
      </w:r>
      <w:r w:rsidRPr="00A76ACB">
        <w:rPr>
          <w:rFonts w:ascii="Calibri" w:hAnsi="Calibri" w:cs="Calibri"/>
          <w:b/>
          <w:color w:val="auto"/>
          <w:sz w:val="22"/>
          <w:szCs w:val="22"/>
          <w:lang w:val="en-US"/>
        </w:rPr>
        <w:t>Housing</w:t>
      </w:r>
      <w:r w:rsidRPr="00A76ACB">
        <w:rPr>
          <w:rFonts w:ascii="Calibri" w:hAnsi="Calibri" w:cs="Calibri"/>
          <w:color w:val="auto"/>
          <w:sz w:val="22"/>
          <w:szCs w:val="22"/>
          <w:lang w:val="en-US"/>
        </w:rPr>
        <w:t xml:space="preserve"> query dataset for Quarter </w:t>
      </w:r>
      <w:r w:rsidR="00B64CC1" w:rsidRPr="00A76ACB">
        <w:rPr>
          <w:rFonts w:ascii="Calibri" w:hAnsi="Calibri" w:cs="Calibri"/>
          <w:color w:val="auto"/>
          <w:sz w:val="22"/>
          <w:szCs w:val="22"/>
          <w:lang w:val="en-US"/>
        </w:rPr>
        <w:t>4</w:t>
      </w:r>
      <w:r w:rsidRPr="00A76ACB">
        <w:rPr>
          <w:rFonts w:ascii="Calibri" w:hAnsi="Calibri" w:cs="Calibri"/>
          <w:color w:val="auto"/>
          <w:sz w:val="22"/>
          <w:szCs w:val="22"/>
          <w:lang w:val="en-US"/>
        </w:rPr>
        <w:t>, 2022. Housing is the 2</w:t>
      </w:r>
      <w:r w:rsidRPr="00A76ACB">
        <w:rPr>
          <w:rFonts w:ascii="Calibri" w:hAnsi="Calibri" w:cs="Calibri"/>
          <w:color w:val="auto"/>
          <w:sz w:val="22"/>
          <w:szCs w:val="22"/>
          <w:vertAlign w:val="superscript"/>
          <w:lang w:val="en-US"/>
        </w:rPr>
        <w:t>nd</w:t>
      </w:r>
      <w:r w:rsidRPr="00A76ACB">
        <w:rPr>
          <w:rFonts w:ascii="Calibri" w:hAnsi="Calibri" w:cs="Calibri"/>
          <w:color w:val="auto"/>
          <w:sz w:val="22"/>
          <w:szCs w:val="22"/>
          <w:lang w:val="en-US"/>
        </w:rPr>
        <w:t xml:space="preserve"> highest category of queries, representing </w:t>
      </w:r>
      <w:r w:rsidR="009B4502" w:rsidRPr="00A76ACB">
        <w:rPr>
          <w:rFonts w:ascii="Calibri" w:hAnsi="Calibri" w:cs="Calibri"/>
          <w:color w:val="auto"/>
          <w:sz w:val="22"/>
          <w:szCs w:val="22"/>
          <w:lang w:val="en-US"/>
        </w:rPr>
        <w:t>9</w:t>
      </w:r>
      <w:r w:rsidRPr="00A76ACB">
        <w:rPr>
          <w:rFonts w:ascii="Calibri" w:hAnsi="Calibri" w:cs="Calibri"/>
          <w:color w:val="auto"/>
          <w:sz w:val="22"/>
          <w:szCs w:val="22"/>
          <w:lang w:val="en-US"/>
        </w:rPr>
        <w:t xml:space="preserve">% of all queries compared with 8% for the same quarter in 2021.   </w:t>
      </w:r>
    </w:p>
    <w:p w14:paraId="3A4AB896" w14:textId="50C24591" w:rsidR="00942712" w:rsidRPr="00A76ACB" w:rsidRDefault="00942712" w:rsidP="00942712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 w:rsidRPr="00A76ACB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Housing query trends in </w:t>
      </w:r>
      <w:r w:rsidR="00922A7C" w:rsidRPr="00A76ACB">
        <w:rPr>
          <w:rFonts w:ascii="Calibri" w:hAnsi="Calibri" w:cs="Calibri"/>
          <w:b/>
          <w:color w:val="auto"/>
          <w:sz w:val="22"/>
          <w:szCs w:val="22"/>
          <w:lang w:val="en-US"/>
        </w:rPr>
        <w:t>Q4</w:t>
      </w:r>
      <w:r w:rsidRPr="00A76ACB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 2022</w:t>
      </w:r>
      <w:r w:rsidRPr="00A76ACB">
        <w:rPr>
          <w:rFonts w:ascii="Calibri" w:hAnsi="Calibri" w:cs="Calibri"/>
          <w:color w:val="auto"/>
          <w:sz w:val="22"/>
          <w:szCs w:val="22"/>
          <w:lang w:val="en-US"/>
        </w:rPr>
        <w:t>:</w:t>
      </w:r>
      <w:r w:rsidR="00BA6116">
        <w:rPr>
          <w:rFonts w:ascii="Calibri" w:hAnsi="Calibri" w:cs="Calibri"/>
          <w:color w:val="auto"/>
          <w:sz w:val="22"/>
          <w:szCs w:val="22"/>
          <w:lang w:val="en-US"/>
        </w:rPr>
        <w:br/>
      </w:r>
    </w:p>
    <w:p w14:paraId="5F98194C" w14:textId="22082150" w:rsidR="00942712" w:rsidRPr="00974B0C" w:rsidRDefault="00942712" w:rsidP="00E442A6">
      <w:pPr>
        <w:pStyle w:val="ListParagraph"/>
        <w:rPr>
          <w:rFonts w:ascii="Calibri" w:hAnsi="Calibri" w:cs="Calibri"/>
          <w:sz w:val="22"/>
          <w:szCs w:val="20"/>
          <w:lang w:eastAsia="en-IE"/>
        </w:rPr>
      </w:pPr>
      <w:r w:rsidRPr="00974B0C">
        <w:rPr>
          <w:rFonts w:ascii="Calibri" w:hAnsi="Calibri" w:cs="Calibri"/>
          <w:sz w:val="22"/>
          <w:szCs w:val="20"/>
          <w:lang w:eastAsia="en-IE"/>
        </w:rPr>
        <w:t xml:space="preserve">Housing queries </w:t>
      </w:r>
      <w:r w:rsidR="00DF2C54" w:rsidRPr="00974B0C">
        <w:rPr>
          <w:rFonts w:ascii="Calibri" w:hAnsi="Calibri" w:cs="Calibri"/>
          <w:sz w:val="22"/>
          <w:szCs w:val="20"/>
          <w:lang w:eastAsia="en-IE"/>
        </w:rPr>
        <w:t xml:space="preserve">numbers </w:t>
      </w:r>
      <w:r w:rsidRPr="00974B0C">
        <w:rPr>
          <w:rFonts w:ascii="Calibri" w:hAnsi="Calibri" w:cs="Calibri"/>
          <w:sz w:val="22"/>
          <w:szCs w:val="20"/>
          <w:lang w:eastAsia="en-IE"/>
        </w:rPr>
        <w:t>increased by</w:t>
      </w:r>
      <w:r w:rsidR="0099735B" w:rsidRPr="00974B0C">
        <w:rPr>
          <w:rFonts w:ascii="Calibri" w:hAnsi="Calibri" w:cs="Calibri"/>
          <w:sz w:val="22"/>
          <w:szCs w:val="20"/>
          <w:lang w:eastAsia="en-IE"/>
        </w:rPr>
        <w:t xml:space="preserve"> 3</w:t>
      </w:r>
      <w:r w:rsidR="00D6505E" w:rsidRPr="00974B0C">
        <w:rPr>
          <w:rFonts w:ascii="Calibri" w:hAnsi="Calibri" w:cs="Calibri"/>
          <w:sz w:val="22"/>
          <w:szCs w:val="20"/>
          <w:lang w:eastAsia="en-IE"/>
        </w:rPr>
        <w:t>2.5</w:t>
      </w:r>
      <w:r w:rsidRPr="00974B0C">
        <w:rPr>
          <w:rFonts w:ascii="Calibri" w:hAnsi="Calibri" w:cs="Calibri"/>
          <w:sz w:val="22"/>
          <w:szCs w:val="20"/>
          <w:lang w:eastAsia="en-IE"/>
        </w:rPr>
        <w:t>% from 1</w:t>
      </w:r>
      <w:r w:rsidR="009B4502" w:rsidRPr="00974B0C">
        <w:rPr>
          <w:rFonts w:ascii="Calibri" w:hAnsi="Calibri" w:cs="Calibri"/>
          <w:sz w:val="22"/>
          <w:szCs w:val="20"/>
          <w:lang w:eastAsia="en-IE"/>
        </w:rPr>
        <w:t>3</w:t>
      </w:r>
      <w:r w:rsidRPr="00974B0C">
        <w:rPr>
          <w:rFonts w:ascii="Calibri" w:hAnsi="Calibri" w:cs="Calibri"/>
          <w:sz w:val="22"/>
          <w:szCs w:val="20"/>
          <w:lang w:eastAsia="en-IE"/>
        </w:rPr>
        <w:t>,</w:t>
      </w:r>
      <w:r w:rsidR="009B4502" w:rsidRPr="00974B0C">
        <w:rPr>
          <w:rFonts w:ascii="Calibri" w:hAnsi="Calibri" w:cs="Calibri"/>
          <w:sz w:val="22"/>
          <w:szCs w:val="20"/>
          <w:lang w:eastAsia="en-IE"/>
        </w:rPr>
        <w:t>086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to </w:t>
      </w:r>
      <w:r w:rsidR="009B4502" w:rsidRPr="00974B0C">
        <w:rPr>
          <w:rFonts w:ascii="Calibri" w:hAnsi="Calibri" w:cs="Calibri"/>
          <w:b/>
          <w:sz w:val="22"/>
          <w:szCs w:val="20"/>
          <w:lang w:eastAsia="en-IE"/>
        </w:rPr>
        <w:t>17,345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in this quarter compared to </w:t>
      </w:r>
      <w:r w:rsidR="00922A7C" w:rsidRPr="00974B0C">
        <w:rPr>
          <w:rFonts w:ascii="Calibri" w:hAnsi="Calibri" w:cs="Calibri"/>
          <w:sz w:val="22"/>
          <w:szCs w:val="20"/>
          <w:lang w:eastAsia="en-IE"/>
        </w:rPr>
        <w:t>Q4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in 2021. </w:t>
      </w:r>
    </w:p>
    <w:p w14:paraId="6A25C889" w14:textId="77777777" w:rsidR="00420C57" w:rsidRPr="00974B0C" w:rsidRDefault="00420C57" w:rsidP="00D93EC9">
      <w:pPr>
        <w:ind w:left="720"/>
        <w:rPr>
          <w:sz w:val="22"/>
          <w:szCs w:val="22"/>
          <w:lang w:eastAsia="en-IE"/>
        </w:rPr>
      </w:pPr>
    </w:p>
    <w:p w14:paraId="6CD2E715" w14:textId="1DF58B5F" w:rsidR="005A0023" w:rsidRPr="00974B0C" w:rsidRDefault="00942712" w:rsidP="00E442A6">
      <w:pPr>
        <w:pStyle w:val="ListParagraph"/>
        <w:rPr>
          <w:rFonts w:ascii="Calibri" w:hAnsi="Calibri" w:cs="Calibri"/>
          <w:sz w:val="22"/>
          <w:szCs w:val="20"/>
          <w:lang w:eastAsia="en-IE"/>
        </w:rPr>
      </w:pPr>
      <w:r w:rsidRPr="00974B0C">
        <w:rPr>
          <w:rFonts w:ascii="Calibri" w:hAnsi="Calibri" w:cs="Calibri"/>
          <w:sz w:val="22"/>
          <w:szCs w:val="20"/>
          <w:lang w:eastAsia="en-IE"/>
        </w:rPr>
        <w:t xml:space="preserve">The highest number of queries received </w:t>
      </w:r>
      <w:r w:rsidR="00C63A87" w:rsidRPr="00974B0C">
        <w:rPr>
          <w:rFonts w:ascii="Calibri" w:hAnsi="Calibri" w:cs="Calibri"/>
          <w:sz w:val="22"/>
          <w:szCs w:val="20"/>
          <w:lang w:eastAsia="en-IE"/>
        </w:rPr>
        <w:t>continue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to</w:t>
      </w:r>
      <w:r w:rsidR="00C63A87" w:rsidRPr="00974B0C">
        <w:rPr>
          <w:rFonts w:ascii="Calibri" w:hAnsi="Calibri" w:cs="Calibri"/>
          <w:sz w:val="22"/>
          <w:szCs w:val="20"/>
          <w:lang w:eastAsia="en-IE"/>
        </w:rPr>
        <w:t xml:space="preserve"> be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</w:t>
      </w:r>
      <w:r w:rsidRPr="00974B0C">
        <w:rPr>
          <w:rFonts w:ascii="Calibri" w:hAnsi="Calibri" w:cs="Calibri"/>
          <w:b/>
          <w:i/>
          <w:iCs/>
          <w:sz w:val="22"/>
          <w:szCs w:val="20"/>
          <w:lang w:eastAsia="en-IE"/>
        </w:rPr>
        <w:t>Local Authority and Social Housing</w:t>
      </w:r>
      <w:r w:rsidRPr="00974B0C">
        <w:rPr>
          <w:rFonts w:ascii="Calibri" w:hAnsi="Calibri" w:cs="Calibri"/>
          <w:sz w:val="22"/>
          <w:szCs w:val="20"/>
          <w:lang w:eastAsia="en-IE"/>
        </w:rPr>
        <w:t>, representing over half of all housing queries (5</w:t>
      </w:r>
      <w:r w:rsidR="00E821F2" w:rsidRPr="00974B0C">
        <w:rPr>
          <w:rFonts w:ascii="Calibri" w:hAnsi="Calibri" w:cs="Calibri"/>
          <w:sz w:val="22"/>
          <w:szCs w:val="20"/>
          <w:lang w:eastAsia="en-IE"/>
        </w:rPr>
        <w:t>0</w:t>
      </w:r>
      <w:r w:rsidR="008B4008" w:rsidRPr="00974B0C">
        <w:rPr>
          <w:rFonts w:ascii="Calibri" w:hAnsi="Calibri" w:cs="Calibri"/>
          <w:sz w:val="22"/>
          <w:szCs w:val="20"/>
          <w:lang w:eastAsia="en-IE"/>
        </w:rPr>
        <w:t>.2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%); these rose by </w:t>
      </w:r>
      <w:r w:rsidR="003A4929" w:rsidRPr="00974B0C">
        <w:rPr>
          <w:rFonts w:ascii="Calibri" w:hAnsi="Calibri" w:cs="Calibri"/>
          <w:sz w:val="22"/>
          <w:szCs w:val="20"/>
          <w:lang w:eastAsia="en-IE"/>
        </w:rPr>
        <w:t>19.6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% on the same quarter in 2021 (from </w:t>
      </w:r>
      <w:r w:rsidR="00E821F2" w:rsidRPr="00974B0C">
        <w:rPr>
          <w:rFonts w:ascii="Calibri" w:hAnsi="Calibri" w:cs="Calibri"/>
          <w:sz w:val="22"/>
          <w:szCs w:val="20"/>
          <w:lang w:eastAsia="en-IE"/>
        </w:rPr>
        <w:t>7,281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to</w:t>
      </w:r>
      <w:r w:rsidR="0099735B" w:rsidRPr="00974B0C">
        <w:rPr>
          <w:rFonts w:ascii="Calibri" w:hAnsi="Calibri" w:cs="Calibri"/>
          <w:sz w:val="22"/>
          <w:szCs w:val="20"/>
          <w:lang w:eastAsia="en-IE"/>
        </w:rPr>
        <w:t xml:space="preserve"> </w:t>
      </w:r>
      <w:r w:rsidR="00E821F2" w:rsidRPr="00974B0C">
        <w:rPr>
          <w:rFonts w:ascii="Calibri" w:hAnsi="Calibri" w:cs="Calibri"/>
          <w:sz w:val="22"/>
          <w:szCs w:val="20"/>
          <w:lang w:eastAsia="en-IE"/>
        </w:rPr>
        <w:t>8,710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). </w:t>
      </w:r>
      <w:r w:rsidRPr="00974B0C">
        <w:rPr>
          <w:rFonts w:ascii="Calibri" w:hAnsi="Calibri" w:cs="Calibri"/>
          <w:bCs/>
          <w:i/>
          <w:iCs/>
          <w:sz w:val="22"/>
          <w:szCs w:val="20"/>
          <w:lang w:eastAsia="en-IE"/>
        </w:rPr>
        <w:t>Applying for Local Authority/Social Housing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queries increased by 2</w:t>
      </w:r>
      <w:r w:rsidR="003A18E3" w:rsidRPr="00974B0C">
        <w:rPr>
          <w:rFonts w:ascii="Calibri" w:hAnsi="Calibri" w:cs="Calibri"/>
          <w:sz w:val="22"/>
          <w:szCs w:val="20"/>
          <w:lang w:eastAsia="en-IE"/>
        </w:rPr>
        <w:t>6</w:t>
      </w:r>
      <w:r w:rsidR="00187B0D" w:rsidRPr="00974B0C">
        <w:rPr>
          <w:rFonts w:ascii="Calibri" w:hAnsi="Calibri" w:cs="Calibri"/>
          <w:sz w:val="22"/>
          <w:szCs w:val="20"/>
          <w:lang w:eastAsia="en-IE"/>
        </w:rPr>
        <w:t>.3</w:t>
      </w:r>
      <w:r w:rsidRPr="00974B0C">
        <w:rPr>
          <w:rFonts w:ascii="Calibri" w:hAnsi="Calibri" w:cs="Calibri"/>
          <w:sz w:val="22"/>
          <w:szCs w:val="20"/>
          <w:lang w:eastAsia="en-IE"/>
        </w:rPr>
        <w:t>%</w:t>
      </w:r>
      <w:r w:rsidR="003B6F50" w:rsidRPr="00974B0C">
        <w:rPr>
          <w:rFonts w:ascii="Calibri" w:hAnsi="Calibri" w:cs="Calibri"/>
          <w:sz w:val="22"/>
          <w:szCs w:val="20"/>
          <w:lang w:eastAsia="en-IE"/>
        </w:rPr>
        <w:t xml:space="preserve"> from Q4 2021 to Q4 2022</w:t>
      </w:r>
      <w:r w:rsidR="00BA6116" w:rsidRPr="00974B0C">
        <w:rPr>
          <w:rFonts w:ascii="Calibri" w:hAnsi="Calibri" w:cs="Calibri"/>
          <w:sz w:val="22"/>
          <w:szCs w:val="20"/>
          <w:lang w:eastAsia="en-IE"/>
        </w:rPr>
        <w:t>.</w:t>
      </w:r>
      <w:r w:rsidR="00BA6116" w:rsidRPr="00974B0C">
        <w:rPr>
          <w:rFonts w:ascii="Calibri" w:hAnsi="Calibri" w:cs="Calibri"/>
          <w:sz w:val="22"/>
          <w:szCs w:val="20"/>
          <w:lang w:eastAsia="en-IE"/>
        </w:rPr>
        <w:br/>
      </w:r>
    </w:p>
    <w:p w14:paraId="7B072628" w14:textId="2FBA58E2" w:rsidR="00BA6116" w:rsidRPr="00974B0C" w:rsidRDefault="00BA6116" w:rsidP="00E442A6">
      <w:pPr>
        <w:pStyle w:val="ListParagraph"/>
        <w:rPr>
          <w:rFonts w:ascii="Calibri" w:hAnsi="Calibri" w:cs="Calibri"/>
          <w:sz w:val="22"/>
          <w:szCs w:val="20"/>
          <w:lang w:eastAsia="en-IE"/>
        </w:rPr>
      </w:pPr>
      <w:r w:rsidRPr="00974B0C">
        <w:rPr>
          <w:rFonts w:ascii="Calibri" w:hAnsi="Calibri" w:cs="Calibri"/>
          <w:i/>
          <w:iCs/>
          <w:sz w:val="22"/>
          <w:szCs w:val="20"/>
          <w:lang w:eastAsia="en-IE"/>
        </w:rPr>
        <w:t>Housing Assistance Payment (HAP</w:t>
      </w:r>
      <w:r w:rsidRPr="00974B0C">
        <w:rPr>
          <w:rFonts w:ascii="Calibri" w:hAnsi="Calibri" w:cs="Calibri"/>
          <w:sz w:val="22"/>
          <w:szCs w:val="20"/>
          <w:lang w:eastAsia="en-IE"/>
        </w:rPr>
        <w:t>) query levels remained consistent in Q4 and continue to be the 2</w:t>
      </w:r>
      <w:r w:rsidRPr="00974B0C">
        <w:rPr>
          <w:rFonts w:ascii="Calibri" w:hAnsi="Calibri" w:cs="Calibri"/>
          <w:sz w:val="22"/>
          <w:szCs w:val="20"/>
          <w:vertAlign w:val="superscript"/>
          <w:lang w:eastAsia="en-IE"/>
        </w:rPr>
        <w:t>nd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highest query area in the social housing category.</w:t>
      </w:r>
      <w:r w:rsidR="00611CBF" w:rsidRPr="00974B0C">
        <w:rPr>
          <w:rFonts w:ascii="Calibri" w:hAnsi="Calibri" w:cs="Calibri"/>
          <w:sz w:val="22"/>
          <w:szCs w:val="20"/>
          <w:lang w:eastAsia="en-IE"/>
        </w:rPr>
        <w:t xml:space="preserve"> </w:t>
      </w:r>
      <w:r w:rsidR="00611CBF" w:rsidRPr="00974B0C">
        <w:rPr>
          <w:rFonts w:ascii="Calibri" w:hAnsi="Calibri" w:cs="Calibri"/>
          <w:i/>
          <w:iCs/>
          <w:sz w:val="22"/>
          <w:szCs w:val="20"/>
          <w:lang w:eastAsia="en-IE"/>
        </w:rPr>
        <w:t>HAP</w:t>
      </w:r>
      <w:r w:rsidR="00611CBF" w:rsidRPr="00974B0C">
        <w:rPr>
          <w:rFonts w:ascii="Calibri" w:hAnsi="Calibri" w:cs="Calibri"/>
          <w:sz w:val="22"/>
          <w:szCs w:val="20"/>
          <w:lang w:eastAsia="en-IE"/>
        </w:rPr>
        <w:t xml:space="preserve"> accounted for </w:t>
      </w:r>
      <w:r w:rsidR="009D3959" w:rsidRPr="00974B0C">
        <w:rPr>
          <w:rFonts w:ascii="Calibri" w:hAnsi="Calibri" w:cs="Calibri"/>
          <w:sz w:val="22"/>
          <w:szCs w:val="20"/>
          <w:lang w:eastAsia="en-IE"/>
        </w:rPr>
        <w:t>27.9</w:t>
      </w:r>
      <w:r w:rsidR="00611CBF" w:rsidRPr="00974B0C">
        <w:rPr>
          <w:rFonts w:ascii="Calibri" w:hAnsi="Calibri" w:cs="Calibri"/>
          <w:sz w:val="22"/>
          <w:szCs w:val="20"/>
          <w:lang w:eastAsia="en-IE"/>
        </w:rPr>
        <w:t xml:space="preserve">% of the </w:t>
      </w:r>
      <w:r w:rsidR="00611CBF" w:rsidRPr="00974B0C">
        <w:rPr>
          <w:rFonts w:ascii="Calibri" w:hAnsi="Calibri" w:cs="Calibri"/>
          <w:b/>
          <w:bCs/>
          <w:sz w:val="22"/>
          <w:szCs w:val="20"/>
          <w:lang w:eastAsia="en-IE"/>
        </w:rPr>
        <w:t>Local Authority and Social Housing</w:t>
      </w:r>
      <w:r w:rsidR="00611CBF" w:rsidRPr="00974B0C">
        <w:rPr>
          <w:rFonts w:ascii="Calibri" w:hAnsi="Calibri" w:cs="Calibri"/>
          <w:sz w:val="22"/>
          <w:szCs w:val="20"/>
          <w:lang w:eastAsia="en-IE"/>
        </w:rPr>
        <w:t xml:space="preserve"> sub-category.</w:t>
      </w:r>
      <w:r w:rsidR="003F72E6" w:rsidRPr="00974B0C">
        <w:rPr>
          <w:rFonts w:ascii="Calibri" w:hAnsi="Calibri" w:cs="Calibri"/>
          <w:sz w:val="22"/>
          <w:szCs w:val="20"/>
          <w:lang w:eastAsia="en-IE"/>
        </w:rPr>
        <w:t xml:space="preserve"> It is categorised as social </w:t>
      </w:r>
      <w:r w:rsidR="003A4929" w:rsidRPr="00974B0C">
        <w:rPr>
          <w:rFonts w:ascii="Calibri" w:hAnsi="Calibri" w:cs="Calibri"/>
          <w:sz w:val="22"/>
          <w:szCs w:val="20"/>
          <w:lang w:eastAsia="en-IE"/>
        </w:rPr>
        <w:t>housing but</w:t>
      </w:r>
      <w:r w:rsidR="003F72E6" w:rsidRPr="00974B0C">
        <w:rPr>
          <w:rFonts w:ascii="Calibri" w:hAnsi="Calibri" w:cs="Calibri"/>
          <w:sz w:val="22"/>
          <w:szCs w:val="20"/>
          <w:lang w:eastAsia="en-IE"/>
        </w:rPr>
        <w:t xml:space="preserve"> is </w:t>
      </w:r>
      <w:r w:rsidR="003A4929" w:rsidRPr="00974B0C">
        <w:rPr>
          <w:rFonts w:ascii="Calibri" w:hAnsi="Calibri" w:cs="Calibri"/>
          <w:sz w:val="22"/>
          <w:szCs w:val="20"/>
          <w:lang w:eastAsia="en-IE"/>
        </w:rPr>
        <w:t>dependent</w:t>
      </w:r>
      <w:r w:rsidR="003F72E6" w:rsidRPr="00974B0C">
        <w:rPr>
          <w:rFonts w:ascii="Calibri" w:hAnsi="Calibri" w:cs="Calibri"/>
          <w:sz w:val="22"/>
          <w:szCs w:val="20"/>
          <w:lang w:eastAsia="en-IE"/>
        </w:rPr>
        <w:t xml:space="preserve"> on private rented housing availability.</w:t>
      </w:r>
      <w:r w:rsidRPr="00974B0C">
        <w:rPr>
          <w:rFonts w:ascii="Calibri" w:hAnsi="Calibri" w:cs="Calibri"/>
          <w:sz w:val="22"/>
          <w:szCs w:val="20"/>
          <w:lang w:eastAsia="en-IE"/>
        </w:rPr>
        <w:br/>
      </w:r>
    </w:p>
    <w:p w14:paraId="051453BC" w14:textId="78AF9D8A" w:rsidR="00420C57" w:rsidRPr="00974B0C" w:rsidRDefault="00942712" w:rsidP="00E442A6">
      <w:pPr>
        <w:pStyle w:val="ListParagraph"/>
        <w:rPr>
          <w:rFonts w:ascii="Calibri" w:hAnsi="Calibri" w:cs="Calibri"/>
          <w:b/>
          <w:bCs/>
          <w:sz w:val="22"/>
          <w:szCs w:val="20"/>
          <w:lang w:eastAsia="en-IE"/>
        </w:rPr>
      </w:pPr>
      <w:r w:rsidRPr="00974B0C">
        <w:rPr>
          <w:rFonts w:ascii="Calibri" w:hAnsi="Calibri" w:cs="Calibri"/>
          <w:b/>
          <w:sz w:val="22"/>
          <w:szCs w:val="20"/>
          <w:lang w:eastAsia="en-IE"/>
        </w:rPr>
        <w:t>Renting a Home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was the 2</w:t>
      </w:r>
      <w:r w:rsidRPr="00974B0C">
        <w:rPr>
          <w:rFonts w:ascii="Calibri" w:hAnsi="Calibri" w:cs="Calibri"/>
          <w:sz w:val="22"/>
          <w:szCs w:val="20"/>
          <w:vertAlign w:val="superscript"/>
          <w:lang w:eastAsia="en-IE"/>
        </w:rPr>
        <w:t>nd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highest category with </w:t>
      </w:r>
      <w:r w:rsidR="00E00F99" w:rsidRPr="00974B0C">
        <w:rPr>
          <w:rFonts w:ascii="Calibri" w:hAnsi="Calibri" w:cs="Calibri"/>
          <w:sz w:val="22"/>
          <w:szCs w:val="20"/>
          <w:lang w:eastAsia="en-IE"/>
        </w:rPr>
        <w:t>2,912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queries, a </w:t>
      </w:r>
      <w:r w:rsidR="00D93EC9" w:rsidRPr="00974B0C">
        <w:rPr>
          <w:rFonts w:ascii="Calibri" w:hAnsi="Calibri" w:cs="Calibri"/>
          <w:sz w:val="22"/>
          <w:szCs w:val="20"/>
          <w:lang w:eastAsia="en-IE"/>
        </w:rPr>
        <w:t>4</w:t>
      </w:r>
      <w:r w:rsidR="003B0A76" w:rsidRPr="00974B0C">
        <w:rPr>
          <w:rFonts w:ascii="Calibri" w:hAnsi="Calibri" w:cs="Calibri"/>
          <w:sz w:val="22"/>
          <w:szCs w:val="20"/>
          <w:lang w:eastAsia="en-IE"/>
        </w:rPr>
        <w:t>2.8</w:t>
      </w:r>
      <w:r w:rsidRPr="00974B0C">
        <w:rPr>
          <w:rFonts w:ascii="Calibri" w:hAnsi="Calibri" w:cs="Calibri"/>
          <w:sz w:val="22"/>
          <w:szCs w:val="20"/>
          <w:lang w:eastAsia="en-IE"/>
        </w:rPr>
        <w:t>% increase compared with the same quarter in 2021 when there were 2,</w:t>
      </w:r>
      <w:r w:rsidR="00E00F99" w:rsidRPr="00974B0C">
        <w:rPr>
          <w:rFonts w:ascii="Calibri" w:hAnsi="Calibri" w:cs="Calibri"/>
          <w:sz w:val="22"/>
          <w:szCs w:val="20"/>
          <w:lang w:eastAsia="en-IE"/>
        </w:rPr>
        <w:t>039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queries. </w:t>
      </w:r>
      <w:r w:rsidR="00D93EC9" w:rsidRPr="00974B0C">
        <w:rPr>
          <w:rFonts w:ascii="Calibri" w:hAnsi="Calibri" w:cs="Calibri"/>
          <w:sz w:val="22"/>
          <w:szCs w:val="20"/>
          <w:lang w:eastAsia="en-IE"/>
        </w:rPr>
        <w:t>T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he four highest </w:t>
      </w:r>
      <w:r w:rsidR="00D93EC9" w:rsidRPr="00974B0C">
        <w:rPr>
          <w:rFonts w:ascii="Calibri" w:hAnsi="Calibri" w:cs="Calibri"/>
          <w:sz w:val="22"/>
          <w:szCs w:val="20"/>
          <w:lang w:eastAsia="en-IE"/>
        </w:rPr>
        <w:t>sub-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query areas changed as follows: </w:t>
      </w:r>
      <w:r w:rsidRPr="00974B0C">
        <w:rPr>
          <w:rFonts w:ascii="Calibri" w:hAnsi="Calibri" w:cs="Calibri"/>
          <w:bCs/>
          <w:i/>
          <w:iCs/>
          <w:sz w:val="22"/>
          <w:szCs w:val="20"/>
          <w:lang w:eastAsia="en-IE"/>
        </w:rPr>
        <w:t>Notice/Eviction/Disputes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(+</w:t>
      </w:r>
      <w:r w:rsidR="006B34B4" w:rsidRPr="00974B0C">
        <w:rPr>
          <w:rFonts w:ascii="Calibri" w:hAnsi="Calibri" w:cs="Calibri"/>
          <w:sz w:val="22"/>
          <w:szCs w:val="20"/>
          <w:lang w:eastAsia="en-IE"/>
        </w:rPr>
        <w:t>63</w:t>
      </w:r>
      <w:r w:rsidR="00E95EF6" w:rsidRPr="00974B0C">
        <w:rPr>
          <w:rFonts w:ascii="Calibri" w:hAnsi="Calibri" w:cs="Calibri"/>
          <w:sz w:val="22"/>
          <w:szCs w:val="20"/>
          <w:lang w:eastAsia="en-IE"/>
        </w:rPr>
        <w:t>.3</w:t>
      </w:r>
      <w:r w:rsidR="006B34B4" w:rsidRPr="00974B0C">
        <w:rPr>
          <w:rFonts w:ascii="Calibri" w:hAnsi="Calibri" w:cs="Calibri"/>
          <w:sz w:val="22"/>
          <w:szCs w:val="20"/>
          <w:lang w:eastAsia="en-IE"/>
        </w:rPr>
        <w:t>%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) </w:t>
      </w:r>
      <w:r w:rsidRPr="00974B0C">
        <w:rPr>
          <w:rFonts w:ascii="Calibri" w:hAnsi="Calibri" w:cs="Calibri"/>
          <w:i/>
          <w:iCs/>
          <w:sz w:val="22"/>
          <w:szCs w:val="20"/>
          <w:lang w:eastAsia="en-IE"/>
        </w:rPr>
        <w:t>RTB (Residential Tenancies Board)</w:t>
      </w:r>
      <w:r w:rsidRPr="00974B0C">
        <w:rPr>
          <w:rFonts w:ascii="Calibri" w:hAnsi="Calibri" w:cs="Calibri"/>
          <w:b/>
          <w:bCs/>
          <w:sz w:val="22"/>
          <w:szCs w:val="20"/>
          <w:lang w:eastAsia="en-IE"/>
        </w:rPr>
        <w:t xml:space="preserve"> </w:t>
      </w:r>
      <w:r w:rsidRPr="00974B0C">
        <w:rPr>
          <w:rFonts w:ascii="Calibri" w:hAnsi="Calibri" w:cs="Calibri"/>
          <w:sz w:val="22"/>
          <w:szCs w:val="20"/>
          <w:lang w:eastAsia="en-IE"/>
        </w:rPr>
        <w:t>(+8</w:t>
      </w:r>
      <w:r w:rsidR="0001003E" w:rsidRPr="00974B0C">
        <w:rPr>
          <w:rFonts w:ascii="Calibri" w:hAnsi="Calibri" w:cs="Calibri"/>
          <w:sz w:val="22"/>
          <w:szCs w:val="20"/>
          <w:lang w:eastAsia="en-IE"/>
        </w:rPr>
        <w:t>6.2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%), </w:t>
      </w:r>
      <w:r w:rsidR="006B34B4" w:rsidRPr="00974B0C">
        <w:rPr>
          <w:rFonts w:ascii="Calibri" w:hAnsi="Calibri" w:cs="Calibri"/>
          <w:bCs/>
          <w:i/>
          <w:iCs/>
          <w:sz w:val="22"/>
          <w:szCs w:val="20"/>
          <w:lang w:eastAsia="en-IE"/>
        </w:rPr>
        <w:t>Landlord Rights and Obligations</w:t>
      </w:r>
      <w:r w:rsidR="00C07064" w:rsidRPr="00974B0C">
        <w:rPr>
          <w:rFonts w:ascii="Calibri" w:hAnsi="Calibri" w:cs="Calibri"/>
          <w:sz w:val="22"/>
          <w:szCs w:val="20"/>
          <w:lang w:eastAsia="en-IE"/>
        </w:rPr>
        <w:t xml:space="preserve"> </w:t>
      </w:r>
      <w:r w:rsidRPr="00974B0C">
        <w:rPr>
          <w:rFonts w:ascii="Calibri" w:hAnsi="Calibri" w:cs="Calibri"/>
          <w:sz w:val="22"/>
          <w:szCs w:val="20"/>
          <w:lang w:eastAsia="en-IE"/>
        </w:rPr>
        <w:t>(</w:t>
      </w:r>
      <w:r w:rsidR="006B34B4" w:rsidRPr="00974B0C">
        <w:rPr>
          <w:rFonts w:ascii="Calibri" w:hAnsi="Calibri" w:cs="Calibri"/>
          <w:sz w:val="22"/>
          <w:szCs w:val="20"/>
          <w:lang w:eastAsia="en-IE"/>
        </w:rPr>
        <w:t>+</w:t>
      </w:r>
      <w:r w:rsidR="00DA69C5" w:rsidRPr="00974B0C">
        <w:rPr>
          <w:rFonts w:ascii="Calibri" w:hAnsi="Calibri" w:cs="Calibri"/>
          <w:sz w:val="22"/>
          <w:szCs w:val="20"/>
          <w:lang w:eastAsia="en-IE"/>
        </w:rPr>
        <w:t>22</w:t>
      </w:r>
      <w:r w:rsidR="00A621A5" w:rsidRPr="00974B0C">
        <w:rPr>
          <w:rFonts w:ascii="Calibri" w:hAnsi="Calibri" w:cs="Calibri"/>
          <w:sz w:val="22"/>
          <w:szCs w:val="20"/>
          <w:lang w:eastAsia="en-IE"/>
        </w:rPr>
        <w:t>.2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%) and </w:t>
      </w:r>
      <w:r w:rsidR="006B34B4" w:rsidRPr="00974B0C">
        <w:rPr>
          <w:rFonts w:ascii="Calibri" w:hAnsi="Calibri" w:cs="Calibri"/>
          <w:i/>
          <w:iCs/>
          <w:sz w:val="22"/>
          <w:szCs w:val="20"/>
          <w:lang w:eastAsia="en-IE"/>
        </w:rPr>
        <w:t>Tenants Rights and Obligations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(</w:t>
      </w:r>
      <w:r w:rsidR="006B34B4" w:rsidRPr="00974B0C">
        <w:rPr>
          <w:rFonts w:ascii="Calibri" w:hAnsi="Calibri" w:cs="Calibri"/>
          <w:sz w:val="22"/>
          <w:szCs w:val="20"/>
          <w:lang w:eastAsia="en-IE"/>
        </w:rPr>
        <w:t>-</w:t>
      </w:r>
      <w:r w:rsidR="00A020B8" w:rsidRPr="00974B0C">
        <w:rPr>
          <w:rFonts w:ascii="Calibri" w:hAnsi="Calibri" w:cs="Calibri"/>
          <w:sz w:val="22"/>
          <w:szCs w:val="20"/>
          <w:lang w:eastAsia="en-IE"/>
        </w:rPr>
        <w:t>1.7</w:t>
      </w:r>
      <w:r w:rsidRPr="00974B0C">
        <w:rPr>
          <w:rFonts w:ascii="Calibri" w:hAnsi="Calibri" w:cs="Calibri"/>
          <w:sz w:val="22"/>
          <w:szCs w:val="20"/>
          <w:lang w:eastAsia="en-IE"/>
        </w:rPr>
        <w:t>%)</w:t>
      </w:r>
      <w:r w:rsidR="00D93EC9" w:rsidRPr="00974B0C">
        <w:rPr>
          <w:rFonts w:ascii="Calibri" w:hAnsi="Calibri" w:cs="Calibri"/>
          <w:sz w:val="22"/>
          <w:szCs w:val="20"/>
          <w:lang w:eastAsia="en-IE"/>
        </w:rPr>
        <w:t xml:space="preserve"> compared to the same quarter last year.</w:t>
      </w:r>
    </w:p>
    <w:p w14:paraId="471A37CB" w14:textId="77777777" w:rsidR="00BA6116" w:rsidRPr="00974B0C" w:rsidRDefault="00BA6116" w:rsidP="00611CBF">
      <w:pPr>
        <w:ind w:left="1080"/>
        <w:rPr>
          <w:sz w:val="22"/>
          <w:szCs w:val="22"/>
          <w:lang w:eastAsia="en-IE"/>
        </w:rPr>
      </w:pPr>
    </w:p>
    <w:p w14:paraId="7F57D9B9" w14:textId="1A377D48" w:rsidR="00420C57" w:rsidRPr="00974B0C" w:rsidRDefault="00942712" w:rsidP="00E442A6">
      <w:pPr>
        <w:pStyle w:val="ListParagraph"/>
        <w:rPr>
          <w:rFonts w:ascii="Calibri" w:hAnsi="Calibri" w:cs="Calibri"/>
          <w:sz w:val="22"/>
          <w:szCs w:val="20"/>
          <w:lang w:eastAsia="en-IE"/>
        </w:rPr>
      </w:pPr>
      <w:r w:rsidRPr="00974B0C">
        <w:rPr>
          <w:rFonts w:ascii="Calibri" w:hAnsi="Calibri" w:cs="Calibri"/>
          <w:sz w:val="22"/>
          <w:szCs w:val="20"/>
          <w:lang w:eastAsia="en-IE"/>
        </w:rPr>
        <w:t>Queries about</w:t>
      </w:r>
      <w:r w:rsidRPr="00974B0C">
        <w:rPr>
          <w:rFonts w:ascii="Calibri" w:hAnsi="Calibri" w:cs="Calibri"/>
          <w:b/>
          <w:sz w:val="22"/>
          <w:szCs w:val="20"/>
          <w:lang w:eastAsia="en-IE"/>
        </w:rPr>
        <w:t xml:space="preserve"> </w:t>
      </w:r>
      <w:r w:rsidRPr="00974B0C">
        <w:rPr>
          <w:rFonts w:ascii="Calibri" w:hAnsi="Calibri" w:cs="Calibri"/>
          <w:bCs/>
          <w:i/>
          <w:iCs/>
          <w:sz w:val="22"/>
          <w:szCs w:val="20"/>
          <w:lang w:eastAsia="en-IE"/>
        </w:rPr>
        <w:t xml:space="preserve">Homelessness 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were </w:t>
      </w:r>
      <w:r w:rsidR="00914912" w:rsidRPr="00974B0C">
        <w:rPr>
          <w:rFonts w:ascii="Calibri" w:hAnsi="Calibri" w:cs="Calibri"/>
          <w:sz w:val="22"/>
          <w:szCs w:val="20"/>
          <w:lang w:eastAsia="en-IE"/>
        </w:rPr>
        <w:t>39</w:t>
      </w:r>
      <w:r w:rsidR="00210584" w:rsidRPr="00974B0C">
        <w:rPr>
          <w:rFonts w:ascii="Calibri" w:hAnsi="Calibri" w:cs="Calibri"/>
          <w:sz w:val="22"/>
          <w:szCs w:val="20"/>
          <w:lang w:eastAsia="en-IE"/>
        </w:rPr>
        <w:t>.5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% higher than for the same period last year. In addition, there were </w:t>
      </w:r>
      <w:r w:rsidR="00A76ACB" w:rsidRPr="00974B0C">
        <w:rPr>
          <w:rFonts w:ascii="Calibri" w:hAnsi="Calibri" w:cs="Calibri"/>
          <w:sz w:val="22"/>
          <w:szCs w:val="20"/>
          <w:lang w:eastAsia="en-IE"/>
        </w:rPr>
        <w:t>7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8 queries about </w:t>
      </w:r>
      <w:r w:rsidRPr="00974B0C">
        <w:rPr>
          <w:rFonts w:ascii="Calibri" w:hAnsi="Calibri" w:cs="Calibri"/>
          <w:bCs/>
          <w:i/>
          <w:iCs/>
          <w:sz w:val="22"/>
          <w:szCs w:val="20"/>
          <w:lang w:eastAsia="en-IE"/>
        </w:rPr>
        <w:t>Losing Your Home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, and </w:t>
      </w:r>
      <w:r w:rsidR="00A76ACB" w:rsidRPr="00974B0C">
        <w:rPr>
          <w:rFonts w:ascii="Calibri" w:hAnsi="Calibri" w:cs="Calibri"/>
          <w:sz w:val="22"/>
          <w:szCs w:val="20"/>
          <w:lang w:eastAsia="en-IE"/>
        </w:rPr>
        <w:t>54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queries relating to </w:t>
      </w:r>
      <w:r w:rsidRPr="00974B0C">
        <w:rPr>
          <w:rFonts w:ascii="Calibri" w:hAnsi="Calibri" w:cs="Calibri"/>
          <w:bCs/>
          <w:i/>
          <w:iCs/>
          <w:sz w:val="22"/>
          <w:szCs w:val="20"/>
          <w:lang w:eastAsia="en-IE"/>
        </w:rPr>
        <w:t>Emergency Accommodation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, comprising a total of </w:t>
      </w:r>
      <w:r w:rsidR="00D96339" w:rsidRPr="00974B0C">
        <w:rPr>
          <w:rFonts w:ascii="Calibri" w:hAnsi="Calibri" w:cs="Calibri"/>
          <w:b/>
          <w:sz w:val="22"/>
          <w:szCs w:val="20"/>
          <w:lang w:eastAsia="en-IE"/>
        </w:rPr>
        <w:t>835</w:t>
      </w:r>
      <w:r w:rsidRPr="00974B0C">
        <w:rPr>
          <w:rFonts w:ascii="Calibri" w:hAnsi="Calibri" w:cs="Calibri"/>
          <w:b/>
          <w:sz w:val="22"/>
          <w:szCs w:val="20"/>
          <w:lang w:eastAsia="en-IE"/>
        </w:rPr>
        <w:t xml:space="preserve"> queries </w:t>
      </w:r>
      <w:r w:rsidRPr="00974B0C">
        <w:rPr>
          <w:rFonts w:ascii="Calibri" w:hAnsi="Calibri" w:cs="Calibri"/>
          <w:sz w:val="22"/>
          <w:szCs w:val="20"/>
          <w:lang w:eastAsia="en-IE"/>
        </w:rPr>
        <w:t>relating to homelessness/threatened homelessness for this quarter</w:t>
      </w:r>
      <w:r w:rsidR="00D96339" w:rsidRPr="00974B0C">
        <w:rPr>
          <w:rFonts w:ascii="Calibri" w:hAnsi="Calibri" w:cs="Calibri"/>
          <w:sz w:val="22"/>
          <w:szCs w:val="20"/>
          <w:lang w:eastAsia="en-IE"/>
        </w:rPr>
        <w:t xml:space="preserve"> and increase of 3</w:t>
      </w:r>
      <w:r w:rsidR="00267653" w:rsidRPr="00974B0C">
        <w:rPr>
          <w:rFonts w:ascii="Calibri" w:hAnsi="Calibri" w:cs="Calibri"/>
          <w:sz w:val="22"/>
          <w:szCs w:val="20"/>
          <w:lang w:eastAsia="en-IE"/>
        </w:rPr>
        <w:t>0.7</w:t>
      </w:r>
      <w:r w:rsidR="00D96339" w:rsidRPr="00974B0C">
        <w:rPr>
          <w:rFonts w:ascii="Calibri" w:hAnsi="Calibri" w:cs="Calibri"/>
          <w:sz w:val="22"/>
          <w:szCs w:val="20"/>
          <w:lang w:eastAsia="en-IE"/>
        </w:rPr>
        <w:t>% on the same quarter last year and a decrease of 2</w:t>
      </w:r>
      <w:r w:rsidR="002C6ADC" w:rsidRPr="00974B0C">
        <w:rPr>
          <w:rFonts w:ascii="Calibri" w:hAnsi="Calibri" w:cs="Calibri"/>
          <w:sz w:val="22"/>
          <w:szCs w:val="20"/>
          <w:lang w:eastAsia="en-IE"/>
        </w:rPr>
        <w:t>3.5</w:t>
      </w:r>
      <w:r w:rsidR="00D96339" w:rsidRPr="00974B0C">
        <w:rPr>
          <w:rFonts w:ascii="Calibri" w:hAnsi="Calibri" w:cs="Calibri"/>
          <w:sz w:val="22"/>
          <w:szCs w:val="20"/>
          <w:lang w:eastAsia="en-IE"/>
        </w:rPr>
        <w:t>% from Q3 2022.</w:t>
      </w:r>
    </w:p>
    <w:p w14:paraId="21448E16" w14:textId="77777777" w:rsidR="00BA6116" w:rsidRPr="00974B0C" w:rsidRDefault="00BA6116" w:rsidP="00611CBF">
      <w:pPr>
        <w:ind w:left="1080"/>
        <w:rPr>
          <w:sz w:val="22"/>
          <w:szCs w:val="22"/>
          <w:lang w:eastAsia="en-IE"/>
        </w:rPr>
      </w:pPr>
    </w:p>
    <w:p w14:paraId="629B598E" w14:textId="6015C935" w:rsidR="005A0023" w:rsidRPr="00974B0C" w:rsidRDefault="00942712" w:rsidP="00E442A6">
      <w:pPr>
        <w:pStyle w:val="ListParagraph"/>
        <w:rPr>
          <w:rFonts w:ascii="Calibri" w:hAnsi="Calibri" w:cs="Calibri"/>
          <w:color w:val="000000"/>
          <w:sz w:val="22"/>
          <w:szCs w:val="20"/>
          <w:lang w:eastAsia="en-IE"/>
        </w:rPr>
      </w:pPr>
      <w:r w:rsidRPr="00974B0C">
        <w:rPr>
          <w:rFonts w:ascii="Calibri" w:hAnsi="Calibri" w:cs="Calibri"/>
          <w:b/>
          <w:bCs/>
          <w:sz w:val="22"/>
          <w:szCs w:val="20"/>
          <w:lang w:eastAsia="en-IE"/>
        </w:rPr>
        <w:t>Housing Grants and Schemes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queries increased by </w:t>
      </w:r>
      <w:r w:rsidR="00D93EC9" w:rsidRPr="00974B0C">
        <w:rPr>
          <w:rFonts w:ascii="Calibri" w:hAnsi="Calibri" w:cs="Calibri"/>
          <w:sz w:val="22"/>
          <w:szCs w:val="20"/>
          <w:lang w:eastAsia="en-IE"/>
        </w:rPr>
        <w:t>25</w:t>
      </w:r>
      <w:r w:rsidR="004D7E3E" w:rsidRPr="00974B0C">
        <w:rPr>
          <w:rFonts w:ascii="Calibri" w:hAnsi="Calibri" w:cs="Calibri"/>
          <w:sz w:val="22"/>
          <w:szCs w:val="20"/>
          <w:lang w:eastAsia="en-IE"/>
        </w:rPr>
        <w:t>.0</w:t>
      </w:r>
      <w:r w:rsidRPr="00974B0C">
        <w:rPr>
          <w:rFonts w:ascii="Calibri" w:hAnsi="Calibri" w:cs="Calibri"/>
          <w:sz w:val="22"/>
          <w:szCs w:val="20"/>
          <w:lang w:eastAsia="en-IE"/>
        </w:rPr>
        <w:t>% (</w:t>
      </w:r>
      <w:r w:rsidR="00D93EC9" w:rsidRPr="00974B0C">
        <w:rPr>
          <w:rFonts w:ascii="Calibri" w:hAnsi="Calibri" w:cs="Calibri"/>
          <w:sz w:val="22"/>
          <w:szCs w:val="20"/>
          <w:lang w:eastAsia="en-IE"/>
        </w:rPr>
        <w:t>2,474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) compared to </w:t>
      </w:r>
      <w:r w:rsidR="00922A7C" w:rsidRPr="00974B0C">
        <w:rPr>
          <w:rFonts w:ascii="Calibri" w:hAnsi="Calibri" w:cs="Calibri"/>
          <w:sz w:val="22"/>
          <w:szCs w:val="20"/>
          <w:lang w:eastAsia="en-IE"/>
        </w:rPr>
        <w:t>Q4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2021. </w:t>
      </w:r>
    </w:p>
    <w:p w14:paraId="7CC78C00" w14:textId="77777777" w:rsidR="005A0023" w:rsidRPr="00974B0C" w:rsidRDefault="005A0023" w:rsidP="00E442A6">
      <w:pPr>
        <w:ind w:left="1440"/>
        <w:rPr>
          <w:sz w:val="22"/>
          <w:szCs w:val="22"/>
          <w:lang w:eastAsia="en-IE"/>
        </w:rPr>
      </w:pPr>
    </w:p>
    <w:p w14:paraId="306DA1C7" w14:textId="70079278" w:rsidR="0064174E" w:rsidRPr="00974B0C" w:rsidRDefault="00942712" w:rsidP="00E442A6">
      <w:pPr>
        <w:pStyle w:val="ListParagraph"/>
        <w:rPr>
          <w:rFonts w:ascii="Calibri" w:hAnsi="Calibri" w:cs="Calibri"/>
          <w:color w:val="000000"/>
          <w:sz w:val="22"/>
          <w:szCs w:val="20"/>
          <w:lang w:eastAsia="en-IE"/>
        </w:rPr>
      </w:pPr>
      <w:r w:rsidRPr="00974B0C">
        <w:rPr>
          <w:rFonts w:ascii="Calibri" w:hAnsi="Calibri" w:cs="Calibri"/>
          <w:b/>
          <w:bCs/>
          <w:sz w:val="22"/>
          <w:szCs w:val="20"/>
          <w:lang w:eastAsia="en-IE"/>
        </w:rPr>
        <w:t>Home Energy Grants (SEAI)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had </w:t>
      </w:r>
      <w:r w:rsidR="00D93EC9" w:rsidRPr="00974B0C">
        <w:rPr>
          <w:rFonts w:ascii="Calibri" w:hAnsi="Calibri" w:cs="Calibri"/>
          <w:sz w:val="22"/>
          <w:szCs w:val="20"/>
          <w:lang w:eastAsia="en-IE"/>
        </w:rPr>
        <w:t>1,026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queries, up by </w:t>
      </w:r>
      <w:r w:rsidR="00D93EC9" w:rsidRPr="00974B0C">
        <w:rPr>
          <w:rFonts w:ascii="Calibri" w:hAnsi="Calibri" w:cs="Calibri"/>
          <w:sz w:val="22"/>
          <w:szCs w:val="20"/>
          <w:lang w:eastAsia="en-IE"/>
        </w:rPr>
        <w:t>1</w:t>
      </w:r>
      <w:r w:rsidR="00E31CC1" w:rsidRPr="00974B0C">
        <w:rPr>
          <w:rFonts w:ascii="Calibri" w:hAnsi="Calibri" w:cs="Calibri"/>
          <w:sz w:val="22"/>
          <w:szCs w:val="20"/>
          <w:lang w:eastAsia="en-IE"/>
        </w:rPr>
        <w:t>4.8</w:t>
      </w:r>
      <w:r w:rsidRPr="00974B0C">
        <w:rPr>
          <w:rFonts w:ascii="Calibri" w:hAnsi="Calibri" w:cs="Calibri"/>
          <w:sz w:val="22"/>
          <w:szCs w:val="20"/>
          <w:lang w:eastAsia="en-IE"/>
        </w:rPr>
        <w:t>% on Q</w:t>
      </w:r>
      <w:r w:rsidR="00D93EC9" w:rsidRPr="00974B0C">
        <w:rPr>
          <w:rFonts w:ascii="Calibri" w:hAnsi="Calibri" w:cs="Calibri"/>
          <w:sz w:val="22"/>
          <w:szCs w:val="20"/>
          <w:lang w:eastAsia="en-IE"/>
        </w:rPr>
        <w:t>3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, 2022. </w:t>
      </w:r>
    </w:p>
    <w:p w14:paraId="540D733E" w14:textId="6C462904" w:rsidR="00111119" w:rsidRDefault="00111119">
      <w:pPr>
        <w:rPr>
          <w:rFonts w:eastAsiaTheme="majorEastAsia"/>
          <w:b/>
          <w:color w:val="1481AB" w:themeColor="accent1" w:themeShade="BF"/>
        </w:rPr>
      </w:pPr>
    </w:p>
    <w:p w14:paraId="5AA060E8" w14:textId="77777777" w:rsidR="00974B0C" w:rsidRPr="00974B0C" w:rsidRDefault="00974B0C">
      <w:pPr>
        <w:rPr>
          <w:rFonts w:eastAsiaTheme="majorEastAsia"/>
          <w:b/>
          <w:color w:val="1481AB" w:themeColor="accent1" w:themeShade="BF"/>
        </w:rPr>
      </w:pPr>
    </w:p>
    <w:p w14:paraId="2456FB78" w14:textId="448F99D6" w:rsidR="00942712" w:rsidRPr="00420C57" w:rsidRDefault="00942712" w:rsidP="00942712">
      <w:pPr>
        <w:pStyle w:val="Heading1"/>
        <w:rPr>
          <w:rFonts w:ascii="Tw Cen MT Condensed" w:hAnsi="Tw Cen MT Condensed"/>
          <w:b/>
          <w:sz w:val="24"/>
          <w:szCs w:val="24"/>
        </w:rPr>
      </w:pPr>
      <w:r w:rsidRPr="00420C57">
        <w:rPr>
          <w:rFonts w:ascii="Tw Cen MT Condensed" w:hAnsi="Tw Cen MT Condensed"/>
          <w:b/>
          <w:sz w:val="24"/>
          <w:szCs w:val="24"/>
        </w:rPr>
        <w:lastRenderedPageBreak/>
        <w:t xml:space="preserve">Table 7 – Housing Queries Breakdown, </w:t>
      </w:r>
      <w:r w:rsidR="00922A7C">
        <w:rPr>
          <w:rFonts w:ascii="Tw Cen MT Condensed" w:hAnsi="Tw Cen MT Condensed"/>
          <w:b/>
          <w:sz w:val="24"/>
          <w:szCs w:val="24"/>
        </w:rPr>
        <w:t>Q4</w:t>
      </w:r>
      <w:r w:rsidRPr="00420C57">
        <w:rPr>
          <w:rFonts w:ascii="Tw Cen MT Condensed" w:hAnsi="Tw Cen MT Condensed"/>
          <w:b/>
          <w:sz w:val="24"/>
          <w:szCs w:val="24"/>
        </w:rPr>
        <w:t xml:space="preserve"> 2022</w:t>
      </w:r>
      <w:r w:rsidR="005923C4">
        <w:rPr>
          <w:rStyle w:val="FootnoteReference"/>
          <w:rFonts w:ascii="Tw Cen MT Condensed" w:hAnsi="Tw Cen MT Condensed"/>
          <w:b/>
          <w:sz w:val="24"/>
          <w:szCs w:val="24"/>
        </w:rPr>
        <w:footnoteReference w:id="4"/>
      </w:r>
    </w:p>
    <w:tbl>
      <w:tblPr>
        <w:tblStyle w:val="GridTable5Dark-Accent6"/>
        <w:tblW w:w="13514" w:type="dxa"/>
        <w:tblLook w:val="04A0" w:firstRow="1" w:lastRow="0" w:firstColumn="1" w:lastColumn="0" w:noHBand="0" w:noVBand="1"/>
      </w:tblPr>
      <w:tblGrid>
        <w:gridCol w:w="1275"/>
        <w:gridCol w:w="4395"/>
        <w:gridCol w:w="5382"/>
        <w:gridCol w:w="997"/>
        <w:gridCol w:w="1465"/>
      </w:tblGrid>
      <w:tr w:rsidR="00942712" w:rsidRPr="00514EDC" w14:paraId="0C1E71E6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37F9E92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395" w:type="dxa"/>
            <w:hideMark/>
          </w:tcPr>
          <w:p w14:paraId="09729713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5382" w:type="dxa"/>
            <w:hideMark/>
          </w:tcPr>
          <w:p w14:paraId="0C1A6AD4" w14:textId="19E39798" w:rsidR="00942712" w:rsidRPr="00514EDC" w:rsidRDefault="00922A7C" w:rsidP="00D50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Q4</w:t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, 2022 Sub-category Breakdown</w:t>
            </w:r>
          </w:p>
        </w:tc>
        <w:tc>
          <w:tcPr>
            <w:tcW w:w="997" w:type="dxa"/>
            <w:hideMark/>
          </w:tcPr>
          <w:p w14:paraId="6C80FFF5" w14:textId="4C3E7B5E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# </w:t>
            </w:r>
            <w:r w:rsidR="009F211A"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Of</w:t>
            </w: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Queries</w:t>
            </w:r>
          </w:p>
        </w:tc>
        <w:tc>
          <w:tcPr>
            <w:tcW w:w="1465" w:type="dxa"/>
            <w:hideMark/>
          </w:tcPr>
          <w:p w14:paraId="2BE85C02" w14:textId="3492B5C2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% </w:t>
            </w:r>
            <w:r w:rsidR="009F211A"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Of</w:t>
            </w: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Housing Sub-category</w:t>
            </w:r>
          </w:p>
        </w:tc>
      </w:tr>
      <w:tr w:rsidR="00942712" w:rsidRPr="00514EDC" w14:paraId="4B4D556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7044EBD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Local Authority and Social Housing</w:t>
            </w:r>
          </w:p>
        </w:tc>
      </w:tr>
      <w:tr w:rsidR="00792B25" w:rsidRPr="00514EDC" w14:paraId="616D39F7" w14:textId="77777777" w:rsidTr="00EE0D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0D1C806" w14:textId="77777777" w:rsidR="00792B25" w:rsidRPr="00514EDC" w:rsidRDefault="00792B25" w:rsidP="00792B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3AF38132" w14:textId="77777777" w:rsidR="00792B25" w:rsidRPr="00514EDC" w:rsidRDefault="00792B25" w:rsidP="0079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2AB02E1C" w14:textId="77777777" w:rsidR="00792B25" w:rsidRPr="00514EDC" w:rsidRDefault="00792B25" w:rsidP="0079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Applying for Local Authority/Social Housing</w:t>
            </w:r>
          </w:p>
        </w:tc>
        <w:tc>
          <w:tcPr>
            <w:tcW w:w="997" w:type="dxa"/>
            <w:noWrap/>
          </w:tcPr>
          <w:p w14:paraId="43E5C4EF" w14:textId="6449FFF5" w:rsidR="00792B25" w:rsidRPr="00514EDC" w:rsidRDefault="00792B25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4,407</w:t>
            </w:r>
          </w:p>
        </w:tc>
        <w:tc>
          <w:tcPr>
            <w:tcW w:w="1465" w:type="dxa"/>
            <w:noWrap/>
            <w:vAlign w:val="bottom"/>
          </w:tcPr>
          <w:p w14:paraId="60C0D9B7" w14:textId="769EE675" w:rsidR="00792B25" w:rsidRPr="00792B25" w:rsidRDefault="00792B25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50.6%</w:t>
            </w:r>
          </w:p>
        </w:tc>
      </w:tr>
      <w:tr w:rsidR="00792B25" w:rsidRPr="00514EDC" w14:paraId="036E526E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6559591" w14:textId="77777777" w:rsidR="00792B25" w:rsidRPr="00514EDC" w:rsidRDefault="00792B25" w:rsidP="00792B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C57B78B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1C28F723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Housing Assistance Payment (HAP)</w:t>
            </w:r>
          </w:p>
        </w:tc>
        <w:tc>
          <w:tcPr>
            <w:tcW w:w="997" w:type="dxa"/>
            <w:noWrap/>
          </w:tcPr>
          <w:p w14:paraId="6A9DB08F" w14:textId="0142124B" w:rsidR="00792B25" w:rsidRPr="00514EDC" w:rsidRDefault="00792B2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2,431</w:t>
            </w:r>
          </w:p>
        </w:tc>
        <w:tc>
          <w:tcPr>
            <w:tcW w:w="1465" w:type="dxa"/>
            <w:noWrap/>
            <w:vAlign w:val="bottom"/>
          </w:tcPr>
          <w:p w14:paraId="3E8B5CA7" w14:textId="240DDCFA" w:rsidR="00792B25" w:rsidRPr="00792B25" w:rsidRDefault="00792B2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27.9%</w:t>
            </w:r>
          </w:p>
        </w:tc>
      </w:tr>
      <w:tr w:rsidR="00792B25" w:rsidRPr="00514EDC" w14:paraId="72B36D24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A5CFEAF" w14:textId="77777777" w:rsidR="00792B25" w:rsidRPr="00514EDC" w:rsidRDefault="00792B25" w:rsidP="00792B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CA3464F" w14:textId="77777777" w:rsidR="00792B25" w:rsidRPr="00514EDC" w:rsidRDefault="00792B25" w:rsidP="0079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ECD0A28" w14:textId="77777777" w:rsidR="00792B25" w:rsidRPr="00514EDC" w:rsidRDefault="00792B25" w:rsidP="0079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97" w:type="dxa"/>
            <w:noWrap/>
          </w:tcPr>
          <w:p w14:paraId="5B0B88FB" w14:textId="0809E0CF" w:rsidR="00792B25" w:rsidRPr="00514EDC" w:rsidRDefault="00792B25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626</w:t>
            </w:r>
          </w:p>
        </w:tc>
        <w:tc>
          <w:tcPr>
            <w:tcW w:w="1465" w:type="dxa"/>
            <w:noWrap/>
            <w:vAlign w:val="bottom"/>
          </w:tcPr>
          <w:p w14:paraId="6492E6F7" w14:textId="398378EF" w:rsidR="00792B25" w:rsidRPr="00792B25" w:rsidRDefault="00792B25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7.</w:t>
            </w:r>
            <w:r w:rsidR="000B2348">
              <w:rPr>
                <w:rFonts w:ascii="Calibri" w:hAnsi="Calibri" w:cs="Calibri"/>
                <w:sz w:val="20"/>
                <w:szCs w:val="20"/>
              </w:rPr>
              <w:t>2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92B25" w:rsidRPr="00514EDC" w14:paraId="045FE068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86EEEFE" w14:textId="77777777" w:rsidR="00792B25" w:rsidRPr="00514EDC" w:rsidRDefault="00792B25" w:rsidP="00792B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02D37C4A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0653D996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Differential Rent</w:t>
            </w:r>
          </w:p>
        </w:tc>
        <w:tc>
          <w:tcPr>
            <w:tcW w:w="997" w:type="dxa"/>
            <w:noWrap/>
          </w:tcPr>
          <w:p w14:paraId="59CEF389" w14:textId="00302CB0" w:rsidR="00792B25" w:rsidRPr="00514EDC" w:rsidRDefault="00792B2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368</w:t>
            </w:r>
          </w:p>
        </w:tc>
        <w:tc>
          <w:tcPr>
            <w:tcW w:w="1465" w:type="dxa"/>
            <w:noWrap/>
            <w:vAlign w:val="bottom"/>
          </w:tcPr>
          <w:p w14:paraId="7361A766" w14:textId="343D03F2" w:rsidR="00792B25" w:rsidRPr="00792B25" w:rsidRDefault="00792B2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</w:tr>
      <w:tr w:rsidR="00604776" w:rsidRPr="00514EDC" w14:paraId="3CEDB4DA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C471B59" w14:textId="77777777" w:rsidR="00604776" w:rsidRPr="00514EDC" w:rsidRDefault="00604776" w:rsidP="00604776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2EF119D9" w14:textId="509D3ABD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72795E9D" w14:textId="3AE35474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Standards/Repairs</w:t>
            </w:r>
          </w:p>
        </w:tc>
        <w:tc>
          <w:tcPr>
            <w:tcW w:w="997" w:type="dxa"/>
            <w:noWrap/>
          </w:tcPr>
          <w:p w14:paraId="352FA37F" w14:textId="3E2BC048" w:rsidR="00604776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1465" w:type="dxa"/>
            <w:noWrap/>
            <w:vAlign w:val="bottom"/>
          </w:tcPr>
          <w:p w14:paraId="7FA01FB7" w14:textId="2F7C5157" w:rsidR="00604776" w:rsidRPr="00792B25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2.3%</w:t>
            </w:r>
          </w:p>
        </w:tc>
      </w:tr>
      <w:tr w:rsidR="00792B25" w:rsidRPr="00514EDC" w14:paraId="2B2229DF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D309C11" w14:textId="77777777" w:rsidR="00792B25" w:rsidRPr="00514EDC" w:rsidRDefault="00792B25" w:rsidP="00792B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7CE03168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FD45F16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 Transfers</w:t>
            </w:r>
          </w:p>
        </w:tc>
        <w:tc>
          <w:tcPr>
            <w:tcW w:w="997" w:type="dxa"/>
            <w:noWrap/>
          </w:tcPr>
          <w:p w14:paraId="5150B605" w14:textId="7FD50B1A" w:rsidR="00792B25" w:rsidRPr="00514EDC" w:rsidRDefault="00792B2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151</w:t>
            </w:r>
          </w:p>
        </w:tc>
        <w:tc>
          <w:tcPr>
            <w:tcW w:w="1465" w:type="dxa"/>
            <w:noWrap/>
            <w:vAlign w:val="bottom"/>
          </w:tcPr>
          <w:p w14:paraId="2063AE4B" w14:textId="24D56287" w:rsidR="00792B25" w:rsidRPr="00792B25" w:rsidRDefault="00792B2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</w:tr>
      <w:tr w:rsidR="00604776" w:rsidRPr="00514EDC" w14:paraId="60961F18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8AD1372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2CFE88A" w14:textId="5D6ABB19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7D18ADBA" w14:textId="62988A8B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Notice/Eviction/Disputes</w:t>
            </w:r>
          </w:p>
        </w:tc>
        <w:tc>
          <w:tcPr>
            <w:tcW w:w="997" w:type="dxa"/>
            <w:noWrap/>
          </w:tcPr>
          <w:p w14:paraId="36CDB03C" w14:textId="1107D5E2" w:rsidR="00604776" w:rsidRPr="00514EDC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465" w:type="dxa"/>
            <w:noWrap/>
            <w:vAlign w:val="bottom"/>
          </w:tcPr>
          <w:p w14:paraId="0BEEBB5A" w14:textId="74A4FB57" w:rsidR="00604776" w:rsidRPr="00792B25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</w:tr>
      <w:tr w:rsidR="00604776" w:rsidRPr="00514EDC" w14:paraId="5A971376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A33CCC8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30441888" w14:textId="7908AC5B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F6DE742" w14:textId="2AE39D89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Arrears/Rent Problems</w:t>
            </w:r>
          </w:p>
        </w:tc>
        <w:tc>
          <w:tcPr>
            <w:tcW w:w="997" w:type="dxa"/>
            <w:noWrap/>
          </w:tcPr>
          <w:p w14:paraId="764D9E3F" w14:textId="449A5C3C" w:rsidR="00604776" w:rsidRPr="00514EDC" w:rsidRDefault="00604776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1465" w:type="dxa"/>
            <w:noWrap/>
            <w:vAlign w:val="bottom"/>
          </w:tcPr>
          <w:p w14:paraId="1ABCDDD6" w14:textId="247BF427" w:rsidR="00604776" w:rsidRPr="00792B25" w:rsidRDefault="00604776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6E31C6BA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0D282F6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6F70330" w14:textId="66B29656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5D4230F6" w14:textId="2B141ECD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Medical Priority</w:t>
            </w:r>
          </w:p>
        </w:tc>
        <w:tc>
          <w:tcPr>
            <w:tcW w:w="997" w:type="dxa"/>
            <w:noWrap/>
          </w:tcPr>
          <w:p w14:paraId="4F5D361E" w14:textId="7F25F6C4" w:rsidR="00604776" w:rsidRPr="00514EDC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465" w:type="dxa"/>
            <w:noWrap/>
            <w:vAlign w:val="bottom"/>
          </w:tcPr>
          <w:p w14:paraId="45F1F431" w14:textId="2ACD3C19" w:rsidR="00604776" w:rsidRPr="00792B25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73F99DE4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06A1BFFD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64F0E7A" w14:textId="4F9290DF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21EB0F53" w14:textId="7A5FBF5E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Choice Based Lettings</w:t>
            </w:r>
          </w:p>
        </w:tc>
        <w:tc>
          <w:tcPr>
            <w:tcW w:w="997" w:type="dxa"/>
            <w:noWrap/>
          </w:tcPr>
          <w:p w14:paraId="51B7B50C" w14:textId="40599860" w:rsidR="00604776" w:rsidRPr="00514EDC" w:rsidRDefault="00604776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87</w:t>
            </w:r>
          </w:p>
        </w:tc>
        <w:tc>
          <w:tcPr>
            <w:tcW w:w="1465" w:type="dxa"/>
            <w:noWrap/>
            <w:vAlign w:val="bottom"/>
          </w:tcPr>
          <w:p w14:paraId="0FA97BA8" w14:textId="11B38B99" w:rsidR="00604776" w:rsidRPr="00792B25" w:rsidRDefault="00604776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</w:tr>
      <w:tr w:rsidR="00604776" w:rsidRPr="00514EDC" w14:paraId="23B72C10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A2B2711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74869F19" w14:textId="33F8C570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6B927FCF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Rental Accommodation Scheme (RAS)</w:t>
            </w:r>
          </w:p>
        </w:tc>
        <w:tc>
          <w:tcPr>
            <w:tcW w:w="997" w:type="dxa"/>
            <w:noWrap/>
          </w:tcPr>
          <w:p w14:paraId="6E3E209B" w14:textId="2498DD48" w:rsidR="00604776" w:rsidRPr="00514EDC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1465" w:type="dxa"/>
            <w:noWrap/>
            <w:vAlign w:val="bottom"/>
          </w:tcPr>
          <w:p w14:paraId="6075D69D" w14:textId="56F04E8A" w:rsidR="00604776" w:rsidRPr="00792B25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</w:tr>
      <w:tr w:rsidR="00604776" w:rsidRPr="00514EDC" w14:paraId="1A6F274F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5223249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4BEFF781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4FF6F9A9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Tenant Purchase (Incremental Scheme)</w:t>
            </w:r>
          </w:p>
        </w:tc>
        <w:tc>
          <w:tcPr>
            <w:tcW w:w="997" w:type="dxa"/>
            <w:noWrap/>
          </w:tcPr>
          <w:p w14:paraId="50D4B484" w14:textId="6A21FE3F" w:rsidR="00604776" w:rsidRPr="00514EDC" w:rsidRDefault="00604776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465" w:type="dxa"/>
            <w:noWrap/>
            <w:vAlign w:val="bottom"/>
          </w:tcPr>
          <w:p w14:paraId="0B1E09EB" w14:textId="481AE010" w:rsidR="00604776" w:rsidRPr="00792B25" w:rsidRDefault="00604776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47F62F41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3C90C68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62EDCD31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7E5C1B7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24457F6B" w14:textId="68D355BE" w:rsidR="00604776" w:rsidRPr="00514EDC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8,710</w:t>
            </w:r>
          </w:p>
        </w:tc>
        <w:tc>
          <w:tcPr>
            <w:tcW w:w="1465" w:type="dxa"/>
            <w:noWrap/>
          </w:tcPr>
          <w:p w14:paraId="193601F7" w14:textId="77777777" w:rsidR="00604776" w:rsidRPr="00514EDC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04776" w:rsidRPr="00514EDC" w14:paraId="20CBDE0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4A7FB83D" w14:textId="77777777" w:rsidR="00604776" w:rsidRPr="00514EDC" w:rsidRDefault="00604776" w:rsidP="0060477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Renting a Home</w:t>
            </w:r>
          </w:p>
        </w:tc>
      </w:tr>
      <w:tr w:rsidR="00604776" w:rsidRPr="00514EDC" w14:paraId="1D4CFE97" w14:textId="77777777" w:rsidTr="00EE0DCE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81121D5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44BD52D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C3DEF4B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Notice/Eviction/Disputes</w:t>
            </w:r>
          </w:p>
        </w:tc>
        <w:tc>
          <w:tcPr>
            <w:tcW w:w="997" w:type="dxa"/>
            <w:noWrap/>
            <w:vAlign w:val="bottom"/>
          </w:tcPr>
          <w:p w14:paraId="6F12092E" w14:textId="6EF9F634" w:rsidR="00604776" w:rsidRPr="00514EDC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862</w:t>
            </w:r>
          </w:p>
        </w:tc>
        <w:tc>
          <w:tcPr>
            <w:tcW w:w="1465" w:type="dxa"/>
            <w:noWrap/>
            <w:vAlign w:val="bottom"/>
          </w:tcPr>
          <w:p w14:paraId="21F70A25" w14:textId="37AD8666" w:rsidR="00604776" w:rsidRPr="00FB4975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29.6%</w:t>
            </w:r>
          </w:p>
        </w:tc>
      </w:tr>
      <w:tr w:rsidR="00604776" w:rsidRPr="00514EDC" w14:paraId="01470C3C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DCFB5D5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47F7117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822487B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RTB (Residential Tenancies Board)</w:t>
            </w:r>
          </w:p>
        </w:tc>
        <w:tc>
          <w:tcPr>
            <w:tcW w:w="997" w:type="dxa"/>
            <w:noWrap/>
            <w:vAlign w:val="bottom"/>
          </w:tcPr>
          <w:p w14:paraId="5643A1AD" w14:textId="2B131EE5" w:rsidR="00604776" w:rsidRPr="00514EDC" w:rsidRDefault="00604776" w:rsidP="0086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471</w:t>
            </w:r>
          </w:p>
        </w:tc>
        <w:tc>
          <w:tcPr>
            <w:tcW w:w="1465" w:type="dxa"/>
            <w:noWrap/>
            <w:vAlign w:val="bottom"/>
          </w:tcPr>
          <w:p w14:paraId="7B9E4196" w14:textId="01833206" w:rsidR="00604776" w:rsidRPr="00FB4975" w:rsidRDefault="00604776" w:rsidP="0086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16.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7226BDF8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DAD0D46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2E3081B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2ABAB256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Tenants’ Rights and Obligations</w:t>
            </w:r>
          </w:p>
        </w:tc>
        <w:tc>
          <w:tcPr>
            <w:tcW w:w="997" w:type="dxa"/>
            <w:noWrap/>
            <w:vAlign w:val="bottom"/>
          </w:tcPr>
          <w:p w14:paraId="57586A1D" w14:textId="451E9690" w:rsidR="00604776" w:rsidRPr="00514EDC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356</w:t>
            </w:r>
          </w:p>
        </w:tc>
        <w:tc>
          <w:tcPr>
            <w:tcW w:w="1465" w:type="dxa"/>
            <w:noWrap/>
            <w:vAlign w:val="bottom"/>
          </w:tcPr>
          <w:p w14:paraId="75EBCD0F" w14:textId="258F59E1" w:rsidR="00604776" w:rsidRPr="00FB4975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12.2%</w:t>
            </w:r>
          </w:p>
        </w:tc>
      </w:tr>
      <w:tr w:rsidR="00604776" w:rsidRPr="00514EDC" w14:paraId="049468B5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352C74F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29B4F10D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1D9040EA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Landlords’ Rights &amp; Obligations</w:t>
            </w:r>
          </w:p>
        </w:tc>
        <w:tc>
          <w:tcPr>
            <w:tcW w:w="997" w:type="dxa"/>
            <w:noWrap/>
            <w:vAlign w:val="bottom"/>
          </w:tcPr>
          <w:p w14:paraId="42170588" w14:textId="56E15335" w:rsidR="00604776" w:rsidRPr="00514EDC" w:rsidRDefault="00604776" w:rsidP="0086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380</w:t>
            </w:r>
          </w:p>
        </w:tc>
        <w:tc>
          <w:tcPr>
            <w:tcW w:w="1465" w:type="dxa"/>
            <w:noWrap/>
            <w:vAlign w:val="bottom"/>
          </w:tcPr>
          <w:p w14:paraId="083C18E9" w14:textId="74CFC5AA" w:rsidR="00604776" w:rsidRPr="00FB4975" w:rsidRDefault="00604776" w:rsidP="0086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13.</w:t>
            </w:r>
            <w:r w:rsidR="00F1361E">
              <w:rPr>
                <w:rFonts w:ascii="Calibri" w:hAnsi="Calibri" w:cs="Calibri"/>
                <w:sz w:val="20"/>
                <w:szCs w:val="20"/>
              </w:rPr>
              <w:t>0</w:t>
            </w:r>
            <w:r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5280A773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C8194DC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2238A31A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1D5D47D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Review</w:t>
            </w:r>
          </w:p>
        </w:tc>
        <w:tc>
          <w:tcPr>
            <w:tcW w:w="997" w:type="dxa"/>
            <w:noWrap/>
            <w:vAlign w:val="bottom"/>
          </w:tcPr>
          <w:p w14:paraId="3345BA85" w14:textId="7C1E02D2" w:rsidR="00604776" w:rsidRPr="00514EDC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264</w:t>
            </w:r>
          </w:p>
        </w:tc>
        <w:tc>
          <w:tcPr>
            <w:tcW w:w="1465" w:type="dxa"/>
            <w:noWrap/>
            <w:vAlign w:val="bottom"/>
          </w:tcPr>
          <w:p w14:paraId="15114494" w14:textId="0E4C9580" w:rsidR="00604776" w:rsidRPr="00FB4975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9.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5D0C3159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07A328C3" w14:textId="77777777" w:rsidR="00604776" w:rsidRPr="00514EDC" w:rsidRDefault="00604776" w:rsidP="00604776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95F852D" w14:textId="55DFFBA5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0084DC01" w14:textId="0CC5C063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Standards/Repairs</w:t>
            </w:r>
          </w:p>
        </w:tc>
        <w:tc>
          <w:tcPr>
            <w:tcW w:w="997" w:type="dxa"/>
            <w:noWrap/>
            <w:vAlign w:val="bottom"/>
          </w:tcPr>
          <w:p w14:paraId="03F8BEE0" w14:textId="19724878" w:rsidR="00604776" w:rsidRDefault="00604776" w:rsidP="0086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5" w:type="dxa"/>
            <w:noWrap/>
            <w:vAlign w:val="bottom"/>
          </w:tcPr>
          <w:p w14:paraId="78BF46CD" w14:textId="5052E767" w:rsidR="00604776" w:rsidRPr="00FB4975" w:rsidRDefault="00604776" w:rsidP="0086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</w:tr>
      <w:tr w:rsidR="00604776" w:rsidRPr="00514EDC" w14:paraId="3414B3EF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048CAE7" w14:textId="77777777" w:rsidR="00604776" w:rsidRPr="00514EDC" w:rsidRDefault="00604776" w:rsidP="00604776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39CAB3A" w14:textId="3A8FA11B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3C61A976" w14:textId="33246EF0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Finding Accommodation</w:t>
            </w:r>
          </w:p>
        </w:tc>
        <w:tc>
          <w:tcPr>
            <w:tcW w:w="997" w:type="dxa"/>
            <w:noWrap/>
            <w:vAlign w:val="bottom"/>
          </w:tcPr>
          <w:p w14:paraId="09AEE219" w14:textId="17C0B6C5" w:rsidR="00604776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5" w:type="dxa"/>
            <w:noWrap/>
            <w:vAlign w:val="bottom"/>
          </w:tcPr>
          <w:p w14:paraId="15247E79" w14:textId="57306547" w:rsidR="00604776" w:rsidRPr="00FB4975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4.4%</w:t>
            </w:r>
          </w:p>
        </w:tc>
      </w:tr>
      <w:tr w:rsidR="00604776" w:rsidRPr="00514EDC" w14:paraId="79922092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CA4BDC5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471103FC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2D2B715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Arrears/Rent Problems</w:t>
            </w:r>
          </w:p>
        </w:tc>
        <w:tc>
          <w:tcPr>
            <w:tcW w:w="997" w:type="dxa"/>
            <w:noWrap/>
            <w:vAlign w:val="bottom"/>
          </w:tcPr>
          <w:p w14:paraId="18C686FC" w14:textId="72C66DD2" w:rsidR="00604776" w:rsidRPr="00514EDC" w:rsidRDefault="00604776" w:rsidP="0086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123</w:t>
            </w:r>
          </w:p>
        </w:tc>
        <w:tc>
          <w:tcPr>
            <w:tcW w:w="1465" w:type="dxa"/>
            <w:noWrap/>
            <w:vAlign w:val="bottom"/>
          </w:tcPr>
          <w:p w14:paraId="133529D2" w14:textId="6A68508A" w:rsidR="00604776" w:rsidRPr="00FB4975" w:rsidRDefault="00604776" w:rsidP="0086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</w:tr>
      <w:tr w:rsidR="00604776" w:rsidRPr="00514EDC" w14:paraId="2606CC0C" w14:textId="77777777" w:rsidTr="00EE0DCE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C92CB9E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69A48CA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37E71F70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Deposit Retention</w:t>
            </w:r>
          </w:p>
        </w:tc>
        <w:tc>
          <w:tcPr>
            <w:tcW w:w="997" w:type="dxa"/>
            <w:noWrap/>
            <w:vAlign w:val="bottom"/>
          </w:tcPr>
          <w:p w14:paraId="38ADCC0D" w14:textId="27678C8A" w:rsidR="00604776" w:rsidRPr="00514EDC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65" w:type="dxa"/>
            <w:noWrap/>
            <w:vAlign w:val="bottom"/>
          </w:tcPr>
          <w:p w14:paraId="7E79E9AF" w14:textId="2EC153CB" w:rsidR="00604776" w:rsidRPr="00FB4975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5F0615F8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DCEAA5E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2C6AD954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1A2024B0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Licensee</w:t>
            </w:r>
          </w:p>
        </w:tc>
        <w:tc>
          <w:tcPr>
            <w:tcW w:w="997" w:type="dxa"/>
            <w:noWrap/>
            <w:vAlign w:val="bottom"/>
          </w:tcPr>
          <w:p w14:paraId="5E2C3E1D" w14:textId="5456A3EC" w:rsidR="00604776" w:rsidRPr="00514EDC" w:rsidRDefault="00604776" w:rsidP="0086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66</w:t>
            </w:r>
          </w:p>
        </w:tc>
        <w:tc>
          <w:tcPr>
            <w:tcW w:w="1465" w:type="dxa"/>
            <w:noWrap/>
            <w:vAlign w:val="bottom"/>
            <w:hideMark/>
          </w:tcPr>
          <w:p w14:paraId="6257D7FE" w14:textId="568A5CBB" w:rsidR="00604776" w:rsidRPr="00FB4975" w:rsidRDefault="00604776" w:rsidP="0086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48DEFAD5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785BE1D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30DB0B0B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E437ACA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5DCA7065" w14:textId="335C45B7" w:rsidR="00604776" w:rsidRPr="00514EDC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2,912</w:t>
            </w:r>
          </w:p>
        </w:tc>
        <w:tc>
          <w:tcPr>
            <w:tcW w:w="1465" w:type="dxa"/>
            <w:noWrap/>
            <w:hideMark/>
          </w:tcPr>
          <w:p w14:paraId="3A46CACD" w14:textId="77777777" w:rsidR="00604776" w:rsidRPr="00514EDC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A6116" w:rsidRPr="00514EDC" w14:paraId="341A0831" w14:textId="77777777" w:rsidTr="00EB0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0645855E" w14:textId="40539D3D" w:rsidR="00BA6116" w:rsidRPr="00514EDC" w:rsidRDefault="00BA6116" w:rsidP="008640C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Housing Grants and Schemes</w:t>
            </w:r>
          </w:p>
        </w:tc>
      </w:tr>
      <w:tr w:rsidR="00BA6116" w:rsidRPr="00514EDC" w14:paraId="4DB0C852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ED25D39" w14:textId="3A8C12CD" w:rsidR="00BA6116" w:rsidRPr="00514EDC" w:rsidRDefault="00BA6116" w:rsidP="00BA6116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074F08AF" w14:textId="2ABA162C" w:rsidR="00BA6116" w:rsidRPr="00514EDC" w:rsidRDefault="00BA6116" w:rsidP="00BA6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5382" w:type="dxa"/>
            <w:noWrap/>
          </w:tcPr>
          <w:p w14:paraId="7E0CE528" w14:textId="3FF150CE" w:rsidR="00BA6116" w:rsidRPr="00514EDC" w:rsidRDefault="00BA6116" w:rsidP="00BA61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Housing Grants and Schemes</w:t>
            </w:r>
          </w:p>
        </w:tc>
        <w:tc>
          <w:tcPr>
            <w:tcW w:w="997" w:type="dxa"/>
            <w:noWrap/>
          </w:tcPr>
          <w:p w14:paraId="4FC02997" w14:textId="27B5B8DE" w:rsidR="00BA6116" w:rsidRDefault="00BA6116" w:rsidP="00BA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474</w:t>
            </w:r>
          </w:p>
        </w:tc>
        <w:tc>
          <w:tcPr>
            <w:tcW w:w="1465" w:type="dxa"/>
            <w:noWrap/>
          </w:tcPr>
          <w:p w14:paraId="1A085BA7" w14:textId="77777777" w:rsidR="00BA6116" w:rsidRPr="00514EDC" w:rsidRDefault="00BA6116" w:rsidP="00BA61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BA6116" w:rsidRPr="00514EDC" w14:paraId="112A2FC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01681E0" w14:textId="0181E1D0" w:rsidR="00BA6116" w:rsidRPr="00514EDC" w:rsidRDefault="00BA6116" w:rsidP="00BA6116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</w:tcPr>
          <w:p w14:paraId="3A8147D7" w14:textId="6EC08EC6" w:rsidR="00BA6116" w:rsidRPr="00514EDC" w:rsidRDefault="00BA6116" w:rsidP="00BA6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</w:tcPr>
          <w:p w14:paraId="0CADD84D" w14:textId="6C323432" w:rsidR="00BA6116" w:rsidRPr="00514EDC" w:rsidRDefault="00BA6116" w:rsidP="00BA61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044FC99C" w14:textId="5D0947B1" w:rsidR="00BA6116" w:rsidRDefault="00BA6116" w:rsidP="00BA61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474</w:t>
            </w:r>
          </w:p>
        </w:tc>
        <w:tc>
          <w:tcPr>
            <w:tcW w:w="1465" w:type="dxa"/>
            <w:noWrap/>
          </w:tcPr>
          <w:p w14:paraId="03F60BAA" w14:textId="48102FEF" w:rsidR="00BA6116" w:rsidRPr="00514EDC" w:rsidRDefault="00BA6116" w:rsidP="00BA61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025790" w:rsidRPr="00514EDC" w14:paraId="38545BDE" w14:textId="77777777" w:rsidTr="0026677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62FDA94A" w14:textId="30F380F1" w:rsidR="00025790" w:rsidRPr="00514EDC" w:rsidRDefault="00025790" w:rsidP="008640C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 Energy Grants (SEAI)</w:t>
            </w:r>
          </w:p>
        </w:tc>
      </w:tr>
      <w:tr w:rsidR="00025790" w:rsidRPr="00514EDC" w14:paraId="3046EE1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37843FB" w14:textId="07665C02" w:rsidR="00025790" w:rsidRPr="00514EDC" w:rsidRDefault="00025790" w:rsidP="00025790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07D4B048" w14:textId="7CE4690D" w:rsidR="00025790" w:rsidRPr="00514EDC" w:rsidRDefault="00025790" w:rsidP="00025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Home Energy Grants</w:t>
            </w:r>
          </w:p>
        </w:tc>
        <w:tc>
          <w:tcPr>
            <w:tcW w:w="5382" w:type="dxa"/>
            <w:noWrap/>
          </w:tcPr>
          <w:p w14:paraId="057B6133" w14:textId="619F1DFE" w:rsidR="00025790" w:rsidRPr="00514EDC" w:rsidRDefault="00025790" w:rsidP="00025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 Energy Grants</w:t>
            </w:r>
          </w:p>
        </w:tc>
        <w:tc>
          <w:tcPr>
            <w:tcW w:w="997" w:type="dxa"/>
            <w:noWrap/>
          </w:tcPr>
          <w:p w14:paraId="694C86FD" w14:textId="304E864C" w:rsidR="00025790" w:rsidRDefault="00025790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1,026</w:t>
            </w:r>
          </w:p>
        </w:tc>
        <w:tc>
          <w:tcPr>
            <w:tcW w:w="1465" w:type="dxa"/>
            <w:noWrap/>
          </w:tcPr>
          <w:p w14:paraId="37E39138" w14:textId="77777777" w:rsidR="00025790" w:rsidRPr="00514EDC" w:rsidRDefault="00025790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025790" w:rsidRPr="00514EDC" w14:paraId="03F29BCC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56A75EF" w14:textId="4F82D019" w:rsidR="00025790" w:rsidRPr="00514EDC" w:rsidRDefault="00025790" w:rsidP="00025790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</w:tcPr>
          <w:p w14:paraId="403B3135" w14:textId="68763BA7" w:rsidR="00025790" w:rsidRPr="00514EDC" w:rsidRDefault="00025790" w:rsidP="00025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</w:tcPr>
          <w:p w14:paraId="39DBA0DC" w14:textId="1ADB5714" w:rsidR="00025790" w:rsidRPr="00514EDC" w:rsidRDefault="00025790" w:rsidP="00025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39B6F343" w14:textId="6BA852D6" w:rsidR="00025790" w:rsidRDefault="00025790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1,026</w:t>
            </w:r>
          </w:p>
        </w:tc>
        <w:tc>
          <w:tcPr>
            <w:tcW w:w="1465" w:type="dxa"/>
            <w:noWrap/>
          </w:tcPr>
          <w:p w14:paraId="3A9F14ED" w14:textId="337EBAE7" w:rsidR="00025790" w:rsidRPr="00514EDC" w:rsidRDefault="00025790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04776" w:rsidRPr="00514EDC" w14:paraId="6AE74C8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5005003F" w14:textId="77777777" w:rsidR="00604776" w:rsidRPr="00514EDC" w:rsidRDefault="00604776" w:rsidP="0060477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lastRenderedPageBreak/>
              <w:t>Other</w:t>
            </w:r>
          </w:p>
        </w:tc>
      </w:tr>
      <w:tr w:rsidR="008657D5" w:rsidRPr="00514EDC" w14:paraId="2AF626DB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66F9023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40F97870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Other</w:t>
            </w:r>
          </w:p>
        </w:tc>
        <w:tc>
          <w:tcPr>
            <w:tcW w:w="5382" w:type="dxa"/>
            <w:noWrap/>
            <w:hideMark/>
          </w:tcPr>
          <w:p w14:paraId="3D8E45D7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97" w:type="dxa"/>
            <w:noWrap/>
          </w:tcPr>
          <w:p w14:paraId="161A2B31" w14:textId="7A01C30C" w:rsidR="00604776" w:rsidRPr="00514EDC" w:rsidRDefault="00604776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806</w:t>
            </w:r>
          </w:p>
        </w:tc>
        <w:tc>
          <w:tcPr>
            <w:tcW w:w="1465" w:type="dxa"/>
            <w:noWrap/>
          </w:tcPr>
          <w:p w14:paraId="04F7A15D" w14:textId="77777777" w:rsidR="00604776" w:rsidRPr="00514EDC" w:rsidRDefault="00604776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8657D5" w:rsidRPr="00514EDC" w14:paraId="4E03AC8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03D70A2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016BEDC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3A4C6C0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7369A2DE" w14:textId="7BC93907" w:rsidR="00604776" w:rsidRPr="00514EDC" w:rsidRDefault="00604776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806</w:t>
            </w:r>
          </w:p>
        </w:tc>
        <w:tc>
          <w:tcPr>
            <w:tcW w:w="1465" w:type="dxa"/>
            <w:noWrap/>
            <w:hideMark/>
          </w:tcPr>
          <w:p w14:paraId="369A06CD" w14:textId="77777777" w:rsidR="00604776" w:rsidRPr="00514EDC" w:rsidRDefault="00604776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04776" w:rsidRPr="00514EDC" w14:paraId="2ED4688D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7DFEB0DF" w14:textId="77777777" w:rsidR="00604776" w:rsidRPr="00514EDC" w:rsidRDefault="00604776" w:rsidP="00F609C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Homelessness</w:t>
            </w:r>
          </w:p>
        </w:tc>
      </w:tr>
      <w:tr w:rsidR="008657D5" w:rsidRPr="00514EDC" w14:paraId="5D137F0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5BBC7B6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2FE94678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Homelessness</w:t>
            </w:r>
          </w:p>
        </w:tc>
        <w:tc>
          <w:tcPr>
            <w:tcW w:w="5382" w:type="dxa"/>
            <w:noWrap/>
            <w:hideMark/>
          </w:tcPr>
          <w:p w14:paraId="234129A9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997" w:type="dxa"/>
            <w:noWrap/>
            <w:hideMark/>
          </w:tcPr>
          <w:p w14:paraId="15E7F77D" w14:textId="5A9C891A" w:rsidR="00604776" w:rsidRPr="00514EDC" w:rsidRDefault="00604776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703</w:t>
            </w:r>
          </w:p>
        </w:tc>
        <w:tc>
          <w:tcPr>
            <w:tcW w:w="1465" w:type="dxa"/>
            <w:noWrap/>
          </w:tcPr>
          <w:p w14:paraId="7F0E27A2" w14:textId="77777777" w:rsidR="00604776" w:rsidRPr="00514EDC" w:rsidRDefault="00604776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8657D5" w:rsidRPr="00514EDC" w14:paraId="25B06656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FFC9E62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2954FEF4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CC598F4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038998F8" w14:textId="5030C8C3" w:rsidR="00604776" w:rsidRPr="00514EDC" w:rsidRDefault="00604776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703</w:t>
            </w:r>
          </w:p>
        </w:tc>
        <w:tc>
          <w:tcPr>
            <w:tcW w:w="1465" w:type="dxa"/>
            <w:noWrap/>
            <w:hideMark/>
          </w:tcPr>
          <w:p w14:paraId="50BE0AC7" w14:textId="77777777" w:rsidR="00604776" w:rsidRPr="00514EDC" w:rsidRDefault="00604776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04776" w:rsidRPr="00514EDC" w14:paraId="0994705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03B9A20" w14:textId="77777777" w:rsidR="00604776" w:rsidRPr="00514EDC" w:rsidRDefault="00604776" w:rsidP="00F609C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Buying a Home</w:t>
            </w:r>
          </w:p>
        </w:tc>
      </w:tr>
      <w:tr w:rsidR="008657D5" w:rsidRPr="00514EDC" w14:paraId="4B1F3841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EA7056A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88777C3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Buying a Home</w:t>
            </w:r>
          </w:p>
        </w:tc>
        <w:tc>
          <w:tcPr>
            <w:tcW w:w="5382" w:type="dxa"/>
            <w:noWrap/>
            <w:hideMark/>
          </w:tcPr>
          <w:p w14:paraId="500A2A46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997" w:type="dxa"/>
            <w:noWrap/>
          </w:tcPr>
          <w:p w14:paraId="3104AAFE" w14:textId="28C7A228" w:rsidR="00604776" w:rsidRPr="00514EDC" w:rsidRDefault="00604776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394</w:t>
            </w:r>
          </w:p>
        </w:tc>
        <w:tc>
          <w:tcPr>
            <w:tcW w:w="1465" w:type="dxa"/>
            <w:noWrap/>
            <w:hideMark/>
          </w:tcPr>
          <w:p w14:paraId="1B208F1E" w14:textId="77777777" w:rsidR="00604776" w:rsidRPr="00514EDC" w:rsidRDefault="00604776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8657D5" w:rsidRPr="00514EDC" w14:paraId="6388D58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7BE04F6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FD101B3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03AE993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5F1F730F" w14:textId="4F042E4B" w:rsidR="00604776" w:rsidRPr="00514EDC" w:rsidRDefault="00604776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394</w:t>
            </w:r>
          </w:p>
        </w:tc>
        <w:tc>
          <w:tcPr>
            <w:tcW w:w="1465" w:type="dxa"/>
            <w:noWrap/>
            <w:hideMark/>
          </w:tcPr>
          <w:p w14:paraId="548DEB4D" w14:textId="77777777" w:rsidR="00604776" w:rsidRPr="00514EDC" w:rsidRDefault="00604776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025790" w:rsidRPr="00514EDC" w14:paraId="6EB33AE6" w14:textId="77777777" w:rsidTr="0026677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34990DCD" w14:textId="286FF3B8" w:rsidR="00025790" w:rsidRPr="00514EDC" w:rsidRDefault="00025790" w:rsidP="00025790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All other sub-categories (&lt;100 queries) *</w:t>
            </w:r>
          </w:p>
        </w:tc>
      </w:tr>
      <w:tr w:rsidR="008657D5" w:rsidRPr="00514EDC" w14:paraId="69FA4A9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84328E1" w14:textId="77777777" w:rsidR="00025790" w:rsidRPr="00514EDC" w:rsidRDefault="00025790" w:rsidP="00025790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38416F4" w14:textId="3428B7BF" w:rsidR="00025790" w:rsidRPr="00514EDC" w:rsidRDefault="00025790" w:rsidP="00025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</w:tcPr>
          <w:p w14:paraId="0D7178F8" w14:textId="191DE5D8" w:rsidR="00025790" w:rsidRPr="00514EDC" w:rsidRDefault="00025790" w:rsidP="00025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997" w:type="dxa"/>
            <w:noWrap/>
          </w:tcPr>
          <w:p w14:paraId="553A6BE7" w14:textId="2B073F93" w:rsidR="00025790" w:rsidRDefault="00025790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228</w:t>
            </w:r>
          </w:p>
        </w:tc>
        <w:tc>
          <w:tcPr>
            <w:tcW w:w="1465" w:type="dxa"/>
            <w:noWrap/>
          </w:tcPr>
          <w:p w14:paraId="3D4A6465" w14:textId="77777777" w:rsidR="00025790" w:rsidRPr="00514EDC" w:rsidRDefault="00025790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8657D5" w:rsidRPr="00514EDC" w14:paraId="45CA36F1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1F41954" w14:textId="77777777" w:rsidR="00025790" w:rsidRPr="00514EDC" w:rsidRDefault="00025790" w:rsidP="00025790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2C7C63A3" w14:textId="501EB568" w:rsidR="00025790" w:rsidRPr="00514EDC" w:rsidRDefault="00025790" w:rsidP="00025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</w:tcPr>
          <w:p w14:paraId="3B073FED" w14:textId="452229CD" w:rsidR="00025790" w:rsidRPr="004F2151" w:rsidRDefault="00025790" w:rsidP="00025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F21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202C4D87" w14:textId="4AAA8134" w:rsidR="00025790" w:rsidRPr="004F2151" w:rsidRDefault="00025790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F21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228</w:t>
            </w:r>
          </w:p>
        </w:tc>
        <w:tc>
          <w:tcPr>
            <w:tcW w:w="1465" w:type="dxa"/>
            <w:noWrap/>
          </w:tcPr>
          <w:p w14:paraId="5EA6F322" w14:textId="0A2B78AB" w:rsidR="00025790" w:rsidRPr="004F2151" w:rsidRDefault="00025790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04776" w:rsidRPr="00514EDC" w14:paraId="0DFC7AD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137516E8" w14:textId="77777777" w:rsidR="00604776" w:rsidRPr="00514EDC" w:rsidRDefault="00604776" w:rsidP="00F609C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Planning Permission</w:t>
            </w:r>
          </w:p>
        </w:tc>
      </w:tr>
      <w:tr w:rsidR="008657D5" w:rsidRPr="00514EDC" w14:paraId="207532B2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A01DC5B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246F5CC3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Planning Permission</w:t>
            </w:r>
          </w:p>
        </w:tc>
        <w:tc>
          <w:tcPr>
            <w:tcW w:w="5382" w:type="dxa"/>
            <w:noWrap/>
            <w:hideMark/>
          </w:tcPr>
          <w:p w14:paraId="5F46662D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997" w:type="dxa"/>
            <w:noWrap/>
            <w:hideMark/>
          </w:tcPr>
          <w:p w14:paraId="2ACAB52D" w14:textId="2EB305D1" w:rsidR="00604776" w:rsidRPr="00514EDC" w:rsidRDefault="00604776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92</w:t>
            </w:r>
          </w:p>
        </w:tc>
        <w:tc>
          <w:tcPr>
            <w:tcW w:w="1465" w:type="dxa"/>
            <w:noWrap/>
          </w:tcPr>
          <w:p w14:paraId="3D95373F" w14:textId="77777777" w:rsidR="00604776" w:rsidRPr="00514EDC" w:rsidRDefault="00604776" w:rsidP="00F609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8657D5" w:rsidRPr="00514EDC" w14:paraId="72F95BA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B26A317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244B8DB0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018754BC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3FCA61D3" w14:textId="13EB041B" w:rsidR="00604776" w:rsidRPr="00514EDC" w:rsidRDefault="00604776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92</w:t>
            </w:r>
          </w:p>
        </w:tc>
        <w:tc>
          <w:tcPr>
            <w:tcW w:w="1465" w:type="dxa"/>
            <w:noWrap/>
          </w:tcPr>
          <w:p w14:paraId="5217B7F7" w14:textId="77777777" w:rsidR="00604776" w:rsidRPr="00514EDC" w:rsidRDefault="00604776" w:rsidP="00F60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8657D5" w:rsidRPr="00514EDC" w14:paraId="50029CCF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4C6DFBE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6C82570F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F52CEE3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997" w:type="dxa"/>
            <w:noWrap/>
            <w:hideMark/>
          </w:tcPr>
          <w:p w14:paraId="06D7BECC" w14:textId="6470E65D" w:rsidR="00604776" w:rsidRPr="00514EDC" w:rsidRDefault="00604776" w:rsidP="006047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17,345</w:t>
            </w:r>
          </w:p>
        </w:tc>
        <w:tc>
          <w:tcPr>
            <w:tcW w:w="1465" w:type="dxa"/>
            <w:noWrap/>
          </w:tcPr>
          <w:p w14:paraId="1DBF53E8" w14:textId="77777777" w:rsidR="00604776" w:rsidRPr="00514EDC" w:rsidRDefault="00604776" w:rsidP="006047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0F468D84" w14:textId="33DA0703" w:rsidR="00942712" w:rsidRDefault="00942712" w:rsidP="00942712">
      <w:pPr>
        <w:rPr>
          <w:sz w:val="20"/>
          <w:szCs w:val="20"/>
          <w:lang w:val="en-US"/>
        </w:rPr>
      </w:pPr>
      <w:r w:rsidRPr="0038793B">
        <w:rPr>
          <w:b/>
          <w:lang w:val="en-US"/>
        </w:rPr>
        <w:t>*</w:t>
      </w:r>
      <w:r w:rsidRPr="0038793B">
        <w:rPr>
          <w:sz w:val="20"/>
          <w:szCs w:val="20"/>
          <w:lang w:val="en-US"/>
        </w:rPr>
        <w:t>All other sub-categories include the following query areas:</w:t>
      </w:r>
      <w:r>
        <w:rPr>
          <w:sz w:val="20"/>
          <w:szCs w:val="20"/>
          <w:lang w:val="en-US"/>
        </w:rPr>
        <w:t xml:space="preserve"> Losing your </w:t>
      </w:r>
      <w:r w:rsidR="00D96339">
        <w:rPr>
          <w:sz w:val="20"/>
          <w:szCs w:val="20"/>
          <w:lang w:val="en-US"/>
        </w:rPr>
        <w:t>Home; Building</w:t>
      </w:r>
      <w:r w:rsidRPr="0038793B">
        <w:rPr>
          <w:sz w:val="20"/>
          <w:szCs w:val="20"/>
          <w:lang w:val="en-US"/>
        </w:rPr>
        <w:t xml:space="preserve"> or Altering a </w:t>
      </w:r>
      <w:r w:rsidR="00025790" w:rsidRPr="0038793B">
        <w:rPr>
          <w:sz w:val="20"/>
          <w:szCs w:val="20"/>
          <w:lang w:val="en-US"/>
        </w:rPr>
        <w:t>Home</w:t>
      </w:r>
      <w:r w:rsidR="00025790">
        <w:rPr>
          <w:sz w:val="20"/>
          <w:szCs w:val="20"/>
          <w:lang w:val="en-US"/>
        </w:rPr>
        <w:t>;</w:t>
      </w:r>
      <w:r w:rsidRPr="0038793B">
        <w:rPr>
          <w:sz w:val="20"/>
          <w:szCs w:val="20"/>
          <w:lang w:val="en-US"/>
        </w:rPr>
        <w:t xml:space="preserve"> Emergency </w:t>
      </w:r>
      <w:r w:rsidR="00F609C8" w:rsidRPr="0038793B">
        <w:rPr>
          <w:sz w:val="20"/>
          <w:szCs w:val="20"/>
          <w:lang w:val="en-US"/>
        </w:rPr>
        <w:t>Accommodation</w:t>
      </w:r>
      <w:r w:rsidR="00F609C8">
        <w:rPr>
          <w:sz w:val="20"/>
          <w:szCs w:val="20"/>
          <w:lang w:val="en-US"/>
        </w:rPr>
        <w:t>;</w:t>
      </w:r>
      <w:r w:rsidRPr="0038793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Equa</w:t>
      </w:r>
      <w:r w:rsidRPr="0038793B">
        <w:rPr>
          <w:sz w:val="20"/>
          <w:szCs w:val="20"/>
          <w:lang w:val="en-US"/>
        </w:rPr>
        <w:t>lity/Housing Discrimination</w:t>
      </w:r>
      <w:r>
        <w:rPr>
          <w:sz w:val="20"/>
          <w:szCs w:val="20"/>
          <w:lang w:val="en-US"/>
        </w:rPr>
        <w:t xml:space="preserve"> and Management Companies - Apartment Blocks</w:t>
      </w:r>
      <w:r w:rsidR="00DA69C5">
        <w:rPr>
          <w:sz w:val="20"/>
          <w:szCs w:val="20"/>
          <w:lang w:val="en-US"/>
        </w:rPr>
        <w:t>.</w:t>
      </w:r>
    </w:p>
    <w:p w14:paraId="4121473A" w14:textId="77777777" w:rsidR="00F37403" w:rsidRDefault="00F37403" w:rsidP="00942712">
      <w:pPr>
        <w:rPr>
          <w:b/>
          <w:sz w:val="22"/>
          <w:szCs w:val="22"/>
          <w:lang w:val="en-US"/>
        </w:rPr>
      </w:pPr>
    </w:p>
    <w:p w14:paraId="27F33E60" w14:textId="6AB18514" w:rsidR="00F37403" w:rsidRDefault="00CF504B" w:rsidP="00942712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14:paraId="2443B407" w14:textId="77777777" w:rsidR="00C6051A" w:rsidRDefault="00C6051A" w:rsidP="00BA6116">
      <w:pPr>
        <w:jc w:val="both"/>
        <w:rPr>
          <w:b/>
          <w:sz w:val="22"/>
          <w:szCs w:val="22"/>
          <w:lang w:val="en-US"/>
        </w:rPr>
        <w:sectPr w:rsidR="00C6051A" w:rsidSect="00B0711C">
          <w:pgSz w:w="16838" w:h="11906" w:orient="landscape" w:code="9"/>
          <w:pgMar w:top="720" w:right="720" w:bottom="720" w:left="720" w:header="964" w:footer="709" w:gutter="0"/>
          <w:cols w:space="708"/>
          <w:docGrid w:linePitch="360"/>
        </w:sectPr>
      </w:pPr>
    </w:p>
    <w:p w14:paraId="0E67C01F" w14:textId="4AA03084" w:rsidR="00942712" w:rsidRPr="00FB4975" w:rsidRDefault="00942712" w:rsidP="00BA6116">
      <w:pPr>
        <w:jc w:val="both"/>
        <w:rPr>
          <w:b/>
          <w:color w:val="FF0000"/>
          <w:sz w:val="22"/>
          <w:szCs w:val="22"/>
          <w:lang w:val="en-US"/>
        </w:rPr>
      </w:pPr>
      <w:r w:rsidRPr="00420C57">
        <w:rPr>
          <w:b/>
          <w:sz w:val="22"/>
          <w:szCs w:val="22"/>
          <w:lang w:val="en-US"/>
        </w:rPr>
        <w:lastRenderedPageBreak/>
        <w:t>Table 8</w:t>
      </w:r>
      <w:r w:rsidRPr="00420C57">
        <w:rPr>
          <w:sz w:val="22"/>
          <w:szCs w:val="22"/>
          <w:lang w:val="en-US"/>
        </w:rPr>
        <w:t xml:space="preserve"> sets out the </w:t>
      </w:r>
      <w:r w:rsidR="00E31CC1">
        <w:rPr>
          <w:b/>
          <w:sz w:val="22"/>
          <w:szCs w:val="22"/>
          <w:lang w:val="en-US"/>
        </w:rPr>
        <w:t>H</w:t>
      </w:r>
      <w:r w:rsidR="003F434C" w:rsidRPr="00420C57">
        <w:rPr>
          <w:b/>
          <w:sz w:val="22"/>
          <w:szCs w:val="22"/>
          <w:lang w:val="en-US"/>
        </w:rPr>
        <w:t>ealth</w:t>
      </w:r>
      <w:r w:rsidRPr="00420C57">
        <w:rPr>
          <w:b/>
          <w:sz w:val="22"/>
          <w:szCs w:val="22"/>
          <w:lang w:val="en-US"/>
        </w:rPr>
        <w:t xml:space="preserve"> </w:t>
      </w:r>
      <w:r w:rsidRPr="00420C57">
        <w:rPr>
          <w:sz w:val="22"/>
          <w:szCs w:val="22"/>
          <w:lang w:val="en-US"/>
        </w:rPr>
        <w:t xml:space="preserve">query dataset for Quarter </w:t>
      </w:r>
      <w:r w:rsidR="00FB4975">
        <w:rPr>
          <w:sz w:val="22"/>
          <w:szCs w:val="22"/>
          <w:lang w:val="en-US"/>
        </w:rPr>
        <w:t>4</w:t>
      </w:r>
      <w:r w:rsidRPr="00420C57">
        <w:rPr>
          <w:sz w:val="22"/>
          <w:szCs w:val="22"/>
          <w:lang w:val="en-US"/>
        </w:rPr>
        <w:t xml:space="preserve">, 2022. </w:t>
      </w:r>
      <w:r w:rsidRPr="00CF504B">
        <w:rPr>
          <w:rFonts w:eastAsiaTheme="majorEastAsia"/>
          <w:color w:val="auto"/>
          <w:sz w:val="22"/>
          <w:szCs w:val="22"/>
          <w:lang w:val="en-US"/>
        </w:rPr>
        <w:t xml:space="preserve">Health </w:t>
      </w:r>
      <w:r w:rsidR="00CF504B">
        <w:rPr>
          <w:rFonts w:eastAsiaTheme="majorEastAsia"/>
          <w:color w:val="auto"/>
          <w:sz w:val="22"/>
          <w:szCs w:val="22"/>
          <w:lang w:val="en-US"/>
        </w:rPr>
        <w:t xml:space="preserve">queries represented </w:t>
      </w:r>
      <w:r w:rsidR="00CF504B" w:rsidRPr="00CF504B">
        <w:rPr>
          <w:rFonts w:eastAsiaTheme="majorEastAsia"/>
          <w:color w:val="auto"/>
          <w:sz w:val="22"/>
          <w:szCs w:val="22"/>
          <w:lang w:val="en-US"/>
        </w:rPr>
        <w:t>7</w:t>
      </w:r>
      <w:r w:rsidR="00CE5A79">
        <w:rPr>
          <w:rFonts w:eastAsiaTheme="majorEastAsia"/>
          <w:color w:val="auto"/>
          <w:sz w:val="22"/>
          <w:szCs w:val="22"/>
          <w:lang w:val="en-US"/>
        </w:rPr>
        <w:t>.0</w:t>
      </w:r>
      <w:r w:rsidRPr="00CF504B">
        <w:rPr>
          <w:rFonts w:eastAsiaTheme="majorEastAsia"/>
          <w:color w:val="auto"/>
          <w:sz w:val="22"/>
          <w:szCs w:val="22"/>
          <w:lang w:val="en-US"/>
        </w:rPr>
        <w:t xml:space="preserve">% of all queries </w:t>
      </w:r>
      <w:r w:rsidR="00CF504B">
        <w:rPr>
          <w:rFonts w:eastAsiaTheme="majorEastAsia"/>
          <w:color w:val="auto"/>
          <w:sz w:val="22"/>
          <w:szCs w:val="22"/>
          <w:lang w:val="en-US"/>
        </w:rPr>
        <w:t>in Q4 2022 (13,229)</w:t>
      </w:r>
      <w:r w:rsidR="00DA69C5">
        <w:rPr>
          <w:rFonts w:eastAsiaTheme="majorEastAsia"/>
          <w:color w:val="auto"/>
          <w:sz w:val="22"/>
          <w:szCs w:val="22"/>
          <w:lang w:val="en-US"/>
        </w:rPr>
        <w:t>, an increase of 22</w:t>
      </w:r>
      <w:r w:rsidR="00A97609">
        <w:rPr>
          <w:rFonts w:eastAsiaTheme="majorEastAsia"/>
          <w:color w:val="auto"/>
          <w:sz w:val="22"/>
          <w:szCs w:val="22"/>
          <w:lang w:val="en-US"/>
        </w:rPr>
        <w:t>.1</w:t>
      </w:r>
      <w:r w:rsidR="00DA69C5">
        <w:rPr>
          <w:rFonts w:eastAsiaTheme="majorEastAsia"/>
          <w:color w:val="auto"/>
          <w:sz w:val="22"/>
          <w:szCs w:val="22"/>
          <w:lang w:val="en-US"/>
        </w:rPr>
        <w:t>% on the same quarter last year</w:t>
      </w:r>
      <w:r w:rsidRPr="00CF504B">
        <w:rPr>
          <w:rFonts w:eastAsiaTheme="majorEastAsia"/>
          <w:color w:val="auto"/>
          <w:sz w:val="22"/>
          <w:szCs w:val="22"/>
          <w:lang w:val="en-US"/>
        </w:rPr>
        <w:t>. The Health category essentially covers health service entitlements and eligibility with the main query area being Medical Card related concerns.</w:t>
      </w:r>
    </w:p>
    <w:p w14:paraId="2C230644" w14:textId="74FEA5E7" w:rsidR="00D96339" w:rsidRDefault="00922A7C" w:rsidP="00025790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 w:rsidRPr="00A76ACB">
        <w:rPr>
          <w:rFonts w:ascii="Calibri" w:hAnsi="Calibri" w:cs="Calibri"/>
          <w:color w:val="auto"/>
          <w:sz w:val="22"/>
          <w:szCs w:val="22"/>
          <w:lang w:val="en-US"/>
        </w:rPr>
        <w:t>Q4</w:t>
      </w:r>
      <w:r w:rsidR="00942712" w:rsidRPr="00A76ACB">
        <w:rPr>
          <w:rFonts w:ascii="Calibri" w:hAnsi="Calibri" w:cs="Calibri"/>
          <w:color w:val="auto"/>
          <w:sz w:val="22"/>
          <w:szCs w:val="22"/>
          <w:lang w:val="en-US"/>
        </w:rPr>
        <w:t xml:space="preserve"> 2022 showed some changes in the type, as well as the amount, of </w:t>
      </w:r>
      <w:r w:rsidR="00942712" w:rsidRPr="00A76ACB">
        <w:rPr>
          <w:rFonts w:ascii="Calibri" w:hAnsi="Calibri" w:cs="Calibri"/>
          <w:b/>
          <w:color w:val="auto"/>
          <w:sz w:val="22"/>
          <w:szCs w:val="22"/>
          <w:lang w:val="en-US"/>
        </w:rPr>
        <w:t>Health</w:t>
      </w:r>
      <w:r w:rsidR="00942712" w:rsidRPr="00A76ACB">
        <w:rPr>
          <w:rFonts w:ascii="Calibri" w:hAnsi="Calibri" w:cs="Calibri"/>
          <w:color w:val="auto"/>
          <w:sz w:val="22"/>
          <w:szCs w:val="22"/>
          <w:lang w:val="en-US"/>
        </w:rPr>
        <w:t xml:space="preserve"> queries received from the public: </w:t>
      </w:r>
    </w:p>
    <w:p w14:paraId="682F763E" w14:textId="77777777" w:rsidR="00025790" w:rsidRPr="00025790" w:rsidRDefault="00025790" w:rsidP="00025790">
      <w:pPr>
        <w:rPr>
          <w:lang w:val="en-US"/>
        </w:rPr>
      </w:pPr>
    </w:p>
    <w:p w14:paraId="2BD89B0A" w14:textId="5555D587" w:rsidR="00942712" w:rsidRPr="00974B0C" w:rsidRDefault="00942712" w:rsidP="00E442A6">
      <w:pPr>
        <w:pStyle w:val="ListParagraph"/>
        <w:rPr>
          <w:rFonts w:ascii="Calibri" w:hAnsi="Calibri" w:cs="Calibri"/>
          <w:sz w:val="22"/>
          <w:szCs w:val="20"/>
          <w:lang w:val="en-US"/>
        </w:rPr>
      </w:pPr>
      <w:r w:rsidRPr="00974B0C">
        <w:rPr>
          <w:rFonts w:ascii="Calibri" w:hAnsi="Calibri" w:cs="Calibri"/>
          <w:b/>
          <w:sz w:val="22"/>
          <w:szCs w:val="20"/>
          <w:lang w:val="en-US"/>
        </w:rPr>
        <w:t>Medical Card</w:t>
      </w:r>
      <w:r w:rsidRPr="00974B0C">
        <w:rPr>
          <w:rFonts w:ascii="Calibri" w:hAnsi="Calibri" w:cs="Calibri"/>
          <w:sz w:val="22"/>
          <w:szCs w:val="20"/>
          <w:lang w:val="en-US"/>
        </w:rPr>
        <w:t xml:space="preserve"> queries increased from </w:t>
      </w:r>
      <w:r w:rsidR="0064174E" w:rsidRPr="00974B0C">
        <w:rPr>
          <w:rFonts w:ascii="Calibri" w:hAnsi="Calibri" w:cs="Calibri"/>
          <w:sz w:val="22"/>
          <w:szCs w:val="20"/>
          <w:lang w:val="en-US"/>
        </w:rPr>
        <w:t>6,702</w:t>
      </w:r>
      <w:r w:rsidRPr="00974B0C">
        <w:rPr>
          <w:rFonts w:ascii="Calibri" w:hAnsi="Calibri" w:cs="Calibri"/>
          <w:sz w:val="22"/>
          <w:szCs w:val="20"/>
          <w:lang w:val="en-US"/>
        </w:rPr>
        <w:t xml:space="preserve"> in </w:t>
      </w:r>
      <w:r w:rsidR="00922A7C" w:rsidRPr="00974B0C">
        <w:rPr>
          <w:rFonts w:ascii="Calibri" w:hAnsi="Calibri" w:cs="Calibri"/>
          <w:sz w:val="22"/>
          <w:szCs w:val="20"/>
          <w:lang w:val="en-US"/>
        </w:rPr>
        <w:t>Q4</w:t>
      </w:r>
      <w:r w:rsidRPr="00974B0C">
        <w:rPr>
          <w:rFonts w:ascii="Calibri" w:hAnsi="Calibri" w:cs="Calibri"/>
          <w:sz w:val="22"/>
          <w:szCs w:val="20"/>
          <w:lang w:val="en-US"/>
        </w:rPr>
        <w:t xml:space="preserve"> 2021 to </w:t>
      </w:r>
      <w:r w:rsidR="0064174E" w:rsidRPr="00974B0C">
        <w:rPr>
          <w:rFonts w:ascii="Calibri" w:hAnsi="Calibri" w:cs="Calibri"/>
          <w:b/>
          <w:sz w:val="22"/>
          <w:szCs w:val="20"/>
          <w:lang w:val="en-US"/>
        </w:rPr>
        <w:t>8,419</w:t>
      </w:r>
      <w:r w:rsidRPr="00974B0C">
        <w:rPr>
          <w:rFonts w:ascii="Calibri" w:hAnsi="Calibri" w:cs="Calibri"/>
          <w:sz w:val="22"/>
          <w:szCs w:val="20"/>
          <w:lang w:val="en-US"/>
        </w:rPr>
        <w:t xml:space="preserve"> </w:t>
      </w:r>
      <w:r w:rsidRPr="00974B0C">
        <w:rPr>
          <w:rFonts w:ascii="Calibri" w:hAnsi="Calibri" w:cs="Calibri"/>
          <w:b/>
          <w:sz w:val="22"/>
          <w:szCs w:val="20"/>
          <w:lang w:val="en-US"/>
        </w:rPr>
        <w:t xml:space="preserve">in </w:t>
      </w:r>
      <w:r w:rsidR="00922A7C" w:rsidRPr="00974B0C">
        <w:rPr>
          <w:rFonts w:ascii="Calibri" w:hAnsi="Calibri" w:cs="Calibri"/>
          <w:b/>
          <w:sz w:val="22"/>
          <w:szCs w:val="20"/>
          <w:lang w:val="en-US"/>
        </w:rPr>
        <w:t>Q4</w:t>
      </w:r>
      <w:r w:rsidRPr="00974B0C">
        <w:rPr>
          <w:rFonts w:ascii="Calibri" w:hAnsi="Calibri" w:cs="Calibri"/>
          <w:b/>
          <w:sz w:val="22"/>
          <w:szCs w:val="20"/>
          <w:lang w:val="en-US"/>
        </w:rPr>
        <w:t xml:space="preserve"> 2022</w:t>
      </w:r>
      <w:r w:rsidRPr="00974B0C">
        <w:rPr>
          <w:rFonts w:ascii="Calibri" w:hAnsi="Calibri" w:cs="Calibri"/>
          <w:sz w:val="22"/>
          <w:szCs w:val="20"/>
          <w:lang w:val="en-US"/>
        </w:rPr>
        <w:t xml:space="preserve"> (+2</w:t>
      </w:r>
      <w:r w:rsidR="0064174E" w:rsidRPr="00974B0C">
        <w:rPr>
          <w:rFonts w:ascii="Calibri" w:hAnsi="Calibri" w:cs="Calibri"/>
          <w:sz w:val="22"/>
          <w:szCs w:val="20"/>
          <w:lang w:val="en-US"/>
        </w:rPr>
        <w:t>5</w:t>
      </w:r>
      <w:r w:rsidRPr="00974B0C">
        <w:rPr>
          <w:rFonts w:ascii="Calibri" w:hAnsi="Calibri" w:cs="Calibri"/>
          <w:sz w:val="22"/>
          <w:szCs w:val="20"/>
          <w:lang w:val="en-US"/>
        </w:rPr>
        <w:t>.</w:t>
      </w:r>
      <w:r w:rsidR="0064174E" w:rsidRPr="00974B0C">
        <w:rPr>
          <w:rFonts w:ascii="Calibri" w:hAnsi="Calibri" w:cs="Calibri"/>
          <w:sz w:val="22"/>
          <w:szCs w:val="20"/>
          <w:lang w:val="en-US"/>
        </w:rPr>
        <w:t>6</w:t>
      </w:r>
      <w:r w:rsidRPr="00974B0C">
        <w:rPr>
          <w:rFonts w:ascii="Calibri" w:hAnsi="Calibri" w:cs="Calibri"/>
          <w:sz w:val="22"/>
          <w:szCs w:val="20"/>
          <w:lang w:val="en-US"/>
        </w:rPr>
        <w:t>%) to represent 6</w:t>
      </w:r>
      <w:r w:rsidR="000738D2" w:rsidRPr="00974B0C">
        <w:rPr>
          <w:rFonts w:ascii="Calibri" w:hAnsi="Calibri" w:cs="Calibri"/>
          <w:sz w:val="22"/>
          <w:szCs w:val="20"/>
          <w:lang w:val="en-US"/>
        </w:rPr>
        <w:t>3.6</w:t>
      </w:r>
      <w:r w:rsidRPr="00974B0C">
        <w:rPr>
          <w:rFonts w:ascii="Calibri" w:hAnsi="Calibri" w:cs="Calibri"/>
          <w:sz w:val="22"/>
          <w:szCs w:val="20"/>
          <w:lang w:val="en-US"/>
        </w:rPr>
        <w:t>% of all Health queries, up from 6</w:t>
      </w:r>
      <w:r w:rsidR="00904CFF" w:rsidRPr="00974B0C">
        <w:rPr>
          <w:rFonts w:ascii="Calibri" w:hAnsi="Calibri" w:cs="Calibri"/>
          <w:sz w:val="22"/>
          <w:szCs w:val="20"/>
          <w:lang w:val="en-US"/>
        </w:rPr>
        <w:t>1.8</w:t>
      </w:r>
      <w:r w:rsidRPr="00974B0C">
        <w:rPr>
          <w:rFonts w:ascii="Calibri" w:hAnsi="Calibri" w:cs="Calibri"/>
          <w:sz w:val="22"/>
          <w:szCs w:val="20"/>
          <w:lang w:val="en-US"/>
        </w:rPr>
        <w:t xml:space="preserve">% in </w:t>
      </w:r>
      <w:r w:rsidR="00922A7C" w:rsidRPr="00974B0C">
        <w:rPr>
          <w:rFonts w:ascii="Calibri" w:hAnsi="Calibri" w:cs="Calibri"/>
          <w:sz w:val="22"/>
          <w:szCs w:val="20"/>
          <w:lang w:val="en-US"/>
        </w:rPr>
        <w:t>Q4</w:t>
      </w:r>
      <w:r w:rsidRPr="00974B0C">
        <w:rPr>
          <w:rFonts w:ascii="Calibri" w:hAnsi="Calibri" w:cs="Calibri"/>
          <w:sz w:val="22"/>
          <w:szCs w:val="20"/>
          <w:lang w:val="en-US"/>
        </w:rPr>
        <w:t>, 2021.</w:t>
      </w:r>
      <w:r w:rsidR="00D96339" w:rsidRPr="00974B0C">
        <w:rPr>
          <w:rFonts w:ascii="Calibri" w:hAnsi="Calibri" w:cs="Calibri"/>
          <w:sz w:val="22"/>
          <w:szCs w:val="20"/>
          <w:lang w:val="en-US"/>
        </w:rPr>
        <w:br/>
      </w:r>
    </w:p>
    <w:p w14:paraId="769B91ED" w14:textId="3A624E7D" w:rsidR="003F434C" w:rsidRPr="00974B0C" w:rsidRDefault="00341242" w:rsidP="00E442A6">
      <w:pPr>
        <w:pStyle w:val="ListParagraph"/>
        <w:rPr>
          <w:rFonts w:ascii="Calibri" w:hAnsi="Calibri" w:cs="Calibri"/>
          <w:sz w:val="22"/>
          <w:szCs w:val="20"/>
          <w:lang w:val="en-US"/>
        </w:rPr>
      </w:pPr>
      <w:r w:rsidRPr="00974B0C">
        <w:rPr>
          <w:rFonts w:ascii="Calibri" w:hAnsi="Calibri" w:cs="Calibri"/>
          <w:sz w:val="22"/>
          <w:szCs w:val="20"/>
          <w:lang w:eastAsia="en-IE"/>
        </w:rPr>
        <w:t>Queries about</w:t>
      </w:r>
      <w:r w:rsidRPr="00974B0C">
        <w:rPr>
          <w:rFonts w:ascii="Calibri" w:hAnsi="Calibri" w:cs="Calibri"/>
          <w:b/>
          <w:sz w:val="22"/>
          <w:szCs w:val="20"/>
          <w:lang w:eastAsia="en-IE"/>
        </w:rPr>
        <w:t xml:space="preserve"> GP Services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increased by 4</w:t>
      </w:r>
      <w:r w:rsidR="00D730CD" w:rsidRPr="00974B0C">
        <w:rPr>
          <w:rFonts w:ascii="Calibri" w:hAnsi="Calibri" w:cs="Calibri"/>
          <w:sz w:val="22"/>
          <w:szCs w:val="20"/>
          <w:lang w:eastAsia="en-IE"/>
        </w:rPr>
        <w:t>1.9</w:t>
      </w:r>
      <w:r w:rsidRPr="00974B0C">
        <w:rPr>
          <w:rFonts w:ascii="Calibri" w:hAnsi="Calibri" w:cs="Calibri"/>
          <w:sz w:val="22"/>
          <w:szCs w:val="20"/>
          <w:lang w:eastAsia="en-IE"/>
        </w:rPr>
        <w:t>%, compared to Q4 2021, queries about Drugs and medicine increased by 31</w:t>
      </w:r>
      <w:r w:rsidR="00FC7596" w:rsidRPr="00974B0C">
        <w:rPr>
          <w:rFonts w:ascii="Calibri" w:hAnsi="Calibri" w:cs="Calibri"/>
          <w:sz w:val="22"/>
          <w:szCs w:val="20"/>
          <w:lang w:eastAsia="en-IE"/>
        </w:rPr>
        <w:t>.2</w:t>
      </w:r>
      <w:r w:rsidRPr="00974B0C">
        <w:rPr>
          <w:rFonts w:ascii="Calibri" w:hAnsi="Calibri" w:cs="Calibri"/>
          <w:sz w:val="22"/>
          <w:szCs w:val="20"/>
          <w:lang w:eastAsia="en-IE"/>
        </w:rPr>
        <w:t>% and th</w:t>
      </w:r>
      <w:r w:rsidR="003F434C" w:rsidRPr="00974B0C">
        <w:rPr>
          <w:rFonts w:ascii="Calibri" w:hAnsi="Calibri" w:cs="Calibri"/>
          <w:sz w:val="22"/>
          <w:szCs w:val="20"/>
          <w:lang w:eastAsia="en-IE"/>
        </w:rPr>
        <w:t xml:space="preserve">e </w:t>
      </w:r>
      <w:r w:rsidRPr="00974B0C">
        <w:rPr>
          <w:rFonts w:ascii="Calibri" w:hAnsi="Calibri" w:cs="Calibri"/>
          <w:b/>
          <w:color w:val="000000"/>
          <w:sz w:val="22"/>
          <w:szCs w:val="20"/>
          <w:lang w:eastAsia="en-IE"/>
        </w:rPr>
        <w:t xml:space="preserve">Fair Deal &amp; Home Care Package </w:t>
      </w:r>
      <w:r w:rsidRPr="00974B0C">
        <w:rPr>
          <w:rFonts w:ascii="Calibri" w:hAnsi="Calibri" w:cs="Calibri"/>
          <w:color w:val="000000"/>
          <w:sz w:val="22"/>
          <w:szCs w:val="20"/>
          <w:lang w:eastAsia="en-IE"/>
        </w:rPr>
        <w:t>increased by 19</w:t>
      </w:r>
      <w:r w:rsidR="00964135" w:rsidRPr="00974B0C">
        <w:rPr>
          <w:rFonts w:ascii="Calibri" w:hAnsi="Calibri" w:cs="Calibri"/>
          <w:color w:val="000000"/>
          <w:sz w:val="22"/>
          <w:szCs w:val="20"/>
          <w:lang w:eastAsia="en-IE"/>
        </w:rPr>
        <w:t>.2</w:t>
      </w:r>
      <w:r w:rsidRPr="00974B0C">
        <w:rPr>
          <w:rFonts w:ascii="Calibri" w:hAnsi="Calibri" w:cs="Calibri"/>
          <w:color w:val="000000"/>
          <w:sz w:val="22"/>
          <w:szCs w:val="20"/>
          <w:lang w:eastAsia="en-IE"/>
        </w:rPr>
        <w:t>% compared to the same quarter last year.</w:t>
      </w:r>
      <w:r w:rsidR="003F434C" w:rsidRPr="00974B0C">
        <w:rPr>
          <w:rFonts w:ascii="Calibri" w:hAnsi="Calibri" w:cs="Calibri"/>
          <w:color w:val="000000"/>
          <w:sz w:val="22"/>
          <w:szCs w:val="20"/>
          <w:lang w:eastAsia="en-IE"/>
        </w:rPr>
        <w:br/>
      </w:r>
    </w:p>
    <w:p w14:paraId="666A4924" w14:textId="7EF354E8" w:rsidR="00341242" w:rsidRPr="00974B0C" w:rsidRDefault="00341242" w:rsidP="00E442A6">
      <w:pPr>
        <w:pStyle w:val="ListParagraph"/>
        <w:rPr>
          <w:rFonts w:ascii="Calibri" w:hAnsi="Calibri" w:cs="Calibri"/>
          <w:sz w:val="22"/>
          <w:szCs w:val="20"/>
          <w:lang w:val="en-US"/>
        </w:rPr>
      </w:pPr>
      <w:r w:rsidRPr="00974B0C">
        <w:rPr>
          <w:rFonts w:ascii="Calibri" w:hAnsi="Calibri" w:cs="Calibri"/>
          <w:sz w:val="22"/>
          <w:szCs w:val="20"/>
          <w:lang w:eastAsia="en-IE"/>
        </w:rPr>
        <w:t xml:space="preserve">Queries involving Health Services for </w:t>
      </w:r>
      <w:r w:rsidR="006E6164" w:rsidRPr="00974B0C">
        <w:rPr>
          <w:rFonts w:ascii="Calibri" w:hAnsi="Calibri" w:cs="Calibri"/>
          <w:sz w:val="22"/>
          <w:szCs w:val="20"/>
          <w:lang w:eastAsia="en-IE"/>
        </w:rPr>
        <w:t>Older People</w:t>
      </w:r>
      <w:r w:rsidRPr="00974B0C">
        <w:rPr>
          <w:rFonts w:ascii="Calibri" w:hAnsi="Calibri" w:cs="Calibri"/>
          <w:sz w:val="22"/>
          <w:szCs w:val="20"/>
          <w:lang w:eastAsia="en-IE"/>
        </w:rPr>
        <w:t xml:space="preserve"> increased by 13</w:t>
      </w:r>
      <w:r w:rsidR="00566D08" w:rsidRPr="00974B0C">
        <w:rPr>
          <w:rFonts w:ascii="Calibri" w:hAnsi="Calibri" w:cs="Calibri"/>
          <w:sz w:val="22"/>
          <w:szCs w:val="20"/>
          <w:lang w:eastAsia="en-IE"/>
        </w:rPr>
        <w:t>.5</w:t>
      </w:r>
      <w:r w:rsidRPr="00974B0C">
        <w:rPr>
          <w:rFonts w:ascii="Calibri" w:hAnsi="Calibri" w:cs="Calibri"/>
          <w:sz w:val="22"/>
          <w:szCs w:val="20"/>
          <w:lang w:eastAsia="en-IE"/>
        </w:rPr>
        <w:t>% compared to Q4 2021.</w:t>
      </w:r>
    </w:p>
    <w:p w14:paraId="051DA96C" w14:textId="77777777" w:rsidR="003F434C" w:rsidRDefault="003F434C" w:rsidP="00341242">
      <w:pPr>
        <w:rPr>
          <w:rFonts w:ascii="Tw Cen MT Condensed" w:hAnsi="Tw Cen MT Condensed"/>
          <w:b/>
          <w:lang w:val="en-US"/>
        </w:rPr>
      </w:pPr>
    </w:p>
    <w:p w14:paraId="41FB635D" w14:textId="77777777" w:rsidR="003F434C" w:rsidRDefault="003F434C" w:rsidP="00341242">
      <w:pPr>
        <w:rPr>
          <w:rFonts w:ascii="Tw Cen MT Condensed" w:hAnsi="Tw Cen MT Condensed"/>
          <w:b/>
          <w:lang w:val="en-US"/>
        </w:rPr>
      </w:pPr>
    </w:p>
    <w:p w14:paraId="7F16FD2F" w14:textId="38644C34" w:rsidR="000D550D" w:rsidRPr="006E6164" w:rsidRDefault="00341242" w:rsidP="006E6164">
      <w:pPr>
        <w:rPr>
          <w:rFonts w:ascii="Tw Cen MT Condensed" w:eastAsiaTheme="majorEastAsia" w:hAnsi="Tw Cen MT Condensed" w:cstheme="majorBidi"/>
          <w:b/>
          <w:color w:val="1481AB" w:themeColor="accent1" w:themeShade="BF"/>
          <w:lang w:val="en-US"/>
        </w:rPr>
      </w:pPr>
      <w:r>
        <w:rPr>
          <w:rFonts w:ascii="Tw Cen MT Condensed" w:hAnsi="Tw Cen MT Condensed"/>
          <w:b/>
          <w:lang w:val="en-US"/>
        </w:rPr>
        <w:br w:type="page"/>
      </w:r>
    </w:p>
    <w:p w14:paraId="2BA6F5B1" w14:textId="06FA52E5" w:rsidR="00942712" w:rsidRPr="00420C57" w:rsidRDefault="00942712" w:rsidP="00942712">
      <w:pPr>
        <w:pStyle w:val="Heading1"/>
        <w:rPr>
          <w:rFonts w:ascii="Tw Cen MT Condensed" w:hAnsi="Tw Cen MT Condensed"/>
          <w:b/>
          <w:sz w:val="24"/>
          <w:szCs w:val="24"/>
          <w:lang w:val="en-US"/>
        </w:rPr>
      </w:pPr>
      <w:r w:rsidRPr="00420C57">
        <w:rPr>
          <w:rFonts w:ascii="Tw Cen MT Condensed" w:hAnsi="Tw Cen MT Condensed"/>
          <w:b/>
          <w:sz w:val="24"/>
          <w:szCs w:val="24"/>
          <w:lang w:val="en-US"/>
        </w:rPr>
        <w:lastRenderedPageBreak/>
        <w:t xml:space="preserve">Table 8 - Health Query Breakdown, </w:t>
      </w:r>
      <w:r w:rsidR="00922A7C">
        <w:rPr>
          <w:rFonts w:ascii="Tw Cen MT Condensed" w:hAnsi="Tw Cen MT Condensed"/>
          <w:b/>
          <w:sz w:val="24"/>
          <w:szCs w:val="24"/>
          <w:lang w:val="en-US"/>
        </w:rPr>
        <w:t>Q4</w:t>
      </w:r>
      <w:r w:rsidRPr="00420C57">
        <w:rPr>
          <w:rFonts w:ascii="Tw Cen MT Condensed" w:hAnsi="Tw Cen MT Condensed"/>
          <w:b/>
          <w:sz w:val="24"/>
          <w:szCs w:val="24"/>
          <w:lang w:val="en-US"/>
        </w:rPr>
        <w:t xml:space="preserve"> 2022</w:t>
      </w:r>
    </w:p>
    <w:tbl>
      <w:tblPr>
        <w:tblW w:w="13482" w:type="dxa"/>
        <w:tblInd w:w="-10" w:type="dxa"/>
        <w:tblLook w:val="04A0" w:firstRow="1" w:lastRow="0" w:firstColumn="1" w:lastColumn="0" w:noHBand="0" w:noVBand="1"/>
      </w:tblPr>
      <w:tblGrid>
        <w:gridCol w:w="1615"/>
        <w:gridCol w:w="4115"/>
        <w:gridCol w:w="4933"/>
        <w:gridCol w:w="1336"/>
        <w:gridCol w:w="1483"/>
      </w:tblGrid>
      <w:tr w:rsidR="00942712" w:rsidRPr="00966547" w14:paraId="0D74516C" w14:textId="77777777" w:rsidTr="00D50363">
        <w:trPr>
          <w:trHeight w:val="948"/>
        </w:trPr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3F2C450B" w14:textId="77777777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>Category</w:t>
            </w:r>
          </w:p>
        </w:tc>
        <w:tc>
          <w:tcPr>
            <w:tcW w:w="411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20618440" w14:textId="77777777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>Sub-category</w:t>
            </w:r>
          </w:p>
        </w:tc>
        <w:tc>
          <w:tcPr>
            <w:tcW w:w="493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581B4924" w14:textId="6F32C932" w:rsidR="00942712" w:rsidRPr="00966547" w:rsidRDefault="00922A7C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Q4</w:t>
            </w:r>
            <w:r w:rsidR="00942712" w:rsidRPr="00966547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, 2022 Sub-category Breakdown</w:t>
            </w:r>
          </w:p>
        </w:tc>
        <w:tc>
          <w:tcPr>
            <w:tcW w:w="13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29D1C544" w14:textId="415A5A79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 xml:space="preserve"># </w:t>
            </w:r>
            <w:r w:rsidR="00E54FF3" w:rsidRPr="00DB34BE">
              <w:rPr>
                <w:rFonts w:eastAsia="Times New Roman"/>
                <w:b/>
                <w:bCs/>
                <w:lang w:eastAsia="en-IE"/>
              </w:rPr>
              <w:t>Of</w:t>
            </w:r>
            <w:r w:rsidRPr="00DB34BE">
              <w:rPr>
                <w:rFonts w:eastAsia="Times New Roman"/>
                <w:b/>
                <w:bCs/>
                <w:lang w:eastAsia="en-IE"/>
              </w:rPr>
              <w:t xml:space="preserve"> Q</w:t>
            </w:r>
            <w:r w:rsidRPr="00966547">
              <w:rPr>
                <w:rFonts w:eastAsia="Times New Roman"/>
                <w:b/>
                <w:bCs/>
                <w:lang w:eastAsia="en-IE"/>
              </w:rPr>
              <w:t>ueries</w:t>
            </w:r>
          </w:p>
        </w:tc>
        <w:tc>
          <w:tcPr>
            <w:tcW w:w="148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6F899DB6" w14:textId="6CD16EBE" w:rsidR="00942712" w:rsidRPr="00DB34BE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B34BE">
              <w:rPr>
                <w:rFonts w:eastAsia="Times New Roman"/>
                <w:b/>
                <w:bCs/>
                <w:lang w:eastAsia="en-IE"/>
              </w:rPr>
              <w:t xml:space="preserve">% </w:t>
            </w:r>
            <w:r w:rsidR="00E54FF3" w:rsidRPr="00DB34BE">
              <w:rPr>
                <w:rFonts w:eastAsia="Times New Roman"/>
                <w:b/>
                <w:bCs/>
                <w:lang w:eastAsia="en-IE"/>
              </w:rPr>
              <w:t>Of</w:t>
            </w:r>
            <w:r w:rsidRPr="00DB34BE">
              <w:rPr>
                <w:rFonts w:eastAsia="Times New Roman"/>
                <w:b/>
                <w:bCs/>
                <w:lang w:eastAsia="en-IE"/>
              </w:rPr>
              <w:t xml:space="preserve"> Health Sub-category</w:t>
            </w:r>
          </w:p>
        </w:tc>
      </w:tr>
      <w:tr w:rsidR="00942712" w:rsidRPr="00624209" w14:paraId="1C9AD312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2644AEA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Medical Card</w:t>
            </w:r>
          </w:p>
        </w:tc>
      </w:tr>
      <w:tr w:rsidR="00942712" w:rsidRPr="00624209" w14:paraId="7DD8A64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A007C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856ED2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9D5C4A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E6AE7C" w14:textId="6DB11543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8,419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C0A722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512C762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B6F02D2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CC3230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AE5E0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5A702F" w14:textId="4C60709D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8,419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8EB116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C872A4E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1BCA15D" w14:textId="77777777" w:rsidR="00942712" w:rsidRPr="005923C4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GP Services</w:t>
            </w:r>
          </w:p>
        </w:tc>
      </w:tr>
      <w:tr w:rsidR="00942712" w:rsidRPr="00624209" w14:paraId="62E7337C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86EAAA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96C5D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B30301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B155D8" w14:textId="05D032E0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9</w:t>
            </w:r>
            <w:r w:rsidR="00C32D62">
              <w:rPr>
                <w:rFonts w:eastAsia="Times New Roman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370C7F" w14:textId="51AAFA47" w:rsidR="00942712" w:rsidRPr="00624209" w:rsidRDefault="00942712" w:rsidP="00F609C8">
            <w:pPr>
              <w:spacing w:after="0" w:line="240" w:lineRule="auto"/>
              <w:jc w:val="center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</w:p>
        </w:tc>
      </w:tr>
      <w:tr w:rsidR="00942712" w:rsidRPr="00624209" w14:paraId="524EFFFB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AAF039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29DF7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C6EE51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57B623" w14:textId="08CC504A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9</w:t>
            </w:r>
            <w:r w:rsidR="00C32D62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0F356A0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E72BD0D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BF2171" w14:textId="77777777" w:rsidR="00942712" w:rsidRPr="005923C4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Fair Deal &amp; Home Care Package</w:t>
            </w:r>
          </w:p>
        </w:tc>
      </w:tr>
      <w:tr w:rsidR="00942712" w:rsidRPr="00624209" w14:paraId="782605B7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2CB5CC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B271C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EC4412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036B4D" w14:textId="6A5E0B48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8</w:t>
            </w:r>
            <w:r w:rsidR="00C32D62">
              <w:rPr>
                <w:rFonts w:eastAsia="Times New Roman"/>
                <w:sz w:val="20"/>
                <w:szCs w:val="20"/>
                <w:lang w:eastAsia="en-IE"/>
              </w:rPr>
              <w:t>0</w:t>
            </w: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0383A6C" w14:textId="27505E52" w:rsidR="00942712" w:rsidRPr="00624209" w:rsidRDefault="00942712" w:rsidP="00F609C8">
            <w:pPr>
              <w:spacing w:after="0" w:line="240" w:lineRule="auto"/>
              <w:jc w:val="center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</w:p>
        </w:tc>
      </w:tr>
      <w:tr w:rsidR="00942712" w:rsidRPr="00624209" w14:paraId="12F3E853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5B63E6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B85F30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CC9310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6BB3F0" w14:textId="1EB9C23D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8</w:t>
            </w:r>
            <w:r w:rsidR="00C32D62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0</w:t>
            </w: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7E2CD8A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A6A0F5A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2246CAE" w14:textId="77777777" w:rsidR="00942712" w:rsidRPr="005923C4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Health - Other</w:t>
            </w:r>
          </w:p>
        </w:tc>
      </w:tr>
      <w:tr w:rsidR="00942712" w:rsidRPr="00624209" w14:paraId="687F2589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1DBB5C2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4D8809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C9BB4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6237DC0" w14:textId="7D98C240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605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A9BDD22" w14:textId="513F322D" w:rsidR="00942712" w:rsidRPr="00624209" w:rsidRDefault="00942712" w:rsidP="00F609C8">
            <w:pPr>
              <w:spacing w:after="0" w:line="240" w:lineRule="auto"/>
              <w:jc w:val="center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</w:p>
        </w:tc>
      </w:tr>
      <w:tr w:rsidR="00942712" w:rsidRPr="00624209" w14:paraId="08A61D49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0CFDDD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7EA8F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32420F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113723" w14:textId="627F3E88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605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B7D1546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08CDA1E9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7BE40ED" w14:textId="77777777" w:rsidR="00942712" w:rsidRPr="005923C4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Drugs/Medicines</w:t>
            </w:r>
          </w:p>
        </w:tc>
      </w:tr>
      <w:tr w:rsidR="00942712" w:rsidRPr="00624209" w14:paraId="61363CDE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3C92B0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83AA8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Drugs/Medicines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1316C0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Drugs Payment Scheme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0A6632" w14:textId="10745933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49FF463C" w14:textId="789B11FB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sz w:val="20"/>
                <w:szCs w:val="20"/>
              </w:rPr>
              <w:t>7</w:t>
            </w:r>
            <w:r w:rsidR="00C32D62">
              <w:rPr>
                <w:sz w:val="20"/>
                <w:szCs w:val="20"/>
              </w:rPr>
              <w:t>5.9</w:t>
            </w:r>
            <w:r w:rsidRPr="00624209">
              <w:rPr>
                <w:sz w:val="20"/>
                <w:szCs w:val="20"/>
              </w:rPr>
              <w:t>%</w:t>
            </w:r>
          </w:p>
        </w:tc>
      </w:tr>
      <w:tr w:rsidR="00942712" w:rsidRPr="00624209" w14:paraId="022DDCFD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C9FF04" w14:textId="4EE52933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8492BA5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A1C4810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A054FAD" w14:textId="15B6034D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58CE6CB9" w14:textId="2C211835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sz w:val="20"/>
                <w:szCs w:val="20"/>
              </w:rPr>
              <w:t>2</w:t>
            </w:r>
            <w:r w:rsidR="00C32D62">
              <w:rPr>
                <w:sz w:val="20"/>
                <w:szCs w:val="20"/>
              </w:rPr>
              <w:t>4.</w:t>
            </w:r>
            <w:r w:rsidR="000B2348">
              <w:rPr>
                <w:sz w:val="20"/>
                <w:szCs w:val="20"/>
              </w:rPr>
              <w:t>1</w:t>
            </w:r>
            <w:r w:rsidRPr="00624209">
              <w:rPr>
                <w:sz w:val="20"/>
                <w:szCs w:val="20"/>
              </w:rPr>
              <w:t>%</w:t>
            </w:r>
          </w:p>
        </w:tc>
      </w:tr>
      <w:tr w:rsidR="00942712" w:rsidRPr="00624209" w14:paraId="1D59CB66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8378F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C4E8F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2A038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1D71E6D" w14:textId="43A610BA" w:rsidR="00942712" w:rsidRPr="00624209" w:rsidRDefault="00F1361E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382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4B70C26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F609C8" w:rsidRPr="00624209" w14:paraId="5B4D54AE" w14:textId="77777777" w:rsidTr="0026677C">
        <w:trPr>
          <w:trHeight w:val="240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7DA919BD" w14:textId="63E62BCE" w:rsidR="00F609C8" w:rsidRPr="00624209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Health Services for Older People</w:t>
            </w:r>
          </w:p>
        </w:tc>
      </w:tr>
      <w:tr w:rsidR="00F609C8" w:rsidRPr="00624209" w14:paraId="293154F3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403CD831" w14:textId="3D816999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793EB95F" w14:textId="28BCEE39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765A6F17" w14:textId="730BB9CD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0664AFAF" w14:textId="23E3D70C" w:rsidR="00F609C8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244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5FB47675" w14:textId="77777777" w:rsidR="00F609C8" w:rsidRPr="00624209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F609C8" w:rsidRPr="00624209" w14:paraId="19D99286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7AEC3B50" w14:textId="76BDBEA6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53AC5E7A" w14:textId="6847D798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6B15640" w14:textId="2726D4A3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C468641" w14:textId="17B832B4" w:rsidR="00F609C8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244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8993D83" w14:textId="107DF3CB" w:rsidR="00F609C8" w:rsidRPr="00624209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052D2A" w:rsidRPr="00624209" w14:paraId="7CFB35DB" w14:textId="77777777" w:rsidTr="00C00537">
        <w:trPr>
          <w:trHeight w:val="240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23D351F0" w14:textId="3F0E699D" w:rsidR="00052D2A" w:rsidRPr="00624209" w:rsidRDefault="00052D2A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Hospital Services</w:t>
            </w:r>
          </w:p>
        </w:tc>
      </w:tr>
      <w:tr w:rsidR="00052D2A" w:rsidRPr="00624209" w14:paraId="05E7CC42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6F2FCD76" w14:textId="47DB07DB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7EA0F45" w14:textId="38C925EA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09589705" w14:textId="17C0552E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6A66333" w14:textId="48909104" w:rsidR="00052D2A" w:rsidRDefault="00052D2A" w:rsidP="00052D2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583860D6" w14:textId="77777777" w:rsidR="00052D2A" w:rsidRPr="00624209" w:rsidRDefault="00052D2A" w:rsidP="00052D2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052D2A" w:rsidRPr="00624209" w14:paraId="40C21ABE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6902BB2F" w14:textId="6D180EFB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8D3EFF0" w14:textId="4F03ACCB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65A8994F" w14:textId="5B08BA17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00E64B6" w14:textId="78D7F618" w:rsidR="00052D2A" w:rsidRDefault="00052D2A" w:rsidP="00052D2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33A5B02" w14:textId="1008EC96" w:rsidR="00052D2A" w:rsidRPr="00624209" w:rsidRDefault="00052D2A" w:rsidP="00052D2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68D94DA4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8DCC75F" w14:textId="77777777" w:rsidR="00942712" w:rsidRPr="005923C4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Dental, Aural and Optical Health</w:t>
            </w:r>
          </w:p>
        </w:tc>
      </w:tr>
      <w:tr w:rsidR="00942712" w:rsidRPr="00624209" w14:paraId="682FE1D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3848D6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30A54B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420D2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9007CDF" w14:textId="643ED92F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C344B7" w14:textId="4054D673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00FDA7C0" w14:textId="77777777" w:rsidTr="00052D2A">
        <w:trPr>
          <w:trHeight w:val="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FF6F7C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8B5F03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C8BCE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038FFC" w14:textId="5122D511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8B77484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74B01BC0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C6CCEA" w14:textId="07C21B95" w:rsidR="00942712" w:rsidRPr="005923C4" w:rsidRDefault="00F609C8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>EU Healthcare</w:t>
            </w:r>
          </w:p>
        </w:tc>
      </w:tr>
      <w:tr w:rsidR="00F609C8" w:rsidRPr="00624209" w14:paraId="3B8F460D" w14:textId="77777777" w:rsidTr="00F609C8">
        <w:trPr>
          <w:trHeight w:val="6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325806D" w14:textId="77777777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BC89D2" w14:textId="5AFC23E8" w:rsidR="00F609C8" w:rsidRPr="00624209" w:rsidRDefault="00F609C8" w:rsidP="00F609C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002E49" w14:textId="15FA6874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DFC56B2" w14:textId="4285F691" w:rsidR="00F609C8" w:rsidRPr="00624209" w:rsidRDefault="00F609C8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96E2FF" w14:textId="4D20F71A" w:rsidR="00F609C8" w:rsidRPr="00624209" w:rsidRDefault="00F609C8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F609C8" w:rsidRPr="00624209" w14:paraId="44F8836F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27F2C68" w14:textId="77777777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D7306D" w14:textId="4606F185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169AA9A" w14:textId="136C5336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C2C117" w14:textId="3DC0F491" w:rsidR="00F609C8" w:rsidRPr="00624209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7685D2" w14:textId="2E733020" w:rsidR="00F609C8" w:rsidRPr="00624209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1C20709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CD7115E" w14:textId="77777777" w:rsidR="00942712" w:rsidRPr="005923C4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Care in your Community</w:t>
            </w:r>
          </w:p>
        </w:tc>
      </w:tr>
      <w:tr w:rsidR="00942712" w:rsidRPr="00624209" w14:paraId="0C0C3F71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B94AD7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CFE68F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CCA92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9814523" w14:textId="40DF8C75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F4603CB" w14:textId="50BD6FC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7FA7F6CE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CEA8A7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CF152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F6C5BA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04FC9E" w14:textId="2672008F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5C2945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44EC5F7B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9B44C9F" w14:textId="77777777" w:rsidR="00942712" w:rsidRPr="005923C4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Health Services for People with Disabilities</w:t>
            </w:r>
          </w:p>
        </w:tc>
      </w:tr>
      <w:tr w:rsidR="00942712" w:rsidRPr="00624209" w14:paraId="3B636555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17C4DB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E7D0D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D4476D0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68F032B" w14:textId="5FB93608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798154" w14:textId="5597F4D3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38E307C3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F33445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CD1D55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8F21757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7628F1" w14:textId="15947F91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20D7233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6EBB4DE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AD99A1" w14:textId="77777777" w:rsidR="00942712" w:rsidRPr="005923C4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Mental Health</w:t>
            </w:r>
          </w:p>
        </w:tc>
      </w:tr>
      <w:tr w:rsidR="00942712" w:rsidRPr="00624209" w14:paraId="338854D5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B867A6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112550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559DD3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A949A25" w14:textId="31FAD706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1EA45E6" w14:textId="0F26345C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18E3D828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02B45C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2080F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5005ADF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9AB005E" w14:textId="4DD8BF0D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39EA72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6E6164" w:rsidRPr="00624209" w14:paraId="074E5E28" w14:textId="77777777" w:rsidTr="0026677C">
        <w:trPr>
          <w:trHeight w:val="240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5BA5EBA7" w14:textId="0074BFA5" w:rsidR="006E6164" w:rsidRPr="006E6164" w:rsidRDefault="006E6164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6E6164">
              <w:rPr>
                <w:rFonts w:eastAsia="Times New Roman"/>
                <w:b/>
                <w:bCs/>
                <w:lang w:eastAsia="en-IE"/>
              </w:rPr>
              <w:t>Legal Matters and Health</w:t>
            </w:r>
          </w:p>
        </w:tc>
      </w:tr>
      <w:tr w:rsidR="006E6164" w:rsidRPr="00624209" w14:paraId="1C9A3632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1F084502" w14:textId="44C61DD5" w:rsidR="006E6164" w:rsidRPr="00624209" w:rsidRDefault="006E6164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B4C16E6" w14:textId="496795EE" w:rsidR="006E6164" w:rsidRPr="00624209" w:rsidRDefault="006E6164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1173FBC" w14:textId="0260B706" w:rsidR="006E6164" w:rsidRPr="00624209" w:rsidRDefault="006E6164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03F4E265" w14:textId="6A3514A1" w:rsidR="006E6164" w:rsidRDefault="006E6164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649E0106" w14:textId="77777777" w:rsidR="006E6164" w:rsidRPr="00624209" w:rsidRDefault="006E6164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6E6164" w:rsidRPr="00624209" w14:paraId="7E60CEAC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494921A2" w14:textId="77777777" w:rsidR="006E6164" w:rsidRPr="00624209" w:rsidRDefault="006E6164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59C0FFB" w14:textId="77777777" w:rsidR="006E6164" w:rsidRPr="00624209" w:rsidRDefault="006E6164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F1DD8A4" w14:textId="77777777" w:rsidR="006E6164" w:rsidRPr="00624209" w:rsidRDefault="006E6164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70CD7DB" w14:textId="2E5F4B3E" w:rsidR="006E6164" w:rsidRDefault="006E6164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22C1C2F4" w14:textId="1E1890BE" w:rsidR="006E6164" w:rsidRPr="00624209" w:rsidRDefault="006E6164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044648A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E8279B" w14:textId="7E45C76A" w:rsidR="00942712" w:rsidRPr="005923C4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 xml:space="preserve">All other sub-categories (&lt;100 </w:t>
            </w:r>
            <w:r w:rsidR="00936F48" w:rsidRPr="005923C4">
              <w:rPr>
                <w:rFonts w:eastAsia="Times New Roman"/>
                <w:b/>
                <w:bCs/>
                <w:lang w:eastAsia="en-IE"/>
              </w:rPr>
              <w:t>queries) *</w:t>
            </w:r>
          </w:p>
        </w:tc>
      </w:tr>
      <w:tr w:rsidR="00942712" w:rsidRPr="00624209" w14:paraId="5D61C63F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D1C617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A956E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77507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5653FF" w14:textId="736B26F9" w:rsidR="00942712" w:rsidRPr="00624209" w:rsidRDefault="00142FE5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533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E14004" w14:textId="6DE41774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3B3C9DD6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AFF553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74581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64975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0FB449" w14:textId="1E40BDAE" w:rsidR="00942712" w:rsidRPr="00624209" w:rsidRDefault="00142FE5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533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5843046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79B0789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F7FDB42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0B3584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10C7D1" w14:textId="77777777" w:rsidR="00942712" w:rsidRPr="005923C4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Total Health Queries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CE85FA" w14:textId="322EF277" w:rsidR="00942712" w:rsidRPr="005923C4" w:rsidRDefault="00942712" w:rsidP="00936F4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1</w:t>
            </w:r>
            <w:r w:rsidR="00142FE5">
              <w:rPr>
                <w:rFonts w:eastAsia="Times New Roman"/>
                <w:b/>
                <w:bCs/>
                <w:lang w:eastAsia="en-IE"/>
              </w:rPr>
              <w:t>3,229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F6949F" w14:textId="77777777" w:rsidR="00942712" w:rsidRPr="005923C4" w:rsidRDefault="00942712" w:rsidP="00936F4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100%</w:t>
            </w:r>
          </w:p>
        </w:tc>
      </w:tr>
    </w:tbl>
    <w:p w14:paraId="545E272A" w14:textId="61CB44E5" w:rsidR="00C6051A" w:rsidRDefault="00942712" w:rsidP="00942712">
      <w:pPr>
        <w:spacing w:line="240" w:lineRule="auto"/>
        <w:rPr>
          <w:sz w:val="20"/>
          <w:szCs w:val="20"/>
          <w:lang w:val="en-US"/>
        </w:rPr>
        <w:sectPr w:rsidR="00C6051A" w:rsidSect="00A95370">
          <w:pgSz w:w="16838" w:h="11906" w:orient="landscape" w:code="9"/>
          <w:pgMar w:top="1440" w:right="1440" w:bottom="1440" w:left="1440" w:header="964" w:footer="709" w:gutter="0"/>
          <w:cols w:space="708"/>
          <w:docGrid w:linePitch="360"/>
        </w:sectPr>
      </w:pPr>
      <w:r w:rsidRPr="00966547">
        <w:rPr>
          <w:b/>
          <w:lang w:val="en-US"/>
        </w:rPr>
        <w:t>*</w:t>
      </w:r>
      <w:r>
        <w:rPr>
          <w:b/>
          <w:lang w:val="en-US"/>
        </w:rPr>
        <w:t xml:space="preserve"> </w:t>
      </w:r>
      <w:r w:rsidRPr="0038793B">
        <w:rPr>
          <w:sz w:val="20"/>
          <w:szCs w:val="20"/>
          <w:lang w:val="en-US"/>
        </w:rPr>
        <w:t xml:space="preserve">All other sub-categories include the following query areas:  </w:t>
      </w:r>
      <w:r>
        <w:rPr>
          <w:sz w:val="20"/>
          <w:szCs w:val="20"/>
          <w:lang w:val="en-US"/>
        </w:rPr>
        <w:t xml:space="preserve">Health </w:t>
      </w:r>
      <w:r w:rsidR="00F609C8">
        <w:rPr>
          <w:sz w:val="20"/>
          <w:szCs w:val="20"/>
          <w:lang w:val="en-US"/>
        </w:rPr>
        <w:t>Insurance,</w:t>
      </w:r>
      <w:r>
        <w:rPr>
          <w:sz w:val="20"/>
          <w:szCs w:val="20"/>
          <w:lang w:val="en-US"/>
        </w:rPr>
        <w:t xml:space="preserve"> Children’s Health, Health-Related Benefits and </w:t>
      </w:r>
      <w:r w:rsidR="00F609C8">
        <w:rPr>
          <w:sz w:val="20"/>
          <w:szCs w:val="20"/>
          <w:lang w:val="en-US"/>
        </w:rPr>
        <w:t>Entitlements,</w:t>
      </w:r>
      <w:r>
        <w:rPr>
          <w:sz w:val="20"/>
          <w:szCs w:val="20"/>
          <w:lang w:val="en-US"/>
        </w:rPr>
        <w:t xml:space="preserve"> Cancer Services, Entitlement to Health Services, Aids and Appliances, Health Service Agencies, Women’s Health, Alcohol and Drug Treatment Services, </w:t>
      </w:r>
      <w:r w:rsidRPr="0038793B">
        <w:rPr>
          <w:sz w:val="20"/>
          <w:szCs w:val="20"/>
          <w:lang w:val="en-US"/>
        </w:rPr>
        <w:t>Ho</w:t>
      </w:r>
      <w:r>
        <w:rPr>
          <w:sz w:val="20"/>
          <w:szCs w:val="20"/>
          <w:lang w:val="en-US"/>
        </w:rPr>
        <w:t>w Health Services are O</w:t>
      </w:r>
      <w:r w:rsidRPr="0038793B">
        <w:rPr>
          <w:sz w:val="20"/>
          <w:szCs w:val="20"/>
          <w:lang w:val="en-US"/>
        </w:rPr>
        <w:t>rgani</w:t>
      </w:r>
      <w:r>
        <w:rPr>
          <w:sz w:val="20"/>
          <w:szCs w:val="20"/>
          <w:lang w:val="en-US"/>
        </w:rPr>
        <w:t>z</w:t>
      </w:r>
      <w:r w:rsidRPr="0038793B">
        <w:rPr>
          <w:sz w:val="20"/>
          <w:szCs w:val="20"/>
          <w:lang w:val="en-US"/>
        </w:rPr>
        <w:t xml:space="preserve">ed, Emergency Health Services, Environmental Health, and Alternative </w:t>
      </w:r>
      <w:r w:rsidR="00E86FA2" w:rsidRPr="0038793B">
        <w:rPr>
          <w:sz w:val="20"/>
          <w:szCs w:val="20"/>
          <w:lang w:val="en-US"/>
        </w:rPr>
        <w:t>Healt</w:t>
      </w:r>
      <w:r w:rsidR="00A95370">
        <w:rPr>
          <w:sz w:val="20"/>
          <w:szCs w:val="20"/>
          <w:lang w:val="en-US"/>
        </w:rPr>
        <w:t>h</w:t>
      </w:r>
      <w:r w:rsidR="00BB33F2">
        <w:rPr>
          <w:sz w:val="20"/>
          <w:szCs w:val="20"/>
          <w:lang w:val="en-US"/>
        </w:rPr>
        <w:t>.</w:t>
      </w:r>
    </w:p>
    <w:p w14:paraId="335FF252" w14:textId="6A962AD6" w:rsidR="0031694E" w:rsidRPr="0031694E" w:rsidRDefault="0031694E" w:rsidP="004D056F">
      <w:pPr>
        <w:pageBreakBefore/>
        <w:tabs>
          <w:tab w:val="left" w:pos="1380"/>
        </w:tabs>
        <w:spacing w:line="240" w:lineRule="auto"/>
        <w:rPr>
          <w:sz w:val="20"/>
          <w:szCs w:val="20"/>
          <w:lang w:val="en-US"/>
        </w:rPr>
      </w:pPr>
    </w:p>
    <w:sectPr w:rsidR="0031694E" w:rsidRPr="0031694E" w:rsidSect="001941A7">
      <w:pgSz w:w="11906" w:h="16838"/>
      <w:pgMar w:top="144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5AFA" w14:textId="77777777" w:rsidR="00D46D8A" w:rsidRDefault="00D46D8A" w:rsidP="00942712">
      <w:pPr>
        <w:spacing w:after="0" w:line="240" w:lineRule="auto"/>
      </w:pPr>
      <w:r>
        <w:separator/>
      </w:r>
    </w:p>
  </w:endnote>
  <w:endnote w:type="continuationSeparator" w:id="0">
    <w:p w14:paraId="7EFAF2D5" w14:textId="77777777" w:rsidR="00D46D8A" w:rsidRDefault="00D46D8A" w:rsidP="0094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9FBD" w14:textId="77777777" w:rsidR="00D46D8A" w:rsidRDefault="00D46D8A" w:rsidP="00942712">
      <w:pPr>
        <w:spacing w:after="0" w:line="240" w:lineRule="auto"/>
      </w:pPr>
      <w:r>
        <w:separator/>
      </w:r>
    </w:p>
  </w:footnote>
  <w:footnote w:type="continuationSeparator" w:id="0">
    <w:p w14:paraId="105C04D6" w14:textId="77777777" w:rsidR="00D46D8A" w:rsidRDefault="00D46D8A" w:rsidP="00942712">
      <w:pPr>
        <w:spacing w:after="0" w:line="240" w:lineRule="auto"/>
      </w:pPr>
      <w:r>
        <w:continuationSeparator/>
      </w:r>
    </w:p>
  </w:footnote>
  <w:footnote w:id="1">
    <w:p w14:paraId="1FAB5989" w14:textId="77777777" w:rsidR="0026677C" w:rsidRDefault="0026677C" w:rsidP="00942712">
      <w:pPr>
        <w:pStyle w:val="FootnoteText"/>
      </w:pPr>
      <w:r>
        <w:rPr>
          <w:rStyle w:val="FootnoteReference"/>
        </w:rPr>
        <w:footnoteRef/>
      </w:r>
      <w:r>
        <w:t xml:space="preserve"> Note: Quarterly trends are </w:t>
      </w:r>
      <w:r w:rsidRPr="00F81FD2">
        <w:rPr>
          <w:u w:val="single"/>
        </w:rPr>
        <w:t>not</w:t>
      </w:r>
      <w:r>
        <w:t xml:space="preserve"> indicative of trends for a full year’s dataset – changes and patterns reflected from quarter to quarter may balance out over a year. </w:t>
      </w:r>
    </w:p>
  </w:footnote>
  <w:footnote w:id="2">
    <w:p w14:paraId="53179FF8" w14:textId="09E129EA" w:rsidR="0026677C" w:rsidRDefault="0026677C" w:rsidP="00A3446A">
      <w:pPr>
        <w:pStyle w:val="FootnoteText"/>
      </w:pPr>
      <w:r>
        <w:rPr>
          <w:rStyle w:val="FootnoteReference"/>
        </w:rPr>
        <w:footnoteRef/>
      </w:r>
      <w:r>
        <w:t xml:space="preserve"> This reflects similar issues identified in a joint CIB/Threshold report on Renting and Risk, launched the </w:t>
      </w:r>
      <w:r w:rsidR="00F76449">
        <w:t>13</w:t>
      </w:r>
      <w:r w:rsidR="00F76449" w:rsidRPr="005B0979">
        <w:rPr>
          <w:vertAlign w:val="superscript"/>
        </w:rPr>
        <w:t>th of</w:t>
      </w:r>
      <w:r>
        <w:t xml:space="preserve"> October 2022.</w:t>
      </w:r>
      <w:r w:rsidR="00AE680A">
        <w:t xml:space="preserve"> Threshold CIB </w:t>
      </w:r>
      <w:r w:rsidR="00F76449">
        <w:t>Report. (citizensinformationboard.ie)</w:t>
      </w:r>
    </w:p>
  </w:footnote>
  <w:footnote w:id="3">
    <w:p w14:paraId="76CC1A22" w14:textId="35DF5D00" w:rsidR="0026677C" w:rsidRDefault="002667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4209">
        <w:t xml:space="preserve">Query sub-categories are presented in </w:t>
      </w:r>
      <w:r w:rsidR="0088363E">
        <w:t>payment/scheme</w:t>
      </w:r>
      <w:r w:rsidRPr="00624209">
        <w:t xml:space="preserve"> categories, as recorded by CISs. The percentages in the right-hand column represent the percentage of queries for that data sub-category i.e., the Fuel Allowance percentage represents the queries recorded as a percentage of the Extra Social Welfare Benefits sub-category.</w:t>
      </w:r>
    </w:p>
  </w:footnote>
  <w:footnote w:id="4">
    <w:p w14:paraId="3DB4B488" w14:textId="7E50F9A5" w:rsidR="0026677C" w:rsidRDefault="002667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23C4">
        <w:rPr>
          <w:lang w:val="en-US"/>
        </w:rPr>
        <w:t xml:space="preserve">The percentages in the right-hand column represent the percentage of queries for the related data sub-category i.e., the Housing Assistance Payment (HAP) percentage represents the number of HAP queries recorded as a percentage of the </w:t>
      </w:r>
      <w:r w:rsidRPr="005923C4">
        <w:rPr>
          <w:b/>
          <w:i/>
          <w:lang w:val="en-US"/>
        </w:rPr>
        <w:t>Local Authority and Social Housing</w:t>
      </w:r>
      <w:r w:rsidRPr="005923C4">
        <w:rPr>
          <w:lang w:val="en-US"/>
        </w:rPr>
        <w:t xml:space="preserve"> sub-category.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AAD"/>
    <w:multiLevelType w:val="hybridMultilevel"/>
    <w:tmpl w:val="9DCC1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F01"/>
    <w:multiLevelType w:val="hybridMultilevel"/>
    <w:tmpl w:val="E6B8C168"/>
    <w:lvl w:ilvl="0" w:tplc="645CA5C2">
      <w:start w:val="22"/>
      <w:numFmt w:val="bullet"/>
      <w:pStyle w:val="ListParagraph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15199"/>
    <w:multiLevelType w:val="hybridMultilevel"/>
    <w:tmpl w:val="2752C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7580"/>
    <w:multiLevelType w:val="hybridMultilevel"/>
    <w:tmpl w:val="BE4CE9CA"/>
    <w:lvl w:ilvl="0" w:tplc="99D63C62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AC08AA"/>
    <w:multiLevelType w:val="hybridMultilevel"/>
    <w:tmpl w:val="2EFE3922"/>
    <w:lvl w:ilvl="0" w:tplc="3DA0AE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64992"/>
    <w:multiLevelType w:val="hybridMultilevel"/>
    <w:tmpl w:val="326A6E5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42886"/>
    <w:multiLevelType w:val="hybridMultilevel"/>
    <w:tmpl w:val="88FCC4A2"/>
    <w:lvl w:ilvl="0" w:tplc="30B626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539CD"/>
    <w:multiLevelType w:val="hybridMultilevel"/>
    <w:tmpl w:val="45F409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044D81"/>
    <w:multiLevelType w:val="hybridMultilevel"/>
    <w:tmpl w:val="1772EC72"/>
    <w:lvl w:ilvl="0" w:tplc="E196EE9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60343"/>
    <w:multiLevelType w:val="hybridMultilevel"/>
    <w:tmpl w:val="28DE4774"/>
    <w:lvl w:ilvl="0" w:tplc="7968F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4855D8F"/>
    <w:multiLevelType w:val="hybridMultilevel"/>
    <w:tmpl w:val="3CE6A85A"/>
    <w:lvl w:ilvl="0" w:tplc="F1FE4D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5BA0"/>
    <w:multiLevelType w:val="hybridMultilevel"/>
    <w:tmpl w:val="C6C4CB88"/>
    <w:lvl w:ilvl="0" w:tplc="B1CC6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33D8B"/>
    <w:multiLevelType w:val="hybridMultilevel"/>
    <w:tmpl w:val="9CC82762"/>
    <w:lvl w:ilvl="0" w:tplc="E954F8C8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C51574"/>
    <w:multiLevelType w:val="hybridMultilevel"/>
    <w:tmpl w:val="FB187B88"/>
    <w:lvl w:ilvl="0" w:tplc="816A4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C6DBF"/>
    <w:multiLevelType w:val="hybridMultilevel"/>
    <w:tmpl w:val="0F6018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F976975"/>
    <w:multiLevelType w:val="hybridMultilevel"/>
    <w:tmpl w:val="53F4463A"/>
    <w:lvl w:ilvl="0" w:tplc="6AB4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C0999"/>
    <w:multiLevelType w:val="hybridMultilevel"/>
    <w:tmpl w:val="4A925030"/>
    <w:lvl w:ilvl="0" w:tplc="9B34BB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A2D90"/>
    <w:multiLevelType w:val="hybridMultilevel"/>
    <w:tmpl w:val="EEF02E14"/>
    <w:lvl w:ilvl="0" w:tplc="3BFEF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12192">
    <w:abstractNumId w:val="16"/>
  </w:num>
  <w:num w:numId="2" w16cid:durableId="1655137135">
    <w:abstractNumId w:val="10"/>
  </w:num>
  <w:num w:numId="3" w16cid:durableId="1557937240">
    <w:abstractNumId w:val="0"/>
  </w:num>
  <w:num w:numId="4" w16cid:durableId="993144896">
    <w:abstractNumId w:val="5"/>
  </w:num>
  <w:num w:numId="5" w16cid:durableId="1587107517">
    <w:abstractNumId w:val="14"/>
  </w:num>
  <w:num w:numId="6" w16cid:durableId="595599008">
    <w:abstractNumId w:val="17"/>
  </w:num>
  <w:num w:numId="7" w16cid:durableId="1652976854">
    <w:abstractNumId w:val="19"/>
  </w:num>
  <w:num w:numId="8" w16cid:durableId="349570513">
    <w:abstractNumId w:val="2"/>
  </w:num>
  <w:num w:numId="9" w16cid:durableId="725445638">
    <w:abstractNumId w:val="7"/>
  </w:num>
  <w:num w:numId="10" w16cid:durableId="1380009612">
    <w:abstractNumId w:val="15"/>
  </w:num>
  <w:num w:numId="11" w16cid:durableId="611590751">
    <w:abstractNumId w:val="9"/>
  </w:num>
  <w:num w:numId="12" w16cid:durableId="1047028368">
    <w:abstractNumId w:val="11"/>
  </w:num>
  <w:num w:numId="13" w16cid:durableId="1801149584">
    <w:abstractNumId w:val="18"/>
  </w:num>
  <w:num w:numId="14" w16cid:durableId="214200549">
    <w:abstractNumId w:val="12"/>
  </w:num>
  <w:num w:numId="15" w16cid:durableId="2111654006">
    <w:abstractNumId w:val="6"/>
  </w:num>
  <w:num w:numId="16" w16cid:durableId="1354765419">
    <w:abstractNumId w:val="3"/>
  </w:num>
  <w:num w:numId="17" w16cid:durableId="364404266">
    <w:abstractNumId w:val="13"/>
  </w:num>
  <w:num w:numId="18" w16cid:durableId="846291419">
    <w:abstractNumId w:val="8"/>
  </w:num>
  <w:num w:numId="19" w16cid:durableId="45493725">
    <w:abstractNumId w:val="4"/>
  </w:num>
  <w:num w:numId="20" w16cid:durableId="2113234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DW3MDAzNDQ3MTRU0lEKTi0uzszPAykwrQUA5sTA0SwAAAA="/>
  </w:docVars>
  <w:rsids>
    <w:rsidRoot w:val="00942712"/>
    <w:rsid w:val="00002C83"/>
    <w:rsid w:val="0001003E"/>
    <w:rsid w:val="00025790"/>
    <w:rsid w:val="000265D2"/>
    <w:rsid w:val="000315F8"/>
    <w:rsid w:val="00036978"/>
    <w:rsid w:val="0004776E"/>
    <w:rsid w:val="000502ED"/>
    <w:rsid w:val="0005102A"/>
    <w:rsid w:val="00052D2A"/>
    <w:rsid w:val="000638F0"/>
    <w:rsid w:val="000703E2"/>
    <w:rsid w:val="000738D2"/>
    <w:rsid w:val="000B1E3D"/>
    <w:rsid w:val="000B2348"/>
    <w:rsid w:val="000B5CE1"/>
    <w:rsid w:val="000B643E"/>
    <w:rsid w:val="000B723B"/>
    <w:rsid w:val="000C3899"/>
    <w:rsid w:val="000C72D6"/>
    <w:rsid w:val="000D48AF"/>
    <w:rsid w:val="000D550D"/>
    <w:rsid w:val="000E388D"/>
    <w:rsid w:val="00107D7B"/>
    <w:rsid w:val="00111119"/>
    <w:rsid w:val="0013723A"/>
    <w:rsid w:val="00142FE5"/>
    <w:rsid w:val="001636C3"/>
    <w:rsid w:val="00174A1A"/>
    <w:rsid w:val="00187B0D"/>
    <w:rsid w:val="00190B0E"/>
    <w:rsid w:val="001924F5"/>
    <w:rsid w:val="001941A7"/>
    <w:rsid w:val="00197762"/>
    <w:rsid w:val="001A0ED7"/>
    <w:rsid w:val="001D0AB6"/>
    <w:rsid w:val="001D1491"/>
    <w:rsid w:val="001E3987"/>
    <w:rsid w:val="00210584"/>
    <w:rsid w:val="0021132E"/>
    <w:rsid w:val="0023335E"/>
    <w:rsid w:val="00251548"/>
    <w:rsid w:val="0026677C"/>
    <w:rsid w:val="00267653"/>
    <w:rsid w:val="002677A1"/>
    <w:rsid w:val="00267F94"/>
    <w:rsid w:val="00287118"/>
    <w:rsid w:val="00296592"/>
    <w:rsid w:val="002A4854"/>
    <w:rsid w:val="002B2452"/>
    <w:rsid w:val="002C1074"/>
    <w:rsid w:val="002C6ADC"/>
    <w:rsid w:val="002D475A"/>
    <w:rsid w:val="002D7175"/>
    <w:rsid w:val="002E7C1B"/>
    <w:rsid w:val="002F5959"/>
    <w:rsid w:val="00315809"/>
    <w:rsid w:val="0031694E"/>
    <w:rsid w:val="00323DB0"/>
    <w:rsid w:val="003335F2"/>
    <w:rsid w:val="00336B55"/>
    <w:rsid w:val="00341242"/>
    <w:rsid w:val="003511CC"/>
    <w:rsid w:val="00352513"/>
    <w:rsid w:val="00364886"/>
    <w:rsid w:val="0036563A"/>
    <w:rsid w:val="00371632"/>
    <w:rsid w:val="00373090"/>
    <w:rsid w:val="00373C23"/>
    <w:rsid w:val="0037547C"/>
    <w:rsid w:val="00377842"/>
    <w:rsid w:val="00384C44"/>
    <w:rsid w:val="003A18E3"/>
    <w:rsid w:val="003A4929"/>
    <w:rsid w:val="003B0A76"/>
    <w:rsid w:val="003B6F50"/>
    <w:rsid w:val="003C3802"/>
    <w:rsid w:val="003D16B8"/>
    <w:rsid w:val="003E7BB6"/>
    <w:rsid w:val="003F22E4"/>
    <w:rsid w:val="003F434C"/>
    <w:rsid w:val="003F551F"/>
    <w:rsid w:val="003F72E6"/>
    <w:rsid w:val="004027EE"/>
    <w:rsid w:val="00405D15"/>
    <w:rsid w:val="00420C57"/>
    <w:rsid w:val="00425F97"/>
    <w:rsid w:val="00446BE4"/>
    <w:rsid w:val="00447C57"/>
    <w:rsid w:val="004539D3"/>
    <w:rsid w:val="00465135"/>
    <w:rsid w:val="00490251"/>
    <w:rsid w:val="00493F8C"/>
    <w:rsid w:val="004D056F"/>
    <w:rsid w:val="004D3E73"/>
    <w:rsid w:val="004D776F"/>
    <w:rsid w:val="004D7E3E"/>
    <w:rsid w:val="004F0056"/>
    <w:rsid w:val="004F2151"/>
    <w:rsid w:val="004F5E15"/>
    <w:rsid w:val="00500697"/>
    <w:rsid w:val="00512DAD"/>
    <w:rsid w:val="00514EDC"/>
    <w:rsid w:val="00525391"/>
    <w:rsid w:val="00537F12"/>
    <w:rsid w:val="00551903"/>
    <w:rsid w:val="00566D08"/>
    <w:rsid w:val="00573116"/>
    <w:rsid w:val="0058485C"/>
    <w:rsid w:val="005923C4"/>
    <w:rsid w:val="00594846"/>
    <w:rsid w:val="00594D87"/>
    <w:rsid w:val="005A0023"/>
    <w:rsid w:val="005C5E03"/>
    <w:rsid w:val="005C731F"/>
    <w:rsid w:val="005D66F2"/>
    <w:rsid w:val="005E3AC1"/>
    <w:rsid w:val="005E4225"/>
    <w:rsid w:val="005E4538"/>
    <w:rsid w:val="005F2BAA"/>
    <w:rsid w:val="00604776"/>
    <w:rsid w:val="00611CBF"/>
    <w:rsid w:val="00624209"/>
    <w:rsid w:val="006304D5"/>
    <w:rsid w:val="0064174E"/>
    <w:rsid w:val="006A2DE2"/>
    <w:rsid w:val="006B34B4"/>
    <w:rsid w:val="006B675C"/>
    <w:rsid w:val="006B7406"/>
    <w:rsid w:val="006C4630"/>
    <w:rsid w:val="006D1BBA"/>
    <w:rsid w:val="006D22D7"/>
    <w:rsid w:val="006E10D0"/>
    <w:rsid w:val="006E2298"/>
    <w:rsid w:val="006E6164"/>
    <w:rsid w:val="00712C54"/>
    <w:rsid w:val="00713223"/>
    <w:rsid w:val="007214CC"/>
    <w:rsid w:val="0072472F"/>
    <w:rsid w:val="00725EFC"/>
    <w:rsid w:val="007466C8"/>
    <w:rsid w:val="007472C4"/>
    <w:rsid w:val="00781F15"/>
    <w:rsid w:val="00782891"/>
    <w:rsid w:val="00792B25"/>
    <w:rsid w:val="007A1AE3"/>
    <w:rsid w:val="007B4B8B"/>
    <w:rsid w:val="007C1E2A"/>
    <w:rsid w:val="007C32CB"/>
    <w:rsid w:val="007D4CE7"/>
    <w:rsid w:val="007E7066"/>
    <w:rsid w:val="007F78D5"/>
    <w:rsid w:val="008226E2"/>
    <w:rsid w:val="00840726"/>
    <w:rsid w:val="008626E8"/>
    <w:rsid w:val="008640C0"/>
    <w:rsid w:val="008657D5"/>
    <w:rsid w:val="008676D6"/>
    <w:rsid w:val="0087110F"/>
    <w:rsid w:val="00880682"/>
    <w:rsid w:val="0088363E"/>
    <w:rsid w:val="008A4BFE"/>
    <w:rsid w:val="008B3F88"/>
    <w:rsid w:val="008B4008"/>
    <w:rsid w:val="008C11AA"/>
    <w:rsid w:val="008E4295"/>
    <w:rsid w:val="008F27AD"/>
    <w:rsid w:val="008F7776"/>
    <w:rsid w:val="00900EFB"/>
    <w:rsid w:val="00903643"/>
    <w:rsid w:val="00904011"/>
    <w:rsid w:val="00904CFF"/>
    <w:rsid w:val="00914912"/>
    <w:rsid w:val="00914AD8"/>
    <w:rsid w:val="00916119"/>
    <w:rsid w:val="00922A7C"/>
    <w:rsid w:val="00922D2D"/>
    <w:rsid w:val="00936F48"/>
    <w:rsid w:val="00942712"/>
    <w:rsid w:val="00961A81"/>
    <w:rsid w:val="00964135"/>
    <w:rsid w:val="00974B0C"/>
    <w:rsid w:val="0099735B"/>
    <w:rsid w:val="00997376"/>
    <w:rsid w:val="009B4502"/>
    <w:rsid w:val="009C24B4"/>
    <w:rsid w:val="009D10E2"/>
    <w:rsid w:val="009D3959"/>
    <w:rsid w:val="009F211A"/>
    <w:rsid w:val="009F383A"/>
    <w:rsid w:val="00A020B8"/>
    <w:rsid w:val="00A1710F"/>
    <w:rsid w:val="00A23B7F"/>
    <w:rsid w:val="00A263F0"/>
    <w:rsid w:val="00A3446A"/>
    <w:rsid w:val="00A45526"/>
    <w:rsid w:val="00A621A5"/>
    <w:rsid w:val="00A643B1"/>
    <w:rsid w:val="00A76ACB"/>
    <w:rsid w:val="00A91CF4"/>
    <w:rsid w:val="00A95370"/>
    <w:rsid w:val="00A97609"/>
    <w:rsid w:val="00AA47C1"/>
    <w:rsid w:val="00AA6A7C"/>
    <w:rsid w:val="00AE65A5"/>
    <w:rsid w:val="00AE680A"/>
    <w:rsid w:val="00AF125C"/>
    <w:rsid w:val="00AF1751"/>
    <w:rsid w:val="00AF5632"/>
    <w:rsid w:val="00B0010E"/>
    <w:rsid w:val="00B02B94"/>
    <w:rsid w:val="00B0373B"/>
    <w:rsid w:val="00B0711C"/>
    <w:rsid w:val="00B16F66"/>
    <w:rsid w:val="00B376FE"/>
    <w:rsid w:val="00B54C85"/>
    <w:rsid w:val="00B56A9C"/>
    <w:rsid w:val="00B64CC1"/>
    <w:rsid w:val="00B85389"/>
    <w:rsid w:val="00B90B6E"/>
    <w:rsid w:val="00B916B3"/>
    <w:rsid w:val="00BA39B1"/>
    <w:rsid w:val="00BA423B"/>
    <w:rsid w:val="00BA6116"/>
    <w:rsid w:val="00BB33F2"/>
    <w:rsid w:val="00BB4F4F"/>
    <w:rsid w:val="00BB7D7B"/>
    <w:rsid w:val="00BD09E8"/>
    <w:rsid w:val="00BD331B"/>
    <w:rsid w:val="00BD3429"/>
    <w:rsid w:val="00BE09C7"/>
    <w:rsid w:val="00BE49F1"/>
    <w:rsid w:val="00C052F4"/>
    <w:rsid w:val="00C07064"/>
    <w:rsid w:val="00C27648"/>
    <w:rsid w:val="00C3247F"/>
    <w:rsid w:val="00C32D62"/>
    <w:rsid w:val="00C6051A"/>
    <w:rsid w:val="00C63A87"/>
    <w:rsid w:val="00CE1725"/>
    <w:rsid w:val="00CE5A79"/>
    <w:rsid w:val="00CF3850"/>
    <w:rsid w:val="00CF504B"/>
    <w:rsid w:val="00CF60C5"/>
    <w:rsid w:val="00CF67D8"/>
    <w:rsid w:val="00D000E4"/>
    <w:rsid w:val="00D145BB"/>
    <w:rsid w:val="00D15DC9"/>
    <w:rsid w:val="00D36A5E"/>
    <w:rsid w:val="00D46D8A"/>
    <w:rsid w:val="00D50363"/>
    <w:rsid w:val="00D51DA2"/>
    <w:rsid w:val="00D55407"/>
    <w:rsid w:val="00D6505E"/>
    <w:rsid w:val="00D730CD"/>
    <w:rsid w:val="00D75D2C"/>
    <w:rsid w:val="00D76E01"/>
    <w:rsid w:val="00D85902"/>
    <w:rsid w:val="00D93EC9"/>
    <w:rsid w:val="00D96339"/>
    <w:rsid w:val="00D96984"/>
    <w:rsid w:val="00DA202C"/>
    <w:rsid w:val="00DA615E"/>
    <w:rsid w:val="00DA69C5"/>
    <w:rsid w:val="00DB396C"/>
    <w:rsid w:val="00DC23EE"/>
    <w:rsid w:val="00DD2FA6"/>
    <w:rsid w:val="00DE5218"/>
    <w:rsid w:val="00DF2C54"/>
    <w:rsid w:val="00E00F99"/>
    <w:rsid w:val="00E021FF"/>
    <w:rsid w:val="00E12398"/>
    <w:rsid w:val="00E27DCE"/>
    <w:rsid w:val="00E31CC1"/>
    <w:rsid w:val="00E40EC2"/>
    <w:rsid w:val="00E442A6"/>
    <w:rsid w:val="00E445C7"/>
    <w:rsid w:val="00E467F4"/>
    <w:rsid w:val="00E54FF3"/>
    <w:rsid w:val="00E56559"/>
    <w:rsid w:val="00E67B39"/>
    <w:rsid w:val="00E821F2"/>
    <w:rsid w:val="00E86FA2"/>
    <w:rsid w:val="00E95EF6"/>
    <w:rsid w:val="00EA10E2"/>
    <w:rsid w:val="00EB6531"/>
    <w:rsid w:val="00EE0DCE"/>
    <w:rsid w:val="00EF189F"/>
    <w:rsid w:val="00F00FD9"/>
    <w:rsid w:val="00F1361E"/>
    <w:rsid w:val="00F15636"/>
    <w:rsid w:val="00F37403"/>
    <w:rsid w:val="00F37A55"/>
    <w:rsid w:val="00F46982"/>
    <w:rsid w:val="00F56BCF"/>
    <w:rsid w:val="00F57441"/>
    <w:rsid w:val="00F609C8"/>
    <w:rsid w:val="00F66E2A"/>
    <w:rsid w:val="00F71993"/>
    <w:rsid w:val="00F732A9"/>
    <w:rsid w:val="00F76449"/>
    <w:rsid w:val="00F84019"/>
    <w:rsid w:val="00F928CF"/>
    <w:rsid w:val="00FB0700"/>
    <w:rsid w:val="00FB2C88"/>
    <w:rsid w:val="00FB4975"/>
    <w:rsid w:val="00FC0327"/>
    <w:rsid w:val="00FC5A8C"/>
    <w:rsid w:val="00FC7596"/>
    <w:rsid w:val="00FD523F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35C7"/>
  <w15:docId w15:val="{47CAB584-8538-4551-937A-CB37C3F5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339"/>
    <w:pPr>
      <w:keepLines/>
    </w:pPr>
  </w:style>
  <w:style w:type="paragraph" w:styleId="Heading1">
    <w:name w:val="heading 1"/>
    <w:basedOn w:val="Normal"/>
    <w:next w:val="Normal"/>
    <w:link w:val="Heading1Char"/>
    <w:uiPriority w:val="9"/>
    <w:qFormat/>
    <w:rsid w:val="00942712"/>
    <w:pPr>
      <w:keepNext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2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712"/>
    <w:pPr>
      <w:keepNext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2712"/>
    <w:pPr>
      <w:keepNext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2712"/>
    <w:pPr>
      <w:keepNext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E442A6"/>
    <w:pPr>
      <w:numPr>
        <w:numId w:val="20"/>
      </w:numPr>
      <w:spacing w:after="0" w:line="240" w:lineRule="auto"/>
      <w:contextualSpacing/>
    </w:pPr>
    <w:rPr>
      <w:rFonts w:asciiTheme="minorHAnsi" w:hAnsi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712"/>
    <w:rPr>
      <w:rFonts w:ascii="Times New Roman" w:eastAsia="Times New Roman" w:hAnsi="Times New Roman" w:cs="Times New Roman"/>
      <w:b/>
      <w:bCs/>
      <w:color w:val="auto"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942712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942712"/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942712"/>
    <w:rPr>
      <w:b/>
      <w:bCs/>
    </w:rPr>
  </w:style>
  <w:style w:type="character" w:styleId="Emphasis">
    <w:name w:val="Emphasis"/>
    <w:basedOn w:val="DefaultParagraphFont"/>
    <w:uiPriority w:val="20"/>
    <w:qFormat/>
    <w:rsid w:val="00942712"/>
    <w:rPr>
      <w:i/>
      <w:iCs/>
    </w:rPr>
  </w:style>
  <w:style w:type="table" w:styleId="GridTable6ColourfulAccent5">
    <w:name w:val="Grid Table 6 Colorful Accent 5"/>
    <w:basedOn w:val="TableNormal"/>
    <w:uiPriority w:val="51"/>
    <w:rsid w:val="0094271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712"/>
    <w:rPr>
      <w:rFonts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712"/>
    <w:rPr>
      <w:rFonts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12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12"/>
    <w:rPr>
      <w:rFonts w:ascii="Segoe UI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2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712"/>
    <w:pPr>
      <w:spacing w:line="240" w:lineRule="auto"/>
    </w:pPr>
    <w:rPr>
      <w:rFonts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712"/>
    <w:rPr>
      <w:rFonts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712"/>
    <w:rPr>
      <w:rFonts w:cstheme="minorBidi"/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712"/>
    <w:pPr>
      <w:spacing w:after="0" w:line="240" w:lineRule="auto"/>
    </w:pPr>
    <w:rPr>
      <w:rFonts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712"/>
    <w:rPr>
      <w:rFonts w:cstheme="minorBid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2712"/>
    <w:rPr>
      <w:vertAlign w:val="superscript"/>
    </w:rPr>
  </w:style>
  <w:style w:type="table" w:styleId="TableGrid">
    <w:name w:val="Table Grid"/>
    <w:basedOn w:val="TableNormal"/>
    <w:uiPriority w:val="39"/>
    <w:rsid w:val="0093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61CC02029F84C8C44F66D9C795D78" ma:contentTypeVersion="7" ma:contentTypeDescription="Create a new document." ma:contentTypeScope="" ma:versionID="7c2f808f2798db4bb9d48f44422820ee">
  <xsd:schema xmlns:xsd="http://www.w3.org/2001/XMLSchema" xmlns:xs="http://www.w3.org/2001/XMLSchema" xmlns:p="http://schemas.microsoft.com/office/2006/metadata/properties" xmlns:ns3="f517cb54-c72c-447b-b9fb-f5894b9e34f0" targetNamespace="http://schemas.microsoft.com/office/2006/metadata/properties" ma:root="true" ma:fieldsID="c9a120135a3bec4adf5ea8d135fec37c" ns3:_="">
    <xsd:import namespace="f517cb54-c72c-447b-b9fb-f5894b9e3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cb54-c72c-447b-b9fb-f5894b9e3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556E0-F83A-4F1C-A89C-D7215F732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1FBF3-3BAB-4552-B623-5300AB27D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7cb54-c72c-447b-b9fb-f5894b9e3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E116A-7454-43B9-AF0E-CC1D42612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5D32A-2018-41A0-B8EE-F5BE25D44C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Alan O’Connor</cp:lastModifiedBy>
  <cp:revision>2</cp:revision>
  <cp:lastPrinted>2023-01-31T10:44:00Z</cp:lastPrinted>
  <dcterms:created xsi:type="dcterms:W3CDTF">2023-02-02T11:04:00Z</dcterms:created>
  <dcterms:modified xsi:type="dcterms:W3CDTF">2023-02-02T11:04:00Z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0x010100CB361CC02029F84C8C44F66D9C795D78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SecurityClassification">
    <vt:lpwstr>1;#Unclassified|13b0a387-28e5-4d0e-ba93-bfbfb7bc32d7</vt:lpwstr>
  </property>
  <property fmtid="{D5CDD505-2E9C-101B-9397-08002B2CF9AE}" pid="5" name="eDocs_DocumentTopics">
    <vt:lpwstr/>
  </property>
  <property fmtid="{D5CDD505-2E9C-101B-9397-08002B2CF9AE}" pid="6" name="eDocs_Year">
    <vt:lpwstr>3;#2021|0e846ee2-68d6-4f7d-bff6-25a86a327e82</vt:lpwstr>
  </property>
  <property fmtid="{D5CDD505-2E9C-101B-9397-08002B2CF9AE}" pid="7" name="eDocs_SeriesSubSeries">
    <vt:lpwstr>4;#042|3c96f07b-1152-4d2e-8a69-d6b60d1fab17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