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30766" w14:textId="77777777" w:rsidR="00942712" w:rsidRPr="00E67B39" w:rsidRDefault="00942712" w:rsidP="00942712">
      <w:pPr>
        <w:pStyle w:val="Heading1"/>
        <w:rPr>
          <w:rFonts w:ascii="Tw Cen MT Condensed" w:hAnsi="Tw Cen MT Condensed"/>
          <w:sz w:val="44"/>
          <w:szCs w:val="44"/>
        </w:rPr>
      </w:pPr>
      <w:r w:rsidRPr="00E67B39">
        <w:rPr>
          <w:rFonts w:ascii="Tw Cen MT Condensed" w:hAnsi="Tw Cen MT Condensed"/>
          <w:sz w:val="44"/>
          <w:szCs w:val="44"/>
        </w:rPr>
        <w:t>Citizens Information Services (CISs) – Caller/Query Data</w:t>
      </w:r>
    </w:p>
    <w:p w14:paraId="36FFB16B" w14:textId="77777777" w:rsidR="00942712" w:rsidRPr="0037547C" w:rsidRDefault="00942712" w:rsidP="00942712">
      <w:pPr>
        <w:pStyle w:val="Heading1"/>
        <w:rPr>
          <w:rFonts w:ascii="Tw Cen MT Condensed" w:hAnsi="Tw Cen MT Condensed"/>
          <w:sz w:val="44"/>
          <w:szCs w:val="44"/>
        </w:rPr>
      </w:pPr>
      <w:r w:rsidRPr="0037547C">
        <w:rPr>
          <w:rFonts w:ascii="Tw Cen MT Condensed" w:hAnsi="Tw Cen MT Condensed"/>
          <w:sz w:val="44"/>
          <w:szCs w:val="44"/>
        </w:rPr>
        <w:t xml:space="preserve">Statistical Summary Quarter 3 2022 </w:t>
      </w:r>
    </w:p>
    <w:p w14:paraId="0A4615CA" w14:textId="77777777" w:rsidR="00942712" w:rsidRPr="00D96984" w:rsidRDefault="00942712" w:rsidP="00942712">
      <w:pPr>
        <w:rPr>
          <w:rFonts w:eastAsia="Times New Roman"/>
          <w:color w:val="FF0000"/>
          <w:sz w:val="22"/>
          <w:szCs w:val="22"/>
          <w:vertAlign w:val="superscript"/>
          <w:lang w:eastAsia="en-IE"/>
        </w:rPr>
      </w:pPr>
      <w:r w:rsidRPr="00D96984">
        <w:rPr>
          <w:rFonts w:eastAsia="Times New Roman"/>
          <w:sz w:val="22"/>
          <w:szCs w:val="22"/>
          <w:lang w:eastAsia="en-IE"/>
        </w:rPr>
        <w:t>The following is a statistical summary of CISs caller and query data for Quarter 3, 1</w:t>
      </w:r>
      <w:r w:rsidRPr="00D96984">
        <w:rPr>
          <w:rFonts w:eastAsia="Times New Roman"/>
          <w:sz w:val="22"/>
          <w:szCs w:val="22"/>
          <w:vertAlign w:val="superscript"/>
          <w:lang w:eastAsia="en-IE"/>
        </w:rPr>
        <w:t>st</w:t>
      </w:r>
      <w:r w:rsidRPr="00D96984">
        <w:rPr>
          <w:rFonts w:eastAsia="Times New Roman"/>
          <w:sz w:val="22"/>
          <w:szCs w:val="22"/>
          <w:lang w:eastAsia="en-IE"/>
        </w:rPr>
        <w:t xml:space="preserve"> July – 30</w:t>
      </w:r>
      <w:r w:rsidRPr="00D96984">
        <w:rPr>
          <w:rFonts w:eastAsia="Times New Roman"/>
          <w:sz w:val="22"/>
          <w:szCs w:val="22"/>
          <w:vertAlign w:val="superscript"/>
          <w:lang w:eastAsia="en-IE"/>
        </w:rPr>
        <w:t>th</w:t>
      </w:r>
      <w:r w:rsidRPr="00D96984">
        <w:rPr>
          <w:rFonts w:eastAsia="Times New Roman"/>
          <w:sz w:val="22"/>
          <w:szCs w:val="22"/>
          <w:lang w:eastAsia="en-IE"/>
        </w:rPr>
        <w:t xml:space="preserve"> September 2022. </w:t>
      </w:r>
    </w:p>
    <w:p w14:paraId="3DBE9789" w14:textId="77777777" w:rsidR="00942712" w:rsidRPr="0037547C" w:rsidRDefault="00942712" w:rsidP="00942712">
      <w:pPr>
        <w:pStyle w:val="Heading1"/>
        <w:rPr>
          <w:rFonts w:ascii="Tw Cen MT Condensed" w:hAnsi="Tw Cen MT Condensed"/>
          <w:sz w:val="28"/>
          <w:szCs w:val="28"/>
        </w:rPr>
      </w:pPr>
      <w:r w:rsidRPr="0037547C">
        <w:rPr>
          <w:rFonts w:ascii="Tw Cen MT Condensed" w:hAnsi="Tw Cen MT Condensed"/>
          <w:sz w:val="28"/>
          <w:szCs w:val="28"/>
        </w:rPr>
        <w:t>Caller Summary</w:t>
      </w:r>
    </w:p>
    <w:p w14:paraId="53C8429A" w14:textId="2F45EC58" w:rsidR="00942712" w:rsidRPr="00B12326" w:rsidRDefault="00942712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9B0045">
        <w:rPr>
          <w:rFonts w:ascii="Calibri" w:hAnsi="Calibri" w:cs="Calibri"/>
          <w:color w:val="auto"/>
          <w:sz w:val="22"/>
          <w:szCs w:val="22"/>
        </w:rPr>
        <w:t xml:space="preserve">There were </w:t>
      </w:r>
      <w:r w:rsidRPr="009B0045">
        <w:rPr>
          <w:rFonts w:ascii="Calibri" w:hAnsi="Calibri" w:cs="Calibri"/>
          <w:b/>
          <w:color w:val="auto"/>
          <w:sz w:val="22"/>
          <w:szCs w:val="22"/>
        </w:rPr>
        <w:t>107,559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callers to CISs nationally during Q3, 2022, </w:t>
      </w:r>
      <w:r w:rsidRPr="009B0045">
        <w:rPr>
          <w:rFonts w:ascii="Calibri" w:hAnsi="Calibri" w:cs="Calibri"/>
          <w:b/>
          <w:color w:val="auto"/>
          <w:sz w:val="22"/>
          <w:szCs w:val="22"/>
        </w:rPr>
        <w:t>an 11.7% increase</w:t>
      </w:r>
      <w:r w:rsidRPr="009B0045">
        <w:rPr>
          <w:rFonts w:ascii="Calibri" w:hAnsi="Calibri" w:cs="Calibri"/>
          <w:color w:val="auto"/>
          <w:sz w:val="22"/>
          <w:szCs w:val="22"/>
        </w:rPr>
        <w:t xml:space="preserve"> on the same period in 2021 when there were 96,301 callers.</w:t>
      </w:r>
      <w:r w:rsidR="008F7776">
        <w:rPr>
          <w:rFonts w:ascii="Calibri" w:hAnsi="Calibri" w:cs="Calibri"/>
          <w:color w:val="auto"/>
          <w:sz w:val="22"/>
          <w:szCs w:val="22"/>
        </w:rPr>
        <w:t xml:space="preserve"> (Callers number were also up over 11% on the previous quarter this year).  Two thirds of </w:t>
      </w:r>
      <w:r w:rsidRPr="009B0045">
        <w:rPr>
          <w:rFonts w:ascii="Calibri" w:hAnsi="Calibri" w:cs="Calibri"/>
          <w:color w:val="auto"/>
          <w:sz w:val="22"/>
          <w:szCs w:val="22"/>
        </w:rPr>
        <w:t>callers in Q3 2022 were female (60.7%).</w:t>
      </w:r>
      <w:r w:rsidRPr="00B12326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4AFF3FF" w14:textId="77777777" w:rsidR="00942712" w:rsidRPr="0037547C" w:rsidRDefault="00942712" w:rsidP="00942712">
      <w:pPr>
        <w:pStyle w:val="Heading1"/>
        <w:jc w:val="both"/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Table 1 – Caller Gender Profile – Q3 2022 Summary</w:t>
      </w:r>
    </w:p>
    <w:tbl>
      <w:tblPr>
        <w:tblStyle w:val="GridTable5Dark-Accent6"/>
        <w:tblW w:w="7119" w:type="dxa"/>
        <w:tblLook w:val="04A0" w:firstRow="1" w:lastRow="0" w:firstColumn="1" w:lastColumn="0" w:noHBand="0" w:noVBand="1"/>
        <w:tblCaption w:val="Caller Gender Profile - Quarter 1"/>
        <w:tblDescription w:val="A table setting out the gender profile data for Q1 2021.  &#10;"/>
      </w:tblPr>
      <w:tblGrid>
        <w:gridCol w:w="1939"/>
        <w:gridCol w:w="2720"/>
        <w:gridCol w:w="2460"/>
      </w:tblGrid>
      <w:tr w:rsidR="00942712" w:rsidRPr="004027EE" w14:paraId="683B89F1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2D30669D" w14:textId="77777777" w:rsidR="00942712" w:rsidRPr="0037547C" w:rsidRDefault="00942712" w:rsidP="00D50363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Caller Profile</w:t>
            </w:r>
          </w:p>
        </w:tc>
        <w:tc>
          <w:tcPr>
            <w:tcW w:w="2720" w:type="dxa"/>
            <w:noWrap/>
            <w:hideMark/>
          </w:tcPr>
          <w:p w14:paraId="34DD5ADF" w14:textId="77777777" w:rsidR="00942712" w:rsidRPr="0037547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60" w:type="dxa"/>
            <w:noWrap/>
            <w:hideMark/>
          </w:tcPr>
          <w:p w14:paraId="2AF3DB94" w14:textId="77777777" w:rsidR="00942712" w:rsidRPr="0037547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942712" w:rsidRPr="004027EE" w14:paraId="7B4472E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4F27BFD6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Female</w:t>
            </w:r>
          </w:p>
        </w:tc>
        <w:tc>
          <w:tcPr>
            <w:tcW w:w="2720" w:type="dxa"/>
            <w:noWrap/>
            <w:hideMark/>
          </w:tcPr>
          <w:p w14:paraId="42F7540D" w14:textId="77777777" w:rsidR="00942712" w:rsidRPr="004D3E73" w:rsidRDefault="00942712" w:rsidP="00D50363">
            <w:pPr>
              <w:tabs>
                <w:tab w:val="left" w:pos="188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</w:rPr>
              <w:t>65,295</w:t>
            </w:r>
          </w:p>
        </w:tc>
        <w:tc>
          <w:tcPr>
            <w:tcW w:w="2460" w:type="dxa"/>
            <w:noWrap/>
            <w:hideMark/>
          </w:tcPr>
          <w:p w14:paraId="2560525D" w14:textId="77777777" w:rsidR="00942712" w:rsidRPr="004D3E73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</w:rPr>
              <w:t xml:space="preserve">60.7% </w:t>
            </w:r>
          </w:p>
        </w:tc>
      </w:tr>
      <w:tr w:rsidR="00942712" w:rsidRPr="004027EE" w14:paraId="3C6CF9F7" w14:textId="77777777" w:rsidTr="00D5036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0BF80B51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Male</w:t>
            </w:r>
          </w:p>
        </w:tc>
        <w:tc>
          <w:tcPr>
            <w:tcW w:w="2720" w:type="dxa"/>
            <w:noWrap/>
            <w:hideMark/>
          </w:tcPr>
          <w:p w14:paraId="45D6D35B" w14:textId="77777777" w:rsidR="00942712" w:rsidRPr="004D3E73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</w:rPr>
              <w:t>37,979</w:t>
            </w:r>
          </w:p>
        </w:tc>
        <w:tc>
          <w:tcPr>
            <w:tcW w:w="2460" w:type="dxa"/>
            <w:noWrap/>
            <w:hideMark/>
          </w:tcPr>
          <w:p w14:paraId="5D7714FC" w14:textId="77777777" w:rsidR="00942712" w:rsidRPr="004D3E73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</w:rPr>
              <w:t>35.3%</w:t>
            </w:r>
          </w:p>
        </w:tc>
      </w:tr>
      <w:tr w:rsidR="00942712" w:rsidRPr="004027EE" w14:paraId="67DB168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3BBE3A38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Couples</w:t>
            </w:r>
          </w:p>
        </w:tc>
        <w:tc>
          <w:tcPr>
            <w:tcW w:w="2720" w:type="dxa"/>
            <w:noWrap/>
            <w:hideMark/>
          </w:tcPr>
          <w:p w14:paraId="0BCC46BF" w14:textId="77777777" w:rsidR="00942712" w:rsidRPr="004D3E73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</w:rPr>
              <w:t xml:space="preserve">3,864 </w:t>
            </w:r>
          </w:p>
        </w:tc>
        <w:tc>
          <w:tcPr>
            <w:tcW w:w="2460" w:type="dxa"/>
            <w:noWrap/>
            <w:hideMark/>
          </w:tcPr>
          <w:p w14:paraId="36C2BD0B" w14:textId="77777777" w:rsidR="00942712" w:rsidRPr="004D3E73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</w:rPr>
              <w:t xml:space="preserve">3.6%  </w:t>
            </w:r>
          </w:p>
        </w:tc>
      </w:tr>
      <w:tr w:rsidR="00942712" w:rsidRPr="004027EE" w14:paraId="5C21795F" w14:textId="77777777" w:rsidTr="00D50363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5AFD0AF8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Unknown</w:t>
            </w:r>
          </w:p>
        </w:tc>
        <w:tc>
          <w:tcPr>
            <w:tcW w:w="2720" w:type="dxa"/>
            <w:noWrap/>
            <w:hideMark/>
          </w:tcPr>
          <w:p w14:paraId="389AAD94" w14:textId="77777777" w:rsidR="00942712" w:rsidRPr="004D3E73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</w:rPr>
              <w:t>421</w:t>
            </w:r>
          </w:p>
        </w:tc>
        <w:tc>
          <w:tcPr>
            <w:tcW w:w="2460" w:type="dxa"/>
            <w:noWrap/>
            <w:hideMark/>
          </w:tcPr>
          <w:p w14:paraId="2101C64F" w14:textId="77777777" w:rsidR="00942712" w:rsidRPr="004D3E73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</w:rPr>
              <w:t xml:space="preserve">0.4% </w:t>
            </w:r>
          </w:p>
        </w:tc>
      </w:tr>
    </w:tbl>
    <w:p w14:paraId="59FA5133" w14:textId="77777777" w:rsidR="00E67B39" w:rsidRDefault="00E67B39" w:rsidP="00942712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0CEBF75" w14:textId="74D57434" w:rsidR="00942712" w:rsidRPr="004027EE" w:rsidRDefault="00942712" w:rsidP="00942712">
      <w:pPr>
        <w:pStyle w:val="Heading3"/>
        <w:jc w:val="both"/>
        <w:rPr>
          <w:rFonts w:ascii="Calibri" w:hAnsi="Calibri" w:cs="Calibri"/>
          <w:color w:val="FF0000"/>
          <w:sz w:val="22"/>
          <w:szCs w:val="22"/>
        </w:rPr>
      </w:pPr>
      <w:r w:rsidRPr="004027EE">
        <w:rPr>
          <w:rFonts w:ascii="Calibri" w:hAnsi="Calibri" w:cs="Calibri"/>
          <w:color w:val="auto"/>
          <w:sz w:val="22"/>
          <w:szCs w:val="22"/>
        </w:rPr>
        <w:t xml:space="preserve">Where age was recorded (n=68%), the highest number of callers was in the 26-45 age bracket representing 42.5% of callers and down from 47.1% in the same period in 2021. The number of callers in the ‘66 and over’ age bracket rose by 79.5%, from 7,218 callers in Q3 2021 to 12,957 for this quarter </w:t>
      </w:r>
      <w:r w:rsidR="006D1BBA">
        <w:rPr>
          <w:rFonts w:ascii="Calibri" w:hAnsi="Calibri" w:cs="Calibri"/>
          <w:color w:val="auto"/>
          <w:sz w:val="22"/>
          <w:szCs w:val="22"/>
        </w:rPr>
        <w:t xml:space="preserve">reflecting a return in service demand from older callers, </w:t>
      </w:r>
      <w:r w:rsidRPr="004027EE">
        <w:rPr>
          <w:rFonts w:ascii="Calibri" w:hAnsi="Calibri" w:cs="Calibri"/>
          <w:color w:val="auto"/>
          <w:sz w:val="22"/>
          <w:szCs w:val="22"/>
        </w:rPr>
        <w:t xml:space="preserve">while callers in the 46 to 65 age category increased by 22.7% from 21,667 callers to 26,590 callers in this quarter. </w:t>
      </w:r>
    </w:p>
    <w:p w14:paraId="2693BFBA" w14:textId="77777777" w:rsidR="00942712" w:rsidRPr="0037547C" w:rsidRDefault="00942712" w:rsidP="00942712">
      <w:pPr>
        <w:pStyle w:val="Heading1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 xml:space="preserve">Table 2 – Caller Age Profile – Q3 2022 Summary </w:t>
      </w:r>
      <w:bookmarkStart w:id="0" w:name="_GoBack"/>
      <w:bookmarkEnd w:id="0"/>
    </w:p>
    <w:tbl>
      <w:tblPr>
        <w:tblStyle w:val="GridTable5Dark-Accent6"/>
        <w:tblW w:w="7125" w:type="dxa"/>
        <w:tblLook w:val="04A0" w:firstRow="1" w:lastRow="0" w:firstColumn="1" w:lastColumn="0" w:noHBand="0" w:noVBand="1"/>
        <w:tblCaption w:val="Caller Age Profile - Quarter 1"/>
        <w:tblDescription w:val="A table setting out the caller age profile for quarter 1 2021."/>
      </w:tblPr>
      <w:tblGrid>
        <w:gridCol w:w="2427"/>
        <w:gridCol w:w="2228"/>
        <w:gridCol w:w="2470"/>
      </w:tblGrid>
      <w:tr w:rsidR="00942712" w:rsidRPr="004027EE" w14:paraId="393FBADE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vMerge w:val="restart"/>
            <w:noWrap/>
            <w:hideMark/>
          </w:tcPr>
          <w:p w14:paraId="0D2EFC58" w14:textId="77777777" w:rsidR="00942712" w:rsidRPr="0037547C" w:rsidRDefault="00942712" w:rsidP="00D50363">
            <w:pPr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Caller Age Range</w:t>
            </w:r>
          </w:p>
        </w:tc>
        <w:tc>
          <w:tcPr>
            <w:tcW w:w="2228" w:type="dxa"/>
            <w:noWrap/>
            <w:hideMark/>
          </w:tcPr>
          <w:p w14:paraId="5E93712B" w14:textId="77777777" w:rsidR="00942712" w:rsidRPr="0037547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Number of Callers </w:t>
            </w:r>
          </w:p>
        </w:tc>
        <w:tc>
          <w:tcPr>
            <w:tcW w:w="2470" w:type="dxa"/>
            <w:vMerge w:val="restart"/>
            <w:noWrap/>
            <w:hideMark/>
          </w:tcPr>
          <w:p w14:paraId="5969571C" w14:textId="77777777" w:rsidR="00942712" w:rsidRPr="0037547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942712" w:rsidRPr="004027EE" w14:paraId="7FDCCDE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vMerge/>
            <w:hideMark/>
          </w:tcPr>
          <w:p w14:paraId="5CF0AD7D" w14:textId="77777777" w:rsidR="00942712" w:rsidRPr="004027EE" w:rsidRDefault="00942712" w:rsidP="00D50363">
            <w:pPr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</w:p>
        </w:tc>
        <w:tc>
          <w:tcPr>
            <w:tcW w:w="2228" w:type="dxa"/>
            <w:shd w:val="clear" w:color="auto" w:fill="62A39F" w:themeFill="accent6"/>
            <w:noWrap/>
            <w:hideMark/>
          </w:tcPr>
          <w:p w14:paraId="183C8242" w14:textId="77777777" w:rsidR="00942712" w:rsidRPr="004027EE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highlight w:val="yellow"/>
                <w:lang w:eastAsia="en-IE"/>
              </w:rPr>
            </w:pPr>
            <w:r w:rsidRPr="004027EE">
              <w:rPr>
                <w:rFonts w:eastAsia="Times New Roman" w:cs="Calibri"/>
                <w:b/>
                <w:bCs/>
                <w:color w:val="000000"/>
                <w:lang w:eastAsia="en-IE"/>
              </w:rPr>
              <w:t>(n= 68%)</w:t>
            </w:r>
          </w:p>
        </w:tc>
        <w:tc>
          <w:tcPr>
            <w:tcW w:w="2470" w:type="dxa"/>
            <w:vMerge/>
            <w:hideMark/>
          </w:tcPr>
          <w:p w14:paraId="645DDC64" w14:textId="77777777" w:rsidR="00942712" w:rsidRPr="004027EE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</w:p>
        </w:tc>
      </w:tr>
      <w:tr w:rsidR="00942712" w:rsidRPr="004027EE" w14:paraId="37789FA1" w14:textId="77777777" w:rsidTr="00D5036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54D508FD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26 - 45</w:t>
            </w:r>
          </w:p>
        </w:tc>
        <w:tc>
          <w:tcPr>
            <w:tcW w:w="2228" w:type="dxa"/>
            <w:noWrap/>
            <w:vAlign w:val="bottom"/>
            <w:hideMark/>
          </w:tcPr>
          <w:p w14:paraId="0BC6B08C" w14:textId="77777777" w:rsidR="00942712" w:rsidRPr="004D3E73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highlight w:val="yellow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31,039</w:t>
            </w:r>
          </w:p>
        </w:tc>
        <w:tc>
          <w:tcPr>
            <w:tcW w:w="2470" w:type="dxa"/>
            <w:noWrap/>
            <w:vAlign w:val="bottom"/>
            <w:hideMark/>
          </w:tcPr>
          <w:p w14:paraId="606FAE25" w14:textId="77777777" w:rsidR="00942712" w:rsidRPr="004D3E73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 xml:space="preserve">42.5% </w:t>
            </w:r>
          </w:p>
        </w:tc>
      </w:tr>
      <w:tr w:rsidR="00942712" w:rsidRPr="004027EE" w14:paraId="3DB5D7E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2990A354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46 - 65</w:t>
            </w:r>
          </w:p>
        </w:tc>
        <w:tc>
          <w:tcPr>
            <w:tcW w:w="2228" w:type="dxa"/>
            <w:noWrap/>
            <w:vAlign w:val="bottom"/>
            <w:hideMark/>
          </w:tcPr>
          <w:p w14:paraId="2CD69E11" w14:textId="77777777" w:rsidR="00942712" w:rsidRPr="004D3E73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26,590</w:t>
            </w:r>
          </w:p>
        </w:tc>
        <w:tc>
          <w:tcPr>
            <w:tcW w:w="2470" w:type="dxa"/>
            <w:noWrap/>
            <w:vAlign w:val="bottom"/>
            <w:hideMark/>
          </w:tcPr>
          <w:p w14:paraId="407AAFC4" w14:textId="77777777" w:rsidR="00942712" w:rsidRPr="004D3E73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36.4%</w:t>
            </w:r>
          </w:p>
        </w:tc>
      </w:tr>
      <w:tr w:rsidR="00942712" w:rsidRPr="004027EE" w14:paraId="4CFD3CFB" w14:textId="77777777" w:rsidTr="00D50363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0427BF3D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66 and Over</w:t>
            </w:r>
          </w:p>
        </w:tc>
        <w:tc>
          <w:tcPr>
            <w:tcW w:w="2228" w:type="dxa"/>
            <w:noWrap/>
            <w:vAlign w:val="bottom"/>
            <w:hideMark/>
          </w:tcPr>
          <w:p w14:paraId="03E03B3D" w14:textId="77777777" w:rsidR="00942712" w:rsidRPr="004D3E73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12,957</w:t>
            </w:r>
          </w:p>
        </w:tc>
        <w:tc>
          <w:tcPr>
            <w:tcW w:w="2470" w:type="dxa"/>
            <w:noWrap/>
            <w:vAlign w:val="bottom"/>
            <w:hideMark/>
          </w:tcPr>
          <w:p w14:paraId="4C4D4FDA" w14:textId="77777777" w:rsidR="00942712" w:rsidRPr="004D3E73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17.8%</w:t>
            </w:r>
          </w:p>
        </w:tc>
      </w:tr>
      <w:tr w:rsidR="00942712" w:rsidRPr="004027EE" w14:paraId="6FB2336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2A193A68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25 and Under</w:t>
            </w:r>
          </w:p>
        </w:tc>
        <w:tc>
          <w:tcPr>
            <w:tcW w:w="2228" w:type="dxa"/>
            <w:noWrap/>
            <w:vAlign w:val="bottom"/>
            <w:hideMark/>
          </w:tcPr>
          <w:p w14:paraId="24E27DBA" w14:textId="77777777" w:rsidR="00942712" w:rsidRPr="004D3E73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2,414</w:t>
            </w:r>
          </w:p>
        </w:tc>
        <w:tc>
          <w:tcPr>
            <w:tcW w:w="2470" w:type="dxa"/>
            <w:noWrap/>
            <w:vAlign w:val="bottom"/>
            <w:hideMark/>
          </w:tcPr>
          <w:p w14:paraId="1FFE0929" w14:textId="77777777" w:rsidR="00942712" w:rsidRPr="004D3E73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3.3%</w:t>
            </w:r>
          </w:p>
        </w:tc>
      </w:tr>
    </w:tbl>
    <w:p w14:paraId="6F93AF4B" w14:textId="77777777" w:rsidR="00E67B39" w:rsidRDefault="00E67B39" w:rsidP="00942712">
      <w:pPr>
        <w:jc w:val="both"/>
        <w:rPr>
          <w:sz w:val="22"/>
          <w:szCs w:val="22"/>
        </w:rPr>
      </w:pPr>
    </w:p>
    <w:p w14:paraId="721B5B51" w14:textId="48EF8775" w:rsidR="00942712" w:rsidRPr="004027EE" w:rsidRDefault="00E67B39" w:rsidP="009427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 the </w:t>
      </w:r>
      <w:r w:rsidR="00942712" w:rsidRPr="004027EE">
        <w:rPr>
          <w:sz w:val="22"/>
          <w:szCs w:val="22"/>
        </w:rPr>
        <w:t>107,559 callers that contacted CISs in Q3 2022, 50.4% of people did so by telephone, compared to 81% in Q3 2021 when face-to-face services were closed</w:t>
      </w:r>
      <w:r w:rsidR="00942712" w:rsidRPr="004027EE">
        <w:rPr>
          <w:color w:val="FF0000"/>
          <w:sz w:val="22"/>
          <w:szCs w:val="22"/>
        </w:rPr>
        <w:t xml:space="preserve">. </w:t>
      </w:r>
      <w:r w:rsidR="00942712" w:rsidRPr="004027EE">
        <w:rPr>
          <w:sz w:val="22"/>
          <w:szCs w:val="22"/>
        </w:rPr>
        <w:t>Face-to-face services (drop-in and appointment) resumed on a phased basis in Q1 2022. Callers in person therefore increased from 13.9% in Q3 2021 to 46%, an increase of 32.1% as a percentage of all callers</w:t>
      </w:r>
      <w:r w:rsidR="00942712" w:rsidRPr="004027EE">
        <w:rPr>
          <w:rStyle w:val="FootnoteReference"/>
          <w:sz w:val="22"/>
          <w:szCs w:val="22"/>
        </w:rPr>
        <w:footnoteReference w:id="1"/>
      </w:r>
      <w:r w:rsidR="00942712" w:rsidRPr="004027EE">
        <w:rPr>
          <w:sz w:val="22"/>
          <w:szCs w:val="22"/>
        </w:rPr>
        <w:t xml:space="preserve">. </w:t>
      </w:r>
    </w:p>
    <w:p w14:paraId="1E8B2212" w14:textId="77777777" w:rsidR="00942712" w:rsidRPr="0037547C" w:rsidRDefault="00942712" w:rsidP="00942712">
      <w:pPr>
        <w:pStyle w:val="Heading1"/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 w:cstheme="minorHAnsi"/>
          <w:b/>
          <w:sz w:val="24"/>
          <w:szCs w:val="24"/>
          <w:lang w:eastAsia="en-IE"/>
        </w:rPr>
        <w:t>Table 3 – Caller Mode of Contact – Q3 2022 Summary</w:t>
      </w:r>
    </w:p>
    <w:tbl>
      <w:tblPr>
        <w:tblStyle w:val="GridTable5Dark-Accent6"/>
        <w:tblW w:w="7150" w:type="dxa"/>
        <w:tblLook w:val="04A0" w:firstRow="1" w:lastRow="0" w:firstColumn="1" w:lastColumn="0" w:noHBand="0" w:noVBand="1"/>
        <w:tblCaption w:val="Caller Mode of Contact - Quarter 1 2021"/>
        <w:tblDescription w:val="A table setting out the caller contact type by telephone, personal and letter/email for quarter 1 2021."/>
      </w:tblPr>
      <w:tblGrid>
        <w:gridCol w:w="2029"/>
        <w:gridCol w:w="2640"/>
        <w:gridCol w:w="2481"/>
      </w:tblGrid>
      <w:tr w:rsidR="00942712" w:rsidRPr="004027EE" w14:paraId="1BB61F00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5AA6D8E4" w14:textId="77777777" w:rsidR="00942712" w:rsidRPr="0037547C" w:rsidRDefault="00942712" w:rsidP="00D50363">
            <w:pPr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2640" w:type="dxa"/>
            <w:noWrap/>
            <w:hideMark/>
          </w:tcPr>
          <w:p w14:paraId="4DDB8030" w14:textId="77777777" w:rsidR="00942712" w:rsidRPr="0037547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81" w:type="dxa"/>
            <w:noWrap/>
            <w:hideMark/>
          </w:tcPr>
          <w:p w14:paraId="78D197B6" w14:textId="77777777" w:rsidR="00942712" w:rsidRPr="0037547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37547C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942712" w:rsidRPr="004027EE" w14:paraId="3D336C3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34CFFC79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Telephone</w:t>
            </w:r>
          </w:p>
        </w:tc>
        <w:tc>
          <w:tcPr>
            <w:tcW w:w="2640" w:type="dxa"/>
            <w:noWrap/>
            <w:hideMark/>
          </w:tcPr>
          <w:p w14:paraId="2A156DA6" w14:textId="77777777" w:rsidR="00942712" w:rsidRPr="004D3E73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54,216</w:t>
            </w:r>
          </w:p>
        </w:tc>
        <w:tc>
          <w:tcPr>
            <w:tcW w:w="2481" w:type="dxa"/>
            <w:noWrap/>
          </w:tcPr>
          <w:p w14:paraId="131C3BEB" w14:textId="77777777" w:rsidR="00942712" w:rsidRPr="004D3E73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50.4%</w:t>
            </w:r>
          </w:p>
        </w:tc>
      </w:tr>
      <w:tr w:rsidR="00942712" w:rsidRPr="004027EE" w14:paraId="17FAD502" w14:textId="77777777" w:rsidTr="00D5036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78CAEBD1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Personal</w:t>
            </w:r>
          </w:p>
        </w:tc>
        <w:tc>
          <w:tcPr>
            <w:tcW w:w="2640" w:type="dxa"/>
            <w:noWrap/>
            <w:hideMark/>
          </w:tcPr>
          <w:p w14:paraId="1BC5A478" w14:textId="77777777" w:rsidR="00942712" w:rsidRPr="004D3E73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49,484</w:t>
            </w:r>
          </w:p>
        </w:tc>
        <w:tc>
          <w:tcPr>
            <w:tcW w:w="2481" w:type="dxa"/>
            <w:noWrap/>
          </w:tcPr>
          <w:p w14:paraId="084346AB" w14:textId="77777777" w:rsidR="00942712" w:rsidRPr="004D3E73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46.0%</w:t>
            </w:r>
          </w:p>
        </w:tc>
      </w:tr>
      <w:tr w:rsidR="00942712" w:rsidRPr="004027EE" w14:paraId="244AD02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0CCA5AC3" w14:textId="77777777" w:rsidR="00942712" w:rsidRPr="004D3E73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4D3E73">
              <w:rPr>
                <w:rFonts w:ascii="Calibri" w:eastAsia="Times New Roman" w:hAnsi="Calibri" w:cs="Calibri"/>
                <w:color w:val="000000"/>
                <w:lang w:eastAsia="en-IE"/>
              </w:rPr>
              <w:t>Letter/Email</w:t>
            </w:r>
          </w:p>
        </w:tc>
        <w:tc>
          <w:tcPr>
            <w:tcW w:w="2640" w:type="dxa"/>
            <w:noWrap/>
            <w:hideMark/>
          </w:tcPr>
          <w:p w14:paraId="4A08A4AF" w14:textId="77777777" w:rsidR="00942712" w:rsidRPr="004D3E73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3,859</w:t>
            </w:r>
          </w:p>
        </w:tc>
        <w:tc>
          <w:tcPr>
            <w:tcW w:w="2481" w:type="dxa"/>
            <w:noWrap/>
          </w:tcPr>
          <w:p w14:paraId="48A2B01B" w14:textId="77777777" w:rsidR="00942712" w:rsidRPr="004D3E73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D3E73">
              <w:rPr>
                <w:rFonts w:ascii="Calibri" w:hAnsi="Calibri" w:cs="Calibri"/>
                <w:color w:val="000000"/>
              </w:rPr>
              <w:t>3.6%</w:t>
            </w:r>
          </w:p>
        </w:tc>
      </w:tr>
    </w:tbl>
    <w:p w14:paraId="65213C6A" w14:textId="77777777" w:rsidR="00942712" w:rsidRPr="004027EE" w:rsidRDefault="00942712" w:rsidP="00942712">
      <w:pPr>
        <w:rPr>
          <w:rFonts w:asciiTheme="minorHAnsi" w:hAnsiTheme="minorHAnsi" w:cstheme="minorHAnsi"/>
          <w:sz w:val="22"/>
          <w:szCs w:val="22"/>
        </w:rPr>
        <w:sectPr w:rsidR="00942712" w:rsidRPr="004027EE" w:rsidSect="00D50363">
          <w:footerReference w:type="default" r:id="rId1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3493AB" w14:textId="77777777" w:rsidR="00942712" w:rsidRPr="0037547C" w:rsidRDefault="00942712" w:rsidP="00942712">
      <w:pPr>
        <w:pStyle w:val="Heading1"/>
        <w:rPr>
          <w:rFonts w:ascii="Tw Cen MT Condensed" w:hAnsi="Tw Cen MT Condensed"/>
          <w:b/>
          <w:sz w:val="28"/>
          <w:szCs w:val="28"/>
        </w:rPr>
      </w:pPr>
      <w:r w:rsidRPr="0037547C">
        <w:rPr>
          <w:rFonts w:ascii="Tw Cen MT Condensed" w:hAnsi="Tw Cen MT Condensed"/>
          <w:b/>
          <w:sz w:val="28"/>
          <w:szCs w:val="28"/>
        </w:rPr>
        <w:lastRenderedPageBreak/>
        <w:t xml:space="preserve">Query Summary </w:t>
      </w:r>
    </w:p>
    <w:p w14:paraId="3311B9EC" w14:textId="77777777" w:rsidR="00942712" w:rsidRPr="004027EE" w:rsidRDefault="00942712" w:rsidP="00942712">
      <w:pPr>
        <w:shd w:val="clear" w:color="auto" w:fill="FFFFFF" w:themeFill="background1"/>
        <w:jc w:val="both"/>
        <w:rPr>
          <w:sz w:val="22"/>
          <w:szCs w:val="22"/>
        </w:rPr>
        <w:sectPr w:rsidR="00942712" w:rsidRPr="004027EE" w:rsidSect="00D5036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4027EE">
        <w:rPr>
          <w:sz w:val="22"/>
          <w:szCs w:val="22"/>
        </w:rPr>
        <w:t xml:space="preserve">Services dealt with </w:t>
      </w:r>
      <w:r w:rsidRPr="004027EE">
        <w:rPr>
          <w:b/>
          <w:sz w:val="22"/>
          <w:szCs w:val="22"/>
        </w:rPr>
        <w:t>217,881</w:t>
      </w:r>
      <w:r w:rsidRPr="004027EE">
        <w:rPr>
          <w:sz w:val="22"/>
          <w:szCs w:val="22"/>
        </w:rPr>
        <w:t xml:space="preserve"> queries during Q3 2022, an </w:t>
      </w:r>
      <w:r w:rsidRPr="004027EE">
        <w:rPr>
          <w:b/>
          <w:sz w:val="22"/>
          <w:szCs w:val="22"/>
        </w:rPr>
        <w:t>increase of 14.1%</w:t>
      </w:r>
      <w:r w:rsidRPr="004027EE">
        <w:rPr>
          <w:sz w:val="22"/>
          <w:szCs w:val="22"/>
        </w:rPr>
        <w:t xml:space="preserve"> on the same period in 2021. There was a rise in the ratio of queries to callers, at </w:t>
      </w:r>
      <w:r w:rsidRPr="004027EE">
        <w:rPr>
          <w:b/>
          <w:sz w:val="22"/>
          <w:szCs w:val="22"/>
        </w:rPr>
        <w:t>2.03 queries per caller</w:t>
      </w:r>
      <w:r w:rsidRPr="004027EE">
        <w:rPr>
          <w:sz w:val="22"/>
          <w:szCs w:val="22"/>
        </w:rPr>
        <w:t xml:space="preserve"> compared with </w:t>
      </w:r>
      <w:r w:rsidRPr="004027EE">
        <w:rPr>
          <w:sz w:val="22"/>
          <w:szCs w:val="22"/>
          <w:lang w:val="en-US"/>
        </w:rPr>
        <w:t xml:space="preserve">1.98 </w:t>
      </w:r>
      <w:r w:rsidRPr="004027EE">
        <w:rPr>
          <w:sz w:val="22"/>
          <w:szCs w:val="22"/>
        </w:rPr>
        <w:t>in Q3 2021. Of these queries recorded by CISs, 48.2% were related to Social Welfare rights and entitlements (</w:t>
      </w:r>
      <w:r w:rsidRPr="004027EE">
        <w:rPr>
          <w:rFonts w:eastAsia="Times New Roman"/>
          <w:sz w:val="22"/>
          <w:szCs w:val="22"/>
          <w:lang w:eastAsia="en-IE"/>
        </w:rPr>
        <w:t xml:space="preserve">105,074 </w:t>
      </w:r>
      <w:r w:rsidRPr="004027EE">
        <w:rPr>
          <w:sz w:val="22"/>
          <w:szCs w:val="22"/>
        </w:rPr>
        <w:t>queries) followed by Housing 9.7% (21,234) and Health 7.1% (15,481). The following tables set out the data in relation to the range of queries received from the public. Table 4, below, sets out the number of queries received across high-level category areas.  Table 5 provides a breakdown of the single payments, schemes, or entitlements with the highest number of queries overall in this quarter.</w:t>
      </w:r>
    </w:p>
    <w:p w14:paraId="4A16726B" w14:textId="77777777" w:rsidR="00942712" w:rsidRPr="0037547C" w:rsidRDefault="00942712" w:rsidP="00942712">
      <w:pPr>
        <w:pStyle w:val="Heading1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>Table 4 - Query Profile Q3 2022 High-level</w:t>
      </w:r>
    </w:p>
    <w:tbl>
      <w:tblPr>
        <w:tblStyle w:val="GridTable5Dark-Accent6"/>
        <w:tblW w:w="5922" w:type="dxa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2622"/>
        <w:gridCol w:w="1650"/>
        <w:gridCol w:w="1650"/>
      </w:tblGrid>
      <w:tr w:rsidR="00942712" w:rsidRPr="00B12326" w14:paraId="4B33B67E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hideMark/>
          </w:tcPr>
          <w:p w14:paraId="5A304AFC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Query Category</w:t>
            </w:r>
          </w:p>
        </w:tc>
        <w:tc>
          <w:tcPr>
            <w:tcW w:w="1650" w:type="dxa"/>
            <w:hideMark/>
          </w:tcPr>
          <w:p w14:paraId="09B996C4" w14:textId="77777777" w:rsidR="00942712" w:rsidRPr="009F383A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# of Queries</w:t>
            </w:r>
          </w:p>
        </w:tc>
        <w:tc>
          <w:tcPr>
            <w:tcW w:w="1650" w:type="dxa"/>
            <w:hideMark/>
          </w:tcPr>
          <w:p w14:paraId="2FD9A24A" w14:textId="77777777" w:rsidR="00942712" w:rsidRPr="009F383A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% of all Queries</w:t>
            </w:r>
          </w:p>
        </w:tc>
      </w:tr>
      <w:tr w:rsidR="00942712" w:rsidRPr="00B12326" w14:paraId="6A2A191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19ECCFCD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Social Welfare</w:t>
            </w:r>
          </w:p>
        </w:tc>
        <w:tc>
          <w:tcPr>
            <w:tcW w:w="1650" w:type="dxa"/>
            <w:noWrap/>
            <w:hideMark/>
          </w:tcPr>
          <w:p w14:paraId="2CEC9EA6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 xml:space="preserve">105,074 </w:t>
            </w:r>
          </w:p>
        </w:tc>
        <w:tc>
          <w:tcPr>
            <w:tcW w:w="1650" w:type="dxa"/>
            <w:noWrap/>
            <w:hideMark/>
          </w:tcPr>
          <w:p w14:paraId="0C8F2278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48.2%</w:t>
            </w:r>
          </w:p>
        </w:tc>
      </w:tr>
      <w:tr w:rsidR="00942712" w:rsidRPr="00B12326" w14:paraId="1C02DD3B" w14:textId="77777777" w:rsidTr="00D5036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6C11ED88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Housing</w:t>
            </w:r>
          </w:p>
        </w:tc>
        <w:tc>
          <w:tcPr>
            <w:tcW w:w="1650" w:type="dxa"/>
            <w:noWrap/>
            <w:hideMark/>
          </w:tcPr>
          <w:p w14:paraId="06D27A9D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21,234</w:t>
            </w:r>
          </w:p>
        </w:tc>
        <w:tc>
          <w:tcPr>
            <w:tcW w:w="1650" w:type="dxa"/>
            <w:noWrap/>
            <w:hideMark/>
          </w:tcPr>
          <w:p w14:paraId="53B6846B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9.7%</w:t>
            </w:r>
          </w:p>
        </w:tc>
      </w:tr>
      <w:tr w:rsidR="00942712" w:rsidRPr="00B12326" w14:paraId="25720463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34EDEA8A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Health</w:t>
            </w:r>
          </w:p>
        </w:tc>
        <w:tc>
          <w:tcPr>
            <w:tcW w:w="1650" w:type="dxa"/>
            <w:noWrap/>
            <w:hideMark/>
          </w:tcPr>
          <w:p w14:paraId="264B7C43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15,481</w:t>
            </w:r>
          </w:p>
        </w:tc>
        <w:tc>
          <w:tcPr>
            <w:tcW w:w="1650" w:type="dxa"/>
            <w:noWrap/>
            <w:hideMark/>
          </w:tcPr>
          <w:p w14:paraId="38EADECC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7.1%</w:t>
            </w:r>
          </w:p>
        </w:tc>
      </w:tr>
      <w:tr w:rsidR="00942712" w:rsidRPr="00B12326" w14:paraId="67D5754B" w14:textId="77777777" w:rsidTr="00D50363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221F205C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Local</w:t>
            </w:r>
          </w:p>
        </w:tc>
        <w:tc>
          <w:tcPr>
            <w:tcW w:w="0" w:type="dxa"/>
            <w:noWrap/>
            <w:hideMark/>
          </w:tcPr>
          <w:p w14:paraId="1F292D76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14,215</w:t>
            </w:r>
          </w:p>
        </w:tc>
        <w:tc>
          <w:tcPr>
            <w:tcW w:w="0" w:type="dxa"/>
            <w:noWrap/>
            <w:hideMark/>
          </w:tcPr>
          <w:p w14:paraId="09C1B8A6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6.5%</w:t>
            </w:r>
          </w:p>
        </w:tc>
      </w:tr>
      <w:tr w:rsidR="00942712" w:rsidRPr="00B12326" w14:paraId="2AB9B3D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0301B8E8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Employment</w:t>
            </w:r>
          </w:p>
        </w:tc>
        <w:tc>
          <w:tcPr>
            <w:tcW w:w="1650" w:type="dxa"/>
            <w:noWrap/>
            <w:hideMark/>
          </w:tcPr>
          <w:p w14:paraId="741F5D04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 xml:space="preserve">12,711 </w:t>
            </w:r>
          </w:p>
        </w:tc>
        <w:tc>
          <w:tcPr>
            <w:tcW w:w="1650" w:type="dxa"/>
            <w:noWrap/>
            <w:hideMark/>
          </w:tcPr>
          <w:p w14:paraId="72406042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5.8%</w:t>
            </w:r>
          </w:p>
        </w:tc>
      </w:tr>
      <w:tr w:rsidR="00942712" w:rsidRPr="00B12326" w14:paraId="0B00E405" w14:textId="77777777" w:rsidTr="00D5036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313546A7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Money and Tax</w:t>
            </w:r>
          </w:p>
        </w:tc>
        <w:tc>
          <w:tcPr>
            <w:tcW w:w="1650" w:type="dxa"/>
            <w:noWrap/>
            <w:hideMark/>
          </w:tcPr>
          <w:p w14:paraId="63E43EB2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11,548</w:t>
            </w:r>
          </w:p>
        </w:tc>
        <w:tc>
          <w:tcPr>
            <w:tcW w:w="1650" w:type="dxa"/>
            <w:noWrap/>
            <w:hideMark/>
          </w:tcPr>
          <w:p w14:paraId="46461E30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5.3%</w:t>
            </w:r>
          </w:p>
        </w:tc>
      </w:tr>
      <w:tr w:rsidR="00942712" w:rsidRPr="00B12326" w14:paraId="5C57F25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3C38395B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Moving Country</w:t>
            </w:r>
          </w:p>
        </w:tc>
        <w:tc>
          <w:tcPr>
            <w:tcW w:w="1650" w:type="dxa"/>
            <w:noWrap/>
            <w:hideMark/>
          </w:tcPr>
          <w:p w14:paraId="53FD31F9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10,389</w:t>
            </w:r>
          </w:p>
        </w:tc>
        <w:tc>
          <w:tcPr>
            <w:tcW w:w="1650" w:type="dxa"/>
            <w:noWrap/>
            <w:hideMark/>
          </w:tcPr>
          <w:p w14:paraId="3372F619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4.8%</w:t>
            </w:r>
          </w:p>
        </w:tc>
      </w:tr>
      <w:tr w:rsidR="00942712" w:rsidRPr="00B12326" w14:paraId="47AA87DC" w14:textId="77777777" w:rsidTr="00D5036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34F9354C" w14:textId="77777777" w:rsidR="00942712" w:rsidRPr="009F383A" w:rsidRDefault="00942712" w:rsidP="00D5036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Travel and Recreation</w:t>
            </w:r>
          </w:p>
        </w:tc>
        <w:tc>
          <w:tcPr>
            <w:tcW w:w="1650" w:type="dxa"/>
            <w:noWrap/>
            <w:hideMark/>
          </w:tcPr>
          <w:p w14:paraId="577E6CD7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5,715</w:t>
            </w:r>
          </w:p>
        </w:tc>
        <w:tc>
          <w:tcPr>
            <w:tcW w:w="1650" w:type="dxa"/>
            <w:noWrap/>
            <w:hideMark/>
          </w:tcPr>
          <w:p w14:paraId="282251D8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2.6%</w:t>
            </w:r>
          </w:p>
        </w:tc>
      </w:tr>
      <w:tr w:rsidR="00942712" w:rsidRPr="00B12326" w14:paraId="579D6D2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742AEC31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Birth, Family and Relationships</w:t>
            </w:r>
          </w:p>
        </w:tc>
        <w:tc>
          <w:tcPr>
            <w:tcW w:w="1650" w:type="dxa"/>
            <w:noWrap/>
            <w:hideMark/>
          </w:tcPr>
          <w:p w14:paraId="2DB41BDF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5,141</w:t>
            </w:r>
          </w:p>
        </w:tc>
        <w:tc>
          <w:tcPr>
            <w:tcW w:w="1650" w:type="dxa"/>
            <w:noWrap/>
            <w:hideMark/>
          </w:tcPr>
          <w:p w14:paraId="719E0E74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2.4%</w:t>
            </w:r>
          </w:p>
        </w:tc>
      </w:tr>
      <w:tr w:rsidR="00942712" w:rsidRPr="00B12326" w14:paraId="254A3CF8" w14:textId="77777777" w:rsidTr="00D5036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4D724D0F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Justice</w:t>
            </w:r>
          </w:p>
        </w:tc>
        <w:tc>
          <w:tcPr>
            <w:tcW w:w="1650" w:type="dxa"/>
            <w:noWrap/>
            <w:hideMark/>
          </w:tcPr>
          <w:p w14:paraId="35032000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4,904</w:t>
            </w:r>
          </w:p>
        </w:tc>
        <w:tc>
          <w:tcPr>
            <w:tcW w:w="1650" w:type="dxa"/>
            <w:noWrap/>
            <w:hideMark/>
          </w:tcPr>
          <w:p w14:paraId="53EF7AE3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2.3%</w:t>
            </w:r>
          </w:p>
        </w:tc>
      </w:tr>
      <w:tr w:rsidR="00942712" w:rsidRPr="00B12326" w14:paraId="4C434DB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2C11BC27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Education and Training</w:t>
            </w:r>
          </w:p>
        </w:tc>
        <w:tc>
          <w:tcPr>
            <w:tcW w:w="1650" w:type="dxa"/>
            <w:noWrap/>
            <w:hideMark/>
          </w:tcPr>
          <w:p w14:paraId="3F6BF7A3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4,565</w:t>
            </w:r>
          </w:p>
        </w:tc>
        <w:tc>
          <w:tcPr>
            <w:tcW w:w="1650" w:type="dxa"/>
            <w:noWrap/>
            <w:hideMark/>
          </w:tcPr>
          <w:p w14:paraId="2C080F65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2.1%</w:t>
            </w:r>
          </w:p>
        </w:tc>
      </w:tr>
      <w:tr w:rsidR="00942712" w:rsidRPr="00B12326" w14:paraId="4CE6A950" w14:textId="77777777" w:rsidTr="00D5036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4D0A2067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Consumer Affairs</w:t>
            </w:r>
          </w:p>
        </w:tc>
        <w:tc>
          <w:tcPr>
            <w:tcW w:w="1650" w:type="dxa"/>
            <w:noWrap/>
            <w:hideMark/>
          </w:tcPr>
          <w:p w14:paraId="1889F9F8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 xml:space="preserve">3,149 </w:t>
            </w:r>
          </w:p>
        </w:tc>
        <w:tc>
          <w:tcPr>
            <w:tcW w:w="1650" w:type="dxa"/>
            <w:noWrap/>
            <w:hideMark/>
          </w:tcPr>
          <w:p w14:paraId="00475DD0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1.4%</w:t>
            </w:r>
          </w:p>
        </w:tc>
      </w:tr>
      <w:tr w:rsidR="00942712" w:rsidRPr="00B12326" w14:paraId="51FD3D2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47FA371B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Death and Bereavement</w:t>
            </w:r>
          </w:p>
        </w:tc>
        <w:tc>
          <w:tcPr>
            <w:tcW w:w="1650" w:type="dxa"/>
            <w:noWrap/>
            <w:hideMark/>
          </w:tcPr>
          <w:p w14:paraId="6520F540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1,426</w:t>
            </w:r>
          </w:p>
        </w:tc>
        <w:tc>
          <w:tcPr>
            <w:tcW w:w="1650" w:type="dxa"/>
            <w:noWrap/>
            <w:hideMark/>
          </w:tcPr>
          <w:p w14:paraId="3C6D8E6A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0.7%</w:t>
            </w:r>
          </w:p>
        </w:tc>
      </w:tr>
      <w:tr w:rsidR="00942712" w:rsidRPr="00B12326" w14:paraId="781E02AC" w14:textId="77777777" w:rsidTr="00D5036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7B1F769A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Government in Ireland</w:t>
            </w:r>
          </w:p>
        </w:tc>
        <w:tc>
          <w:tcPr>
            <w:tcW w:w="1650" w:type="dxa"/>
            <w:noWrap/>
            <w:hideMark/>
          </w:tcPr>
          <w:p w14:paraId="0115DAB3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1,171</w:t>
            </w:r>
          </w:p>
        </w:tc>
        <w:tc>
          <w:tcPr>
            <w:tcW w:w="1650" w:type="dxa"/>
            <w:noWrap/>
            <w:hideMark/>
          </w:tcPr>
          <w:p w14:paraId="3E73B61B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0.5%</w:t>
            </w:r>
          </w:p>
        </w:tc>
      </w:tr>
      <w:tr w:rsidR="00942712" w:rsidRPr="00B12326" w14:paraId="1B0AE63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3259761F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Covid 19</w:t>
            </w:r>
          </w:p>
        </w:tc>
        <w:tc>
          <w:tcPr>
            <w:tcW w:w="1650" w:type="dxa"/>
            <w:noWrap/>
            <w:hideMark/>
          </w:tcPr>
          <w:p w14:paraId="2D1563FF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760</w:t>
            </w:r>
          </w:p>
        </w:tc>
        <w:tc>
          <w:tcPr>
            <w:tcW w:w="1650" w:type="dxa"/>
            <w:noWrap/>
            <w:hideMark/>
          </w:tcPr>
          <w:p w14:paraId="28A9F439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0.3%</w:t>
            </w:r>
          </w:p>
        </w:tc>
      </w:tr>
      <w:tr w:rsidR="00942712" w:rsidRPr="00B12326" w14:paraId="40854DFF" w14:textId="77777777" w:rsidTr="00D50363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0C2F2FC4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Environment</w:t>
            </w:r>
          </w:p>
        </w:tc>
        <w:tc>
          <w:tcPr>
            <w:tcW w:w="1650" w:type="dxa"/>
            <w:noWrap/>
            <w:hideMark/>
          </w:tcPr>
          <w:p w14:paraId="09482CE0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398</w:t>
            </w:r>
          </w:p>
        </w:tc>
        <w:tc>
          <w:tcPr>
            <w:tcW w:w="1650" w:type="dxa"/>
            <w:noWrap/>
            <w:hideMark/>
          </w:tcPr>
          <w:p w14:paraId="30EE4978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sz w:val="18"/>
                <w:szCs w:val="18"/>
              </w:rPr>
              <w:t>0.2%</w:t>
            </w:r>
          </w:p>
        </w:tc>
      </w:tr>
      <w:tr w:rsidR="00942712" w:rsidRPr="00B12326" w14:paraId="15AA251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550DFB77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650" w:type="dxa"/>
            <w:noWrap/>
          </w:tcPr>
          <w:p w14:paraId="1474D72E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217,881</w:t>
            </w:r>
          </w:p>
        </w:tc>
        <w:tc>
          <w:tcPr>
            <w:tcW w:w="1650" w:type="dxa"/>
            <w:noWrap/>
            <w:hideMark/>
          </w:tcPr>
          <w:p w14:paraId="616FB61B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b/>
                <w:bCs/>
                <w:sz w:val="18"/>
                <w:szCs w:val="18"/>
              </w:rPr>
              <w:t>100%</w:t>
            </w:r>
          </w:p>
        </w:tc>
      </w:tr>
    </w:tbl>
    <w:p w14:paraId="3B5CCF4C" w14:textId="77777777" w:rsidR="00942712" w:rsidRPr="0037547C" w:rsidRDefault="00942712" w:rsidP="00942712">
      <w:pPr>
        <w:pStyle w:val="Heading1"/>
        <w:spacing w:before="0"/>
        <w:rPr>
          <w:rFonts w:ascii="Tw Cen MT Condensed" w:eastAsia="Times New Roman" w:hAnsi="Tw Cen MT Condensed"/>
          <w:b/>
          <w:sz w:val="24"/>
          <w:szCs w:val="24"/>
          <w:lang w:eastAsia="en-IE"/>
        </w:rPr>
      </w:pPr>
      <w:r w:rsidRPr="0037547C">
        <w:rPr>
          <w:rFonts w:ascii="Tw Cen MT Condensed" w:eastAsia="Times New Roman" w:hAnsi="Tw Cen MT Condensed"/>
          <w:b/>
          <w:sz w:val="24"/>
          <w:szCs w:val="24"/>
          <w:lang w:eastAsia="en-IE"/>
        </w:rPr>
        <w:t>Table 5 - Top-Ten Single Payments or Schemes, Q3 2022</w:t>
      </w:r>
    </w:p>
    <w:tbl>
      <w:tblPr>
        <w:tblStyle w:val="GridTable5Dark-Accent6"/>
        <w:tblW w:w="6658" w:type="dxa"/>
        <w:tblLook w:val="04A0" w:firstRow="1" w:lastRow="0" w:firstColumn="1" w:lastColumn="0" w:noHBand="0" w:noVBand="1"/>
        <w:tblCaption w:val="Table 5 - Top ten single payments or schemes for quarter 1 2021"/>
        <w:tblDescription w:val="This table shows the top 10 Single Payment or Schemes with the percentage of total queries shown also."/>
      </w:tblPr>
      <w:tblGrid>
        <w:gridCol w:w="437"/>
        <w:gridCol w:w="2115"/>
        <w:gridCol w:w="1903"/>
        <w:gridCol w:w="927"/>
        <w:gridCol w:w="1276"/>
      </w:tblGrid>
      <w:tr w:rsidR="00942712" w:rsidRPr="009F383A" w14:paraId="1E1EB847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5"/>
            <w:hideMark/>
          </w:tcPr>
          <w:p w14:paraId="72897371" w14:textId="77777777" w:rsidR="00942712" w:rsidRPr="009F383A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lang w:eastAsia="en-IE"/>
              </w:rPr>
              <w:t>Top Ten Single Payment or Schemes Q3</w:t>
            </w:r>
            <w:r w:rsidRPr="009F383A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, </w:t>
            </w:r>
            <w:r w:rsidRPr="009F383A">
              <w:rPr>
                <w:rFonts w:ascii="Calibri" w:eastAsia="Times New Roman" w:hAnsi="Calibri" w:cs="Calibri"/>
                <w:color w:val="000000"/>
                <w:lang w:eastAsia="en-IE"/>
              </w:rPr>
              <w:t>2022</w:t>
            </w:r>
          </w:p>
        </w:tc>
      </w:tr>
      <w:tr w:rsidR="00942712" w:rsidRPr="009F383A" w14:paraId="18A96E9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1B9049F2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</w:p>
        </w:tc>
        <w:tc>
          <w:tcPr>
            <w:tcW w:w="2156" w:type="dxa"/>
            <w:shd w:val="clear" w:color="auto" w:fill="62A39F" w:themeFill="accent6"/>
            <w:hideMark/>
          </w:tcPr>
          <w:p w14:paraId="09718DB4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Category</w:t>
            </w:r>
          </w:p>
        </w:tc>
        <w:tc>
          <w:tcPr>
            <w:tcW w:w="1927" w:type="dxa"/>
            <w:shd w:val="clear" w:color="auto" w:fill="62A39F" w:themeFill="accent6"/>
            <w:hideMark/>
          </w:tcPr>
          <w:p w14:paraId="6455DC20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Single Payment or Scheme</w:t>
            </w:r>
          </w:p>
        </w:tc>
        <w:tc>
          <w:tcPr>
            <w:tcW w:w="862" w:type="dxa"/>
            <w:shd w:val="clear" w:color="auto" w:fill="62A39F" w:themeFill="accent6"/>
            <w:hideMark/>
          </w:tcPr>
          <w:p w14:paraId="4CEA9822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# of Queries</w:t>
            </w:r>
          </w:p>
        </w:tc>
        <w:tc>
          <w:tcPr>
            <w:tcW w:w="1276" w:type="dxa"/>
            <w:shd w:val="clear" w:color="auto" w:fill="62A39F" w:themeFill="accent6"/>
            <w:hideMark/>
          </w:tcPr>
          <w:p w14:paraId="5EDB2864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% of Top Ten Queries</w:t>
            </w:r>
          </w:p>
        </w:tc>
      </w:tr>
      <w:tr w:rsidR="00942712" w:rsidRPr="009F383A" w14:paraId="2BF78C59" w14:textId="77777777" w:rsidTr="00D50363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3703ECF9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156" w:type="dxa"/>
            <w:vAlign w:val="bottom"/>
            <w:hideMark/>
          </w:tcPr>
          <w:p w14:paraId="2CA6D1B1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Health - Medical Card</w:t>
            </w:r>
          </w:p>
        </w:tc>
        <w:tc>
          <w:tcPr>
            <w:tcW w:w="1927" w:type="dxa"/>
            <w:vAlign w:val="bottom"/>
            <w:hideMark/>
          </w:tcPr>
          <w:p w14:paraId="16C746D9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Medical Card</w:t>
            </w:r>
          </w:p>
        </w:tc>
        <w:tc>
          <w:tcPr>
            <w:tcW w:w="862" w:type="dxa"/>
            <w:noWrap/>
            <w:vAlign w:val="bottom"/>
            <w:hideMark/>
          </w:tcPr>
          <w:p w14:paraId="75F5BA9C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9,650 </w:t>
            </w:r>
          </w:p>
        </w:tc>
        <w:tc>
          <w:tcPr>
            <w:tcW w:w="1276" w:type="dxa"/>
            <w:noWrap/>
            <w:vAlign w:val="bottom"/>
            <w:hideMark/>
          </w:tcPr>
          <w:p w14:paraId="6F04F352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15.4%</w:t>
            </w:r>
          </w:p>
        </w:tc>
      </w:tr>
      <w:tr w:rsidR="00942712" w:rsidRPr="009F383A" w14:paraId="52244A7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2CFFA0A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156" w:type="dxa"/>
            <w:vAlign w:val="bottom"/>
            <w:hideMark/>
          </w:tcPr>
          <w:p w14:paraId="0FB824F5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 xml:space="preserve">Extra </w:t>
            </w: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Social Welfare </w:t>
            </w: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Benefits</w:t>
            </w:r>
          </w:p>
        </w:tc>
        <w:tc>
          <w:tcPr>
            <w:tcW w:w="1927" w:type="dxa"/>
            <w:vAlign w:val="bottom"/>
            <w:hideMark/>
          </w:tcPr>
          <w:p w14:paraId="266E7DE2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  <w:t>Fuel</w:t>
            </w:r>
            <w:r w:rsidRPr="009F383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Allowance</w:t>
            </w:r>
          </w:p>
        </w:tc>
        <w:tc>
          <w:tcPr>
            <w:tcW w:w="862" w:type="dxa"/>
            <w:noWrap/>
            <w:vAlign w:val="bottom"/>
            <w:hideMark/>
          </w:tcPr>
          <w:p w14:paraId="77E00763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9,225</w:t>
            </w:r>
          </w:p>
        </w:tc>
        <w:tc>
          <w:tcPr>
            <w:tcW w:w="1276" w:type="dxa"/>
            <w:noWrap/>
            <w:vAlign w:val="bottom"/>
            <w:hideMark/>
          </w:tcPr>
          <w:p w14:paraId="68885B52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14.8%</w:t>
            </w:r>
          </w:p>
        </w:tc>
      </w:tr>
      <w:tr w:rsidR="00942712" w:rsidRPr="009F383A" w14:paraId="74774EDD" w14:textId="77777777" w:rsidTr="00D50363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5493309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156" w:type="dxa"/>
            <w:vAlign w:val="bottom"/>
            <w:hideMark/>
          </w:tcPr>
          <w:p w14:paraId="7437B383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Older and Retired People</w:t>
            </w:r>
          </w:p>
        </w:tc>
        <w:tc>
          <w:tcPr>
            <w:tcW w:w="1927" w:type="dxa"/>
            <w:vAlign w:val="bottom"/>
            <w:hideMark/>
          </w:tcPr>
          <w:p w14:paraId="17EEA13A" w14:textId="7A5FE1B0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State Pension (Contributory)</w:t>
            </w:r>
          </w:p>
        </w:tc>
        <w:tc>
          <w:tcPr>
            <w:tcW w:w="862" w:type="dxa"/>
            <w:noWrap/>
            <w:vAlign w:val="bottom"/>
            <w:hideMark/>
          </w:tcPr>
          <w:p w14:paraId="38ABF2A1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6,747 </w:t>
            </w:r>
          </w:p>
        </w:tc>
        <w:tc>
          <w:tcPr>
            <w:tcW w:w="1276" w:type="dxa"/>
            <w:noWrap/>
            <w:vAlign w:val="bottom"/>
            <w:hideMark/>
          </w:tcPr>
          <w:p w14:paraId="3787EC0C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10.8%</w:t>
            </w:r>
          </w:p>
        </w:tc>
      </w:tr>
      <w:tr w:rsidR="00942712" w:rsidRPr="009F383A" w14:paraId="28DA676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20197191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2156" w:type="dxa"/>
            <w:vAlign w:val="bottom"/>
            <w:hideMark/>
          </w:tcPr>
          <w:p w14:paraId="0B269621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Disability and Illness</w:t>
            </w:r>
          </w:p>
        </w:tc>
        <w:tc>
          <w:tcPr>
            <w:tcW w:w="1927" w:type="dxa"/>
            <w:vAlign w:val="bottom"/>
            <w:hideMark/>
          </w:tcPr>
          <w:p w14:paraId="625A2A48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Disability Allowance</w:t>
            </w:r>
          </w:p>
        </w:tc>
        <w:tc>
          <w:tcPr>
            <w:tcW w:w="862" w:type="dxa"/>
            <w:noWrap/>
            <w:vAlign w:val="bottom"/>
            <w:hideMark/>
          </w:tcPr>
          <w:p w14:paraId="3814F222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6,560 </w:t>
            </w:r>
          </w:p>
        </w:tc>
        <w:tc>
          <w:tcPr>
            <w:tcW w:w="1276" w:type="dxa"/>
            <w:noWrap/>
            <w:vAlign w:val="bottom"/>
            <w:hideMark/>
          </w:tcPr>
          <w:p w14:paraId="1699E45C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10.5%</w:t>
            </w:r>
          </w:p>
        </w:tc>
      </w:tr>
      <w:tr w:rsidR="00942712" w:rsidRPr="009F383A" w14:paraId="16AEFD0C" w14:textId="77777777" w:rsidTr="00D50363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DBCB26D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2156" w:type="dxa"/>
            <w:vAlign w:val="bottom"/>
            <w:hideMark/>
          </w:tcPr>
          <w:p w14:paraId="2B15F6A9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Carer’s</w:t>
            </w:r>
          </w:p>
        </w:tc>
        <w:tc>
          <w:tcPr>
            <w:tcW w:w="1927" w:type="dxa"/>
            <w:vAlign w:val="bottom"/>
            <w:hideMark/>
          </w:tcPr>
          <w:p w14:paraId="04A47CED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Carer’s Allowance</w:t>
            </w:r>
          </w:p>
        </w:tc>
        <w:tc>
          <w:tcPr>
            <w:tcW w:w="862" w:type="dxa"/>
            <w:noWrap/>
            <w:vAlign w:val="bottom"/>
            <w:hideMark/>
          </w:tcPr>
          <w:p w14:paraId="3559472C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6,537 </w:t>
            </w:r>
          </w:p>
        </w:tc>
        <w:tc>
          <w:tcPr>
            <w:tcW w:w="1276" w:type="dxa"/>
            <w:noWrap/>
            <w:vAlign w:val="bottom"/>
            <w:hideMark/>
          </w:tcPr>
          <w:p w14:paraId="3D0C29DE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10.5%</w:t>
            </w:r>
          </w:p>
        </w:tc>
      </w:tr>
      <w:tr w:rsidR="00942712" w:rsidRPr="009F383A" w14:paraId="28B8622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22E6F34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2156" w:type="dxa"/>
            <w:vAlign w:val="bottom"/>
            <w:hideMark/>
          </w:tcPr>
          <w:p w14:paraId="5A6D006C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Extra SW Benefits</w:t>
            </w:r>
          </w:p>
        </w:tc>
        <w:tc>
          <w:tcPr>
            <w:tcW w:w="1927" w:type="dxa"/>
            <w:vAlign w:val="bottom"/>
            <w:hideMark/>
          </w:tcPr>
          <w:p w14:paraId="22B6039B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Household Benefits Package</w:t>
            </w:r>
          </w:p>
        </w:tc>
        <w:tc>
          <w:tcPr>
            <w:tcW w:w="862" w:type="dxa"/>
            <w:noWrap/>
            <w:vAlign w:val="bottom"/>
            <w:hideMark/>
          </w:tcPr>
          <w:p w14:paraId="3BB51904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5,667</w:t>
            </w:r>
          </w:p>
        </w:tc>
        <w:tc>
          <w:tcPr>
            <w:tcW w:w="1276" w:type="dxa"/>
            <w:noWrap/>
            <w:vAlign w:val="bottom"/>
            <w:hideMark/>
          </w:tcPr>
          <w:p w14:paraId="2D8D81C6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9.1%</w:t>
            </w:r>
          </w:p>
        </w:tc>
      </w:tr>
      <w:tr w:rsidR="00942712" w:rsidRPr="009F383A" w14:paraId="69C7BC3F" w14:textId="77777777" w:rsidTr="00D50363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449AF246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2156" w:type="dxa"/>
            <w:vAlign w:val="bottom"/>
            <w:hideMark/>
          </w:tcPr>
          <w:p w14:paraId="074D3B6E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Local Authority and Social Housing</w:t>
            </w:r>
          </w:p>
        </w:tc>
        <w:tc>
          <w:tcPr>
            <w:tcW w:w="1927" w:type="dxa"/>
            <w:vAlign w:val="bottom"/>
            <w:hideMark/>
          </w:tcPr>
          <w:p w14:paraId="38ED8FD4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Applying for Local Authority/Social Housing</w:t>
            </w:r>
          </w:p>
        </w:tc>
        <w:tc>
          <w:tcPr>
            <w:tcW w:w="862" w:type="dxa"/>
            <w:noWrap/>
            <w:vAlign w:val="bottom"/>
            <w:hideMark/>
          </w:tcPr>
          <w:p w14:paraId="0CB37995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5,320</w:t>
            </w:r>
          </w:p>
        </w:tc>
        <w:tc>
          <w:tcPr>
            <w:tcW w:w="1276" w:type="dxa"/>
            <w:noWrap/>
            <w:vAlign w:val="bottom"/>
            <w:hideMark/>
          </w:tcPr>
          <w:p w14:paraId="5C4BFA21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8.5%</w:t>
            </w:r>
          </w:p>
        </w:tc>
      </w:tr>
      <w:tr w:rsidR="00942712" w:rsidRPr="009F383A" w14:paraId="529A70A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2E8DAB2F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2156" w:type="dxa"/>
            <w:vAlign w:val="bottom"/>
            <w:hideMark/>
          </w:tcPr>
          <w:p w14:paraId="0BECEBF1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Unemployed People</w:t>
            </w:r>
          </w:p>
        </w:tc>
        <w:tc>
          <w:tcPr>
            <w:tcW w:w="1927" w:type="dxa"/>
            <w:vAlign w:val="bottom"/>
            <w:hideMark/>
          </w:tcPr>
          <w:p w14:paraId="1B242311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Jobseeker’s Allowance</w:t>
            </w:r>
          </w:p>
        </w:tc>
        <w:tc>
          <w:tcPr>
            <w:tcW w:w="862" w:type="dxa"/>
            <w:noWrap/>
            <w:vAlign w:val="bottom"/>
            <w:hideMark/>
          </w:tcPr>
          <w:p w14:paraId="54620496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4,306</w:t>
            </w:r>
          </w:p>
        </w:tc>
        <w:tc>
          <w:tcPr>
            <w:tcW w:w="1276" w:type="dxa"/>
            <w:noWrap/>
            <w:vAlign w:val="bottom"/>
            <w:hideMark/>
          </w:tcPr>
          <w:p w14:paraId="4F56DE49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6.9%</w:t>
            </w:r>
          </w:p>
        </w:tc>
      </w:tr>
      <w:tr w:rsidR="00942712" w:rsidRPr="009F383A" w14:paraId="5451C1D9" w14:textId="77777777" w:rsidTr="00D50363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09E0CA94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9</w:t>
            </w:r>
          </w:p>
        </w:tc>
        <w:tc>
          <w:tcPr>
            <w:tcW w:w="2156" w:type="dxa"/>
            <w:vAlign w:val="bottom"/>
            <w:hideMark/>
          </w:tcPr>
          <w:p w14:paraId="0FC858AD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Supplementary Welfare Schemes</w:t>
            </w:r>
          </w:p>
        </w:tc>
        <w:tc>
          <w:tcPr>
            <w:tcW w:w="1927" w:type="dxa"/>
            <w:vAlign w:val="bottom"/>
            <w:hideMark/>
          </w:tcPr>
          <w:p w14:paraId="13FE8E36" w14:textId="77777777" w:rsidR="00942712" w:rsidRPr="009F383A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  <w:t>Additional Needs Payment</w:t>
            </w:r>
          </w:p>
        </w:tc>
        <w:tc>
          <w:tcPr>
            <w:tcW w:w="862" w:type="dxa"/>
            <w:noWrap/>
            <w:vAlign w:val="bottom"/>
            <w:hideMark/>
          </w:tcPr>
          <w:p w14:paraId="27A26B49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4,302 </w:t>
            </w:r>
          </w:p>
        </w:tc>
        <w:tc>
          <w:tcPr>
            <w:tcW w:w="1276" w:type="dxa"/>
            <w:noWrap/>
            <w:vAlign w:val="bottom"/>
            <w:hideMark/>
          </w:tcPr>
          <w:p w14:paraId="1CFA95CE" w14:textId="77777777" w:rsidR="00942712" w:rsidRPr="009F383A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6.9%</w:t>
            </w:r>
          </w:p>
        </w:tc>
      </w:tr>
      <w:tr w:rsidR="00942712" w:rsidRPr="009F383A" w14:paraId="77C8290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F867CA5" w14:textId="77777777" w:rsidR="00942712" w:rsidRPr="009F383A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10</w:t>
            </w:r>
          </w:p>
        </w:tc>
        <w:tc>
          <w:tcPr>
            <w:tcW w:w="2156" w:type="dxa"/>
            <w:vAlign w:val="bottom"/>
            <w:hideMark/>
          </w:tcPr>
          <w:p w14:paraId="4568A57A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Supplementary Welfare Schemes</w:t>
            </w:r>
          </w:p>
        </w:tc>
        <w:tc>
          <w:tcPr>
            <w:tcW w:w="1927" w:type="dxa"/>
            <w:vAlign w:val="bottom"/>
            <w:hideMark/>
          </w:tcPr>
          <w:p w14:paraId="5AA1037F" w14:textId="77777777" w:rsidR="00942712" w:rsidRPr="009F383A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Basic Supplementary Welfare Allowance</w:t>
            </w:r>
          </w:p>
        </w:tc>
        <w:tc>
          <w:tcPr>
            <w:tcW w:w="862" w:type="dxa"/>
            <w:noWrap/>
            <w:vAlign w:val="bottom"/>
            <w:hideMark/>
          </w:tcPr>
          <w:p w14:paraId="6E101898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4,172 </w:t>
            </w:r>
          </w:p>
        </w:tc>
        <w:tc>
          <w:tcPr>
            <w:tcW w:w="1276" w:type="dxa"/>
            <w:noWrap/>
            <w:vAlign w:val="bottom"/>
            <w:hideMark/>
          </w:tcPr>
          <w:p w14:paraId="7A8C69EA" w14:textId="77777777" w:rsidR="00942712" w:rsidRPr="009F383A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9F383A">
              <w:rPr>
                <w:rFonts w:ascii="Calibri" w:hAnsi="Calibri" w:cs="Calibri"/>
                <w:color w:val="000000"/>
                <w:sz w:val="18"/>
                <w:szCs w:val="18"/>
              </w:rPr>
              <w:t>6.7%</w:t>
            </w:r>
          </w:p>
        </w:tc>
      </w:tr>
    </w:tbl>
    <w:p w14:paraId="54DA9E20" w14:textId="77777777" w:rsidR="00942712" w:rsidRDefault="00942712" w:rsidP="00942712">
      <w:pPr>
        <w:sectPr w:rsidR="00942712" w:rsidSect="00D50363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1F10E76" w14:textId="48A323C2" w:rsidR="009F383A" w:rsidRPr="00061A6D" w:rsidRDefault="009F383A" w:rsidP="00942712">
      <w:pPr>
        <w:sectPr w:rsidR="009F383A" w:rsidRPr="00061A6D" w:rsidSect="00D50363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7C4A0BA" w14:textId="77777777" w:rsidR="00942712" w:rsidRPr="000A6757" w:rsidRDefault="00942712" w:rsidP="00942712">
      <w:pPr>
        <w:pStyle w:val="Heading1"/>
        <w:rPr>
          <w:rFonts w:eastAsia="Times New Roman"/>
          <w:b/>
          <w:sz w:val="24"/>
          <w:szCs w:val="24"/>
          <w:highlight w:val="green"/>
          <w:lang w:eastAsia="en-IE"/>
        </w:rPr>
        <w:sectPr w:rsidR="00942712" w:rsidRPr="000A6757" w:rsidSect="00D50363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4D56F3EF" w14:textId="77777777" w:rsidR="00942712" w:rsidRPr="00EC7C6C" w:rsidRDefault="00942712" w:rsidP="00942712">
      <w:pPr>
        <w:rPr>
          <w:lang w:val="en-US"/>
        </w:rPr>
        <w:sectPr w:rsidR="00942712" w:rsidRPr="00EC7C6C" w:rsidSect="00D50363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D8F51D" w14:textId="77777777" w:rsidR="00942712" w:rsidRDefault="00942712" w:rsidP="00942712">
      <w:pPr>
        <w:pStyle w:val="Heading1"/>
        <w:rPr>
          <w:rFonts w:ascii="Calibri" w:hAnsi="Calibri" w:cs="Calibri"/>
          <w:b/>
          <w:color w:val="auto"/>
          <w:sz w:val="22"/>
          <w:szCs w:val="22"/>
          <w:lang w:val="en-US"/>
        </w:rPr>
        <w:sectPr w:rsidR="00942712" w:rsidSect="00D50363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40127A" w14:textId="77777777" w:rsidR="00942712" w:rsidRDefault="00942712" w:rsidP="00942712">
      <w:pPr>
        <w:pStyle w:val="Heading1"/>
        <w:rPr>
          <w:rFonts w:ascii="Calibri" w:hAnsi="Calibri" w:cs="Calibri"/>
          <w:b/>
          <w:color w:val="auto"/>
          <w:sz w:val="22"/>
          <w:szCs w:val="22"/>
          <w:highlight w:val="green"/>
          <w:lang w:val="en-US"/>
        </w:rPr>
        <w:sectPr w:rsidR="00942712" w:rsidSect="00D50363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E11D452" w14:textId="77777777" w:rsidR="00942712" w:rsidRPr="0037547C" w:rsidRDefault="00942712" w:rsidP="00942712">
      <w:pPr>
        <w:pStyle w:val="Heading1"/>
        <w:rPr>
          <w:rFonts w:ascii="Tw Cen MT Condensed" w:hAnsi="Tw Cen MT Condensed"/>
          <w:b/>
          <w:sz w:val="28"/>
          <w:szCs w:val="28"/>
        </w:rPr>
      </w:pPr>
      <w:r w:rsidRPr="0037547C">
        <w:rPr>
          <w:rFonts w:ascii="Tw Cen MT Condensed" w:hAnsi="Tw Cen MT Condensed"/>
          <w:b/>
          <w:sz w:val="28"/>
          <w:szCs w:val="28"/>
        </w:rPr>
        <w:lastRenderedPageBreak/>
        <w:t>Quarter-on-Quarter Comparison: what’s new?</w:t>
      </w:r>
      <w:r w:rsidRPr="0037547C">
        <w:rPr>
          <w:rStyle w:val="FootnoteReference"/>
          <w:rFonts w:ascii="Tw Cen MT Condensed" w:hAnsi="Tw Cen MT Condensed"/>
          <w:b/>
          <w:sz w:val="28"/>
          <w:szCs w:val="28"/>
        </w:rPr>
        <w:footnoteReference w:id="2"/>
      </w:r>
    </w:p>
    <w:p w14:paraId="1D0B2D53" w14:textId="22EEFB83" w:rsidR="00942712" w:rsidRPr="00514EDC" w:rsidRDefault="00942712" w:rsidP="00942712">
      <w:pPr>
        <w:spacing w:line="240" w:lineRule="auto"/>
        <w:rPr>
          <w:rFonts w:eastAsia="Times New Roman"/>
          <w:sz w:val="22"/>
          <w:szCs w:val="22"/>
          <w:lang w:eastAsia="en-IE"/>
        </w:rPr>
      </w:pPr>
      <w:r w:rsidRPr="00514EDC">
        <w:rPr>
          <w:sz w:val="22"/>
          <w:szCs w:val="22"/>
          <w:lang w:val="en-US"/>
        </w:rPr>
        <w:t xml:space="preserve">Q3 2022 </w:t>
      </w:r>
      <w:r w:rsidR="00296592" w:rsidRPr="00514EDC">
        <w:rPr>
          <w:sz w:val="22"/>
          <w:szCs w:val="22"/>
          <w:lang w:val="en-US"/>
        </w:rPr>
        <w:t xml:space="preserve">indicated a number of trends </w:t>
      </w:r>
      <w:r w:rsidRPr="00514EDC">
        <w:rPr>
          <w:sz w:val="22"/>
          <w:szCs w:val="22"/>
          <w:lang w:val="en-US"/>
        </w:rPr>
        <w:t>in the caller data and type of queries received from the public compared with the same period last year.</w:t>
      </w:r>
    </w:p>
    <w:p w14:paraId="50D69355" w14:textId="77777777" w:rsidR="00942712" w:rsidRPr="00F732A9" w:rsidRDefault="00942712" w:rsidP="00942712">
      <w:pPr>
        <w:rPr>
          <w:sz w:val="22"/>
          <w:szCs w:val="22"/>
        </w:rPr>
      </w:pPr>
      <w:r w:rsidRPr="00F732A9">
        <w:rPr>
          <w:sz w:val="22"/>
          <w:szCs w:val="22"/>
        </w:rPr>
        <w:t xml:space="preserve">Of note: </w:t>
      </w:r>
    </w:p>
    <w:p w14:paraId="4E4A89E8" w14:textId="6068C9B9" w:rsidR="00594D87" w:rsidRPr="00514EDC" w:rsidRDefault="00942712" w:rsidP="00C07064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</w:rPr>
      </w:pPr>
      <w:r w:rsidRPr="00514EDC">
        <w:rPr>
          <w:rFonts w:ascii="Calibri" w:hAnsi="Calibri" w:cs="Calibri"/>
          <w:b/>
          <w:bCs/>
          <w:sz w:val="22"/>
        </w:rPr>
        <w:t>Callers in person</w:t>
      </w:r>
      <w:r w:rsidRPr="00514EDC">
        <w:rPr>
          <w:rFonts w:ascii="Calibri" w:hAnsi="Calibri" w:cs="Calibri"/>
          <w:sz w:val="22"/>
        </w:rPr>
        <w:t xml:space="preserve"> increased to 46% of all callers (compared with quarter 3 last year) with a corresponding fall in contact by telephone to 50.4</w:t>
      </w:r>
      <w:r w:rsidR="004027EE" w:rsidRPr="00514EDC">
        <w:rPr>
          <w:rFonts w:ascii="Calibri" w:hAnsi="Calibri" w:cs="Calibri"/>
          <w:sz w:val="22"/>
        </w:rPr>
        <w:t xml:space="preserve">%. </w:t>
      </w:r>
      <w:r w:rsidRPr="00514EDC">
        <w:rPr>
          <w:rFonts w:ascii="Calibri" w:hAnsi="Calibri" w:cs="Calibri"/>
          <w:sz w:val="22"/>
        </w:rPr>
        <w:t xml:space="preserve">This was due to the increased provision of face-to-face services </w:t>
      </w:r>
      <w:r w:rsidR="003E7BB6" w:rsidRPr="00514EDC">
        <w:rPr>
          <w:rFonts w:ascii="Calibri" w:hAnsi="Calibri" w:cs="Calibri"/>
          <w:sz w:val="22"/>
        </w:rPr>
        <w:t xml:space="preserve">from </w:t>
      </w:r>
      <w:r w:rsidRPr="00514EDC">
        <w:rPr>
          <w:rFonts w:ascii="Calibri" w:hAnsi="Calibri" w:cs="Calibri"/>
          <w:sz w:val="22"/>
        </w:rPr>
        <w:t xml:space="preserve">early 2022. </w:t>
      </w:r>
    </w:p>
    <w:p w14:paraId="2F0F968D" w14:textId="77777777" w:rsidR="00594D87" w:rsidRPr="00514EDC" w:rsidRDefault="00594D87" w:rsidP="00594D87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2"/>
        </w:rPr>
      </w:pPr>
    </w:p>
    <w:p w14:paraId="3B40D09F" w14:textId="7121D08E" w:rsidR="006C4630" w:rsidRPr="00514EDC" w:rsidRDefault="00A3446A" w:rsidP="00C07064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</w:rPr>
      </w:pPr>
      <w:r w:rsidRPr="00514EDC">
        <w:rPr>
          <w:rFonts w:ascii="Calibri" w:hAnsi="Calibri" w:cs="Calibri"/>
          <w:sz w:val="22"/>
          <w:lang w:eastAsia="en-IE"/>
        </w:rPr>
        <w:t>Housing queries were up by 26% compared to same quarter la</w:t>
      </w:r>
      <w:r w:rsidR="007A1AE3" w:rsidRPr="00514EDC">
        <w:rPr>
          <w:rFonts w:ascii="Calibri" w:hAnsi="Calibri" w:cs="Calibri"/>
          <w:sz w:val="22"/>
          <w:lang w:eastAsia="en-IE"/>
        </w:rPr>
        <w:t>s</w:t>
      </w:r>
      <w:r w:rsidRPr="00514EDC">
        <w:rPr>
          <w:rFonts w:ascii="Calibri" w:hAnsi="Calibri" w:cs="Calibri"/>
          <w:sz w:val="22"/>
          <w:lang w:eastAsia="en-IE"/>
        </w:rPr>
        <w:t xml:space="preserve">t year, and by almost 15% compared to Q2 this year. </w:t>
      </w:r>
      <w:r w:rsidR="00174A1A" w:rsidRPr="00514EDC">
        <w:rPr>
          <w:rFonts w:ascii="Calibri" w:hAnsi="Calibri" w:cs="Calibri"/>
          <w:sz w:val="22"/>
          <w:lang w:eastAsia="en-IE"/>
        </w:rPr>
        <w:t xml:space="preserve">Private rented sector housing queries increased by 30% </w:t>
      </w:r>
      <w:r w:rsidRPr="00514EDC">
        <w:rPr>
          <w:rFonts w:ascii="Calibri" w:hAnsi="Calibri" w:cs="Calibri"/>
          <w:sz w:val="22"/>
          <w:lang w:eastAsia="en-IE"/>
        </w:rPr>
        <w:t xml:space="preserve">when compared to Q2 2022. The four highest query areas related to </w:t>
      </w:r>
      <w:r w:rsidRPr="00514EDC">
        <w:rPr>
          <w:rFonts w:ascii="Calibri" w:hAnsi="Calibri" w:cs="Calibri"/>
          <w:b/>
          <w:sz w:val="22"/>
          <w:lang w:eastAsia="en-IE"/>
        </w:rPr>
        <w:t>Notice/Eviction/Disputes</w:t>
      </w:r>
      <w:r w:rsidRPr="00514EDC">
        <w:rPr>
          <w:rFonts w:ascii="Calibri" w:hAnsi="Calibri" w:cs="Calibri"/>
          <w:sz w:val="22"/>
          <w:lang w:eastAsia="en-IE"/>
        </w:rPr>
        <w:t xml:space="preserve">, </w:t>
      </w:r>
      <w:r w:rsidRPr="00514EDC">
        <w:rPr>
          <w:rFonts w:ascii="Calibri" w:hAnsi="Calibri" w:cs="Calibri"/>
          <w:b/>
          <w:bCs/>
          <w:sz w:val="22"/>
          <w:lang w:eastAsia="en-IE"/>
        </w:rPr>
        <w:t>RTB (Residential Tenancies Board)</w:t>
      </w:r>
      <w:r w:rsidRPr="00514EDC">
        <w:rPr>
          <w:rFonts w:ascii="Calibri" w:hAnsi="Calibri" w:cs="Calibri"/>
          <w:sz w:val="22"/>
          <w:lang w:eastAsia="en-IE"/>
        </w:rPr>
        <w:t xml:space="preserve">, </w:t>
      </w:r>
      <w:r w:rsidRPr="00514EDC">
        <w:rPr>
          <w:rFonts w:ascii="Calibri" w:hAnsi="Calibri" w:cs="Calibri"/>
          <w:b/>
          <w:sz w:val="22"/>
          <w:lang w:eastAsia="en-IE"/>
        </w:rPr>
        <w:t>Tenants Rights and Obligations, and Landlords Rights and Obligations</w:t>
      </w:r>
      <w:r w:rsidRPr="00514EDC">
        <w:rPr>
          <w:rFonts w:ascii="Calibri" w:hAnsi="Calibri" w:cs="Calibri"/>
          <w:sz w:val="22"/>
          <w:lang w:eastAsia="en-IE"/>
        </w:rPr>
        <w:t>.</w:t>
      </w:r>
      <w:r w:rsidRPr="00514EDC">
        <w:rPr>
          <w:rStyle w:val="FootnoteReference"/>
          <w:rFonts w:ascii="Calibri" w:eastAsia="Times New Roman" w:hAnsi="Calibri" w:cs="Calibri"/>
          <w:sz w:val="22"/>
          <w:lang w:eastAsia="en-IE"/>
        </w:rPr>
        <w:footnoteReference w:id="3"/>
      </w:r>
      <w:r w:rsidRPr="00514EDC">
        <w:rPr>
          <w:rFonts w:ascii="Calibri" w:hAnsi="Calibri" w:cs="Calibri"/>
          <w:sz w:val="22"/>
          <w:lang w:eastAsia="en-IE"/>
        </w:rPr>
        <w:t xml:space="preserve"> Within Local Authority/Social Housing, </w:t>
      </w:r>
      <w:r w:rsidRPr="00514EDC">
        <w:rPr>
          <w:rFonts w:ascii="Calibri" w:hAnsi="Calibri" w:cs="Calibri"/>
          <w:b/>
          <w:sz w:val="22"/>
          <w:lang w:eastAsia="en-IE"/>
        </w:rPr>
        <w:t>HAP</w:t>
      </w:r>
      <w:r w:rsidRPr="00514EDC">
        <w:rPr>
          <w:rFonts w:ascii="Calibri" w:hAnsi="Calibri" w:cs="Calibri"/>
          <w:sz w:val="22"/>
          <w:lang w:eastAsia="en-IE"/>
        </w:rPr>
        <w:t xml:space="preserve"> queries were up by </w:t>
      </w:r>
      <w:r w:rsidR="007A1AE3" w:rsidRPr="00514EDC">
        <w:rPr>
          <w:rFonts w:ascii="Calibri" w:hAnsi="Calibri" w:cs="Calibri"/>
          <w:sz w:val="22"/>
          <w:lang w:eastAsia="en-IE"/>
        </w:rPr>
        <w:t>almost 10</w:t>
      </w:r>
      <w:r w:rsidRPr="00514EDC">
        <w:rPr>
          <w:rFonts w:ascii="Calibri" w:hAnsi="Calibri" w:cs="Calibri"/>
          <w:sz w:val="22"/>
          <w:lang w:eastAsia="en-IE"/>
        </w:rPr>
        <w:t>% on Q2</w:t>
      </w:r>
      <w:r w:rsidR="007A1AE3" w:rsidRPr="00514EDC">
        <w:rPr>
          <w:rFonts w:ascii="Calibri" w:hAnsi="Calibri" w:cs="Calibri"/>
          <w:sz w:val="22"/>
          <w:lang w:eastAsia="en-IE"/>
        </w:rPr>
        <w:t xml:space="preserve"> this year</w:t>
      </w:r>
      <w:r w:rsidRPr="00514EDC">
        <w:rPr>
          <w:rFonts w:ascii="Calibri" w:hAnsi="Calibri" w:cs="Calibri"/>
          <w:sz w:val="22"/>
          <w:lang w:eastAsia="en-IE"/>
        </w:rPr>
        <w:t xml:space="preserve">. </w:t>
      </w:r>
    </w:p>
    <w:p w14:paraId="394AD34B" w14:textId="2032306D" w:rsidR="00594D87" w:rsidRPr="00514EDC" w:rsidRDefault="00594D87" w:rsidP="00594D87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2"/>
        </w:rPr>
      </w:pPr>
    </w:p>
    <w:p w14:paraId="5429CB6D" w14:textId="33C26906" w:rsidR="006C4630" w:rsidRPr="00514EDC" w:rsidRDefault="00BD3429" w:rsidP="00C07064">
      <w:pPr>
        <w:pStyle w:val="CommentText"/>
        <w:numPr>
          <w:ilvl w:val="0"/>
          <w:numId w:val="13"/>
        </w:numPr>
        <w:jc w:val="both"/>
        <w:rPr>
          <w:rFonts w:cs="Calibri"/>
          <w:color w:val="000000" w:themeColor="text1"/>
          <w:sz w:val="22"/>
          <w:szCs w:val="22"/>
        </w:rPr>
      </w:pPr>
      <w:r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Overall </w:t>
      </w:r>
      <w:r w:rsidRPr="00514EDC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Social Welfare queries</w:t>
      </w:r>
      <w:r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increased by 5% as a percentage of overall queries this quarter compared to the same quarter last year - primarily related to a growth in enquiries related to cost of living supports.</w:t>
      </w:r>
    </w:p>
    <w:p w14:paraId="4093BDF2" w14:textId="6CC627F3" w:rsidR="00942712" w:rsidRPr="00514EDC" w:rsidRDefault="00942712" w:rsidP="00C07064">
      <w:pPr>
        <w:pStyle w:val="CommentText"/>
        <w:numPr>
          <w:ilvl w:val="0"/>
          <w:numId w:val="13"/>
        </w:numPr>
        <w:jc w:val="both"/>
        <w:rPr>
          <w:rFonts w:cs="Calibri"/>
          <w:sz w:val="22"/>
          <w:szCs w:val="22"/>
        </w:rPr>
      </w:pPr>
      <w:r w:rsidRPr="00514EDC">
        <w:rPr>
          <w:rFonts w:cs="Calibri"/>
          <w:sz w:val="22"/>
          <w:szCs w:val="22"/>
          <w:lang w:eastAsia="en-IE"/>
        </w:rPr>
        <w:t xml:space="preserve">SW - </w:t>
      </w:r>
      <w:r w:rsidRPr="00514EDC">
        <w:rPr>
          <w:rFonts w:cs="Calibri"/>
          <w:b/>
          <w:sz w:val="22"/>
          <w:szCs w:val="22"/>
          <w:lang w:eastAsia="en-IE"/>
        </w:rPr>
        <w:t>Extra Social Welfare Benefits</w:t>
      </w:r>
      <w:r w:rsidRPr="00514EDC">
        <w:rPr>
          <w:rFonts w:cs="Calibri"/>
          <w:sz w:val="22"/>
          <w:szCs w:val="22"/>
          <w:lang w:eastAsia="en-IE"/>
        </w:rPr>
        <w:t xml:space="preserve"> (which includes the Fuel Allowance, Household Benefits Package, Free Travel,</w:t>
      </w:r>
      <w:r w:rsidR="006C4630" w:rsidRPr="00514EDC">
        <w:rPr>
          <w:rFonts w:cs="Calibri"/>
          <w:sz w:val="22"/>
          <w:szCs w:val="22"/>
          <w:lang w:eastAsia="en-IE"/>
        </w:rPr>
        <w:t xml:space="preserve"> </w:t>
      </w:r>
      <w:r w:rsidRPr="00514EDC">
        <w:rPr>
          <w:rFonts w:cs="Calibri"/>
          <w:sz w:val="22"/>
          <w:szCs w:val="22"/>
          <w:lang w:eastAsia="en-IE"/>
        </w:rPr>
        <w:t>Living Alone Increase) became the top sub-category under Social Welfare queries this quarter</w:t>
      </w:r>
      <w:r w:rsidR="00A643B1" w:rsidRPr="00514EDC">
        <w:rPr>
          <w:rFonts w:cs="Calibri"/>
          <w:sz w:val="22"/>
          <w:szCs w:val="22"/>
          <w:lang w:eastAsia="en-IE"/>
        </w:rPr>
        <w:t xml:space="preserve"> with nearly 20,000 queries, almost double the figure for the same period last year. Fuel Allowance queries saw the most significant increase, despite the summer months.   </w:t>
      </w:r>
    </w:p>
    <w:p w14:paraId="7EEAC2B4" w14:textId="2FA78417" w:rsidR="00942712" w:rsidRPr="00514EDC" w:rsidRDefault="00942712" w:rsidP="00C07064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</w:rPr>
      </w:pPr>
      <w:r w:rsidRPr="00514EDC">
        <w:rPr>
          <w:rFonts w:ascii="Calibri" w:hAnsi="Calibri" w:cs="Calibri"/>
          <w:b/>
          <w:sz w:val="22"/>
        </w:rPr>
        <w:t>Supplementary Welfare Schemes</w:t>
      </w:r>
      <w:r w:rsidRPr="00514EDC">
        <w:rPr>
          <w:rFonts w:ascii="Calibri" w:hAnsi="Calibri" w:cs="Calibri"/>
          <w:sz w:val="22"/>
        </w:rPr>
        <w:t xml:space="preserve"> </w:t>
      </w:r>
      <w:r w:rsidR="00174A1A" w:rsidRPr="00514EDC">
        <w:rPr>
          <w:rFonts w:ascii="Calibri" w:hAnsi="Calibri" w:cs="Calibri"/>
          <w:sz w:val="22"/>
        </w:rPr>
        <w:t xml:space="preserve">queries </w:t>
      </w:r>
      <w:r w:rsidRPr="00514EDC">
        <w:rPr>
          <w:rFonts w:ascii="Calibri" w:hAnsi="Calibri" w:cs="Calibri"/>
          <w:sz w:val="22"/>
        </w:rPr>
        <w:t xml:space="preserve">entered the top ten payments/schemes in Q3, </w:t>
      </w:r>
      <w:r w:rsidR="003E7BB6" w:rsidRPr="00514EDC">
        <w:rPr>
          <w:rFonts w:ascii="Calibri" w:hAnsi="Calibri" w:cs="Calibri"/>
          <w:sz w:val="22"/>
        </w:rPr>
        <w:t xml:space="preserve">exceeding </w:t>
      </w:r>
      <w:r w:rsidRPr="00514EDC">
        <w:rPr>
          <w:rFonts w:ascii="Calibri" w:hAnsi="Calibri" w:cs="Calibri"/>
          <w:sz w:val="22"/>
        </w:rPr>
        <w:t>10,0</w:t>
      </w:r>
      <w:r w:rsidR="003E7BB6" w:rsidRPr="00514EDC">
        <w:rPr>
          <w:rFonts w:ascii="Calibri" w:hAnsi="Calibri" w:cs="Calibri"/>
          <w:sz w:val="22"/>
        </w:rPr>
        <w:t>00</w:t>
      </w:r>
      <w:r w:rsidRPr="00514EDC">
        <w:rPr>
          <w:rFonts w:ascii="Calibri" w:hAnsi="Calibri" w:cs="Calibri"/>
          <w:sz w:val="22"/>
        </w:rPr>
        <w:t xml:space="preserve"> queries, and nearly doubling since last year</w:t>
      </w:r>
      <w:r w:rsidR="006C4630" w:rsidRPr="00514EDC">
        <w:rPr>
          <w:rFonts w:ascii="Calibri" w:hAnsi="Calibri" w:cs="Calibri"/>
          <w:sz w:val="22"/>
        </w:rPr>
        <w:t>.</w:t>
      </w:r>
      <w:r w:rsidRPr="00514EDC">
        <w:rPr>
          <w:rFonts w:ascii="Calibri" w:hAnsi="Calibri" w:cs="Calibri"/>
          <w:sz w:val="22"/>
        </w:rPr>
        <w:t xml:space="preserve"> </w:t>
      </w:r>
      <w:r w:rsidR="00174A1A" w:rsidRPr="00514EDC">
        <w:rPr>
          <w:rFonts w:ascii="Calibri" w:hAnsi="Calibri" w:cs="Calibri"/>
          <w:sz w:val="22"/>
        </w:rPr>
        <w:t>S</w:t>
      </w:r>
      <w:r w:rsidRPr="00514EDC">
        <w:rPr>
          <w:rFonts w:ascii="Calibri" w:hAnsi="Calibri" w:cs="Calibri"/>
          <w:sz w:val="22"/>
        </w:rPr>
        <w:t>ignificant increases were seen across the Additional Needs Payment (ANP),</w:t>
      </w:r>
      <w:r w:rsidRPr="00514EDC">
        <w:rPr>
          <w:rStyle w:val="FootnoteReference"/>
          <w:rFonts w:ascii="Calibri" w:hAnsi="Calibri" w:cs="Calibri"/>
          <w:sz w:val="22"/>
        </w:rPr>
        <w:footnoteReference w:id="4"/>
      </w:r>
      <w:r w:rsidRPr="00514EDC">
        <w:rPr>
          <w:rFonts w:ascii="Calibri" w:hAnsi="Calibri" w:cs="Calibri"/>
          <w:sz w:val="22"/>
        </w:rPr>
        <w:t xml:space="preserve"> and the Basic Supplementary Welfare Allowance (SWA) </w:t>
      </w:r>
      <w:r w:rsidR="006C4630" w:rsidRPr="00514EDC">
        <w:rPr>
          <w:rFonts w:ascii="Calibri" w:hAnsi="Calibri" w:cs="Calibri"/>
          <w:sz w:val="22"/>
        </w:rPr>
        <w:t>(+</w:t>
      </w:r>
      <w:r w:rsidRPr="00514EDC">
        <w:rPr>
          <w:rFonts w:ascii="Calibri" w:hAnsi="Calibri" w:cs="Calibri"/>
          <w:sz w:val="22"/>
        </w:rPr>
        <w:t>53.1</w:t>
      </w:r>
      <w:r w:rsidR="006C4630" w:rsidRPr="00514EDC">
        <w:rPr>
          <w:rFonts w:ascii="Calibri" w:hAnsi="Calibri" w:cs="Calibri"/>
          <w:sz w:val="22"/>
        </w:rPr>
        <w:t>%).</w:t>
      </w:r>
      <w:r w:rsidRPr="00514EDC">
        <w:rPr>
          <w:rFonts w:ascii="Calibri" w:hAnsi="Calibri" w:cs="Calibri"/>
          <w:sz w:val="22"/>
        </w:rPr>
        <w:t xml:space="preserve"> These increases reflect the</w:t>
      </w:r>
      <w:r w:rsidR="00D50363" w:rsidRPr="00514EDC">
        <w:rPr>
          <w:rFonts w:ascii="Calibri" w:hAnsi="Calibri" w:cs="Calibri"/>
          <w:sz w:val="22"/>
        </w:rPr>
        <w:t xml:space="preserve"> </w:t>
      </w:r>
      <w:r w:rsidRPr="00514EDC">
        <w:rPr>
          <w:rFonts w:ascii="Calibri" w:hAnsi="Calibri" w:cs="Calibri"/>
          <w:sz w:val="22"/>
        </w:rPr>
        <w:t>current challenging economic circumstances faced by callers due to the rising cost of living</w:t>
      </w:r>
      <w:r w:rsidR="00A3446A" w:rsidRPr="00514EDC">
        <w:rPr>
          <w:rFonts w:ascii="Calibri" w:hAnsi="Calibri" w:cs="Calibri"/>
          <w:sz w:val="22"/>
        </w:rPr>
        <w:t xml:space="preserve"> and the widening of the eligibility criteria for </w:t>
      </w:r>
      <w:r w:rsidR="00624209" w:rsidRPr="00514EDC">
        <w:rPr>
          <w:rFonts w:ascii="Calibri" w:hAnsi="Calibri" w:cs="Calibri"/>
          <w:sz w:val="22"/>
        </w:rPr>
        <w:t>those on low incomes</w:t>
      </w:r>
      <w:r w:rsidR="00A3446A" w:rsidRPr="00514EDC">
        <w:rPr>
          <w:rFonts w:ascii="Calibri" w:hAnsi="Calibri" w:cs="Calibri"/>
          <w:sz w:val="22"/>
        </w:rPr>
        <w:t xml:space="preserve"> under these schemes</w:t>
      </w:r>
      <w:r w:rsidR="00A643B1" w:rsidRPr="00514EDC">
        <w:rPr>
          <w:rFonts w:ascii="Calibri" w:hAnsi="Calibri" w:cs="Calibri"/>
          <w:sz w:val="22"/>
        </w:rPr>
        <w:t>.</w:t>
      </w:r>
      <w:r w:rsidRPr="00514EDC">
        <w:rPr>
          <w:rFonts w:ascii="Calibri" w:hAnsi="Calibri" w:cs="Calibri"/>
          <w:sz w:val="22"/>
        </w:rPr>
        <w:t xml:space="preserve"> </w:t>
      </w:r>
    </w:p>
    <w:p w14:paraId="0103C536" w14:textId="77777777" w:rsidR="006C4630" w:rsidRPr="00514EDC" w:rsidRDefault="006C4630" w:rsidP="006C4630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2"/>
        </w:rPr>
      </w:pPr>
    </w:p>
    <w:p w14:paraId="2AB99064" w14:textId="3FB67F66" w:rsidR="00942712" w:rsidRPr="00514EDC" w:rsidRDefault="00942712" w:rsidP="00C07064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</w:rPr>
      </w:pPr>
      <w:r w:rsidRPr="00514EDC">
        <w:rPr>
          <w:rFonts w:ascii="Calibri" w:hAnsi="Calibri" w:cs="Calibri"/>
          <w:b/>
          <w:sz w:val="22"/>
        </w:rPr>
        <w:t>Money and Tax</w:t>
      </w:r>
      <w:r w:rsidRPr="00514EDC">
        <w:rPr>
          <w:rFonts w:ascii="Calibri" w:hAnsi="Calibri" w:cs="Calibri"/>
          <w:sz w:val="22"/>
        </w:rPr>
        <w:t xml:space="preserve"> queries (11,548) were up by </w:t>
      </w:r>
      <w:r w:rsidR="00DC23EE" w:rsidRPr="00514EDC">
        <w:rPr>
          <w:rFonts w:ascii="Calibri" w:hAnsi="Calibri" w:cs="Calibri"/>
          <w:sz w:val="22"/>
        </w:rPr>
        <w:t xml:space="preserve">almost a third </w:t>
      </w:r>
      <w:r w:rsidRPr="00514EDC">
        <w:rPr>
          <w:rFonts w:ascii="Calibri" w:hAnsi="Calibri" w:cs="Calibri"/>
          <w:sz w:val="22"/>
        </w:rPr>
        <w:t xml:space="preserve">compared to Q2 this year, and by a similar proportion compared to last year. Within this category, Revenue Online related queries doubled compared to Q3 2022, and were up by 52% on Q2, reflecting the challenges of digitalisation for certain groups including older people, and other people with digital literacy issues. </w:t>
      </w:r>
    </w:p>
    <w:p w14:paraId="2BE522B9" w14:textId="10F53A20" w:rsidR="00942712" w:rsidRPr="00514EDC" w:rsidRDefault="00942712" w:rsidP="00942712">
      <w:pPr>
        <w:jc w:val="both"/>
        <w:rPr>
          <w:sz w:val="22"/>
          <w:szCs w:val="22"/>
        </w:rPr>
      </w:pPr>
      <w:r w:rsidRPr="00514EDC">
        <w:rPr>
          <w:sz w:val="22"/>
          <w:szCs w:val="22"/>
          <w:lang w:val="en-US"/>
        </w:rPr>
        <w:lastRenderedPageBreak/>
        <w:t xml:space="preserve">Further detail on the </w:t>
      </w:r>
      <w:r w:rsidRPr="00514EDC">
        <w:rPr>
          <w:b/>
          <w:sz w:val="22"/>
          <w:szCs w:val="22"/>
          <w:lang w:val="en-US"/>
        </w:rPr>
        <w:t>top three main</w:t>
      </w:r>
      <w:r w:rsidRPr="00514EDC">
        <w:rPr>
          <w:sz w:val="22"/>
          <w:szCs w:val="22"/>
          <w:lang w:val="en-US"/>
        </w:rPr>
        <w:t xml:space="preserve"> </w:t>
      </w:r>
      <w:r w:rsidRPr="00514EDC">
        <w:rPr>
          <w:b/>
          <w:sz w:val="22"/>
          <w:szCs w:val="22"/>
          <w:lang w:val="en-US"/>
        </w:rPr>
        <w:t>categories</w:t>
      </w:r>
      <w:r w:rsidRPr="00514EDC">
        <w:rPr>
          <w:sz w:val="22"/>
          <w:szCs w:val="22"/>
          <w:lang w:val="en-US"/>
        </w:rPr>
        <w:t xml:space="preserve"> of queries received in this third quarter of 2022, compared with the third quarter of 2021, are also set out in the tables below.</w:t>
      </w:r>
    </w:p>
    <w:p w14:paraId="1071D73F" w14:textId="7DEC7B16" w:rsidR="00942712" w:rsidRPr="00594D87" w:rsidRDefault="00942712" w:rsidP="00942712">
      <w:pPr>
        <w:jc w:val="both"/>
        <w:rPr>
          <w:sz w:val="22"/>
          <w:szCs w:val="22"/>
          <w:lang w:val="en-US"/>
        </w:rPr>
      </w:pPr>
      <w:r w:rsidRPr="00594D87">
        <w:rPr>
          <w:b/>
          <w:sz w:val="22"/>
          <w:szCs w:val="22"/>
          <w:lang w:val="en-US"/>
        </w:rPr>
        <w:t>Table 6</w:t>
      </w:r>
      <w:r w:rsidRPr="00594D87">
        <w:rPr>
          <w:sz w:val="22"/>
          <w:szCs w:val="22"/>
          <w:lang w:val="en-US"/>
        </w:rPr>
        <w:t xml:space="preserve"> details the </w:t>
      </w:r>
      <w:r w:rsidRPr="00594D87">
        <w:rPr>
          <w:b/>
          <w:sz w:val="22"/>
          <w:szCs w:val="22"/>
          <w:lang w:val="en-US"/>
        </w:rPr>
        <w:t>Social Welfare</w:t>
      </w:r>
      <w:r w:rsidRPr="00594D87">
        <w:rPr>
          <w:sz w:val="22"/>
          <w:szCs w:val="22"/>
          <w:lang w:val="en-US"/>
        </w:rPr>
        <w:t xml:space="preserve"> query dataset for Quarter 3, 2022.  Social Welfare queries were the highest query area, representing 48.2% of all queries compared with 43.2% for the same quarter in the previous year. </w:t>
      </w:r>
    </w:p>
    <w:p w14:paraId="7A5B3CA9" w14:textId="77777777" w:rsidR="00942712" w:rsidRPr="00594D87" w:rsidRDefault="00942712" w:rsidP="00942712">
      <w:pPr>
        <w:spacing w:line="240" w:lineRule="auto"/>
        <w:jc w:val="both"/>
        <w:rPr>
          <w:color w:val="00B050"/>
          <w:sz w:val="22"/>
          <w:szCs w:val="22"/>
          <w:lang w:val="en-US"/>
        </w:rPr>
      </w:pPr>
      <w:r w:rsidRPr="00594D87">
        <w:rPr>
          <w:b/>
          <w:sz w:val="22"/>
          <w:szCs w:val="22"/>
          <w:lang w:val="en-US"/>
        </w:rPr>
        <w:t>Social Welfare payment trends Q3, 2022</w:t>
      </w:r>
      <w:r w:rsidRPr="00594D87">
        <w:rPr>
          <w:sz w:val="22"/>
          <w:szCs w:val="22"/>
          <w:lang w:val="en-US"/>
        </w:rPr>
        <w:t>:</w:t>
      </w:r>
    </w:p>
    <w:p w14:paraId="7DDE0EF8" w14:textId="77777777" w:rsidR="00BD3429" w:rsidRPr="00514EDC" w:rsidRDefault="00942712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The top four sub-categories were </w:t>
      </w:r>
      <w:r w:rsidRPr="00514EDC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Extra Social Welfare Benefits</w:t>
      </w:r>
      <w:r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; </w:t>
      </w:r>
      <w:r w:rsidRPr="00514EDC">
        <w:rPr>
          <w:rFonts w:eastAsia="Times New Roman" w:cs="Calibri"/>
          <w:b/>
          <w:bCs/>
          <w:sz w:val="22"/>
          <w:szCs w:val="22"/>
          <w:lang w:eastAsia="en-IE"/>
        </w:rPr>
        <w:t>Disability and Illness</w:t>
      </w:r>
      <w:r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; </w:t>
      </w:r>
      <w:r w:rsidRPr="00514EDC">
        <w:rPr>
          <w:rFonts w:eastAsia="Times New Roman" w:cs="Calibri"/>
          <w:b/>
          <w:bCs/>
          <w:color w:val="000000" w:themeColor="text1"/>
          <w:sz w:val="22"/>
          <w:szCs w:val="22"/>
          <w:lang w:eastAsia="en-IE"/>
        </w:rPr>
        <w:t>Families and Children</w:t>
      </w:r>
      <w:r w:rsidRPr="00514ED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and </w:t>
      </w:r>
      <w:r w:rsidRPr="00514EDC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 xml:space="preserve">Older and Retired People, </w:t>
      </w:r>
      <w:r w:rsidRPr="00514EDC">
        <w:rPr>
          <w:rFonts w:eastAsia="Times New Roman" w:cs="Calibri"/>
          <w:bCs/>
          <w:sz w:val="22"/>
          <w:szCs w:val="22"/>
          <w:lang w:eastAsia="en-IE"/>
        </w:rPr>
        <w:t>respectively.</w:t>
      </w:r>
    </w:p>
    <w:p w14:paraId="226798DC" w14:textId="5B026684" w:rsidR="00942712" w:rsidRPr="00514EDC" w:rsidRDefault="00942712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514EDC">
        <w:rPr>
          <w:rFonts w:cs="Calibri"/>
          <w:b/>
          <w:sz w:val="22"/>
          <w:szCs w:val="22"/>
        </w:rPr>
        <w:t xml:space="preserve">Extra Social Welfare Benefits </w:t>
      </w:r>
      <w:r w:rsidRPr="00514EDC">
        <w:rPr>
          <w:rFonts w:cs="Calibri"/>
          <w:sz w:val="22"/>
          <w:szCs w:val="22"/>
        </w:rPr>
        <w:t>was the highest sub-category under Social Welfare with 19,747 queries compared to 10,202 last year, an increase of 93.6%</w:t>
      </w:r>
      <w:r w:rsidR="00594D87" w:rsidRPr="00514EDC">
        <w:rPr>
          <w:rFonts w:cs="Calibri"/>
          <w:sz w:val="22"/>
          <w:szCs w:val="22"/>
        </w:rPr>
        <w:t xml:space="preserve"> </w:t>
      </w:r>
      <w:r w:rsidR="00DC23EE" w:rsidRPr="00514EDC">
        <w:rPr>
          <w:rFonts w:cs="Calibri"/>
          <w:sz w:val="22"/>
          <w:szCs w:val="22"/>
        </w:rPr>
        <w:t>a</w:t>
      </w:r>
      <w:r w:rsidR="007A1AE3" w:rsidRPr="00514EDC">
        <w:rPr>
          <w:rFonts w:cs="Calibri"/>
          <w:sz w:val="22"/>
          <w:szCs w:val="22"/>
          <w:lang w:eastAsia="en-IE"/>
        </w:rPr>
        <w:t>nd up by almost 75%</w:t>
      </w:r>
      <w:r w:rsidR="00DC23EE" w:rsidRPr="00514EDC">
        <w:rPr>
          <w:rFonts w:cs="Calibri"/>
          <w:sz w:val="22"/>
          <w:szCs w:val="22"/>
          <w:lang w:eastAsia="en-IE"/>
        </w:rPr>
        <w:t xml:space="preserve"> </w:t>
      </w:r>
      <w:r w:rsidR="007A1AE3" w:rsidRPr="00514EDC">
        <w:rPr>
          <w:rFonts w:cs="Calibri"/>
          <w:sz w:val="22"/>
          <w:szCs w:val="22"/>
          <w:lang w:eastAsia="en-IE"/>
        </w:rPr>
        <w:t>compared to Q2 this year</w:t>
      </w:r>
      <w:r w:rsidR="006C4630" w:rsidRPr="00514EDC">
        <w:rPr>
          <w:rFonts w:cs="Calibri"/>
          <w:sz w:val="22"/>
          <w:szCs w:val="22"/>
          <w:lang w:eastAsia="en-IE"/>
        </w:rPr>
        <w:t>. Fuel Allowance queries saw the most significant increase -</w:t>
      </w:r>
      <w:r w:rsidR="00A643B1" w:rsidRPr="00514EDC">
        <w:rPr>
          <w:rFonts w:cs="Calibri"/>
          <w:sz w:val="22"/>
          <w:szCs w:val="22"/>
          <w:lang w:eastAsia="en-IE"/>
        </w:rPr>
        <w:t xml:space="preserve"> </w:t>
      </w:r>
      <w:r w:rsidR="006C4630" w:rsidRPr="00514EDC">
        <w:rPr>
          <w:rFonts w:cs="Calibri"/>
          <w:sz w:val="22"/>
          <w:szCs w:val="22"/>
          <w:lang w:eastAsia="en-IE"/>
        </w:rPr>
        <w:t xml:space="preserve">there were 5,374 more Fuel Allowance queries this quarter compared to Q2 despite the summer months. Household Benefits Package queries (5,667) were also substantial - up by 45.3% compared to Q2 of this year.  Of note here as well is the growth in queries on the Living Alone payment up by over 50% compared to Q2 of this year. </w:t>
      </w:r>
    </w:p>
    <w:p w14:paraId="7B5FFF1E" w14:textId="7C4E082B" w:rsidR="00942712" w:rsidRPr="00514EDC" w:rsidRDefault="00AF1751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514EDC">
        <w:rPr>
          <w:rFonts w:cs="Calibri"/>
          <w:b/>
          <w:bCs/>
          <w:color w:val="000000" w:themeColor="text1"/>
          <w:sz w:val="22"/>
          <w:szCs w:val="22"/>
        </w:rPr>
        <w:t>Carer’s payments</w:t>
      </w:r>
      <w:r w:rsidRPr="00514EDC">
        <w:rPr>
          <w:rFonts w:cs="Calibri"/>
          <w:bCs/>
          <w:color w:val="000000" w:themeColor="text1"/>
          <w:sz w:val="22"/>
          <w:szCs w:val="22"/>
        </w:rPr>
        <w:t xml:space="preserve"> rose by 22.8%, the State Pension (Contributory) by 22.3%, and the State Pension (Non-Contributory) by 38.5% compared to last year.</w:t>
      </w:r>
    </w:p>
    <w:p w14:paraId="2CCB21E1" w14:textId="05F53ED8" w:rsidR="00942712" w:rsidRPr="00514EDC" w:rsidRDefault="00942712" w:rsidP="00C07064">
      <w:pPr>
        <w:pStyle w:val="CommentText"/>
        <w:numPr>
          <w:ilvl w:val="0"/>
          <w:numId w:val="12"/>
        </w:numPr>
        <w:jc w:val="both"/>
        <w:rPr>
          <w:rFonts w:cs="Calibri"/>
          <w:color w:val="000000" w:themeColor="text1"/>
          <w:sz w:val="22"/>
          <w:szCs w:val="22"/>
        </w:rPr>
      </w:pPr>
      <w:r w:rsidRPr="00514EDC">
        <w:rPr>
          <w:rFonts w:cs="Calibri"/>
          <w:b/>
          <w:bCs/>
          <w:color w:val="000000" w:themeColor="text1"/>
          <w:sz w:val="22"/>
          <w:szCs w:val="22"/>
        </w:rPr>
        <w:t xml:space="preserve">Families and Children </w:t>
      </w:r>
      <w:r w:rsidRPr="00514EDC">
        <w:rPr>
          <w:rFonts w:cs="Calibri"/>
          <w:bCs/>
          <w:color w:val="000000" w:themeColor="text1"/>
          <w:sz w:val="22"/>
          <w:szCs w:val="22"/>
        </w:rPr>
        <w:t xml:space="preserve">with 12,712 queries is the third largest sub-category, increasing by 22.5% since Q2, and by 6.3% since last year. </w:t>
      </w:r>
      <w:r w:rsidR="00AF1751" w:rsidRPr="00514EDC">
        <w:rPr>
          <w:rFonts w:cs="Calibri"/>
          <w:bCs/>
          <w:color w:val="000000" w:themeColor="text1"/>
          <w:sz w:val="22"/>
          <w:szCs w:val="22"/>
        </w:rPr>
        <w:t xml:space="preserve">Working Family Payment continues to be the highest scheme in this category followed by the One-parent Family payment. </w:t>
      </w:r>
      <w:r w:rsidRPr="00514EDC">
        <w:rPr>
          <w:rFonts w:cs="Calibri"/>
          <w:bCs/>
          <w:color w:val="000000" w:themeColor="text1"/>
          <w:sz w:val="22"/>
          <w:szCs w:val="22"/>
        </w:rPr>
        <w:t>Increases this quarter on Q2 occurred in queries about the Back to School Clothing and Footwear Allowance, due to the scheme running from June to September; a 29.1% rise in Child Benefit queries, and the Increase for a Qualified Adult up by 23.6%.</w:t>
      </w:r>
    </w:p>
    <w:p w14:paraId="07DF7182" w14:textId="77777777" w:rsidR="00942712" w:rsidRPr="00514EDC" w:rsidRDefault="00942712" w:rsidP="00C07064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</w:rPr>
      </w:pPr>
      <w:r w:rsidRPr="00514EDC">
        <w:rPr>
          <w:rFonts w:ascii="Calibri" w:hAnsi="Calibri" w:cs="Calibri"/>
          <w:b/>
          <w:sz w:val="22"/>
        </w:rPr>
        <w:t xml:space="preserve">Supplementary Welfare Schemes </w:t>
      </w:r>
      <w:r w:rsidRPr="00514EDC">
        <w:rPr>
          <w:rFonts w:ascii="Calibri" w:hAnsi="Calibri" w:cs="Calibri"/>
          <w:bCs/>
          <w:sz w:val="22"/>
        </w:rPr>
        <w:t>almost doubled (98%)</w:t>
      </w:r>
      <w:r w:rsidRPr="00514EDC">
        <w:rPr>
          <w:rFonts w:ascii="Calibri" w:hAnsi="Calibri" w:cs="Calibri"/>
          <w:b/>
          <w:sz w:val="22"/>
        </w:rPr>
        <w:t xml:space="preserve"> </w:t>
      </w:r>
      <w:r w:rsidRPr="00514EDC">
        <w:rPr>
          <w:rFonts w:ascii="Calibri" w:hAnsi="Calibri" w:cs="Calibri"/>
          <w:sz w:val="22"/>
        </w:rPr>
        <w:t xml:space="preserve">in queries compared with the same period in 2021 with over 10,000 related queries.  </w:t>
      </w:r>
      <w:r w:rsidRPr="00514EDC">
        <w:rPr>
          <w:rFonts w:ascii="Calibri" w:hAnsi="Calibri" w:cs="Calibri"/>
          <w:b/>
          <w:bCs/>
          <w:sz w:val="22"/>
        </w:rPr>
        <w:t>Additional Needs Payment</w:t>
      </w:r>
      <w:r w:rsidRPr="00514EDC">
        <w:rPr>
          <w:rFonts w:ascii="Calibri" w:hAnsi="Calibri" w:cs="Calibri"/>
          <w:sz w:val="22"/>
        </w:rPr>
        <w:t xml:space="preserve"> had the highest number of queries (4,302) in this sub-category, followed by </w:t>
      </w:r>
      <w:r w:rsidRPr="00514EDC">
        <w:rPr>
          <w:rFonts w:ascii="Calibri" w:hAnsi="Calibri" w:cs="Calibri"/>
          <w:b/>
          <w:bCs/>
          <w:sz w:val="22"/>
        </w:rPr>
        <w:t>Basic Supplementary Welfare Allowance</w:t>
      </w:r>
      <w:r w:rsidRPr="00514EDC">
        <w:rPr>
          <w:rFonts w:ascii="Calibri" w:hAnsi="Calibri" w:cs="Calibri"/>
          <w:sz w:val="22"/>
        </w:rPr>
        <w:t xml:space="preserve"> which saw an increase of 53% in queries when compared with Q3 2021. </w:t>
      </w:r>
      <w:r w:rsidRPr="00514EDC">
        <w:rPr>
          <w:rFonts w:ascii="Calibri" w:hAnsi="Calibri" w:cs="Calibri"/>
          <w:iCs/>
          <w:sz w:val="22"/>
        </w:rPr>
        <w:t>The increased need for information and advice on these schemes is linked to the increase in applications throughout the year, and reflects ongoing affordability challenges faced by callers.</w:t>
      </w:r>
      <w:r w:rsidRPr="00514EDC">
        <w:rPr>
          <w:rFonts w:ascii="Calibri" w:hAnsi="Calibri" w:cs="Calibri"/>
          <w:b/>
          <w:iCs/>
          <w:sz w:val="22"/>
        </w:rPr>
        <w:t xml:space="preserve"> </w:t>
      </w:r>
    </w:p>
    <w:p w14:paraId="32524580" w14:textId="77777777" w:rsidR="00942712" w:rsidRPr="00514EDC" w:rsidRDefault="00942712" w:rsidP="00594D87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2"/>
        </w:rPr>
      </w:pPr>
    </w:p>
    <w:p w14:paraId="194115D2" w14:textId="77777777" w:rsidR="00942712" w:rsidRPr="00514EDC" w:rsidRDefault="00942712" w:rsidP="00C07064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</w:rPr>
      </w:pPr>
      <w:r w:rsidRPr="00514EDC">
        <w:rPr>
          <w:rFonts w:ascii="Calibri" w:hAnsi="Calibri" w:cs="Calibri"/>
          <w:b/>
          <w:bCs/>
          <w:sz w:val="22"/>
        </w:rPr>
        <w:t>SW/Unemployed People</w:t>
      </w:r>
      <w:r w:rsidRPr="00514EDC">
        <w:rPr>
          <w:rFonts w:ascii="Calibri" w:hAnsi="Calibri" w:cs="Calibri"/>
          <w:sz w:val="22"/>
        </w:rPr>
        <w:t xml:space="preserve"> had a 10% decrease in queries when compared with Q3 2021, and a slight increase of 6.5% on Q2 of this year. </w:t>
      </w:r>
    </w:p>
    <w:p w14:paraId="70EED65A" w14:textId="28A5AC34" w:rsidR="00942712" w:rsidRPr="00420C57" w:rsidRDefault="00942712" w:rsidP="00942712">
      <w:pPr>
        <w:pStyle w:val="Heading1"/>
        <w:shd w:val="clear" w:color="auto" w:fill="FFFFFF" w:themeFill="background1"/>
        <w:rPr>
          <w:rFonts w:ascii="Tw Cen MT Condensed" w:hAnsi="Tw Cen MT Condensed"/>
          <w:b/>
          <w:sz w:val="24"/>
          <w:szCs w:val="24"/>
          <w:lang w:val="en-US"/>
        </w:rPr>
      </w:pPr>
      <w:r w:rsidRPr="00420C57">
        <w:rPr>
          <w:rFonts w:ascii="Tw Cen MT Condensed" w:hAnsi="Tw Cen MT Condensed" w:cs="Calibri"/>
          <w:b/>
          <w:sz w:val="24"/>
          <w:szCs w:val="24"/>
          <w:lang w:val="en-US"/>
        </w:rPr>
        <w:lastRenderedPageBreak/>
        <w:t xml:space="preserve">Table 6 </w:t>
      </w:r>
      <w:r w:rsidRPr="00420C57">
        <w:rPr>
          <w:rFonts w:ascii="Tw Cen MT Condensed" w:hAnsi="Tw Cen MT Condensed"/>
          <w:b/>
          <w:sz w:val="24"/>
          <w:szCs w:val="24"/>
          <w:lang w:val="en-US"/>
        </w:rPr>
        <w:t xml:space="preserve">– </w:t>
      </w:r>
      <w:r w:rsidRPr="00420C57">
        <w:rPr>
          <w:rFonts w:ascii="Tw Cen MT Condensed" w:hAnsi="Tw Cen MT Condensed" w:cs="Calibri"/>
          <w:b/>
          <w:sz w:val="24"/>
          <w:szCs w:val="24"/>
          <w:lang w:val="en-US"/>
        </w:rPr>
        <w:t>Social Welfare Query Breakdown, Q3 2022</w:t>
      </w:r>
      <w:r w:rsidR="00624209">
        <w:rPr>
          <w:rStyle w:val="FootnoteReference"/>
          <w:rFonts w:ascii="Tw Cen MT Condensed" w:hAnsi="Tw Cen MT Condensed" w:cs="Calibri"/>
          <w:b/>
          <w:sz w:val="24"/>
          <w:szCs w:val="24"/>
          <w:lang w:val="en-US"/>
        </w:rPr>
        <w:footnoteReference w:id="5"/>
      </w:r>
    </w:p>
    <w:tbl>
      <w:tblPr>
        <w:tblStyle w:val="GridTable5Dark-Accent6"/>
        <w:tblW w:w="13297" w:type="dxa"/>
        <w:tblLook w:val="04A0" w:firstRow="1" w:lastRow="0" w:firstColumn="1" w:lastColumn="0" w:noHBand="0" w:noVBand="1"/>
      </w:tblPr>
      <w:tblGrid>
        <w:gridCol w:w="1870"/>
        <w:gridCol w:w="4074"/>
        <w:gridCol w:w="4604"/>
        <w:gridCol w:w="1213"/>
        <w:gridCol w:w="1536"/>
      </w:tblGrid>
      <w:tr w:rsidR="00942712" w:rsidRPr="00514EDC" w14:paraId="62FA09E5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hideMark/>
          </w:tcPr>
          <w:p w14:paraId="15A23C5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074" w:type="dxa"/>
            <w:noWrap/>
            <w:hideMark/>
          </w:tcPr>
          <w:p w14:paraId="0BF0F8EC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4604" w:type="dxa"/>
            <w:hideMark/>
          </w:tcPr>
          <w:p w14:paraId="368A3520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Q3, 2022 Sub-category Breakdown</w:t>
            </w:r>
          </w:p>
        </w:tc>
        <w:tc>
          <w:tcPr>
            <w:tcW w:w="1213" w:type="dxa"/>
            <w:hideMark/>
          </w:tcPr>
          <w:p w14:paraId="6F24D9B9" w14:textId="77777777" w:rsidR="00942712" w:rsidRPr="00514EDC" w:rsidRDefault="00942712" w:rsidP="00D503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536" w:type="dxa"/>
            <w:hideMark/>
          </w:tcPr>
          <w:p w14:paraId="73C18AE3" w14:textId="77777777" w:rsidR="00942712" w:rsidRPr="00514EDC" w:rsidRDefault="00942712" w:rsidP="00D503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% of Social Welfare Sub-category</w:t>
            </w:r>
          </w:p>
        </w:tc>
      </w:tr>
      <w:tr w:rsidR="00942712" w:rsidRPr="00514EDC" w14:paraId="01C231F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2D5A7188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Extra Social Welfare Benefits</w:t>
            </w:r>
          </w:p>
        </w:tc>
      </w:tr>
      <w:tr w:rsidR="00942712" w:rsidRPr="00514EDC" w14:paraId="18AB86C7" w14:textId="77777777" w:rsidTr="00D5036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204B0F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5905EFD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3CDE79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Fuel Allowance</w:t>
            </w:r>
          </w:p>
        </w:tc>
        <w:tc>
          <w:tcPr>
            <w:tcW w:w="1213" w:type="dxa"/>
            <w:noWrap/>
            <w:hideMark/>
          </w:tcPr>
          <w:p w14:paraId="1D3B3ED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9,225 </w:t>
            </w:r>
          </w:p>
        </w:tc>
        <w:tc>
          <w:tcPr>
            <w:tcW w:w="1536" w:type="dxa"/>
            <w:noWrap/>
            <w:vAlign w:val="bottom"/>
          </w:tcPr>
          <w:p w14:paraId="04E6788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46.7%</w:t>
            </w:r>
          </w:p>
        </w:tc>
      </w:tr>
      <w:tr w:rsidR="00942712" w:rsidRPr="00514EDC" w14:paraId="4A164BA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75E33B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3F1FE5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35B839A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Household Benefits Package</w:t>
            </w:r>
          </w:p>
        </w:tc>
        <w:tc>
          <w:tcPr>
            <w:tcW w:w="1213" w:type="dxa"/>
            <w:noWrap/>
            <w:hideMark/>
          </w:tcPr>
          <w:p w14:paraId="7788D63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5,667 </w:t>
            </w:r>
          </w:p>
        </w:tc>
        <w:tc>
          <w:tcPr>
            <w:tcW w:w="1536" w:type="dxa"/>
            <w:noWrap/>
            <w:vAlign w:val="bottom"/>
          </w:tcPr>
          <w:p w14:paraId="578FFE29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28.7%</w:t>
            </w:r>
          </w:p>
        </w:tc>
      </w:tr>
      <w:tr w:rsidR="00942712" w:rsidRPr="00514EDC" w14:paraId="40F98CD1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460261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7A15E6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4B045ED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Free Travel (Travel Card, Companion Card, etc)</w:t>
            </w:r>
          </w:p>
        </w:tc>
        <w:tc>
          <w:tcPr>
            <w:tcW w:w="1213" w:type="dxa"/>
            <w:noWrap/>
            <w:hideMark/>
          </w:tcPr>
          <w:p w14:paraId="09777622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2,280 </w:t>
            </w:r>
          </w:p>
        </w:tc>
        <w:tc>
          <w:tcPr>
            <w:tcW w:w="1536" w:type="dxa"/>
            <w:noWrap/>
            <w:vAlign w:val="bottom"/>
          </w:tcPr>
          <w:p w14:paraId="46FBB272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11.5%</w:t>
            </w:r>
          </w:p>
        </w:tc>
      </w:tr>
      <w:tr w:rsidR="00942712" w:rsidRPr="00514EDC" w14:paraId="6C0835F3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9BF9C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AC9340F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3DF003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Living Alone Increase</w:t>
            </w:r>
          </w:p>
        </w:tc>
        <w:tc>
          <w:tcPr>
            <w:tcW w:w="1213" w:type="dxa"/>
            <w:noWrap/>
            <w:hideMark/>
          </w:tcPr>
          <w:p w14:paraId="2D17EC8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2,061 </w:t>
            </w:r>
          </w:p>
        </w:tc>
        <w:tc>
          <w:tcPr>
            <w:tcW w:w="1536" w:type="dxa"/>
            <w:noWrap/>
            <w:vAlign w:val="bottom"/>
          </w:tcPr>
          <w:p w14:paraId="09D92FB7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10.4%</w:t>
            </w:r>
          </w:p>
        </w:tc>
      </w:tr>
      <w:tr w:rsidR="00942712" w:rsidRPr="00514EDC" w14:paraId="5FCFC716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20AAD8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EAEFC0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A06EA3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Telephone Support Allowance</w:t>
            </w:r>
          </w:p>
        </w:tc>
        <w:tc>
          <w:tcPr>
            <w:tcW w:w="1213" w:type="dxa"/>
            <w:noWrap/>
            <w:hideMark/>
          </w:tcPr>
          <w:p w14:paraId="5654F642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329 </w:t>
            </w:r>
          </w:p>
        </w:tc>
        <w:tc>
          <w:tcPr>
            <w:tcW w:w="1536" w:type="dxa"/>
            <w:noWrap/>
            <w:vAlign w:val="bottom"/>
          </w:tcPr>
          <w:p w14:paraId="1478227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</w:tr>
      <w:tr w:rsidR="00942712" w:rsidRPr="00514EDC" w14:paraId="1255F29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15813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10BF0B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721EFB2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Treatment Benefits</w:t>
            </w:r>
          </w:p>
        </w:tc>
        <w:tc>
          <w:tcPr>
            <w:tcW w:w="1213" w:type="dxa"/>
            <w:noWrap/>
            <w:hideMark/>
          </w:tcPr>
          <w:p w14:paraId="2996742B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117 </w:t>
            </w:r>
          </w:p>
        </w:tc>
        <w:tc>
          <w:tcPr>
            <w:tcW w:w="1536" w:type="dxa"/>
            <w:noWrap/>
            <w:vAlign w:val="bottom"/>
          </w:tcPr>
          <w:p w14:paraId="0BF35D7B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</w:tr>
      <w:tr w:rsidR="00942712" w:rsidRPr="00514EDC" w14:paraId="369B9E8B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647E8C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FB9683F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vAlign w:val="bottom"/>
            <w:hideMark/>
          </w:tcPr>
          <w:p w14:paraId="56E0DF7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Christmas Bonus</w:t>
            </w:r>
          </w:p>
        </w:tc>
        <w:tc>
          <w:tcPr>
            <w:tcW w:w="1213" w:type="dxa"/>
            <w:noWrap/>
            <w:hideMark/>
          </w:tcPr>
          <w:p w14:paraId="0BEA13B4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68 </w:t>
            </w:r>
          </w:p>
        </w:tc>
        <w:tc>
          <w:tcPr>
            <w:tcW w:w="1536" w:type="dxa"/>
            <w:noWrap/>
            <w:vAlign w:val="bottom"/>
          </w:tcPr>
          <w:p w14:paraId="2E02A5B3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0.3%</w:t>
            </w:r>
          </w:p>
        </w:tc>
      </w:tr>
      <w:tr w:rsidR="00942712" w:rsidRPr="00514EDC" w14:paraId="315A945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B1DFE2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8AC1F32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E3592C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084C1544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19,747</w:t>
            </w:r>
          </w:p>
        </w:tc>
        <w:tc>
          <w:tcPr>
            <w:tcW w:w="1536" w:type="dxa"/>
            <w:noWrap/>
          </w:tcPr>
          <w:p w14:paraId="69D87DA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328E7139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7AF8B6EC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Disability and Illness</w:t>
            </w:r>
          </w:p>
        </w:tc>
      </w:tr>
      <w:tr w:rsidR="00942712" w:rsidRPr="00514EDC" w14:paraId="4388CCA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D9A6A5B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47EEE5F2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32F85A4B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Disability Allowance</w:t>
            </w:r>
          </w:p>
        </w:tc>
        <w:tc>
          <w:tcPr>
            <w:tcW w:w="1213" w:type="dxa"/>
            <w:noWrap/>
            <w:hideMark/>
          </w:tcPr>
          <w:p w14:paraId="7CACBFD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6,560 </w:t>
            </w:r>
          </w:p>
        </w:tc>
        <w:tc>
          <w:tcPr>
            <w:tcW w:w="1536" w:type="dxa"/>
            <w:noWrap/>
          </w:tcPr>
          <w:p w14:paraId="0A49929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44.4%</w:t>
            </w:r>
          </w:p>
        </w:tc>
      </w:tr>
      <w:tr w:rsidR="00942712" w:rsidRPr="00514EDC" w14:paraId="6B0ADC5F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20AFF5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B0B432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2A1C712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Illness Benefit</w:t>
            </w:r>
          </w:p>
        </w:tc>
        <w:tc>
          <w:tcPr>
            <w:tcW w:w="1213" w:type="dxa"/>
            <w:noWrap/>
            <w:hideMark/>
          </w:tcPr>
          <w:p w14:paraId="202DEFB6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3,998 </w:t>
            </w:r>
          </w:p>
        </w:tc>
        <w:tc>
          <w:tcPr>
            <w:tcW w:w="1536" w:type="dxa"/>
            <w:noWrap/>
          </w:tcPr>
          <w:p w14:paraId="1D51ED5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27.0%</w:t>
            </w:r>
          </w:p>
        </w:tc>
      </w:tr>
      <w:tr w:rsidR="00942712" w:rsidRPr="00514EDC" w14:paraId="52CCBC0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B52A7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329E35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6902E2C8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Invalidity Pension</w:t>
            </w:r>
          </w:p>
        </w:tc>
        <w:tc>
          <w:tcPr>
            <w:tcW w:w="1213" w:type="dxa"/>
            <w:noWrap/>
            <w:hideMark/>
          </w:tcPr>
          <w:p w14:paraId="2EC3079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3,120 </w:t>
            </w:r>
          </w:p>
        </w:tc>
        <w:tc>
          <w:tcPr>
            <w:tcW w:w="1536" w:type="dxa"/>
            <w:noWrap/>
          </w:tcPr>
          <w:p w14:paraId="0B0826F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21.1%</w:t>
            </w:r>
          </w:p>
        </w:tc>
      </w:tr>
      <w:tr w:rsidR="00942712" w:rsidRPr="00514EDC" w14:paraId="5AB09B1C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3557B7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16F06F5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2B6AC6B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Partial Capacity Benefit</w:t>
            </w:r>
          </w:p>
        </w:tc>
        <w:tc>
          <w:tcPr>
            <w:tcW w:w="1213" w:type="dxa"/>
            <w:noWrap/>
            <w:hideMark/>
          </w:tcPr>
          <w:p w14:paraId="3A56089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543 </w:t>
            </w:r>
          </w:p>
        </w:tc>
        <w:tc>
          <w:tcPr>
            <w:tcW w:w="1536" w:type="dxa"/>
            <w:noWrap/>
          </w:tcPr>
          <w:p w14:paraId="11934AF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</w:tr>
      <w:tr w:rsidR="00942712" w:rsidRPr="00514EDC" w14:paraId="64FCA21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43B5AC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416B42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6609FB8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Injury Benefit</w:t>
            </w:r>
          </w:p>
        </w:tc>
        <w:tc>
          <w:tcPr>
            <w:tcW w:w="1213" w:type="dxa"/>
            <w:noWrap/>
            <w:hideMark/>
          </w:tcPr>
          <w:p w14:paraId="28046A0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238 </w:t>
            </w:r>
          </w:p>
        </w:tc>
        <w:tc>
          <w:tcPr>
            <w:tcW w:w="1536" w:type="dxa"/>
            <w:noWrap/>
          </w:tcPr>
          <w:p w14:paraId="4C654B0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1.6%</w:t>
            </w:r>
          </w:p>
        </w:tc>
      </w:tr>
      <w:tr w:rsidR="00942712" w:rsidRPr="00514EDC" w14:paraId="719D4FD4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AE21B1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F358AE2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241DD7EB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 Payment (Blind Pension/Other)</w:t>
            </w:r>
          </w:p>
        </w:tc>
        <w:tc>
          <w:tcPr>
            <w:tcW w:w="1213" w:type="dxa"/>
            <w:noWrap/>
            <w:hideMark/>
          </w:tcPr>
          <w:p w14:paraId="27F127B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179 </w:t>
            </w:r>
          </w:p>
        </w:tc>
        <w:tc>
          <w:tcPr>
            <w:tcW w:w="1536" w:type="dxa"/>
            <w:noWrap/>
          </w:tcPr>
          <w:p w14:paraId="698D6D0C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</w:tr>
      <w:tr w:rsidR="00942712" w:rsidRPr="00514EDC" w14:paraId="3D05468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B0C7C7D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910A6A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3ED5DC9C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Occupational Injuries Benefit Scheme</w:t>
            </w:r>
          </w:p>
        </w:tc>
        <w:tc>
          <w:tcPr>
            <w:tcW w:w="1213" w:type="dxa"/>
            <w:noWrap/>
            <w:hideMark/>
          </w:tcPr>
          <w:p w14:paraId="2D7D304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150 </w:t>
            </w:r>
          </w:p>
        </w:tc>
        <w:tc>
          <w:tcPr>
            <w:tcW w:w="1536" w:type="dxa"/>
            <w:noWrap/>
          </w:tcPr>
          <w:p w14:paraId="36B0F07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</w:tr>
      <w:tr w:rsidR="00942712" w:rsidRPr="00514EDC" w14:paraId="41F63687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E6F0E8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58CD29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678CA1F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32EECF1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14,788</w:t>
            </w:r>
          </w:p>
        </w:tc>
        <w:tc>
          <w:tcPr>
            <w:tcW w:w="1536" w:type="dxa"/>
            <w:noWrap/>
            <w:hideMark/>
          </w:tcPr>
          <w:p w14:paraId="0E8C9329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1526D64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D96C07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B61A25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2B9EB888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13" w:type="dxa"/>
            <w:noWrap/>
          </w:tcPr>
          <w:p w14:paraId="0319FEB8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36" w:type="dxa"/>
            <w:noWrap/>
          </w:tcPr>
          <w:p w14:paraId="21670F45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  <w:p w14:paraId="174D8CFF" w14:textId="10121973" w:rsidR="00624209" w:rsidRPr="00514EDC" w:rsidRDefault="00624209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942712" w:rsidRPr="00514EDC" w14:paraId="01085354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DF81347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lastRenderedPageBreak/>
              <w:t>Families and Children</w:t>
            </w:r>
          </w:p>
        </w:tc>
      </w:tr>
      <w:tr w:rsidR="00942712" w:rsidRPr="00514EDC" w14:paraId="6077E75A" w14:textId="77777777" w:rsidTr="0051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7716A6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150B9D5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99F6F6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Working Family Payment (WFP) formerly FIS</w:t>
            </w:r>
          </w:p>
        </w:tc>
        <w:tc>
          <w:tcPr>
            <w:tcW w:w="1213" w:type="dxa"/>
            <w:noWrap/>
          </w:tcPr>
          <w:p w14:paraId="74811AE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3,669 </w:t>
            </w:r>
          </w:p>
        </w:tc>
        <w:tc>
          <w:tcPr>
            <w:tcW w:w="1536" w:type="dxa"/>
            <w:noWrap/>
          </w:tcPr>
          <w:p w14:paraId="17F300F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28.9%</w:t>
            </w:r>
          </w:p>
        </w:tc>
      </w:tr>
      <w:tr w:rsidR="00942712" w:rsidRPr="00514EDC" w14:paraId="55B98A0D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F364A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E6A19C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476C253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One Parent Family Payment (OFP)</w:t>
            </w:r>
          </w:p>
        </w:tc>
        <w:tc>
          <w:tcPr>
            <w:tcW w:w="1213" w:type="dxa"/>
            <w:noWrap/>
          </w:tcPr>
          <w:p w14:paraId="1ADD5A52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2,268 </w:t>
            </w:r>
          </w:p>
        </w:tc>
        <w:tc>
          <w:tcPr>
            <w:tcW w:w="1536" w:type="dxa"/>
            <w:noWrap/>
          </w:tcPr>
          <w:p w14:paraId="38DEC85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17.8%</w:t>
            </w:r>
          </w:p>
        </w:tc>
      </w:tr>
      <w:tr w:rsidR="00942712" w:rsidRPr="00514EDC" w14:paraId="7BCDD33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9F1EEA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5CBBD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3D9F95D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School Clothing &amp; Footwear Allowance (BTSCFA)</w:t>
            </w:r>
          </w:p>
        </w:tc>
        <w:tc>
          <w:tcPr>
            <w:tcW w:w="1213" w:type="dxa"/>
            <w:noWrap/>
          </w:tcPr>
          <w:p w14:paraId="2E43B49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2,061 </w:t>
            </w:r>
          </w:p>
        </w:tc>
        <w:tc>
          <w:tcPr>
            <w:tcW w:w="1536" w:type="dxa"/>
            <w:noWrap/>
          </w:tcPr>
          <w:p w14:paraId="7674D9A0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16.2%</w:t>
            </w:r>
          </w:p>
        </w:tc>
      </w:tr>
      <w:tr w:rsidR="00942712" w:rsidRPr="00514EDC" w14:paraId="714589A0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2D148A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679BC17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77317C8B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Child Benefit</w:t>
            </w:r>
          </w:p>
        </w:tc>
        <w:tc>
          <w:tcPr>
            <w:tcW w:w="1213" w:type="dxa"/>
            <w:noWrap/>
          </w:tcPr>
          <w:p w14:paraId="4083D78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1,657 </w:t>
            </w:r>
          </w:p>
        </w:tc>
        <w:tc>
          <w:tcPr>
            <w:tcW w:w="1536" w:type="dxa"/>
            <w:noWrap/>
          </w:tcPr>
          <w:p w14:paraId="1CF1548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13.0%</w:t>
            </w:r>
          </w:p>
        </w:tc>
      </w:tr>
      <w:tr w:rsidR="00942712" w:rsidRPr="00514EDC" w14:paraId="23C4F1B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3BDA84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DEC7318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2308436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Maternity/ Adoptive Benefit</w:t>
            </w:r>
          </w:p>
        </w:tc>
        <w:tc>
          <w:tcPr>
            <w:tcW w:w="1213" w:type="dxa"/>
            <w:noWrap/>
          </w:tcPr>
          <w:p w14:paraId="0F0D83D5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870 </w:t>
            </w:r>
          </w:p>
        </w:tc>
        <w:tc>
          <w:tcPr>
            <w:tcW w:w="1536" w:type="dxa"/>
            <w:noWrap/>
          </w:tcPr>
          <w:p w14:paraId="1487409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6.8%</w:t>
            </w:r>
          </w:p>
        </w:tc>
      </w:tr>
      <w:tr w:rsidR="00942712" w:rsidRPr="00514EDC" w14:paraId="30E7C560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57AAB30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E062DDF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2E1AB142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Increase for a Qualified Adult (IQA)</w:t>
            </w:r>
          </w:p>
        </w:tc>
        <w:tc>
          <w:tcPr>
            <w:tcW w:w="1213" w:type="dxa"/>
            <w:noWrap/>
          </w:tcPr>
          <w:p w14:paraId="510F045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737 </w:t>
            </w:r>
          </w:p>
        </w:tc>
        <w:tc>
          <w:tcPr>
            <w:tcW w:w="1536" w:type="dxa"/>
            <w:noWrap/>
          </w:tcPr>
          <w:p w14:paraId="482790B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5.8%</w:t>
            </w:r>
          </w:p>
        </w:tc>
      </w:tr>
      <w:tr w:rsidR="00942712" w:rsidRPr="00514EDC" w14:paraId="7C14B74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68BC83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B8DE09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0CEDFA8B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Increase for a Qualified Child (IQC)</w:t>
            </w:r>
          </w:p>
        </w:tc>
        <w:tc>
          <w:tcPr>
            <w:tcW w:w="1213" w:type="dxa"/>
            <w:noWrap/>
          </w:tcPr>
          <w:p w14:paraId="20B15960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476 </w:t>
            </w:r>
          </w:p>
        </w:tc>
        <w:tc>
          <w:tcPr>
            <w:tcW w:w="1536" w:type="dxa"/>
            <w:noWrap/>
          </w:tcPr>
          <w:p w14:paraId="4EBE782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3.7%</w:t>
            </w:r>
          </w:p>
        </w:tc>
      </w:tr>
      <w:tr w:rsidR="00942712" w:rsidRPr="00514EDC" w14:paraId="4D2B2382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C703D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AEB370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CAB0545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Parent's Benefit</w:t>
            </w:r>
          </w:p>
        </w:tc>
        <w:tc>
          <w:tcPr>
            <w:tcW w:w="1213" w:type="dxa"/>
            <w:noWrap/>
          </w:tcPr>
          <w:p w14:paraId="47F62053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446 </w:t>
            </w:r>
          </w:p>
        </w:tc>
        <w:tc>
          <w:tcPr>
            <w:tcW w:w="1536" w:type="dxa"/>
            <w:noWrap/>
          </w:tcPr>
          <w:p w14:paraId="4842FE86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</w:tr>
      <w:tr w:rsidR="00942712" w:rsidRPr="00514EDC" w14:paraId="7169D63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FE215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252151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32010C2C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Paternity Benefit</w:t>
            </w:r>
          </w:p>
        </w:tc>
        <w:tc>
          <w:tcPr>
            <w:tcW w:w="1213" w:type="dxa"/>
            <w:noWrap/>
          </w:tcPr>
          <w:p w14:paraId="6D3CB984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234 </w:t>
            </w:r>
          </w:p>
        </w:tc>
        <w:tc>
          <w:tcPr>
            <w:tcW w:w="1536" w:type="dxa"/>
            <w:noWrap/>
          </w:tcPr>
          <w:p w14:paraId="4DA5EC5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1.8%</w:t>
            </w:r>
          </w:p>
        </w:tc>
      </w:tr>
      <w:tr w:rsidR="00942712" w:rsidRPr="00514EDC" w14:paraId="484F49AD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44D11A5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BAAAA01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D48B1A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Work Family Dividend</w:t>
            </w:r>
          </w:p>
        </w:tc>
        <w:tc>
          <w:tcPr>
            <w:tcW w:w="1213" w:type="dxa"/>
            <w:noWrap/>
          </w:tcPr>
          <w:p w14:paraId="68D3D324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221 </w:t>
            </w:r>
          </w:p>
        </w:tc>
        <w:tc>
          <w:tcPr>
            <w:tcW w:w="1536" w:type="dxa"/>
            <w:noWrap/>
          </w:tcPr>
          <w:p w14:paraId="215801F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</w:tr>
      <w:tr w:rsidR="00942712" w:rsidRPr="00514EDC" w14:paraId="65C699D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4CA447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EB27D0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2073348F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Health and Safety Benefit</w:t>
            </w:r>
          </w:p>
        </w:tc>
        <w:tc>
          <w:tcPr>
            <w:tcW w:w="1213" w:type="dxa"/>
            <w:noWrap/>
          </w:tcPr>
          <w:p w14:paraId="7EB422A5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46 </w:t>
            </w:r>
          </w:p>
        </w:tc>
        <w:tc>
          <w:tcPr>
            <w:tcW w:w="1536" w:type="dxa"/>
            <w:noWrap/>
          </w:tcPr>
          <w:p w14:paraId="5FA205D5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0.4%</w:t>
            </w:r>
          </w:p>
        </w:tc>
      </w:tr>
      <w:tr w:rsidR="00942712" w:rsidRPr="00514EDC" w14:paraId="35413B47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07ADD0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4A3B198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06E0F46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Deserted Wife's Benefit</w:t>
            </w:r>
          </w:p>
        </w:tc>
        <w:tc>
          <w:tcPr>
            <w:tcW w:w="1213" w:type="dxa"/>
            <w:noWrap/>
          </w:tcPr>
          <w:p w14:paraId="7F0DDC2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19 </w:t>
            </w:r>
          </w:p>
        </w:tc>
        <w:tc>
          <w:tcPr>
            <w:tcW w:w="1536" w:type="dxa"/>
            <w:noWrap/>
          </w:tcPr>
          <w:p w14:paraId="51C2B25B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942712" w:rsidRPr="00514EDC" w14:paraId="1254DEB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8BF40D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E1E67B8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1F7DE53F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Deserted Wife's Allowance</w:t>
            </w:r>
          </w:p>
        </w:tc>
        <w:tc>
          <w:tcPr>
            <w:tcW w:w="1213" w:type="dxa"/>
            <w:noWrap/>
          </w:tcPr>
          <w:p w14:paraId="3BD06ED7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8 </w:t>
            </w:r>
          </w:p>
        </w:tc>
        <w:tc>
          <w:tcPr>
            <w:tcW w:w="1536" w:type="dxa"/>
            <w:noWrap/>
          </w:tcPr>
          <w:p w14:paraId="4638F67C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942712" w:rsidRPr="00514EDC" w14:paraId="1FCD1F2D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CF1135B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27807415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05F2244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356722D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12,712</w:t>
            </w:r>
          </w:p>
        </w:tc>
        <w:tc>
          <w:tcPr>
            <w:tcW w:w="1536" w:type="dxa"/>
            <w:noWrap/>
          </w:tcPr>
          <w:p w14:paraId="50B08AE4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6087CB1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1B31CCBA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Older and Retired People</w:t>
            </w:r>
          </w:p>
        </w:tc>
      </w:tr>
      <w:tr w:rsidR="00942712" w:rsidRPr="00514EDC" w14:paraId="28D99A30" w14:textId="77777777" w:rsidTr="00D5036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48640AA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3D6B8C67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  <w:hideMark/>
          </w:tcPr>
          <w:p w14:paraId="61F632AB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Pension/Contributory</w:t>
            </w:r>
          </w:p>
        </w:tc>
        <w:tc>
          <w:tcPr>
            <w:tcW w:w="1213" w:type="dxa"/>
            <w:noWrap/>
            <w:hideMark/>
          </w:tcPr>
          <w:p w14:paraId="3D02AF8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6,747 </w:t>
            </w:r>
          </w:p>
        </w:tc>
        <w:tc>
          <w:tcPr>
            <w:tcW w:w="1536" w:type="dxa"/>
            <w:noWrap/>
          </w:tcPr>
          <w:p w14:paraId="2B13922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57.8%</w:t>
            </w:r>
          </w:p>
        </w:tc>
      </w:tr>
      <w:tr w:rsidR="00942712" w:rsidRPr="00514EDC" w14:paraId="7973AEF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EFCDEA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5F5B35D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  <w:hideMark/>
          </w:tcPr>
          <w:p w14:paraId="3DEEA75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Pension/Non-Contributory Pension</w:t>
            </w:r>
          </w:p>
        </w:tc>
        <w:tc>
          <w:tcPr>
            <w:tcW w:w="1213" w:type="dxa"/>
            <w:noWrap/>
            <w:hideMark/>
          </w:tcPr>
          <w:p w14:paraId="0796830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3,045 </w:t>
            </w:r>
          </w:p>
        </w:tc>
        <w:tc>
          <w:tcPr>
            <w:tcW w:w="1536" w:type="dxa"/>
            <w:noWrap/>
          </w:tcPr>
          <w:p w14:paraId="342E90B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26.1%</w:t>
            </w:r>
          </w:p>
        </w:tc>
      </w:tr>
      <w:tr w:rsidR="00942712" w:rsidRPr="00514EDC" w14:paraId="186418DB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0D750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D4E97AF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  <w:hideMark/>
          </w:tcPr>
          <w:p w14:paraId="3B1DD2C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Payment for people who retire at 65</w:t>
            </w:r>
          </w:p>
        </w:tc>
        <w:tc>
          <w:tcPr>
            <w:tcW w:w="1213" w:type="dxa"/>
            <w:noWrap/>
            <w:hideMark/>
          </w:tcPr>
          <w:p w14:paraId="022B79E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694 </w:t>
            </w:r>
          </w:p>
        </w:tc>
        <w:tc>
          <w:tcPr>
            <w:tcW w:w="1536" w:type="dxa"/>
            <w:noWrap/>
          </w:tcPr>
          <w:p w14:paraId="58F05E72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5.9%</w:t>
            </w:r>
          </w:p>
        </w:tc>
      </w:tr>
      <w:tr w:rsidR="00942712" w:rsidRPr="00514EDC" w14:paraId="1C2EEF07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31A411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13F8CF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  <w:hideMark/>
          </w:tcPr>
          <w:p w14:paraId="6E0F740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Qualified Adults</w:t>
            </w:r>
          </w:p>
        </w:tc>
        <w:tc>
          <w:tcPr>
            <w:tcW w:w="1213" w:type="dxa"/>
            <w:noWrap/>
            <w:hideMark/>
          </w:tcPr>
          <w:p w14:paraId="61E35FB9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614 </w:t>
            </w:r>
          </w:p>
        </w:tc>
        <w:tc>
          <w:tcPr>
            <w:tcW w:w="1536" w:type="dxa"/>
            <w:noWrap/>
          </w:tcPr>
          <w:p w14:paraId="6ADC301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</w:tr>
      <w:tr w:rsidR="00942712" w:rsidRPr="00514EDC" w14:paraId="14E74772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F94AA65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559D02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  <w:hideMark/>
          </w:tcPr>
          <w:p w14:paraId="3192BAB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UK Pensions/Brexit</w:t>
            </w:r>
          </w:p>
        </w:tc>
        <w:tc>
          <w:tcPr>
            <w:tcW w:w="1213" w:type="dxa"/>
            <w:noWrap/>
            <w:hideMark/>
          </w:tcPr>
          <w:p w14:paraId="6510C1F5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366 </w:t>
            </w:r>
          </w:p>
        </w:tc>
        <w:tc>
          <w:tcPr>
            <w:tcW w:w="1536" w:type="dxa"/>
            <w:noWrap/>
          </w:tcPr>
          <w:p w14:paraId="4EEDD3E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3.1%</w:t>
            </w:r>
          </w:p>
        </w:tc>
      </w:tr>
      <w:tr w:rsidR="00942712" w:rsidRPr="00514EDC" w14:paraId="23303D1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7ACA3E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51987D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3F7C837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EU/International Pensions</w:t>
            </w:r>
          </w:p>
        </w:tc>
        <w:tc>
          <w:tcPr>
            <w:tcW w:w="1213" w:type="dxa"/>
            <w:noWrap/>
          </w:tcPr>
          <w:p w14:paraId="26CD4A72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202 </w:t>
            </w:r>
          </w:p>
        </w:tc>
        <w:tc>
          <w:tcPr>
            <w:tcW w:w="1536" w:type="dxa"/>
            <w:noWrap/>
          </w:tcPr>
          <w:p w14:paraId="2CADD0C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</w:tr>
      <w:tr w:rsidR="00942712" w:rsidRPr="00514EDC" w14:paraId="5D2DC317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CA35A9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71D638A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42483F8D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68BAD8D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11,668</w:t>
            </w:r>
          </w:p>
        </w:tc>
        <w:tc>
          <w:tcPr>
            <w:tcW w:w="1536" w:type="dxa"/>
            <w:noWrap/>
          </w:tcPr>
          <w:p w14:paraId="631CA689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4A4125E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3FA223B8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Carers </w:t>
            </w:r>
          </w:p>
        </w:tc>
      </w:tr>
      <w:tr w:rsidR="00942712" w:rsidRPr="00514EDC" w14:paraId="438738F8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058FE5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31232CFF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2D820C1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Allowance</w:t>
            </w:r>
          </w:p>
        </w:tc>
        <w:tc>
          <w:tcPr>
            <w:tcW w:w="1213" w:type="dxa"/>
            <w:noWrap/>
          </w:tcPr>
          <w:p w14:paraId="711716A3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6,537 </w:t>
            </w:r>
          </w:p>
        </w:tc>
        <w:tc>
          <w:tcPr>
            <w:tcW w:w="1536" w:type="dxa"/>
            <w:noWrap/>
            <w:vAlign w:val="bottom"/>
          </w:tcPr>
          <w:p w14:paraId="1DCC5936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60.7%</w:t>
            </w:r>
          </w:p>
        </w:tc>
      </w:tr>
      <w:tr w:rsidR="00942712" w:rsidRPr="00514EDC" w14:paraId="7979DDD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5A15F75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AD7CB6C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13A39F6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Benefit</w:t>
            </w:r>
          </w:p>
        </w:tc>
        <w:tc>
          <w:tcPr>
            <w:tcW w:w="1213" w:type="dxa"/>
            <w:noWrap/>
          </w:tcPr>
          <w:p w14:paraId="072678C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1,127 </w:t>
            </w:r>
          </w:p>
        </w:tc>
        <w:tc>
          <w:tcPr>
            <w:tcW w:w="1536" w:type="dxa"/>
            <w:noWrap/>
            <w:vAlign w:val="bottom"/>
          </w:tcPr>
          <w:p w14:paraId="69F51029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10.5%</w:t>
            </w:r>
          </w:p>
        </w:tc>
      </w:tr>
      <w:tr w:rsidR="00942712" w:rsidRPr="00514EDC" w14:paraId="56BC97CE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34179D8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1EC386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2E3C6E3B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213" w:type="dxa"/>
            <w:noWrap/>
          </w:tcPr>
          <w:p w14:paraId="5F5DAAB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1,083</w:t>
            </w:r>
          </w:p>
        </w:tc>
        <w:tc>
          <w:tcPr>
            <w:tcW w:w="1536" w:type="dxa"/>
            <w:noWrap/>
            <w:vAlign w:val="bottom"/>
          </w:tcPr>
          <w:p w14:paraId="276B342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10.1%</w:t>
            </w:r>
          </w:p>
        </w:tc>
      </w:tr>
      <w:tr w:rsidR="00942712" w:rsidRPr="00514EDC" w14:paraId="6F1B522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C18994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6BDBBD1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67DB3E81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Carer’s Support Grant (Respite Care Grant)</w:t>
            </w:r>
          </w:p>
        </w:tc>
        <w:tc>
          <w:tcPr>
            <w:tcW w:w="1213" w:type="dxa"/>
            <w:noWrap/>
          </w:tcPr>
          <w:p w14:paraId="60F9C52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1,083 </w:t>
            </w:r>
          </w:p>
        </w:tc>
        <w:tc>
          <w:tcPr>
            <w:tcW w:w="1536" w:type="dxa"/>
            <w:noWrap/>
            <w:vAlign w:val="bottom"/>
          </w:tcPr>
          <w:p w14:paraId="690E929C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10.1%</w:t>
            </w:r>
          </w:p>
        </w:tc>
      </w:tr>
      <w:tr w:rsidR="00942712" w:rsidRPr="00514EDC" w14:paraId="29F6C527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62B4FBA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69E56D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4375EF1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Half-rate Carer's Allowance</w:t>
            </w:r>
          </w:p>
        </w:tc>
        <w:tc>
          <w:tcPr>
            <w:tcW w:w="1213" w:type="dxa"/>
            <w:noWrap/>
          </w:tcPr>
          <w:p w14:paraId="1E610FC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943 </w:t>
            </w:r>
          </w:p>
        </w:tc>
        <w:tc>
          <w:tcPr>
            <w:tcW w:w="1536" w:type="dxa"/>
            <w:noWrap/>
            <w:vAlign w:val="bottom"/>
          </w:tcPr>
          <w:p w14:paraId="0CA82742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8.8%</w:t>
            </w:r>
          </w:p>
        </w:tc>
      </w:tr>
      <w:tr w:rsidR="00942712" w:rsidRPr="00514EDC" w14:paraId="0B659B5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AF6292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095C20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C40EF3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0226E48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10,200</w:t>
            </w:r>
          </w:p>
        </w:tc>
        <w:tc>
          <w:tcPr>
            <w:tcW w:w="1536" w:type="dxa"/>
            <w:noWrap/>
          </w:tcPr>
          <w:p w14:paraId="291AFCEB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6589FB4D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4052C86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Supplementary Welfare Schemes</w:t>
            </w:r>
          </w:p>
        </w:tc>
      </w:tr>
      <w:tr w:rsidR="00942712" w:rsidRPr="00514EDC" w14:paraId="1BADBBC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7AA50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711987C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7B7BE5B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Additional Needs Payment</w:t>
            </w:r>
          </w:p>
        </w:tc>
        <w:tc>
          <w:tcPr>
            <w:tcW w:w="1213" w:type="dxa"/>
            <w:noWrap/>
            <w:hideMark/>
          </w:tcPr>
          <w:p w14:paraId="5B279AE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4,302 </w:t>
            </w:r>
          </w:p>
        </w:tc>
        <w:tc>
          <w:tcPr>
            <w:tcW w:w="1536" w:type="dxa"/>
            <w:noWrap/>
          </w:tcPr>
          <w:p w14:paraId="196D9304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43.0%</w:t>
            </w:r>
          </w:p>
        </w:tc>
      </w:tr>
      <w:tr w:rsidR="00942712" w:rsidRPr="00514EDC" w14:paraId="1502D501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30A558D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E80F742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</w:tcPr>
          <w:p w14:paraId="649A94B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Basic Supplementary Welfare Allowance</w:t>
            </w:r>
          </w:p>
        </w:tc>
        <w:tc>
          <w:tcPr>
            <w:tcW w:w="1213" w:type="dxa"/>
            <w:noWrap/>
          </w:tcPr>
          <w:p w14:paraId="19470B9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4,172 </w:t>
            </w:r>
          </w:p>
        </w:tc>
        <w:tc>
          <w:tcPr>
            <w:tcW w:w="1536" w:type="dxa"/>
            <w:noWrap/>
          </w:tcPr>
          <w:p w14:paraId="5593752B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41.7%</w:t>
            </w:r>
          </w:p>
        </w:tc>
      </w:tr>
      <w:tr w:rsidR="00942712" w:rsidRPr="00514EDC" w14:paraId="0FC7514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8B24DC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B5F5B0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7435210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Rent Supplement (RS)</w:t>
            </w:r>
          </w:p>
        </w:tc>
        <w:tc>
          <w:tcPr>
            <w:tcW w:w="1213" w:type="dxa"/>
            <w:noWrap/>
            <w:hideMark/>
          </w:tcPr>
          <w:p w14:paraId="35409D1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1,075 </w:t>
            </w:r>
          </w:p>
        </w:tc>
        <w:tc>
          <w:tcPr>
            <w:tcW w:w="1536" w:type="dxa"/>
            <w:noWrap/>
          </w:tcPr>
          <w:p w14:paraId="0AD7B1A9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10.7%</w:t>
            </w:r>
          </w:p>
        </w:tc>
      </w:tr>
      <w:tr w:rsidR="00942712" w:rsidRPr="00514EDC" w14:paraId="241283C4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C84C835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D018FC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7FF62001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Exceptional/urgent needs payment</w:t>
            </w:r>
          </w:p>
        </w:tc>
        <w:tc>
          <w:tcPr>
            <w:tcW w:w="1213" w:type="dxa"/>
            <w:noWrap/>
            <w:hideMark/>
          </w:tcPr>
          <w:p w14:paraId="2036CE96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409 </w:t>
            </w:r>
          </w:p>
        </w:tc>
        <w:tc>
          <w:tcPr>
            <w:tcW w:w="1536" w:type="dxa"/>
            <w:noWrap/>
          </w:tcPr>
          <w:p w14:paraId="71A00CA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4.1%</w:t>
            </w:r>
          </w:p>
        </w:tc>
      </w:tr>
      <w:tr w:rsidR="00942712" w:rsidRPr="00514EDC" w14:paraId="4A0FF3F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555BE0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56926B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5DFEBEE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Diet/Heating Supplement</w:t>
            </w:r>
          </w:p>
        </w:tc>
        <w:tc>
          <w:tcPr>
            <w:tcW w:w="1213" w:type="dxa"/>
            <w:noWrap/>
            <w:hideMark/>
          </w:tcPr>
          <w:p w14:paraId="10EE72F8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50 </w:t>
            </w:r>
          </w:p>
        </w:tc>
        <w:tc>
          <w:tcPr>
            <w:tcW w:w="1536" w:type="dxa"/>
            <w:noWrap/>
          </w:tcPr>
          <w:p w14:paraId="26BD5FC6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0.5%</w:t>
            </w:r>
          </w:p>
        </w:tc>
      </w:tr>
      <w:tr w:rsidR="00942712" w:rsidRPr="00514EDC" w14:paraId="2CE11C54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10E2330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668E2F1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30D7371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Mortgage Interest Supplement (MIS)</w:t>
            </w:r>
          </w:p>
        </w:tc>
        <w:tc>
          <w:tcPr>
            <w:tcW w:w="1213" w:type="dxa"/>
            <w:noWrap/>
            <w:hideMark/>
          </w:tcPr>
          <w:p w14:paraId="4B68DA19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 </w:t>
            </w:r>
          </w:p>
        </w:tc>
        <w:tc>
          <w:tcPr>
            <w:tcW w:w="1536" w:type="dxa"/>
            <w:noWrap/>
          </w:tcPr>
          <w:p w14:paraId="1083D723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942712" w:rsidRPr="00514EDC" w14:paraId="6D59C13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308885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963A34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4E7B0E8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61E8BB3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10,011</w:t>
            </w:r>
          </w:p>
        </w:tc>
        <w:tc>
          <w:tcPr>
            <w:tcW w:w="1536" w:type="dxa"/>
            <w:noWrap/>
          </w:tcPr>
          <w:p w14:paraId="3863F278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490BBB8D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2756D3E5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Unemployed People</w:t>
            </w:r>
          </w:p>
        </w:tc>
      </w:tr>
      <w:tr w:rsidR="00942712" w:rsidRPr="00514EDC" w14:paraId="2A77DCB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226F560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0BA045F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1EA898E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Allowance</w:t>
            </w:r>
          </w:p>
        </w:tc>
        <w:tc>
          <w:tcPr>
            <w:tcW w:w="1213" w:type="dxa"/>
            <w:noWrap/>
            <w:hideMark/>
          </w:tcPr>
          <w:p w14:paraId="44FF9C88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4,306 </w:t>
            </w:r>
          </w:p>
        </w:tc>
        <w:tc>
          <w:tcPr>
            <w:tcW w:w="1536" w:type="dxa"/>
            <w:noWrap/>
            <w:vAlign w:val="bottom"/>
          </w:tcPr>
          <w:p w14:paraId="1D24DE7B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53.3%</w:t>
            </w:r>
          </w:p>
        </w:tc>
      </w:tr>
      <w:tr w:rsidR="00942712" w:rsidRPr="00514EDC" w14:paraId="09A98E93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35A3B2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79B501B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2C5D03F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Benefit</w:t>
            </w:r>
          </w:p>
        </w:tc>
        <w:tc>
          <w:tcPr>
            <w:tcW w:w="1213" w:type="dxa"/>
            <w:noWrap/>
            <w:hideMark/>
          </w:tcPr>
          <w:p w14:paraId="076DBA4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2,429 </w:t>
            </w:r>
          </w:p>
        </w:tc>
        <w:tc>
          <w:tcPr>
            <w:tcW w:w="1536" w:type="dxa"/>
            <w:noWrap/>
            <w:vAlign w:val="bottom"/>
          </w:tcPr>
          <w:p w14:paraId="178FFB54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30.1%</w:t>
            </w:r>
          </w:p>
        </w:tc>
      </w:tr>
      <w:tr w:rsidR="00942712" w:rsidRPr="00514EDC" w14:paraId="0AFC658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8CF54B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4F132D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443742F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Social Welfare Payments and Work</w:t>
            </w:r>
          </w:p>
        </w:tc>
        <w:tc>
          <w:tcPr>
            <w:tcW w:w="1213" w:type="dxa"/>
            <w:noWrap/>
            <w:hideMark/>
          </w:tcPr>
          <w:p w14:paraId="17109257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682 </w:t>
            </w:r>
          </w:p>
        </w:tc>
        <w:tc>
          <w:tcPr>
            <w:tcW w:w="1536" w:type="dxa"/>
            <w:noWrap/>
            <w:vAlign w:val="bottom"/>
          </w:tcPr>
          <w:p w14:paraId="71CAC535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8.4%</w:t>
            </w:r>
          </w:p>
        </w:tc>
      </w:tr>
      <w:tr w:rsidR="00942712" w:rsidRPr="00514EDC" w14:paraId="1E605CF6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D0062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A8991D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4AABAB82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Transitional Payment</w:t>
            </w:r>
          </w:p>
        </w:tc>
        <w:tc>
          <w:tcPr>
            <w:tcW w:w="1213" w:type="dxa"/>
            <w:noWrap/>
            <w:hideMark/>
          </w:tcPr>
          <w:p w14:paraId="36DF76F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579 </w:t>
            </w:r>
          </w:p>
        </w:tc>
        <w:tc>
          <w:tcPr>
            <w:tcW w:w="1536" w:type="dxa"/>
            <w:noWrap/>
            <w:vAlign w:val="bottom"/>
          </w:tcPr>
          <w:p w14:paraId="35E49CC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7.2%</w:t>
            </w:r>
          </w:p>
        </w:tc>
      </w:tr>
      <w:tr w:rsidR="00942712" w:rsidRPr="00514EDC" w14:paraId="0E730767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1DAFFD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995B6F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7F99163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Unemployed following self-employment</w:t>
            </w:r>
          </w:p>
        </w:tc>
        <w:tc>
          <w:tcPr>
            <w:tcW w:w="1213" w:type="dxa"/>
            <w:noWrap/>
            <w:hideMark/>
          </w:tcPr>
          <w:p w14:paraId="2EF733B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76 </w:t>
            </w:r>
          </w:p>
        </w:tc>
        <w:tc>
          <w:tcPr>
            <w:tcW w:w="1536" w:type="dxa"/>
            <w:noWrap/>
            <w:vAlign w:val="bottom"/>
          </w:tcPr>
          <w:p w14:paraId="5C88FD87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</w:tr>
      <w:tr w:rsidR="00942712" w:rsidRPr="00514EDC" w14:paraId="111086AD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DEFA85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E1A457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70E68AC3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7665A1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8,072</w:t>
            </w:r>
          </w:p>
        </w:tc>
        <w:tc>
          <w:tcPr>
            <w:tcW w:w="1536" w:type="dxa"/>
            <w:noWrap/>
          </w:tcPr>
          <w:p w14:paraId="0C9A288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48D3C04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20B5BF6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Miscellaneous</w:t>
            </w:r>
          </w:p>
        </w:tc>
      </w:tr>
      <w:tr w:rsidR="00942712" w:rsidRPr="00514EDC" w14:paraId="1A46C7A1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E849B2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4040A02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0A4BC2C5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177BBC9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1,879 </w:t>
            </w:r>
          </w:p>
        </w:tc>
        <w:tc>
          <w:tcPr>
            <w:tcW w:w="1536" w:type="dxa"/>
            <w:noWrap/>
            <w:vAlign w:val="bottom"/>
          </w:tcPr>
          <w:p w14:paraId="00FD8E3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31.4%</w:t>
            </w:r>
          </w:p>
        </w:tc>
      </w:tr>
      <w:tr w:rsidR="00942712" w:rsidRPr="00514EDC" w14:paraId="6C64FED3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8651C9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A05CB0B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5B4B377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Public Services Card</w:t>
            </w:r>
          </w:p>
        </w:tc>
        <w:tc>
          <w:tcPr>
            <w:tcW w:w="1213" w:type="dxa"/>
            <w:noWrap/>
          </w:tcPr>
          <w:p w14:paraId="6F9B4630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1,366 </w:t>
            </w:r>
          </w:p>
        </w:tc>
        <w:tc>
          <w:tcPr>
            <w:tcW w:w="1536" w:type="dxa"/>
            <w:noWrap/>
            <w:vAlign w:val="bottom"/>
          </w:tcPr>
          <w:p w14:paraId="32E0929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22.8%</w:t>
            </w:r>
          </w:p>
        </w:tc>
      </w:tr>
      <w:tr w:rsidR="00942712" w:rsidRPr="00514EDC" w14:paraId="675A6998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990DF88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5DC606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326B8DA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Means Tests</w:t>
            </w:r>
          </w:p>
        </w:tc>
        <w:tc>
          <w:tcPr>
            <w:tcW w:w="1213" w:type="dxa"/>
            <w:noWrap/>
          </w:tcPr>
          <w:p w14:paraId="63266D5A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1,003 </w:t>
            </w:r>
          </w:p>
        </w:tc>
        <w:tc>
          <w:tcPr>
            <w:tcW w:w="1536" w:type="dxa"/>
            <w:noWrap/>
            <w:vAlign w:val="bottom"/>
          </w:tcPr>
          <w:p w14:paraId="543DF12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16.8%</w:t>
            </w:r>
          </w:p>
        </w:tc>
      </w:tr>
      <w:tr w:rsidR="00942712" w:rsidRPr="00514EDC" w14:paraId="0A83A30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291DE0A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0FFD5B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71B77EA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Habitual Residence Condition</w:t>
            </w:r>
          </w:p>
        </w:tc>
        <w:tc>
          <w:tcPr>
            <w:tcW w:w="1213" w:type="dxa"/>
            <w:noWrap/>
            <w:hideMark/>
          </w:tcPr>
          <w:p w14:paraId="278312C8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702 </w:t>
            </w:r>
          </w:p>
        </w:tc>
        <w:tc>
          <w:tcPr>
            <w:tcW w:w="1536" w:type="dxa"/>
            <w:noWrap/>
            <w:vAlign w:val="bottom"/>
          </w:tcPr>
          <w:p w14:paraId="6A744B8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11.7%</w:t>
            </w:r>
          </w:p>
        </w:tc>
      </w:tr>
      <w:tr w:rsidR="00942712" w:rsidRPr="00514EDC" w14:paraId="5748EC9B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712744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A047442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37ECCA2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MyWelfare.ie</w:t>
            </w:r>
          </w:p>
        </w:tc>
        <w:tc>
          <w:tcPr>
            <w:tcW w:w="1213" w:type="dxa"/>
            <w:noWrap/>
            <w:hideMark/>
          </w:tcPr>
          <w:p w14:paraId="1213897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518 </w:t>
            </w:r>
          </w:p>
        </w:tc>
        <w:tc>
          <w:tcPr>
            <w:tcW w:w="1536" w:type="dxa"/>
            <w:noWrap/>
            <w:vAlign w:val="bottom"/>
          </w:tcPr>
          <w:p w14:paraId="128D7186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</w:tr>
      <w:tr w:rsidR="00942712" w:rsidRPr="00514EDC" w14:paraId="7947497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3A9E8BA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851E90F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0966B4D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Overpayments</w:t>
            </w:r>
          </w:p>
        </w:tc>
        <w:tc>
          <w:tcPr>
            <w:tcW w:w="1213" w:type="dxa"/>
            <w:noWrap/>
            <w:hideMark/>
          </w:tcPr>
          <w:p w14:paraId="4434BED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243 </w:t>
            </w:r>
          </w:p>
        </w:tc>
        <w:tc>
          <w:tcPr>
            <w:tcW w:w="1536" w:type="dxa"/>
            <w:noWrap/>
            <w:vAlign w:val="bottom"/>
          </w:tcPr>
          <w:p w14:paraId="368A78C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</w:tr>
      <w:tr w:rsidR="00942712" w:rsidRPr="00514EDC" w14:paraId="08D7DA94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EDB6E9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32F8961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51B609E1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UK Entitlements Brexit</w:t>
            </w:r>
          </w:p>
        </w:tc>
        <w:tc>
          <w:tcPr>
            <w:tcW w:w="1213" w:type="dxa"/>
            <w:noWrap/>
            <w:hideMark/>
          </w:tcPr>
          <w:p w14:paraId="4FA5ED0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172 </w:t>
            </w:r>
          </w:p>
        </w:tc>
        <w:tc>
          <w:tcPr>
            <w:tcW w:w="1536" w:type="dxa"/>
            <w:noWrap/>
            <w:vAlign w:val="bottom"/>
          </w:tcPr>
          <w:p w14:paraId="2B842DA5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</w:tr>
      <w:tr w:rsidR="00942712" w:rsidRPr="00514EDC" w14:paraId="0881423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BE905C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58E9A7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1AC8FA3D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EU Contributions and Entitlements</w:t>
            </w:r>
          </w:p>
        </w:tc>
        <w:tc>
          <w:tcPr>
            <w:tcW w:w="1213" w:type="dxa"/>
            <w:noWrap/>
            <w:hideMark/>
          </w:tcPr>
          <w:p w14:paraId="2B34A75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68 </w:t>
            </w:r>
          </w:p>
        </w:tc>
        <w:tc>
          <w:tcPr>
            <w:tcW w:w="1536" w:type="dxa"/>
            <w:noWrap/>
            <w:vAlign w:val="bottom"/>
          </w:tcPr>
          <w:p w14:paraId="1E0387E6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</w:tr>
      <w:tr w:rsidR="00942712" w:rsidRPr="00514EDC" w14:paraId="4CBBE7F2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1D72D7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F94D5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75189AC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Late Claims</w:t>
            </w:r>
          </w:p>
        </w:tc>
        <w:tc>
          <w:tcPr>
            <w:tcW w:w="1213" w:type="dxa"/>
            <w:noWrap/>
            <w:hideMark/>
          </w:tcPr>
          <w:p w14:paraId="4BF7C46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32 </w:t>
            </w:r>
          </w:p>
        </w:tc>
        <w:tc>
          <w:tcPr>
            <w:tcW w:w="1536" w:type="dxa"/>
            <w:noWrap/>
            <w:vAlign w:val="bottom"/>
          </w:tcPr>
          <w:p w14:paraId="7B35744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0.5%</w:t>
            </w:r>
          </w:p>
        </w:tc>
      </w:tr>
      <w:tr w:rsidR="00942712" w:rsidRPr="00514EDC" w14:paraId="4157D78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FBE0275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177130A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  <w:hideMark/>
          </w:tcPr>
          <w:p w14:paraId="6C642A9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9C2DE56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5,983</w:t>
            </w:r>
          </w:p>
        </w:tc>
        <w:tc>
          <w:tcPr>
            <w:tcW w:w="1536" w:type="dxa"/>
            <w:noWrap/>
          </w:tcPr>
          <w:p w14:paraId="23D87045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0195B6B4" w14:textId="77777777" w:rsidTr="00D5036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1F4A61E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Insurance (PRSI)</w:t>
            </w:r>
          </w:p>
        </w:tc>
      </w:tr>
      <w:tr w:rsidR="00942712" w:rsidRPr="00514EDC" w14:paraId="07FAB0A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78EB6C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69071AFB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0A2EBF2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PRSI Records/Paid Contributions</w:t>
            </w:r>
          </w:p>
        </w:tc>
        <w:tc>
          <w:tcPr>
            <w:tcW w:w="1213" w:type="dxa"/>
            <w:noWrap/>
            <w:hideMark/>
          </w:tcPr>
          <w:p w14:paraId="154277D0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2,195 </w:t>
            </w:r>
          </w:p>
        </w:tc>
        <w:tc>
          <w:tcPr>
            <w:tcW w:w="1536" w:type="dxa"/>
            <w:noWrap/>
          </w:tcPr>
          <w:p w14:paraId="31FB1252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41.4%</w:t>
            </w:r>
          </w:p>
        </w:tc>
      </w:tr>
      <w:tr w:rsidR="00942712" w:rsidRPr="00514EDC" w14:paraId="5C43DEA6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756C5FD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F648E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0157EFD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PPS Number</w:t>
            </w:r>
          </w:p>
        </w:tc>
        <w:tc>
          <w:tcPr>
            <w:tcW w:w="1213" w:type="dxa"/>
            <w:noWrap/>
            <w:hideMark/>
          </w:tcPr>
          <w:p w14:paraId="25997CE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1,352 </w:t>
            </w:r>
          </w:p>
        </w:tc>
        <w:tc>
          <w:tcPr>
            <w:tcW w:w="1536" w:type="dxa"/>
            <w:noWrap/>
          </w:tcPr>
          <w:p w14:paraId="0C59635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25.5%</w:t>
            </w:r>
          </w:p>
        </w:tc>
      </w:tr>
      <w:tr w:rsidR="00942712" w:rsidRPr="00514EDC" w14:paraId="440E2AA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2C15BB0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EE734C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46E04E7F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Credited Contributions</w:t>
            </w:r>
          </w:p>
        </w:tc>
        <w:tc>
          <w:tcPr>
            <w:tcW w:w="1213" w:type="dxa"/>
            <w:noWrap/>
            <w:hideMark/>
          </w:tcPr>
          <w:p w14:paraId="26302B5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543 </w:t>
            </w:r>
          </w:p>
        </w:tc>
        <w:tc>
          <w:tcPr>
            <w:tcW w:w="1536" w:type="dxa"/>
            <w:noWrap/>
          </w:tcPr>
          <w:p w14:paraId="20FA795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10.2%</w:t>
            </w:r>
          </w:p>
        </w:tc>
      </w:tr>
      <w:tr w:rsidR="00942712" w:rsidRPr="00514EDC" w14:paraId="4EC7D539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E86B13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0496A7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B85346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213" w:type="dxa"/>
            <w:noWrap/>
            <w:hideMark/>
          </w:tcPr>
          <w:p w14:paraId="2038854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366 </w:t>
            </w:r>
          </w:p>
        </w:tc>
        <w:tc>
          <w:tcPr>
            <w:tcW w:w="1536" w:type="dxa"/>
            <w:noWrap/>
          </w:tcPr>
          <w:p w14:paraId="335E96B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6.9%</w:t>
            </w:r>
          </w:p>
        </w:tc>
      </w:tr>
      <w:tr w:rsidR="00942712" w:rsidRPr="00514EDC" w14:paraId="122A114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34BCC2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DE3522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44D36A2D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Homemakers Scheme/</w:t>
            </w: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HomeCaring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Periods Scheme</w:t>
            </w:r>
          </w:p>
        </w:tc>
        <w:tc>
          <w:tcPr>
            <w:tcW w:w="1213" w:type="dxa"/>
            <w:noWrap/>
            <w:hideMark/>
          </w:tcPr>
          <w:p w14:paraId="7D9D0940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331 </w:t>
            </w:r>
          </w:p>
        </w:tc>
        <w:tc>
          <w:tcPr>
            <w:tcW w:w="1536" w:type="dxa"/>
            <w:noWrap/>
          </w:tcPr>
          <w:p w14:paraId="0C78D257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6.2%</w:t>
            </w:r>
          </w:p>
        </w:tc>
      </w:tr>
      <w:tr w:rsidR="00942712" w:rsidRPr="00514EDC" w14:paraId="67EA2E81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E570B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721DE7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196162A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213" w:type="dxa"/>
            <w:noWrap/>
            <w:hideMark/>
          </w:tcPr>
          <w:p w14:paraId="4812D3E5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300 </w:t>
            </w:r>
          </w:p>
        </w:tc>
        <w:tc>
          <w:tcPr>
            <w:tcW w:w="1536" w:type="dxa"/>
            <w:noWrap/>
          </w:tcPr>
          <w:p w14:paraId="1557E49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5.7%</w:t>
            </w:r>
          </w:p>
        </w:tc>
      </w:tr>
      <w:tr w:rsidR="00942712" w:rsidRPr="00514EDC" w14:paraId="372464F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E06F20B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B80480C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358A2BD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</w:tcPr>
          <w:p w14:paraId="0A681736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171 </w:t>
            </w:r>
          </w:p>
        </w:tc>
        <w:tc>
          <w:tcPr>
            <w:tcW w:w="1536" w:type="dxa"/>
            <w:noWrap/>
          </w:tcPr>
          <w:p w14:paraId="564F3155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3.2%</w:t>
            </w:r>
          </w:p>
        </w:tc>
      </w:tr>
      <w:tr w:rsidR="00942712" w:rsidRPr="00514EDC" w14:paraId="3A5F07D7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43395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FFAB87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608441A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Employer’s PRSI</w:t>
            </w:r>
          </w:p>
        </w:tc>
        <w:tc>
          <w:tcPr>
            <w:tcW w:w="1213" w:type="dxa"/>
            <w:noWrap/>
            <w:hideMark/>
          </w:tcPr>
          <w:p w14:paraId="4CD70D3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48 </w:t>
            </w:r>
          </w:p>
        </w:tc>
        <w:tc>
          <w:tcPr>
            <w:tcW w:w="1536" w:type="dxa"/>
            <w:noWrap/>
          </w:tcPr>
          <w:p w14:paraId="7121D7C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</w:tr>
      <w:tr w:rsidR="00942712" w:rsidRPr="00514EDC" w14:paraId="5C7F560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ABC9F5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6139BD72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7F25AD61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637962D0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5,306</w:t>
            </w:r>
          </w:p>
        </w:tc>
        <w:tc>
          <w:tcPr>
            <w:tcW w:w="1536" w:type="dxa"/>
            <w:noWrap/>
          </w:tcPr>
          <w:p w14:paraId="42D0BA1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6CCD58CB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1C1500D3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Activation Schemes, Education and Training</w:t>
            </w:r>
          </w:p>
        </w:tc>
      </w:tr>
      <w:tr w:rsidR="00942712" w:rsidRPr="00514EDC" w14:paraId="6697829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CD4622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1AC63621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4117602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Education Allowance (BTEA)</w:t>
            </w:r>
          </w:p>
        </w:tc>
        <w:tc>
          <w:tcPr>
            <w:tcW w:w="1213" w:type="dxa"/>
            <w:noWrap/>
            <w:hideMark/>
          </w:tcPr>
          <w:p w14:paraId="38D0EC5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870 </w:t>
            </w:r>
          </w:p>
        </w:tc>
        <w:tc>
          <w:tcPr>
            <w:tcW w:w="1536" w:type="dxa"/>
            <w:noWrap/>
          </w:tcPr>
          <w:p w14:paraId="4208CC6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46.5%</w:t>
            </w:r>
          </w:p>
        </w:tc>
      </w:tr>
      <w:tr w:rsidR="00942712" w:rsidRPr="00514EDC" w14:paraId="6ABFB7CF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D797A2D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850E758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72C7CA05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Community Employment (CE)</w:t>
            </w:r>
          </w:p>
        </w:tc>
        <w:tc>
          <w:tcPr>
            <w:tcW w:w="1213" w:type="dxa"/>
            <w:noWrap/>
            <w:hideMark/>
          </w:tcPr>
          <w:p w14:paraId="759E24B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443 </w:t>
            </w:r>
          </w:p>
        </w:tc>
        <w:tc>
          <w:tcPr>
            <w:tcW w:w="1536" w:type="dxa"/>
            <w:noWrap/>
          </w:tcPr>
          <w:p w14:paraId="4EF366E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23.7%</w:t>
            </w:r>
          </w:p>
        </w:tc>
      </w:tr>
      <w:tr w:rsidR="00942712" w:rsidRPr="00514EDC" w14:paraId="7526FF3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7FB5EC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6F1B28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7E71AFD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Work Enterprise Allowance (BTWEA)</w:t>
            </w:r>
          </w:p>
        </w:tc>
        <w:tc>
          <w:tcPr>
            <w:tcW w:w="1213" w:type="dxa"/>
            <w:noWrap/>
            <w:hideMark/>
          </w:tcPr>
          <w:p w14:paraId="6A738A9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289 </w:t>
            </w:r>
          </w:p>
        </w:tc>
        <w:tc>
          <w:tcPr>
            <w:tcW w:w="1536" w:type="dxa"/>
            <w:noWrap/>
          </w:tcPr>
          <w:p w14:paraId="6D97D72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15.4%</w:t>
            </w:r>
          </w:p>
        </w:tc>
      </w:tr>
      <w:tr w:rsidR="00942712" w:rsidRPr="00514EDC" w14:paraId="00211219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41AA6F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D854467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3C9DED13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Tús</w:t>
            </w:r>
            <w:proofErr w:type="spellEnd"/>
          </w:p>
        </w:tc>
        <w:tc>
          <w:tcPr>
            <w:tcW w:w="1213" w:type="dxa"/>
            <w:noWrap/>
            <w:hideMark/>
          </w:tcPr>
          <w:p w14:paraId="119CBA96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63 </w:t>
            </w:r>
          </w:p>
        </w:tc>
        <w:tc>
          <w:tcPr>
            <w:tcW w:w="1536" w:type="dxa"/>
            <w:noWrap/>
          </w:tcPr>
          <w:p w14:paraId="44AEC75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3.4%</w:t>
            </w:r>
          </w:p>
        </w:tc>
      </w:tr>
      <w:tr w:rsidR="00942712" w:rsidRPr="00514EDC" w14:paraId="4D7E549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BFE7E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02F6F51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46CE50B2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Part-time Education Option (PTEO)</w:t>
            </w:r>
          </w:p>
        </w:tc>
        <w:tc>
          <w:tcPr>
            <w:tcW w:w="1213" w:type="dxa"/>
            <w:noWrap/>
          </w:tcPr>
          <w:p w14:paraId="73FA99A6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48 </w:t>
            </w:r>
          </w:p>
        </w:tc>
        <w:tc>
          <w:tcPr>
            <w:tcW w:w="1536" w:type="dxa"/>
            <w:noWrap/>
          </w:tcPr>
          <w:p w14:paraId="6FE55F1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</w:tr>
      <w:tr w:rsidR="00942712" w:rsidRPr="00514EDC" w14:paraId="458E3667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27F1CB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7D4A62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1E9B6A65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Short-Term Enterprise Allowance</w:t>
            </w:r>
          </w:p>
        </w:tc>
        <w:tc>
          <w:tcPr>
            <w:tcW w:w="1213" w:type="dxa"/>
            <w:noWrap/>
          </w:tcPr>
          <w:p w14:paraId="4B4D7889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42 </w:t>
            </w:r>
          </w:p>
        </w:tc>
        <w:tc>
          <w:tcPr>
            <w:tcW w:w="1536" w:type="dxa"/>
            <w:noWrap/>
          </w:tcPr>
          <w:p w14:paraId="7616036C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</w:tr>
      <w:tr w:rsidR="00942712" w:rsidRPr="00514EDC" w14:paraId="4D308B0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BC9E41B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B40E61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53C77A4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JobPath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Seetec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Turas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Nua</w:t>
            </w:r>
            <w:proofErr w:type="spellEnd"/>
          </w:p>
        </w:tc>
        <w:tc>
          <w:tcPr>
            <w:tcW w:w="1213" w:type="dxa"/>
            <w:noWrap/>
            <w:hideMark/>
          </w:tcPr>
          <w:p w14:paraId="26AB2760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41 </w:t>
            </w:r>
          </w:p>
        </w:tc>
        <w:tc>
          <w:tcPr>
            <w:tcW w:w="1536" w:type="dxa"/>
            <w:noWrap/>
          </w:tcPr>
          <w:p w14:paraId="0F125416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</w:tr>
      <w:tr w:rsidR="00942712" w:rsidRPr="00514EDC" w14:paraId="1CE92E91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A52B73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24B250D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07D9316D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Rural Social Scheme</w:t>
            </w:r>
          </w:p>
        </w:tc>
        <w:tc>
          <w:tcPr>
            <w:tcW w:w="1213" w:type="dxa"/>
            <w:noWrap/>
          </w:tcPr>
          <w:p w14:paraId="3249E3F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32 </w:t>
            </w:r>
          </w:p>
        </w:tc>
        <w:tc>
          <w:tcPr>
            <w:tcW w:w="1536" w:type="dxa"/>
            <w:noWrap/>
          </w:tcPr>
          <w:p w14:paraId="57BA30A6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1.7%</w:t>
            </w:r>
          </w:p>
        </w:tc>
      </w:tr>
      <w:tr w:rsidR="00942712" w:rsidRPr="00514EDC" w14:paraId="2FD77EF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8AC377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1D95C7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4ABD724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JobsPlus</w:t>
            </w:r>
            <w:proofErr w:type="spellEnd"/>
          </w:p>
        </w:tc>
        <w:tc>
          <w:tcPr>
            <w:tcW w:w="1213" w:type="dxa"/>
            <w:noWrap/>
            <w:hideMark/>
          </w:tcPr>
          <w:p w14:paraId="60D63CA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25 </w:t>
            </w:r>
          </w:p>
        </w:tc>
        <w:tc>
          <w:tcPr>
            <w:tcW w:w="1536" w:type="dxa"/>
            <w:noWrap/>
          </w:tcPr>
          <w:p w14:paraId="15E290B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</w:tr>
      <w:tr w:rsidR="00942712" w:rsidRPr="00514EDC" w14:paraId="7FCB963F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92EE7E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78373C5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28FD00F1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Part-Time Job Incentive Scheme (PTJI)</w:t>
            </w:r>
          </w:p>
        </w:tc>
        <w:tc>
          <w:tcPr>
            <w:tcW w:w="1213" w:type="dxa"/>
            <w:noWrap/>
            <w:hideMark/>
          </w:tcPr>
          <w:p w14:paraId="0D19F61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12 </w:t>
            </w:r>
          </w:p>
        </w:tc>
        <w:tc>
          <w:tcPr>
            <w:tcW w:w="1536" w:type="dxa"/>
            <w:noWrap/>
          </w:tcPr>
          <w:p w14:paraId="3803AB33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0.6%</w:t>
            </w:r>
          </w:p>
        </w:tc>
      </w:tr>
      <w:tr w:rsidR="00942712" w:rsidRPr="00514EDC" w14:paraId="1A554F2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04FDD1B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2E2362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4B43DB0B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JobBridge</w:t>
            </w:r>
            <w:proofErr w:type="spellEnd"/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/ First Steps - Youth Internship</w:t>
            </w:r>
          </w:p>
        </w:tc>
        <w:tc>
          <w:tcPr>
            <w:tcW w:w="1213" w:type="dxa"/>
            <w:noWrap/>
          </w:tcPr>
          <w:p w14:paraId="05371848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 </w:t>
            </w:r>
          </w:p>
        </w:tc>
        <w:tc>
          <w:tcPr>
            <w:tcW w:w="1536" w:type="dxa"/>
            <w:noWrap/>
          </w:tcPr>
          <w:p w14:paraId="2DAB291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0.2%</w:t>
            </w:r>
          </w:p>
        </w:tc>
      </w:tr>
      <w:tr w:rsidR="00942712" w:rsidRPr="00514EDC" w14:paraId="3A4EC38A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5C92F5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22985E8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2E02C75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Gateway</w:t>
            </w:r>
          </w:p>
        </w:tc>
        <w:tc>
          <w:tcPr>
            <w:tcW w:w="1213" w:type="dxa"/>
            <w:noWrap/>
            <w:hideMark/>
          </w:tcPr>
          <w:p w14:paraId="3BA5EE9B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1536" w:type="dxa"/>
            <w:noWrap/>
          </w:tcPr>
          <w:p w14:paraId="67BF8B45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942712" w:rsidRPr="00514EDC" w14:paraId="0A7FAE93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AB0471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4074" w:type="dxa"/>
            <w:noWrap/>
            <w:hideMark/>
          </w:tcPr>
          <w:p w14:paraId="57A35162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2F76005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CF78DA6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1,871</w:t>
            </w:r>
          </w:p>
        </w:tc>
        <w:tc>
          <w:tcPr>
            <w:tcW w:w="1536" w:type="dxa"/>
            <w:noWrap/>
            <w:hideMark/>
          </w:tcPr>
          <w:p w14:paraId="2002122B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75149744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F5904A8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Appeals</w:t>
            </w:r>
          </w:p>
        </w:tc>
      </w:tr>
      <w:tr w:rsidR="00942712" w:rsidRPr="00514EDC" w14:paraId="06DC89E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1FBFDA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2B3F6D9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3B5C76AD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Disability Allowance</w:t>
            </w:r>
          </w:p>
        </w:tc>
        <w:tc>
          <w:tcPr>
            <w:tcW w:w="1213" w:type="dxa"/>
            <w:noWrap/>
            <w:hideMark/>
          </w:tcPr>
          <w:p w14:paraId="65419A7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509 </w:t>
            </w:r>
          </w:p>
        </w:tc>
        <w:tc>
          <w:tcPr>
            <w:tcW w:w="1536" w:type="dxa"/>
            <w:noWrap/>
          </w:tcPr>
          <w:p w14:paraId="20D0D73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36.5%</w:t>
            </w:r>
          </w:p>
        </w:tc>
      </w:tr>
      <w:tr w:rsidR="00942712" w:rsidRPr="00514EDC" w14:paraId="1F20A27B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5A4577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CBC283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795F20A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Allowance/Benefit</w:t>
            </w:r>
          </w:p>
        </w:tc>
        <w:tc>
          <w:tcPr>
            <w:tcW w:w="1213" w:type="dxa"/>
            <w:noWrap/>
            <w:hideMark/>
          </w:tcPr>
          <w:p w14:paraId="5175086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245 </w:t>
            </w:r>
          </w:p>
        </w:tc>
        <w:tc>
          <w:tcPr>
            <w:tcW w:w="1536" w:type="dxa"/>
            <w:noWrap/>
          </w:tcPr>
          <w:p w14:paraId="11D1226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17.6%</w:t>
            </w:r>
          </w:p>
        </w:tc>
      </w:tr>
      <w:tr w:rsidR="00942712" w:rsidRPr="00514EDC" w14:paraId="3B89B24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20607D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C67EE6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3A315502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Invalidity Pension</w:t>
            </w:r>
          </w:p>
        </w:tc>
        <w:tc>
          <w:tcPr>
            <w:tcW w:w="1213" w:type="dxa"/>
            <w:noWrap/>
            <w:hideMark/>
          </w:tcPr>
          <w:p w14:paraId="1197101C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198 </w:t>
            </w:r>
          </w:p>
        </w:tc>
        <w:tc>
          <w:tcPr>
            <w:tcW w:w="1536" w:type="dxa"/>
            <w:noWrap/>
          </w:tcPr>
          <w:p w14:paraId="6B51C89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14.2%</w:t>
            </w:r>
          </w:p>
        </w:tc>
      </w:tr>
      <w:tr w:rsidR="00942712" w:rsidRPr="00514EDC" w14:paraId="3E96767A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C8860A0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6EF9B0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311AA778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6697773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109 </w:t>
            </w:r>
          </w:p>
        </w:tc>
        <w:tc>
          <w:tcPr>
            <w:tcW w:w="1536" w:type="dxa"/>
            <w:noWrap/>
          </w:tcPr>
          <w:p w14:paraId="5BC563E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7.8%</w:t>
            </w:r>
          </w:p>
        </w:tc>
      </w:tr>
      <w:tr w:rsidR="00942712" w:rsidRPr="00514EDC" w14:paraId="2AA4C91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D4BECD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4C957E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4B3F3A4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Allowance</w:t>
            </w:r>
          </w:p>
        </w:tc>
        <w:tc>
          <w:tcPr>
            <w:tcW w:w="1213" w:type="dxa"/>
            <w:noWrap/>
            <w:hideMark/>
          </w:tcPr>
          <w:p w14:paraId="53AB7016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79 </w:t>
            </w:r>
          </w:p>
        </w:tc>
        <w:tc>
          <w:tcPr>
            <w:tcW w:w="1536" w:type="dxa"/>
            <w:noWrap/>
          </w:tcPr>
          <w:p w14:paraId="72F7E1F8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5.7%</w:t>
            </w:r>
          </w:p>
        </w:tc>
      </w:tr>
      <w:tr w:rsidR="00942712" w:rsidRPr="00514EDC" w14:paraId="4AACF76A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EC3B46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4EC919D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029ADE6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Domiciliary Care Allowance</w:t>
            </w:r>
          </w:p>
        </w:tc>
        <w:tc>
          <w:tcPr>
            <w:tcW w:w="1213" w:type="dxa"/>
            <w:noWrap/>
            <w:hideMark/>
          </w:tcPr>
          <w:p w14:paraId="0A51AE0B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59 </w:t>
            </w:r>
          </w:p>
        </w:tc>
        <w:tc>
          <w:tcPr>
            <w:tcW w:w="1536" w:type="dxa"/>
            <w:noWrap/>
          </w:tcPr>
          <w:p w14:paraId="7A8E931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4.2%</w:t>
            </w:r>
          </w:p>
        </w:tc>
      </w:tr>
      <w:tr w:rsidR="00942712" w:rsidRPr="00514EDC" w14:paraId="2E1876E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89C7EFD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6C095D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3540279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 (Non-Contributory)</w:t>
            </w:r>
          </w:p>
        </w:tc>
        <w:tc>
          <w:tcPr>
            <w:tcW w:w="1213" w:type="dxa"/>
            <w:noWrap/>
            <w:hideMark/>
          </w:tcPr>
          <w:p w14:paraId="793C0D04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48 </w:t>
            </w:r>
          </w:p>
        </w:tc>
        <w:tc>
          <w:tcPr>
            <w:tcW w:w="1536" w:type="dxa"/>
            <w:noWrap/>
          </w:tcPr>
          <w:p w14:paraId="0FCC5D00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3.4%</w:t>
            </w:r>
          </w:p>
        </w:tc>
      </w:tr>
      <w:tr w:rsidR="00942712" w:rsidRPr="00514EDC" w14:paraId="524F7EF9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B976F8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B9FBEC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3A65CB0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 (Contributory)</w:t>
            </w:r>
          </w:p>
        </w:tc>
        <w:tc>
          <w:tcPr>
            <w:tcW w:w="1213" w:type="dxa"/>
            <w:noWrap/>
          </w:tcPr>
          <w:p w14:paraId="6E2BA2F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31 </w:t>
            </w:r>
          </w:p>
        </w:tc>
        <w:tc>
          <w:tcPr>
            <w:tcW w:w="1536" w:type="dxa"/>
            <w:noWrap/>
          </w:tcPr>
          <w:p w14:paraId="1B16BCA3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</w:tr>
      <w:tr w:rsidR="00942712" w:rsidRPr="00514EDC" w14:paraId="11A09B3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EC6F46B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19B7E2B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0544148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Supplementary Welfare Allowance</w:t>
            </w:r>
          </w:p>
        </w:tc>
        <w:tc>
          <w:tcPr>
            <w:tcW w:w="1213" w:type="dxa"/>
            <w:noWrap/>
          </w:tcPr>
          <w:p w14:paraId="1FD4883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31 </w:t>
            </w:r>
          </w:p>
        </w:tc>
        <w:tc>
          <w:tcPr>
            <w:tcW w:w="1536" w:type="dxa"/>
            <w:noWrap/>
          </w:tcPr>
          <w:p w14:paraId="377B560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2.2%</w:t>
            </w:r>
          </w:p>
        </w:tc>
      </w:tr>
      <w:tr w:rsidR="00942712" w:rsidRPr="00514EDC" w14:paraId="077EAACA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96F882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6C77E6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4E49631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Jobseeker's Benefit</w:t>
            </w:r>
          </w:p>
        </w:tc>
        <w:tc>
          <w:tcPr>
            <w:tcW w:w="1213" w:type="dxa"/>
            <w:noWrap/>
          </w:tcPr>
          <w:p w14:paraId="706BB7E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19 </w:t>
            </w:r>
          </w:p>
        </w:tc>
        <w:tc>
          <w:tcPr>
            <w:tcW w:w="1536" w:type="dxa"/>
            <w:noWrap/>
          </w:tcPr>
          <w:p w14:paraId="6F7C1D5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</w:tr>
      <w:tr w:rsidR="00942712" w:rsidRPr="00514EDC" w14:paraId="1A5902C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16AB790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610E14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209F7C6C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Illness Benefit</w:t>
            </w:r>
          </w:p>
        </w:tc>
        <w:tc>
          <w:tcPr>
            <w:tcW w:w="1213" w:type="dxa"/>
            <w:noWrap/>
            <w:hideMark/>
          </w:tcPr>
          <w:p w14:paraId="2174F8F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18 </w:t>
            </w:r>
          </w:p>
        </w:tc>
        <w:tc>
          <w:tcPr>
            <w:tcW w:w="1536" w:type="dxa"/>
            <w:noWrap/>
          </w:tcPr>
          <w:p w14:paraId="1F805C1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</w:tr>
      <w:tr w:rsidR="00942712" w:rsidRPr="00514EDC" w14:paraId="32FB6F30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3CD00E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AA9ACD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6A5869AD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Child Benefit</w:t>
            </w:r>
          </w:p>
        </w:tc>
        <w:tc>
          <w:tcPr>
            <w:tcW w:w="1213" w:type="dxa"/>
            <w:noWrap/>
            <w:hideMark/>
          </w:tcPr>
          <w:p w14:paraId="5CDB0D2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17 </w:t>
            </w:r>
          </w:p>
        </w:tc>
        <w:tc>
          <w:tcPr>
            <w:tcW w:w="1536" w:type="dxa"/>
            <w:noWrap/>
          </w:tcPr>
          <w:p w14:paraId="5A9576C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</w:tr>
      <w:tr w:rsidR="00942712" w:rsidRPr="00514EDC" w14:paraId="5B935E2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E560A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4BA975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654C3A4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One Parent Family Payment (OFP)</w:t>
            </w:r>
          </w:p>
        </w:tc>
        <w:tc>
          <w:tcPr>
            <w:tcW w:w="1213" w:type="dxa"/>
            <w:noWrap/>
          </w:tcPr>
          <w:p w14:paraId="38645138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14 </w:t>
            </w:r>
          </w:p>
        </w:tc>
        <w:tc>
          <w:tcPr>
            <w:tcW w:w="1536" w:type="dxa"/>
            <w:noWrap/>
          </w:tcPr>
          <w:p w14:paraId="7B8C9740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</w:tr>
      <w:tr w:rsidR="00942712" w:rsidRPr="00514EDC" w14:paraId="05840BB8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F8FA0D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41AF59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194C30EB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Working Family Payment (WFP)</w:t>
            </w:r>
          </w:p>
        </w:tc>
        <w:tc>
          <w:tcPr>
            <w:tcW w:w="1213" w:type="dxa"/>
            <w:noWrap/>
            <w:hideMark/>
          </w:tcPr>
          <w:p w14:paraId="1AFD6E6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13 </w:t>
            </w:r>
          </w:p>
        </w:tc>
        <w:tc>
          <w:tcPr>
            <w:tcW w:w="1536" w:type="dxa"/>
            <w:noWrap/>
          </w:tcPr>
          <w:p w14:paraId="078146C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</w:tr>
      <w:tr w:rsidR="00942712" w:rsidRPr="00514EDC" w14:paraId="4D75B20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5C24EC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A545C2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1160A27C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Carer's Support Grant</w:t>
            </w:r>
          </w:p>
        </w:tc>
        <w:tc>
          <w:tcPr>
            <w:tcW w:w="1213" w:type="dxa"/>
            <w:noWrap/>
            <w:hideMark/>
          </w:tcPr>
          <w:p w14:paraId="43461FD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1536" w:type="dxa"/>
            <w:noWrap/>
          </w:tcPr>
          <w:p w14:paraId="743FC50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942712" w:rsidRPr="00514EDC" w14:paraId="6E79E6C5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73B50F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99EFEA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</w:tcPr>
          <w:p w14:paraId="639D5451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Widow/Widower/surviving Civil Partner Pension</w:t>
            </w:r>
          </w:p>
        </w:tc>
        <w:tc>
          <w:tcPr>
            <w:tcW w:w="1213" w:type="dxa"/>
            <w:noWrap/>
          </w:tcPr>
          <w:p w14:paraId="25B8920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1536" w:type="dxa"/>
            <w:noWrap/>
          </w:tcPr>
          <w:p w14:paraId="34C7C26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</w:tr>
      <w:tr w:rsidR="00942712" w:rsidRPr="00514EDC" w14:paraId="521282E7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5970F5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F34A5DF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41CC1C0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4E5B0A7C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1,393</w:t>
            </w:r>
          </w:p>
        </w:tc>
        <w:tc>
          <w:tcPr>
            <w:tcW w:w="1536" w:type="dxa"/>
            <w:noWrap/>
          </w:tcPr>
          <w:p w14:paraId="15AE12C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2151BD1B" w14:textId="77777777" w:rsidTr="00D5036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2B34BD5F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Death Related Benefits</w:t>
            </w:r>
          </w:p>
        </w:tc>
      </w:tr>
      <w:tr w:rsidR="00942712" w:rsidRPr="00514EDC" w14:paraId="6A28275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7D0753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732ED3D1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6680E24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Widow's, Widower's or Surviving Civil Partner's (Contributory) Pension</w:t>
            </w:r>
          </w:p>
        </w:tc>
        <w:tc>
          <w:tcPr>
            <w:tcW w:w="1213" w:type="dxa"/>
            <w:noWrap/>
            <w:hideMark/>
          </w:tcPr>
          <w:p w14:paraId="79758040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883 </w:t>
            </w:r>
          </w:p>
        </w:tc>
        <w:tc>
          <w:tcPr>
            <w:tcW w:w="1536" w:type="dxa"/>
            <w:noWrap/>
          </w:tcPr>
          <w:p w14:paraId="2BC61BE0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64.9%</w:t>
            </w:r>
          </w:p>
        </w:tc>
      </w:tr>
      <w:tr w:rsidR="00942712" w:rsidRPr="00514EDC" w14:paraId="233340D8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179C23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71DA09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26A76394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Widow's, Widower's or Surviving Civil Partner's (Non-Contributory) Pension</w:t>
            </w:r>
          </w:p>
        </w:tc>
        <w:tc>
          <w:tcPr>
            <w:tcW w:w="1213" w:type="dxa"/>
            <w:noWrap/>
            <w:hideMark/>
          </w:tcPr>
          <w:p w14:paraId="7EA3F59C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152 </w:t>
            </w:r>
          </w:p>
        </w:tc>
        <w:tc>
          <w:tcPr>
            <w:tcW w:w="1536" w:type="dxa"/>
            <w:noWrap/>
          </w:tcPr>
          <w:p w14:paraId="7312617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11.2%</w:t>
            </w:r>
          </w:p>
        </w:tc>
      </w:tr>
      <w:tr w:rsidR="00942712" w:rsidRPr="00514EDC" w14:paraId="42B72277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04B741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9B2479C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77722C0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Help with Funeral Costs</w:t>
            </w:r>
          </w:p>
        </w:tc>
        <w:tc>
          <w:tcPr>
            <w:tcW w:w="1213" w:type="dxa"/>
            <w:noWrap/>
            <w:hideMark/>
          </w:tcPr>
          <w:p w14:paraId="720FD02C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152 </w:t>
            </w:r>
          </w:p>
        </w:tc>
        <w:tc>
          <w:tcPr>
            <w:tcW w:w="1536" w:type="dxa"/>
            <w:noWrap/>
          </w:tcPr>
          <w:p w14:paraId="63B21AB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11.2%</w:t>
            </w:r>
          </w:p>
        </w:tc>
      </w:tr>
      <w:tr w:rsidR="00942712" w:rsidRPr="00514EDC" w14:paraId="7E037356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6B1F61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43B89ED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2B274FA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Widow/Widower/Surviving Civil Partner Grant</w:t>
            </w:r>
          </w:p>
        </w:tc>
        <w:tc>
          <w:tcPr>
            <w:tcW w:w="1213" w:type="dxa"/>
            <w:noWrap/>
            <w:hideMark/>
          </w:tcPr>
          <w:p w14:paraId="1E2835A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91 </w:t>
            </w:r>
          </w:p>
        </w:tc>
        <w:tc>
          <w:tcPr>
            <w:tcW w:w="1536" w:type="dxa"/>
            <w:noWrap/>
          </w:tcPr>
          <w:p w14:paraId="079F1C0A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6.7%</w:t>
            </w:r>
          </w:p>
        </w:tc>
      </w:tr>
      <w:tr w:rsidR="00942712" w:rsidRPr="00514EDC" w14:paraId="40DCBBAF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56CA3E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3D9945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1D1C8DE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Guardian's Payment</w:t>
            </w:r>
          </w:p>
        </w:tc>
        <w:tc>
          <w:tcPr>
            <w:tcW w:w="1213" w:type="dxa"/>
            <w:noWrap/>
            <w:hideMark/>
          </w:tcPr>
          <w:p w14:paraId="6B7C5E2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74 </w:t>
            </w:r>
          </w:p>
        </w:tc>
        <w:tc>
          <w:tcPr>
            <w:tcW w:w="1536" w:type="dxa"/>
            <w:noWrap/>
          </w:tcPr>
          <w:p w14:paraId="1D3622AB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5.4%</w:t>
            </w:r>
          </w:p>
        </w:tc>
      </w:tr>
      <w:tr w:rsidR="00942712" w:rsidRPr="00514EDC" w14:paraId="5172B96D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F18FFF0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4074" w:type="dxa"/>
            <w:noWrap/>
            <w:hideMark/>
          </w:tcPr>
          <w:p w14:paraId="2D1F9273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2F420DC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Special Funeral Grant (Occ. Injuries Scheme only)</w:t>
            </w:r>
          </w:p>
        </w:tc>
        <w:tc>
          <w:tcPr>
            <w:tcW w:w="1213" w:type="dxa"/>
            <w:noWrap/>
            <w:hideMark/>
          </w:tcPr>
          <w:p w14:paraId="1417A0DA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 xml:space="preserve"> 9 </w:t>
            </w:r>
          </w:p>
        </w:tc>
        <w:tc>
          <w:tcPr>
            <w:tcW w:w="1536" w:type="dxa"/>
            <w:noWrap/>
          </w:tcPr>
          <w:p w14:paraId="698293F3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</w:tr>
      <w:tr w:rsidR="00942712" w:rsidRPr="00514EDC" w14:paraId="5C65E5B7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94076D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91D0E8B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6AC3D9E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768BC3B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1,361</w:t>
            </w:r>
          </w:p>
        </w:tc>
        <w:tc>
          <w:tcPr>
            <w:tcW w:w="1536" w:type="dxa"/>
            <w:noWrap/>
          </w:tcPr>
          <w:p w14:paraId="6AE132C7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1777B0B3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C2A8D33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Benefits Check</w:t>
            </w:r>
          </w:p>
        </w:tc>
      </w:tr>
      <w:tr w:rsidR="00942712" w:rsidRPr="00514EDC" w14:paraId="0B65EC93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5C28E5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hideMark/>
          </w:tcPr>
          <w:p w14:paraId="73DB1B68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4604" w:type="dxa"/>
            <w:hideMark/>
          </w:tcPr>
          <w:p w14:paraId="37B75E6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1213" w:type="dxa"/>
            <w:noWrap/>
            <w:hideMark/>
          </w:tcPr>
          <w:p w14:paraId="10ACF4A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1,009</w:t>
            </w:r>
          </w:p>
        </w:tc>
        <w:tc>
          <w:tcPr>
            <w:tcW w:w="1536" w:type="dxa"/>
            <w:noWrap/>
          </w:tcPr>
          <w:p w14:paraId="56335C39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942712" w:rsidRPr="00514EDC" w14:paraId="3B42DFAF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0316C2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630F59E7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5EF8DA2B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0BD68901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1,009</w:t>
            </w:r>
          </w:p>
        </w:tc>
        <w:tc>
          <w:tcPr>
            <w:tcW w:w="1536" w:type="dxa"/>
            <w:noWrap/>
          </w:tcPr>
          <w:p w14:paraId="405295A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0D6CC4D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F8C1E22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Social Welfare Payments and Work</w:t>
            </w:r>
          </w:p>
        </w:tc>
      </w:tr>
      <w:tr w:rsidR="00942712" w:rsidRPr="00514EDC" w14:paraId="3DA74D2E" w14:textId="77777777" w:rsidTr="00D50363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0C902D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hideMark/>
          </w:tcPr>
          <w:p w14:paraId="5A7EC08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4604" w:type="dxa"/>
            <w:hideMark/>
          </w:tcPr>
          <w:p w14:paraId="4BADE83E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1213" w:type="dxa"/>
            <w:noWrap/>
            <w:hideMark/>
          </w:tcPr>
          <w:p w14:paraId="69B37880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792</w:t>
            </w:r>
          </w:p>
        </w:tc>
        <w:tc>
          <w:tcPr>
            <w:tcW w:w="1536" w:type="dxa"/>
            <w:noWrap/>
            <w:hideMark/>
          </w:tcPr>
          <w:p w14:paraId="2522A882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942712" w:rsidRPr="00514EDC" w14:paraId="256ECE2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648C24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40517B6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0F7E9F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11D6C65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792</w:t>
            </w:r>
          </w:p>
        </w:tc>
        <w:tc>
          <w:tcPr>
            <w:tcW w:w="1536" w:type="dxa"/>
            <w:noWrap/>
            <w:hideMark/>
          </w:tcPr>
          <w:p w14:paraId="7784319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27D036D9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26E7DB2E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Farmers</w:t>
            </w:r>
          </w:p>
        </w:tc>
      </w:tr>
      <w:tr w:rsidR="00942712" w:rsidRPr="00514EDC" w14:paraId="3BC0A66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D4F31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797E34B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604" w:type="dxa"/>
            <w:noWrap/>
            <w:hideMark/>
          </w:tcPr>
          <w:p w14:paraId="79B8FA1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213" w:type="dxa"/>
            <w:noWrap/>
            <w:hideMark/>
          </w:tcPr>
          <w:p w14:paraId="485E30D2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1536" w:type="dxa"/>
            <w:noWrap/>
          </w:tcPr>
          <w:p w14:paraId="6083CF9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95.0%</w:t>
            </w:r>
          </w:p>
        </w:tc>
      </w:tr>
      <w:tr w:rsidR="00942712" w:rsidRPr="00514EDC" w14:paraId="0E2CDF46" w14:textId="77777777" w:rsidTr="00D50363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8BBCA1A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74532BF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  <w:hideMark/>
          </w:tcPr>
          <w:p w14:paraId="04B8811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353BF4B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536" w:type="dxa"/>
            <w:noWrap/>
          </w:tcPr>
          <w:p w14:paraId="5827E945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5.0%</w:t>
            </w:r>
          </w:p>
        </w:tc>
      </w:tr>
      <w:tr w:rsidR="00942712" w:rsidRPr="00514EDC" w14:paraId="16AA3F3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A7E46C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96E7C5E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6EA5D27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6A88723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161</w:t>
            </w:r>
          </w:p>
        </w:tc>
        <w:tc>
          <w:tcPr>
            <w:tcW w:w="1536" w:type="dxa"/>
            <w:noWrap/>
            <w:hideMark/>
          </w:tcPr>
          <w:p w14:paraId="0F930818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4FBF2ED6" w14:textId="77777777" w:rsidTr="00D5036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C47C0D4" w14:textId="77777777" w:rsidR="00942712" w:rsidRPr="00514EDC" w:rsidRDefault="00942712" w:rsidP="00D503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7BD401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024F5E63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213" w:type="dxa"/>
            <w:noWrap/>
            <w:hideMark/>
          </w:tcPr>
          <w:p w14:paraId="39E4B4C3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105,074</w:t>
            </w:r>
          </w:p>
        </w:tc>
        <w:tc>
          <w:tcPr>
            <w:tcW w:w="1536" w:type="dxa"/>
            <w:noWrap/>
          </w:tcPr>
          <w:p w14:paraId="15F76A8C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</w:tbl>
    <w:p w14:paraId="7474A77F" w14:textId="4905BD54" w:rsidR="00942712" w:rsidRPr="00C07064" w:rsidRDefault="00942712" w:rsidP="00942712">
      <w:pPr>
        <w:pStyle w:val="Heading1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C07064">
        <w:rPr>
          <w:rFonts w:ascii="Calibri" w:hAnsi="Calibri" w:cs="Calibri"/>
          <w:b/>
          <w:color w:val="auto"/>
          <w:sz w:val="22"/>
          <w:szCs w:val="22"/>
          <w:lang w:val="en-US"/>
        </w:rPr>
        <w:t>Table 7</w:t>
      </w:r>
      <w:r w:rsidRPr="00C07064">
        <w:rPr>
          <w:rFonts w:ascii="Calibri" w:hAnsi="Calibri" w:cs="Calibri"/>
          <w:color w:val="auto"/>
          <w:sz w:val="22"/>
          <w:szCs w:val="22"/>
          <w:lang w:val="en-US"/>
        </w:rPr>
        <w:t xml:space="preserve"> below sets out the </w:t>
      </w:r>
      <w:r w:rsidRPr="00C07064">
        <w:rPr>
          <w:rFonts w:ascii="Calibri" w:hAnsi="Calibri" w:cs="Calibri"/>
          <w:b/>
          <w:color w:val="auto"/>
          <w:sz w:val="22"/>
          <w:szCs w:val="22"/>
          <w:lang w:val="en-US"/>
        </w:rPr>
        <w:t>Housing</w:t>
      </w:r>
      <w:r w:rsidRPr="00C07064">
        <w:rPr>
          <w:rFonts w:ascii="Calibri" w:hAnsi="Calibri" w:cs="Calibri"/>
          <w:color w:val="auto"/>
          <w:sz w:val="22"/>
          <w:szCs w:val="22"/>
          <w:lang w:val="en-US"/>
        </w:rPr>
        <w:t xml:space="preserve"> query dataset for Quarter 3, 2022. Housing is the 2</w:t>
      </w:r>
      <w:r w:rsidRPr="00C07064">
        <w:rPr>
          <w:rFonts w:ascii="Calibri" w:hAnsi="Calibri" w:cs="Calibri"/>
          <w:color w:val="auto"/>
          <w:sz w:val="22"/>
          <w:szCs w:val="22"/>
          <w:vertAlign w:val="superscript"/>
          <w:lang w:val="en-US"/>
        </w:rPr>
        <w:t>nd</w:t>
      </w:r>
      <w:r w:rsidRPr="00C07064">
        <w:rPr>
          <w:rFonts w:ascii="Calibri" w:hAnsi="Calibri" w:cs="Calibri"/>
          <w:color w:val="auto"/>
          <w:sz w:val="22"/>
          <w:szCs w:val="22"/>
          <w:lang w:val="en-US"/>
        </w:rPr>
        <w:t xml:space="preserve"> highest category of queries, representing 9.7% of all queries compared with 8.8% for the same quarter in 2021.  Query sub-categories are presented in thematic form, as recorded by CISs. </w:t>
      </w:r>
    </w:p>
    <w:p w14:paraId="3A4AB896" w14:textId="77777777" w:rsidR="00942712" w:rsidRPr="00C07064" w:rsidRDefault="00942712" w:rsidP="00942712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 w:rsidRPr="00C07064">
        <w:rPr>
          <w:rFonts w:ascii="Calibri" w:hAnsi="Calibri" w:cs="Calibri"/>
          <w:b/>
          <w:color w:val="auto"/>
          <w:sz w:val="22"/>
          <w:szCs w:val="22"/>
          <w:lang w:val="en-US"/>
        </w:rPr>
        <w:t>Housing query trends in Q3 2022</w:t>
      </w:r>
      <w:r w:rsidRPr="00C07064">
        <w:rPr>
          <w:rFonts w:ascii="Calibri" w:hAnsi="Calibri" w:cs="Calibri"/>
          <w:color w:val="auto"/>
          <w:sz w:val="22"/>
          <w:szCs w:val="22"/>
          <w:lang w:val="en-US"/>
        </w:rPr>
        <w:t>:</w:t>
      </w:r>
    </w:p>
    <w:p w14:paraId="5F98194C" w14:textId="037CE9E6" w:rsidR="00942712" w:rsidRPr="00514EDC" w:rsidRDefault="00942712" w:rsidP="00C07064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lang w:eastAsia="en-IE"/>
        </w:rPr>
      </w:pPr>
      <w:r w:rsidRPr="00514EDC">
        <w:rPr>
          <w:rFonts w:ascii="Calibri" w:hAnsi="Calibri" w:cs="Calibri"/>
          <w:sz w:val="22"/>
          <w:lang w:eastAsia="en-IE"/>
        </w:rPr>
        <w:t xml:space="preserve">Housing queries increased by 26% from 16,824 to </w:t>
      </w:r>
      <w:r w:rsidRPr="00514EDC">
        <w:rPr>
          <w:rFonts w:ascii="Calibri" w:hAnsi="Calibri" w:cs="Calibri"/>
          <w:b/>
          <w:sz w:val="22"/>
          <w:lang w:eastAsia="en-IE"/>
        </w:rPr>
        <w:t>21,234</w:t>
      </w:r>
      <w:r w:rsidRPr="00514EDC">
        <w:rPr>
          <w:rFonts w:ascii="Calibri" w:hAnsi="Calibri" w:cs="Calibri"/>
          <w:sz w:val="22"/>
          <w:lang w:eastAsia="en-IE"/>
        </w:rPr>
        <w:t xml:space="preserve"> in this quarter compared to Q3 in 2021. </w:t>
      </w:r>
    </w:p>
    <w:p w14:paraId="6A25C889" w14:textId="77777777" w:rsidR="00420C57" w:rsidRPr="00514EDC" w:rsidRDefault="00420C57" w:rsidP="00420C57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2"/>
          <w:lang w:eastAsia="en-IE"/>
        </w:rPr>
      </w:pPr>
    </w:p>
    <w:p w14:paraId="0F980C63" w14:textId="10265642" w:rsidR="00942712" w:rsidRPr="00514EDC" w:rsidRDefault="00942712" w:rsidP="00C07064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lang w:eastAsia="en-IE"/>
        </w:rPr>
      </w:pPr>
      <w:r w:rsidRPr="00514EDC">
        <w:rPr>
          <w:rFonts w:ascii="Calibri" w:hAnsi="Calibri" w:cs="Calibri"/>
          <w:sz w:val="22"/>
          <w:lang w:eastAsia="en-IE"/>
        </w:rPr>
        <w:t xml:space="preserve">The highest number of queries received were in relation to </w:t>
      </w:r>
      <w:r w:rsidRPr="00514EDC">
        <w:rPr>
          <w:rFonts w:ascii="Calibri" w:hAnsi="Calibri" w:cs="Calibri"/>
          <w:b/>
          <w:sz w:val="22"/>
          <w:lang w:eastAsia="en-IE"/>
        </w:rPr>
        <w:t>Local Authority and Social Housing</w:t>
      </w:r>
      <w:r w:rsidRPr="00514EDC">
        <w:rPr>
          <w:rFonts w:ascii="Calibri" w:hAnsi="Calibri" w:cs="Calibri"/>
          <w:sz w:val="22"/>
          <w:lang w:eastAsia="en-IE"/>
        </w:rPr>
        <w:t xml:space="preserve">, representing over half of all housing queries (50.5%); these rose by 12.5% on the same quarter in 2021 (from 9,536 to 10,724). </w:t>
      </w:r>
      <w:r w:rsidRPr="00514EDC">
        <w:rPr>
          <w:rFonts w:ascii="Calibri" w:hAnsi="Calibri" w:cs="Calibri"/>
          <w:b/>
          <w:sz w:val="22"/>
          <w:lang w:eastAsia="en-IE"/>
        </w:rPr>
        <w:t>Applying for Local Authority/Social Housing</w:t>
      </w:r>
      <w:r w:rsidRPr="00514EDC">
        <w:rPr>
          <w:rFonts w:ascii="Calibri" w:hAnsi="Calibri" w:cs="Calibri"/>
          <w:sz w:val="22"/>
          <w:lang w:eastAsia="en-IE"/>
        </w:rPr>
        <w:t xml:space="preserve"> queries increased by 21%, while Housing Assistance Payment (HAP) queries fell by 2% when compared with Q3 2021, but increased by over 9% compared to Q2 this year. </w:t>
      </w:r>
    </w:p>
    <w:p w14:paraId="29C7DC92" w14:textId="1E0125C6" w:rsidR="00420C57" w:rsidRPr="00514EDC" w:rsidRDefault="00420C57" w:rsidP="00420C57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2"/>
          <w:lang w:eastAsia="en-IE"/>
        </w:rPr>
      </w:pPr>
    </w:p>
    <w:p w14:paraId="7EF1035D" w14:textId="239D0A48" w:rsidR="00942712" w:rsidRPr="00514EDC" w:rsidRDefault="00420C57" w:rsidP="00C07064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  <w:sz w:val="22"/>
          <w:lang w:eastAsia="en-IE"/>
        </w:rPr>
      </w:pPr>
      <w:r w:rsidRPr="00514EDC">
        <w:rPr>
          <w:rFonts w:ascii="Calibri" w:hAnsi="Calibri" w:cs="Calibri"/>
          <w:sz w:val="22"/>
          <w:lang w:eastAsia="en-IE"/>
        </w:rPr>
        <w:t>Tenancy terminations, insecurity of tenure and affordability issues continued to be reflected in queries to services</w:t>
      </w:r>
      <w:r w:rsidRPr="00514EDC">
        <w:rPr>
          <w:rStyle w:val="FootnoteReference"/>
          <w:rFonts w:ascii="Calibri" w:hAnsi="Calibri" w:cs="Calibri"/>
          <w:sz w:val="22"/>
          <w:lang w:eastAsia="en-IE"/>
        </w:rPr>
        <w:footnoteReference w:id="6"/>
      </w:r>
      <w:r w:rsidRPr="00514EDC">
        <w:rPr>
          <w:rFonts w:ascii="Calibri" w:hAnsi="Calibri" w:cs="Calibri"/>
          <w:sz w:val="22"/>
          <w:lang w:eastAsia="en-IE"/>
        </w:rPr>
        <w:t>.</w:t>
      </w:r>
      <w:r w:rsidRPr="00514EDC">
        <w:rPr>
          <w:rFonts w:ascii="Calibri" w:hAnsi="Calibri" w:cs="Calibri"/>
          <w:b/>
          <w:sz w:val="22"/>
          <w:lang w:eastAsia="en-IE"/>
        </w:rPr>
        <w:t xml:space="preserve"> </w:t>
      </w:r>
      <w:r w:rsidR="00942712" w:rsidRPr="00514EDC">
        <w:rPr>
          <w:rFonts w:ascii="Calibri" w:hAnsi="Calibri" w:cs="Calibri"/>
          <w:b/>
          <w:sz w:val="22"/>
          <w:lang w:eastAsia="en-IE"/>
        </w:rPr>
        <w:t>Renting a Home</w:t>
      </w:r>
      <w:r w:rsidR="00942712" w:rsidRPr="00514EDC">
        <w:rPr>
          <w:rFonts w:ascii="Calibri" w:hAnsi="Calibri" w:cs="Calibri"/>
          <w:sz w:val="22"/>
          <w:lang w:eastAsia="en-IE"/>
        </w:rPr>
        <w:t xml:space="preserve"> was the 2</w:t>
      </w:r>
      <w:r w:rsidR="00942712" w:rsidRPr="00514EDC">
        <w:rPr>
          <w:rFonts w:ascii="Calibri" w:hAnsi="Calibri" w:cs="Calibri"/>
          <w:sz w:val="22"/>
          <w:vertAlign w:val="superscript"/>
          <w:lang w:eastAsia="en-IE"/>
        </w:rPr>
        <w:t>nd</w:t>
      </w:r>
      <w:r w:rsidR="00942712" w:rsidRPr="00514EDC">
        <w:rPr>
          <w:rFonts w:ascii="Calibri" w:hAnsi="Calibri" w:cs="Calibri"/>
          <w:sz w:val="22"/>
          <w:lang w:eastAsia="en-IE"/>
        </w:rPr>
        <w:t xml:space="preserve"> highest category with 3,545 queries, a 32% increase compared with the same quarter in 2021 when there were 2,680 queries, and a 30% increase in </w:t>
      </w:r>
      <w:r w:rsidR="00942712" w:rsidRPr="00514EDC">
        <w:rPr>
          <w:rFonts w:ascii="Calibri" w:hAnsi="Calibri" w:cs="Calibri"/>
          <w:sz w:val="22"/>
          <w:lang w:eastAsia="en-IE"/>
        </w:rPr>
        <w:lastRenderedPageBreak/>
        <w:t xml:space="preserve">queries when compared to Q2 2022. Compared to Q3, 2021, the four highest query areas changed as follows: </w:t>
      </w:r>
      <w:r w:rsidR="00942712" w:rsidRPr="00514EDC">
        <w:rPr>
          <w:rFonts w:ascii="Calibri" w:hAnsi="Calibri" w:cs="Calibri"/>
          <w:b/>
          <w:sz w:val="22"/>
          <w:lang w:eastAsia="en-IE"/>
        </w:rPr>
        <w:t>Notice/Eviction/Disputes</w:t>
      </w:r>
      <w:r w:rsidR="00942712" w:rsidRPr="00514EDC">
        <w:rPr>
          <w:rFonts w:ascii="Calibri" w:hAnsi="Calibri" w:cs="Calibri"/>
          <w:sz w:val="22"/>
          <w:lang w:eastAsia="en-IE"/>
        </w:rPr>
        <w:t xml:space="preserve"> (+39.2%) </w:t>
      </w:r>
      <w:r w:rsidR="00942712" w:rsidRPr="00514EDC">
        <w:rPr>
          <w:rFonts w:ascii="Calibri" w:hAnsi="Calibri" w:cs="Calibri"/>
          <w:b/>
          <w:bCs/>
          <w:sz w:val="22"/>
          <w:lang w:eastAsia="en-IE"/>
        </w:rPr>
        <w:t xml:space="preserve">RTB (Residential Tenancies Board) </w:t>
      </w:r>
      <w:r w:rsidR="00942712" w:rsidRPr="00514EDC">
        <w:rPr>
          <w:rFonts w:ascii="Calibri" w:hAnsi="Calibri" w:cs="Calibri"/>
          <w:sz w:val="22"/>
          <w:lang w:eastAsia="en-IE"/>
        </w:rPr>
        <w:t xml:space="preserve">(+88.1%), </w:t>
      </w:r>
      <w:r w:rsidR="00942712" w:rsidRPr="00514EDC">
        <w:rPr>
          <w:rFonts w:ascii="Calibri" w:hAnsi="Calibri" w:cs="Calibri"/>
          <w:b/>
          <w:sz w:val="22"/>
          <w:lang w:eastAsia="en-IE"/>
        </w:rPr>
        <w:t>Tenants Rights and Obligations</w:t>
      </w:r>
      <w:r w:rsidR="00C07064" w:rsidRPr="00514EDC">
        <w:rPr>
          <w:rFonts w:ascii="Calibri" w:hAnsi="Calibri" w:cs="Calibri"/>
          <w:sz w:val="22"/>
          <w:lang w:eastAsia="en-IE"/>
        </w:rPr>
        <w:t xml:space="preserve"> </w:t>
      </w:r>
      <w:r w:rsidR="00942712" w:rsidRPr="00514EDC">
        <w:rPr>
          <w:rFonts w:ascii="Calibri" w:hAnsi="Calibri" w:cs="Calibri"/>
          <w:sz w:val="22"/>
          <w:lang w:eastAsia="en-IE"/>
        </w:rPr>
        <w:t xml:space="preserve">(-10.9%) and Landlords Rights and Obligations (+10.8%). </w:t>
      </w:r>
    </w:p>
    <w:p w14:paraId="051453BC" w14:textId="05EF4D75" w:rsidR="00420C57" w:rsidRPr="00514EDC" w:rsidRDefault="00420C57" w:rsidP="00420C57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b/>
          <w:bCs/>
          <w:sz w:val="22"/>
          <w:lang w:eastAsia="en-IE"/>
        </w:rPr>
      </w:pPr>
    </w:p>
    <w:p w14:paraId="750C78FB" w14:textId="0E9EDB83" w:rsidR="00942712" w:rsidRPr="00514EDC" w:rsidRDefault="00942712" w:rsidP="00C07064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lang w:eastAsia="en-IE"/>
        </w:rPr>
      </w:pPr>
      <w:r w:rsidRPr="00514EDC">
        <w:rPr>
          <w:rFonts w:ascii="Calibri" w:hAnsi="Calibri" w:cs="Calibri"/>
          <w:sz w:val="22"/>
          <w:lang w:eastAsia="en-IE"/>
        </w:rPr>
        <w:t>Queries about</w:t>
      </w:r>
      <w:r w:rsidRPr="00514EDC">
        <w:rPr>
          <w:rFonts w:ascii="Calibri" w:hAnsi="Calibri" w:cs="Calibri"/>
          <w:b/>
          <w:sz w:val="22"/>
          <w:lang w:eastAsia="en-IE"/>
        </w:rPr>
        <w:t xml:space="preserve"> Homelessness</w:t>
      </w:r>
      <w:r w:rsidRPr="00514EDC">
        <w:rPr>
          <w:rFonts w:ascii="Calibri" w:hAnsi="Calibri" w:cs="Calibri"/>
          <w:sz w:val="22"/>
          <w:lang w:eastAsia="en-IE"/>
        </w:rPr>
        <w:t xml:space="preserve"> were 42% higher than for the same period last year. In addition, there were 88 queries about </w:t>
      </w:r>
      <w:r w:rsidRPr="00514EDC">
        <w:rPr>
          <w:rFonts w:ascii="Calibri" w:hAnsi="Calibri" w:cs="Calibri"/>
          <w:b/>
          <w:sz w:val="22"/>
          <w:lang w:eastAsia="en-IE"/>
        </w:rPr>
        <w:t>Losing Your Home</w:t>
      </w:r>
      <w:r w:rsidRPr="00514EDC">
        <w:rPr>
          <w:rFonts w:ascii="Calibri" w:hAnsi="Calibri" w:cs="Calibri"/>
          <w:sz w:val="22"/>
          <w:lang w:eastAsia="en-IE"/>
        </w:rPr>
        <w:t xml:space="preserve">, and 78 queries relating to </w:t>
      </w:r>
      <w:r w:rsidRPr="00514EDC">
        <w:rPr>
          <w:rFonts w:ascii="Calibri" w:hAnsi="Calibri" w:cs="Calibri"/>
          <w:b/>
          <w:sz w:val="22"/>
          <w:lang w:eastAsia="en-IE"/>
        </w:rPr>
        <w:t>Emergency Accommodation</w:t>
      </w:r>
      <w:r w:rsidRPr="00514EDC">
        <w:rPr>
          <w:rFonts w:ascii="Calibri" w:hAnsi="Calibri" w:cs="Calibri"/>
          <w:sz w:val="22"/>
          <w:lang w:eastAsia="en-IE"/>
        </w:rPr>
        <w:t xml:space="preserve">, comprising a total of </w:t>
      </w:r>
      <w:r w:rsidRPr="00514EDC">
        <w:rPr>
          <w:rFonts w:ascii="Calibri" w:hAnsi="Calibri" w:cs="Calibri"/>
          <w:b/>
          <w:sz w:val="22"/>
          <w:lang w:eastAsia="en-IE"/>
        </w:rPr>
        <w:t xml:space="preserve">1,092 queries </w:t>
      </w:r>
      <w:r w:rsidRPr="00514EDC">
        <w:rPr>
          <w:rFonts w:ascii="Calibri" w:hAnsi="Calibri" w:cs="Calibri"/>
          <w:sz w:val="22"/>
          <w:lang w:eastAsia="en-IE"/>
        </w:rPr>
        <w:t>relating to homelessness/threatened homelessness for this quarter.</w:t>
      </w:r>
    </w:p>
    <w:p w14:paraId="7F57D9B9" w14:textId="77777777" w:rsidR="00420C57" w:rsidRPr="00514EDC" w:rsidRDefault="00420C57" w:rsidP="00420C57">
      <w:pPr>
        <w:pStyle w:val="ListParagraph"/>
        <w:numPr>
          <w:ilvl w:val="0"/>
          <w:numId w:val="0"/>
        </w:numPr>
        <w:ind w:left="720"/>
        <w:rPr>
          <w:rFonts w:ascii="Calibri" w:hAnsi="Calibri" w:cs="Calibri"/>
          <w:sz w:val="22"/>
          <w:lang w:eastAsia="en-IE"/>
        </w:rPr>
      </w:pPr>
    </w:p>
    <w:p w14:paraId="7A8A3D1A" w14:textId="77777777" w:rsidR="00942712" w:rsidRPr="00514EDC" w:rsidRDefault="00942712" w:rsidP="00C07064">
      <w:pPr>
        <w:pStyle w:val="ListParagraph"/>
        <w:numPr>
          <w:ilvl w:val="0"/>
          <w:numId w:val="11"/>
        </w:numPr>
        <w:rPr>
          <w:rFonts w:ascii="Calibri" w:hAnsi="Calibri" w:cs="Calibri"/>
          <w:color w:val="000000"/>
          <w:sz w:val="22"/>
          <w:lang w:eastAsia="en-IE"/>
        </w:rPr>
      </w:pPr>
      <w:r w:rsidRPr="00514EDC">
        <w:rPr>
          <w:rFonts w:ascii="Calibri" w:hAnsi="Calibri" w:cs="Calibri"/>
          <w:b/>
          <w:bCs/>
          <w:sz w:val="22"/>
          <w:lang w:eastAsia="en-IE"/>
        </w:rPr>
        <w:t>Housing Grants and Schemes</w:t>
      </w:r>
      <w:r w:rsidRPr="00514EDC">
        <w:rPr>
          <w:rFonts w:ascii="Calibri" w:hAnsi="Calibri" w:cs="Calibri"/>
          <w:sz w:val="22"/>
          <w:lang w:eastAsia="en-IE"/>
        </w:rPr>
        <w:t xml:space="preserve"> queries increased by 38% (2,984) compared to Q3 2021. Home Energy Grants (SEAI) alone had 894 queries, up by 83.5% on Q2, 2022. </w:t>
      </w:r>
    </w:p>
    <w:p w14:paraId="2456FB78" w14:textId="0508CD32" w:rsidR="00942712" w:rsidRPr="00420C57" w:rsidRDefault="00942712" w:rsidP="00942712">
      <w:pPr>
        <w:pStyle w:val="Heading1"/>
        <w:rPr>
          <w:rFonts w:ascii="Tw Cen MT Condensed" w:hAnsi="Tw Cen MT Condensed"/>
          <w:b/>
          <w:sz w:val="24"/>
          <w:szCs w:val="24"/>
        </w:rPr>
      </w:pPr>
      <w:r w:rsidRPr="00420C57">
        <w:rPr>
          <w:rFonts w:ascii="Tw Cen MT Condensed" w:hAnsi="Tw Cen MT Condensed"/>
          <w:b/>
          <w:sz w:val="24"/>
          <w:szCs w:val="24"/>
        </w:rPr>
        <w:t>Table 7 – Housing Queries Breakdown, Q3 2022</w:t>
      </w:r>
      <w:r w:rsidR="005923C4">
        <w:rPr>
          <w:rStyle w:val="FootnoteReference"/>
          <w:rFonts w:ascii="Tw Cen MT Condensed" w:hAnsi="Tw Cen MT Condensed"/>
          <w:b/>
          <w:sz w:val="24"/>
          <w:szCs w:val="24"/>
        </w:rPr>
        <w:footnoteReference w:id="7"/>
      </w:r>
    </w:p>
    <w:tbl>
      <w:tblPr>
        <w:tblStyle w:val="GridTable5Dark-Accent6"/>
        <w:tblW w:w="13514" w:type="dxa"/>
        <w:tblLook w:val="04A0" w:firstRow="1" w:lastRow="0" w:firstColumn="1" w:lastColumn="0" w:noHBand="0" w:noVBand="1"/>
        <w:tblCaption w:val="Table 7 Housing Query Breakdown Quarter 1 2021"/>
        <w:tblDescription w:val="This table shows the housing query dataset for Qtr 1 2021"/>
      </w:tblPr>
      <w:tblGrid>
        <w:gridCol w:w="1275"/>
        <w:gridCol w:w="4395"/>
        <w:gridCol w:w="5382"/>
        <w:gridCol w:w="997"/>
        <w:gridCol w:w="1465"/>
      </w:tblGrid>
      <w:tr w:rsidR="00942712" w:rsidRPr="00514EDC" w14:paraId="0C1E71E6" w14:textId="77777777" w:rsidTr="00D50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37F9E92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Category</w:t>
            </w:r>
          </w:p>
        </w:tc>
        <w:tc>
          <w:tcPr>
            <w:tcW w:w="4395" w:type="dxa"/>
            <w:hideMark/>
          </w:tcPr>
          <w:p w14:paraId="09729713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Sub-category</w:t>
            </w:r>
          </w:p>
        </w:tc>
        <w:tc>
          <w:tcPr>
            <w:tcW w:w="5382" w:type="dxa"/>
            <w:hideMark/>
          </w:tcPr>
          <w:p w14:paraId="0C1A6AD4" w14:textId="77777777" w:rsidR="00942712" w:rsidRPr="00514EDC" w:rsidRDefault="00942712" w:rsidP="00D503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E"/>
              </w:rPr>
              <w:t>Q3, 2022 Sub-category Breakdown</w:t>
            </w:r>
          </w:p>
        </w:tc>
        <w:tc>
          <w:tcPr>
            <w:tcW w:w="997" w:type="dxa"/>
            <w:hideMark/>
          </w:tcPr>
          <w:p w14:paraId="6C80FFF5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# of Queries</w:t>
            </w:r>
          </w:p>
        </w:tc>
        <w:tc>
          <w:tcPr>
            <w:tcW w:w="1465" w:type="dxa"/>
            <w:hideMark/>
          </w:tcPr>
          <w:p w14:paraId="2BE85C02" w14:textId="77777777" w:rsidR="00942712" w:rsidRPr="00514EDC" w:rsidRDefault="00942712" w:rsidP="00D503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% of Housing Sub-category</w:t>
            </w:r>
          </w:p>
        </w:tc>
      </w:tr>
      <w:tr w:rsidR="00942712" w:rsidRPr="00514EDC" w14:paraId="4B4D556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7044EBD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Local Authority and Social Housing</w:t>
            </w:r>
          </w:p>
        </w:tc>
      </w:tr>
      <w:tr w:rsidR="00942712" w:rsidRPr="00514EDC" w14:paraId="616D39F7" w14:textId="77777777" w:rsidTr="00D5036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0D1C80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3AF38132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2AB02E1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Applying for Local Authority/Social Housing</w:t>
            </w:r>
          </w:p>
        </w:tc>
        <w:tc>
          <w:tcPr>
            <w:tcW w:w="997" w:type="dxa"/>
            <w:noWrap/>
          </w:tcPr>
          <w:p w14:paraId="43E5C4E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5320</w:t>
            </w:r>
          </w:p>
        </w:tc>
        <w:tc>
          <w:tcPr>
            <w:tcW w:w="1465" w:type="dxa"/>
            <w:noWrap/>
          </w:tcPr>
          <w:p w14:paraId="60C0D9B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49.6%</w:t>
            </w:r>
          </w:p>
        </w:tc>
      </w:tr>
      <w:tr w:rsidR="00942712" w:rsidRPr="00514EDC" w14:paraId="036E526E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655959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C57B78B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1C28F72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Housing Assistance Payment (HAP)</w:t>
            </w:r>
          </w:p>
        </w:tc>
        <w:tc>
          <w:tcPr>
            <w:tcW w:w="997" w:type="dxa"/>
            <w:noWrap/>
          </w:tcPr>
          <w:p w14:paraId="6A9DB08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3151</w:t>
            </w:r>
          </w:p>
        </w:tc>
        <w:tc>
          <w:tcPr>
            <w:tcW w:w="1465" w:type="dxa"/>
            <w:noWrap/>
          </w:tcPr>
          <w:p w14:paraId="3E8B5CA7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29.4%</w:t>
            </w:r>
          </w:p>
        </w:tc>
      </w:tr>
      <w:tr w:rsidR="00942712" w:rsidRPr="00514EDC" w14:paraId="72B36D24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A5CFEA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CA3464F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ECD0A28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997" w:type="dxa"/>
            <w:noWrap/>
          </w:tcPr>
          <w:p w14:paraId="5B0B88FB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834</w:t>
            </w:r>
          </w:p>
        </w:tc>
        <w:tc>
          <w:tcPr>
            <w:tcW w:w="1465" w:type="dxa"/>
            <w:noWrap/>
          </w:tcPr>
          <w:p w14:paraId="6492E6F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7.8%</w:t>
            </w:r>
          </w:p>
        </w:tc>
      </w:tr>
      <w:tr w:rsidR="00942712" w:rsidRPr="00514EDC" w14:paraId="045FE06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86EEEF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02D37C4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0653D99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Differential Rent</w:t>
            </w:r>
          </w:p>
        </w:tc>
        <w:tc>
          <w:tcPr>
            <w:tcW w:w="997" w:type="dxa"/>
            <w:noWrap/>
          </w:tcPr>
          <w:p w14:paraId="59CEF389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460</w:t>
            </w:r>
          </w:p>
        </w:tc>
        <w:tc>
          <w:tcPr>
            <w:tcW w:w="1465" w:type="dxa"/>
            <w:noWrap/>
          </w:tcPr>
          <w:p w14:paraId="7361A766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</w:tr>
      <w:tr w:rsidR="00942712" w:rsidRPr="00514EDC" w14:paraId="2B2229DF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D309C1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7CE03168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FD45F1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 Transfers</w:t>
            </w:r>
          </w:p>
        </w:tc>
        <w:tc>
          <w:tcPr>
            <w:tcW w:w="997" w:type="dxa"/>
            <w:noWrap/>
          </w:tcPr>
          <w:p w14:paraId="5150B605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  <w:tc>
          <w:tcPr>
            <w:tcW w:w="1465" w:type="dxa"/>
            <w:noWrap/>
          </w:tcPr>
          <w:p w14:paraId="2063AE4B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2.0%</w:t>
            </w:r>
          </w:p>
        </w:tc>
      </w:tr>
      <w:tr w:rsidR="00942712" w:rsidRPr="00514EDC" w14:paraId="60961F1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8AD137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2CFE88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7D18ADB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Standards/Repairs</w:t>
            </w:r>
          </w:p>
        </w:tc>
        <w:tc>
          <w:tcPr>
            <w:tcW w:w="997" w:type="dxa"/>
            <w:noWrap/>
          </w:tcPr>
          <w:p w14:paraId="36CDB03C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142</w:t>
            </w:r>
          </w:p>
        </w:tc>
        <w:tc>
          <w:tcPr>
            <w:tcW w:w="1465" w:type="dxa"/>
            <w:noWrap/>
          </w:tcPr>
          <w:p w14:paraId="0BEEBB5A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1.3%</w:t>
            </w:r>
          </w:p>
        </w:tc>
      </w:tr>
      <w:tr w:rsidR="00942712" w:rsidRPr="00514EDC" w14:paraId="5A971376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A33CCC8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30441888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3F6DE742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Notice/Eviction/Disputes</w:t>
            </w:r>
          </w:p>
        </w:tc>
        <w:tc>
          <w:tcPr>
            <w:tcW w:w="997" w:type="dxa"/>
            <w:noWrap/>
          </w:tcPr>
          <w:p w14:paraId="764D9E3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465" w:type="dxa"/>
            <w:noWrap/>
          </w:tcPr>
          <w:p w14:paraId="1ABCDDD6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1.2%</w:t>
            </w:r>
          </w:p>
        </w:tc>
      </w:tr>
      <w:tr w:rsidR="00942712" w:rsidRPr="00514EDC" w14:paraId="6E31C6BA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0D282F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6F7033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5D4230F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Arrears/Rent Problems</w:t>
            </w:r>
          </w:p>
        </w:tc>
        <w:tc>
          <w:tcPr>
            <w:tcW w:w="997" w:type="dxa"/>
            <w:noWrap/>
          </w:tcPr>
          <w:p w14:paraId="4F5D361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1465" w:type="dxa"/>
            <w:noWrap/>
          </w:tcPr>
          <w:p w14:paraId="45F1F43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1.1%</w:t>
            </w:r>
          </w:p>
        </w:tc>
      </w:tr>
      <w:tr w:rsidR="00942712" w:rsidRPr="00514EDC" w14:paraId="73F99DE4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06A1BFFD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64F0E7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21EB0F53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Medical Priority</w:t>
            </w:r>
          </w:p>
        </w:tc>
        <w:tc>
          <w:tcPr>
            <w:tcW w:w="997" w:type="dxa"/>
            <w:noWrap/>
          </w:tcPr>
          <w:p w14:paraId="51B7B50C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1465" w:type="dxa"/>
            <w:noWrap/>
          </w:tcPr>
          <w:p w14:paraId="0FA97BA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1.0%</w:t>
            </w:r>
          </w:p>
        </w:tc>
      </w:tr>
      <w:tr w:rsidR="00942712" w:rsidRPr="00514EDC" w14:paraId="23B72C10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A2B271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74869F1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  <w:vAlign w:val="bottom"/>
          </w:tcPr>
          <w:p w14:paraId="6B927FCF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Rental Accommodation Scheme (RAS)</w:t>
            </w:r>
          </w:p>
        </w:tc>
        <w:tc>
          <w:tcPr>
            <w:tcW w:w="997" w:type="dxa"/>
            <w:noWrap/>
          </w:tcPr>
          <w:p w14:paraId="6E3E209B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465" w:type="dxa"/>
            <w:noWrap/>
          </w:tcPr>
          <w:p w14:paraId="6075D69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</w:tr>
      <w:tr w:rsidR="00942712" w:rsidRPr="00514EDC" w14:paraId="1A6F274F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5223249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4BEFF781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4FF6F9A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Tenant Purchase (Incremental Scheme)</w:t>
            </w:r>
          </w:p>
        </w:tc>
        <w:tc>
          <w:tcPr>
            <w:tcW w:w="997" w:type="dxa"/>
            <w:noWrap/>
          </w:tcPr>
          <w:p w14:paraId="50D4B484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465" w:type="dxa"/>
            <w:noWrap/>
          </w:tcPr>
          <w:p w14:paraId="0B1E09EB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0.8%</w:t>
            </w:r>
          </w:p>
        </w:tc>
      </w:tr>
      <w:tr w:rsidR="00942712" w:rsidRPr="00514EDC" w14:paraId="1380EB2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543B83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2002BB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vAlign w:val="bottom"/>
          </w:tcPr>
          <w:p w14:paraId="5B99FBB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Choice Based Lettings</w:t>
            </w:r>
          </w:p>
        </w:tc>
        <w:tc>
          <w:tcPr>
            <w:tcW w:w="997" w:type="dxa"/>
            <w:noWrap/>
          </w:tcPr>
          <w:p w14:paraId="3D5AC5CC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74</w:t>
            </w:r>
          </w:p>
        </w:tc>
        <w:tc>
          <w:tcPr>
            <w:tcW w:w="1465" w:type="dxa"/>
            <w:noWrap/>
          </w:tcPr>
          <w:p w14:paraId="5E62E89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0.7%</w:t>
            </w:r>
          </w:p>
        </w:tc>
      </w:tr>
      <w:tr w:rsidR="00942712" w:rsidRPr="00514EDC" w14:paraId="47F62F41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3C90C68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62EDCD31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7E5C1B7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24457F6B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10,724</w:t>
            </w:r>
          </w:p>
        </w:tc>
        <w:tc>
          <w:tcPr>
            <w:tcW w:w="1465" w:type="dxa"/>
            <w:noWrap/>
          </w:tcPr>
          <w:p w14:paraId="193601F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20CBDE0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4A7FB83D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Renting a Home</w:t>
            </w:r>
          </w:p>
        </w:tc>
      </w:tr>
      <w:tr w:rsidR="00942712" w:rsidRPr="00514EDC" w14:paraId="1D4CFE97" w14:textId="77777777" w:rsidTr="00D50363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81121D5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Housing</w:t>
            </w:r>
          </w:p>
        </w:tc>
        <w:tc>
          <w:tcPr>
            <w:tcW w:w="4395" w:type="dxa"/>
            <w:noWrap/>
            <w:hideMark/>
          </w:tcPr>
          <w:p w14:paraId="544BD52D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C3DEF4B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Notice/Eviction/Disputes</w:t>
            </w:r>
          </w:p>
        </w:tc>
        <w:tc>
          <w:tcPr>
            <w:tcW w:w="997" w:type="dxa"/>
            <w:noWrap/>
            <w:vAlign w:val="bottom"/>
          </w:tcPr>
          <w:p w14:paraId="6F12092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465" w:type="dxa"/>
            <w:noWrap/>
          </w:tcPr>
          <w:p w14:paraId="21F70A25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25.8%</w:t>
            </w:r>
          </w:p>
        </w:tc>
      </w:tr>
      <w:tr w:rsidR="00942712" w:rsidRPr="00514EDC" w14:paraId="01470C3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DCFB5D5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47F711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822487B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RTB (Residential Tenancies Board)</w:t>
            </w:r>
          </w:p>
        </w:tc>
        <w:tc>
          <w:tcPr>
            <w:tcW w:w="997" w:type="dxa"/>
            <w:noWrap/>
            <w:vAlign w:val="bottom"/>
          </w:tcPr>
          <w:p w14:paraId="5643A1A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465" w:type="dxa"/>
            <w:noWrap/>
          </w:tcPr>
          <w:p w14:paraId="7B9E4196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17.0%</w:t>
            </w:r>
          </w:p>
        </w:tc>
      </w:tr>
      <w:tr w:rsidR="00942712" w:rsidRPr="00514EDC" w14:paraId="7226BDF8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DAD0D4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2E3081B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2ABAB25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Tenants’ Rights and Obligations</w:t>
            </w:r>
          </w:p>
        </w:tc>
        <w:tc>
          <w:tcPr>
            <w:tcW w:w="997" w:type="dxa"/>
            <w:noWrap/>
            <w:vAlign w:val="bottom"/>
          </w:tcPr>
          <w:p w14:paraId="57586A1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465" w:type="dxa"/>
            <w:noWrap/>
          </w:tcPr>
          <w:p w14:paraId="75EBCD0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13.8%</w:t>
            </w:r>
          </w:p>
        </w:tc>
      </w:tr>
      <w:tr w:rsidR="00942712" w:rsidRPr="00514EDC" w14:paraId="049468B5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352C74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29B4F10D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1D9040EA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Landlords’ Rights &amp; Obligations</w:t>
            </w:r>
          </w:p>
        </w:tc>
        <w:tc>
          <w:tcPr>
            <w:tcW w:w="997" w:type="dxa"/>
            <w:noWrap/>
            <w:vAlign w:val="bottom"/>
          </w:tcPr>
          <w:p w14:paraId="42170588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65" w:type="dxa"/>
            <w:noWrap/>
          </w:tcPr>
          <w:p w14:paraId="083C18E9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13.0%</w:t>
            </w:r>
          </w:p>
        </w:tc>
      </w:tr>
      <w:tr w:rsidR="00942712" w:rsidRPr="00514EDC" w14:paraId="5280A773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C8194DC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2238A31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1D5D47D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Review</w:t>
            </w:r>
          </w:p>
        </w:tc>
        <w:tc>
          <w:tcPr>
            <w:tcW w:w="997" w:type="dxa"/>
            <w:noWrap/>
            <w:vAlign w:val="bottom"/>
          </w:tcPr>
          <w:p w14:paraId="3345BA85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465" w:type="dxa"/>
            <w:noWrap/>
          </w:tcPr>
          <w:p w14:paraId="15114494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9.4%</w:t>
            </w:r>
          </w:p>
        </w:tc>
      </w:tr>
      <w:tr w:rsidR="00942712" w:rsidRPr="00514EDC" w14:paraId="7992209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CA4BDC5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471103FC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72D2B715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Rent Arrears/Rent Problems</w:t>
            </w:r>
          </w:p>
        </w:tc>
        <w:tc>
          <w:tcPr>
            <w:tcW w:w="997" w:type="dxa"/>
            <w:noWrap/>
            <w:vAlign w:val="bottom"/>
          </w:tcPr>
          <w:p w14:paraId="18C686FC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65" w:type="dxa"/>
            <w:noWrap/>
          </w:tcPr>
          <w:p w14:paraId="133529D2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6.2%</w:t>
            </w:r>
          </w:p>
        </w:tc>
      </w:tr>
      <w:tr w:rsidR="00942712" w:rsidRPr="00514EDC" w14:paraId="1A91738D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5F8859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5A29B1C5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0C95AA2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Finding Accommodation</w:t>
            </w:r>
          </w:p>
        </w:tc>
        <w:tc>
          <w:tcPr>
            <w:tcW w:w="997" w:type="dxa"/>
            <w:noWrap/>
            <w:vAlign w:val="bottom"/>
          </w:tcPr>
          <w:p w14:paraId="64ADA755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465" w:type="dxa"/>
            <w:noWrap/>
          </w:tcPr>
          <w:p w14:paraId="74F949C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4.9%</w:t>
            </w:r>
          </w:p>
        </w:tc>
      </w:tr>
      <w:tr w:rsidR="00942712" w:rsidRPr="00514EDC" w14:paraId="6D13D30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90AAAAF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942D9D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64ABAD8C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Standards/Repairs</w:t>
            </w:r>
          </w:p>
        </w:tc>
        <w:tc>
          <w:tcPr>
            <w:tcW w:w="997" w:type="dxa"/>
            <w:noWrap/>
            <w:vAlign w:val="bottom"/>
          </w:tcPr>
          <w:p w14:paraId="292DC6A7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465" w:type="dxa"/>
            <w:noWrap/>
          </w:tcPr>
          <w:p w14:paraId="5C2AB2A2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4.3%</w:t>
            </w:r>
          </w:p>
        </w:tc>
      </w:tr>
      <w:tr w:rsidR="00942712" w:rsidRPr="00514EDC" w14:paraId="2606CC0C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C92CB9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69A48C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37E71F7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Deposit Retention</w:t>
            </w:r>
          </w:p>
        </w:tc>
        <w:tc>
          <w:tcPr>
            <w:tcW w:w="997" w:type="dxa"/>
            <w:noWrap/>
            <w:vAlign w:val="bottom"/>
          </w:tcPr>
          <w:p w14:paraId="38ADCC0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65" w:type="dxa"/>
            <w:noWrap/>
          </w:tcPr>
          <w:p w14:paraId="7E79E9A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</w:tr>
      <w:tr w:rsidR="00942712" w:rsidRPr="00514EDC" w14:paraId="5F0615F8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DCEAA5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2C6AD95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vAlign w:val="bottom"/>
          </w:tcPr>
          <w:p w14:paraId="1A2024B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Licensee</w:t>
            </w:r>
          </w:p>
        </w:tc>
        <w:tc>
          <w:tcPr>
            <w:tcW w:w="997" w:type="dxa"/>
            <w:noWrap/>
            <w:vAlign w:val="bottom"/>
          </w:tcPr>
          <w:p w14:paraId="5E2C3E1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65" w:type="dxa"/>
            <w:noWrap/>
            <w:hideMark/>
          </w:tcPr>
          <w:p w14:paraId="6257D7F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</w:tr>
      <w:tr w:rsidR="00942712" w:rsidRPr="00514EDC" w14:paraId="48DEFAD5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785BE1D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30DB0B0B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E437ACA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5DCA7065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3,545</w:t>
            </w:r>
          </w:p>
        </w:tc>
        <w:tc>
          <w:tcPr>
            <w:tcW w:w="1465" w:type="dxa"/>
            <w:noWrap/>
            <w:hideMark/>
          </w:tcPr>
          <w:p w14:paraId="3A46CAC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78DF6C2C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2D49877C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Housing Grants and Schemes</w:t>
            </w:r>
          </w:p>
        </w:tc>
      </w:tr>
      <w:tr w:rsidR="00942712" w:rsidRPr="00514EDC" w14:paraId="4E68DA84" w14:textId="77777777" w:rsidTr="00D50363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E45C2C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454F253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5382" w:type="dxa"/>
            <w:noWrap/>
            <w:hideMark/>
          </w:tcPr>
          <w:p w14:paraId="08527FCD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Housing Grants and Schemes</w:t>
            </w:r>
          </w:p>
        </w:tc>
        <w:tc>
          <w:tcPr>
            <w:tcW w:w="997" w:type="dxa"/>
            <w:noWrap/>
            <w:hideMark/>
          </w:tcPr>
          <w:p w14:paraId="5FFD9B63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2,984</w:t>
            </w:r>
          </w:p>
        </w:tc>
        <w:tc>
          <w:tcPr>
            <w:tcW w:w="1465" w:type="dxa"/>
            <w:noWrap/>
            <w:hideMark/>
          </w:tcPr>
          <w:p w14:paraId="1F3EFC7C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942712" w:rsidRPr="00514EDC" w14:paraId="28D6B5B1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793E00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6F056F5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E8D227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476F079E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2,984</w:t>
            </w:r>
          </w:p>
        </w:tc>
        <w:tc>
          <w:tcPr>
            <w:tcW w:w="1465" w:type="dxa"/>
            <w:noWrap/>
            <w:hideMark/>
          </w:tcPr>
          <w:p w14:paraId="09840594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6AE74C86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5005003F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Other</w:t>
            </w:r>
          </w:p>
        </w:tc>
      </w:tr>
      <w:tr w:rsidR="00942712" w:rsidRPr="00514EDC" w14:paraId="2AF626D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66F902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40F97870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Other</w:t>
            </w:r>
          </w:p>
        </w:tc>
        <w:tc>
          <w:tcPr>
            <w:tcW w:w="5382" w:type="dxa"/>
            <w:noWrap/>
            <w:hideMark/>
          </w:tcPr>
          <w:p w14:paraId="3D8E45D7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97" w:type="dxa"/>
            <w:noWrap/>
          </w:tcPr>
          <w:p w14:paraId="161A2B31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1,125</w:t>
            </w:r>
          </w:p>
        </w:tc>
        <w:tc>
          <w:tcPr>
            <w:tcW w:w="1465" w:type="dxa"/>
            <w:noWrap/>
          </w:tcPr>
          <w:p w14:paraId="04F7A15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42712" w:rsidRPr="00514EDC" w14:paraId="4E03AC88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03D70A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016BED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3A4C6C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7369A2D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1,125</w:t>
            </w:r>
          </w:p>
        </w:tc>
        <w:tc>
          <w:tcPr>
            <w:tcW w:w="1465" w:type="dxa"/>
            <w:noWrap/>
            <w:hideMark/>
          </w:tcPr>
          <w:p w14:paraId="369A06C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2ED4688D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7DFEB0DF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Homelessness</w:t>
            </w:r>
          </w:p>
        </w:tc>
      </w:tr>
      <w:tr w:rsidR="00942712" w:rsidRPr="00514EDC" w14:paraId="5D137F04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5BBC7B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2FE94678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Homelessness</w:t>
            </w:r>
          </w:p>
        </w:tc>
        <w:tc>
          <w:tcPr>
            <w:tcW w:w="5382" w:type="dxa"/>
            <w:noWrap/>
            <w:hideMark/>
          </w:tcPr>
          <w:p w14:paraId="234129A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997" w:type="dxa"/>
            <w:noWrap/>
            <w:hideMark/>
          </w:tcPr>
          <w:p w14:paraId="15E7F77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926</w:t>
            </w:r>
          </w:p>
        </w:tc>
        <w:tc>
          <w:tcPr>
            <w:tcW w:w="1465" w:type="dxa"/>
            <w:noWrap/>
          </w:tcPr>
          <w:p w14:paraId="7F0E27A2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942712" w:rsidRPr="00514EDC" w14:paraId="25B06656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FFC9E6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2954FEF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CC598F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038998F8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926</w:t>
            </w:r>
          </w:p>
        </w:tc>
        <w:tc>
          <w:tcPr>
            <w:tcW w:w="1465" w:type="dxa"/>
            <w:noWrap/>
            <w:hideMark/>
          </w:tcPr>
          <w:p w14:paraId="50BE0AC7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2F269A41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7B52B63F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Home Energy Grants (SEAI)</w:t>
            </w:r>
          </w:p>
        </w:tc>
      </w:tr>
      <w:tr w:rsidR="00942712" w:rsidRPr="00514EDC" w14:paraId="6F7928E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6F883C1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36E382A4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Home Energy Grants</w:t>
            </w:r>
          </w:p>
        </w:tc>
        <w:tc>
          <w:tcPr>
            <w:tcW w:w="5382" w:type="dxa"/>
            <w:noWrap/>
            <w:hideMark/>
          </w:tcPr>
          <w:p w14:paraId="5117AD69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Home Energy Grants</w:t>
            </w:r>
          </w:p>
        </w:tc>
        <w:tc>
          <w:tcPr>
            <w:tcW w:w="997" w:type="dxa"/>
            <w:noWrap/>
            <w:hideMark/>
          </w:tcPr>
          <w:p w14:paraId="14647B3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894</w:t>
            </w:r>
          </w:p>
        </w:tc>
        <w:tc>
          <w:tcPr>
            <w:tcW w:w="1465" w:type="dxa"/>
            <w:noWrap/>
            <w:hideMark/>
          </w:tcPr>
          <w:p w14:paraId="6DD71623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942712" w:rsidRPr="00514EDC" w14:paraId="223C5953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623579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64E36FA7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043F3DED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093761ED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894</w:t>
            </w:r>
          </w:p>
        </w:tc>
        <w:tc>
          <w:tcPr>
            <w:tcW w:w="1465" w:type="dxa"/>
            <w:noWrap/>
            <w:hideMark/>
          </w:tcPr>
          <w:p w14:paraId="2CB476BF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0994705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03B9A20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Buying a Home</w:t>
            </w:r>
          </w:p>
        </w:tc>
      </w:tr>
      <w:tr w:rsidR="00942712" w:rsidRPr="00514EDC" w14:paraId="4B1F3841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EA7056A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88777C3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Buying a Home</w:t>
            </w:r>
          </w:p>
        </w:tc>
        <w:tc>
          <w:tcPr>
            <w:tcW w:w="5382" w:type="dxa"/>
            <w:noWrap/>
            <w:hideMark/>
          </w:tcPr>
          <w:p w14:paraId="500A2A46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997" w:type="dxa"/>
            <w:noWrap/>
          </w:tcPr>
          <w:p w14:paraId="3104AAF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609</w:t>
            </w:r>
          </w:p>
        </w:tc>
        <w:tc>
          <w:tcPr>
            <w:tcW w:w="1465" w:type="dxa"/>
            <w:noWrap/>
            <w:hideMark/>
          </w:tcPr>
          <w:p w14:paraId="1B208F1E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942712" w:rsidRPr="00514EDC" w14:paraId="6388D58B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7BE04F6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FD101B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03AE99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5F1F730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609</w:t>
            </w:r>
          </w:p>
        </w:tc>
        <w:tc>
          <w:tcPr>
            <w:tcW w:w="1465" w:type="dxa"/>
            <w:noWrap/>
            <w:hideMark/>
          </w:tcPr>
          <w:p w14:paraId="548DEB4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0DFC7ADB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137516E8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Planning Permission</w:t>
            </w:r>
          </w:p>
        </w:tc>
      </w:tr>
      <w:tr w:rsidR="00942712" w:rsidRPr="00514EDC" w14:paraId="207532B2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A01DC5B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246F5CC3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lang w:eastAsia="en-IE"/>
              </w:rPr>
              <w:t>Planning Permission</w:t>
            </w:r>
          </w:p>
        </w:tc>
        <w:tc>
          <w:tcPr>
            <w:tcW w:w="5382" w:type="dxa"/>
            <w:noWrap/>
            <w:hideMark/>
          </w:tcPr>
          <w:p w14:paraId="5F46662D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997" w:type="dxa"/>
            <w:noWrap/>
            <w:hideMark/>
          </w:tcPr>
          <w:p w14:paraId="2ACAB52D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141</w:t>
            </w:r>
          </w:p>
        </w:tc>
        <w:tc>
          <w:tcPr>
            <w:tcW w:w="1465" w:type="dxa"/>
            <w:noWrap/>
          </w:tcPr>
          <w:p w14:paraId="3D95373F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942712" w:rsidRPr="00514EDC" w14:paraId="72F95BA4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B26A317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244B8DB0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018754BC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3FCA61D3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141</w:t>
            </w:r>
          </w:p>
        </w:tc>
        <w:tc>
          <w:tcPr>
            <w:tcW w:w="1465" w:type="dxa"/>
            <w:noWrap/>
          </w:tcPr>
          <w:p w14:paraId="5217B7F7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4A33D719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633D8568" w14:textId="77777777" w:rsidR="00942712" w:rsidRPr="00514EDC" w:rsidRDefault="00942712" w:rsidP="00D5036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All other sub-categories (&lt;100 queries)*</w:t>
            </w:r>
          </w:p>
        </w:tc>
      </w:tr>
      <w:tr w:rsidR="00942712" w:rsidRPr="00514EDC" w14:paraId="7A4E361B" w14:textId="77777777" w:rsidTr="00D50363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1CFBEA3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9D143E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4C273389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997" w:type="dxa"/>
            <w:noWrap/>
          </w:tcPr>
          <w:p w14:paraId="16F0EC35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286</w:t>
            </w:r>
          </w:p>
        </w:tc>
        <w:tc>
          <w:tcPr>
            <w:tcW w:w="1465" w:type="dxa"/>
            <w:noWrap/>
          </w:tcPr>
          <w:p w14:paraId="33A27423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942712" w:rsidRPr="00514EDC" w14:paraId="7377C4D4" w14:textId="77777777" w:rsidTr="00D50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57EB062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08415BC6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4E6A68EF" w14:textId="77777777" w:rsidR="00942712" w:rsidRPr="00514EDC" w:rsidRDefault="00942712" w:rsidP="00D503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634886E4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286</w:t>
            </w:r>
          </w:p>
        </w:tc>
        <w:tc>
          <w:tcPr>
            <w:tcW w:w="1465" w:type="dxa"/>
            <w:noWrap/>
            <w:hideMark/>
          </w:tcPr>
          <w:p w14:paraId="706BD282" w14:textId="77777777" w:rsidR="00942712" w:rsidRPr="00514EDC" w:rsidRDefault="00942712" w:rsidP="00D503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514EDC" w14:paraId="50029CCF" w14:textId="77777777" w:rsidTr="00D50363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4C6DFBE" w14:textId="77777777" w:rsidR="00942712" w:rsidRPr="00514EDC" w:rsidRDefault="00942712" w:rsidP="00D5036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4395" w:type="dxa"/>
            <w:noWrap/>
            <w:hideMark/>
          </w:tcPr>
          <w:p w14:paraId="6C82570F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F52CEE3" w14:textId="77777777" w:rsidR="00942712" w:rsidRPr="00514EDC" w:rsidRDefault="00942712" w:rsidP="00D503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997" w:type="dxa"/>
            <w:noWrap/>
            <w:hideMark/>
          </w:tcPr>
          <w:p w14:paraId="06D7BECC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21,234</w:t>
            </w:r>
          </w:p>
        </w:tc>
        <w:tc>
          <w:tcPr>
            <w:tcW w:w="1465" w:type="dxa"/>
            <w:noWrap/>
          </w:tcPr>
          <w:p w14:paraId="1DBF53E8" w14:textId="77777777" w:rsidR="00942712" w:rsidRPr="00514EDC" w:rsidRDefault="00942712" w:rsidP="00D503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0F468D84" w14:textId="77777777" w:rsidR="00942712" w:rsidRDefault="00942712" w:rsidP="00942712">
      <w:pPr>
        <w:rPr>
          <w:sz w:val="20"/>
          <w:szCs w:val="20"/>
          <w:lang w:val="en-US"/>
        </w:rPr>
      </w:pPr>
      <w:r w:rsidRPr="0038793B">
        <w:rPr>
          <w:b/>
          <w:lang w:val="en-US"/>
        </w:rPr>
        <w:t>*</w:t>
      </w:r>
      <w:r w:rsidRPr="0038793B">
        <w:rPr>
          <w:sz w:val="20"/>
          <w:szCs w:val="20"/>
          <w:lang w:val="en-US"/>
        </w:rPr>
        <w:t>All other sub-categories include the following query areas:</w:t>
      </w:r>
      <w:r>
        <w:rPr>
          <w:sz w:val="20"/>
          <w:szCs w:val="20"/>
          <w:lang w:val="en-US"/>
        </w:rPr>
        <w:t xml:space="preserve"> Losing your Home (88);</w:t>
      </w:r>
      <w:r w:rsidRPr="009C68F5">
        <w:rPr>
          <w:sz w:val="20"/>
          <w:szCs w:val="20"/>
          <w:lang w:val="en-US"/>
        </w:rPr>
        <w:t xml:space="preserve"> </w:t>
      </w:r>
      <w:r w:rsidRPr="0038793B">
        <w:rPr>
          <w:sz w:val="20"/>
          <w:szCs w:val="20"/>
          <w:lang w:val="en-US"/>
        </w:rPr>
        <w:t>Building or Altering a Home</w:t>
      </w:r>
      <w:r>
        <w:rPr>
          <w:sz w:val="20"/>
          <w:szCs w:val="20"/>
          <w:lang w:val="en-US"/>
        </w:rPr>
        <w:t xml:space="preserve"> (84)</w:t>
      </w:r>
      <w:r w:rsidRPr="0038793B">
        <w:rPr>
          <w:sz w:val="20"/>
          <w:szCs w:val="20"/>
          <w:lang w:val="en-US"/>
        </w:rPr>
        <w:t>; Emergency Accommodation</w:t>
      </w:r>
      <w:r>
        <w:rPr>
          <w:sz w:val="20"/>
          <w:szCs w:val="20"/>
          <w:lang w:val="en-US"/>
        </w:rPr>
        <w:t xml:space="preserve"> (78)</w:t>
      </w:r>
      <w:r w:rsidRPr="0038793B"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en-US"/>
        </w:rPr>
        <w:t>Equa</w:t>
      </w:r>
      <w:r w:rsidRPr="0038793B">
        <w:rPr>
          <w:sz w:val="20"/>
          <w:szCs w:val="20"/>
          <w:lang w:val="en-US"/>
        </w:rPr>
        <w:t>lity/Housing Discrimination</w:t>
      </w:r>
      <w:r>
        <w:rPr>
          <w:sz w:val="20"/>
          <w:szCs w:val="20"/>
          <w:lang w:val="en-US"/>
        </w:rPr>
        <w:t xml:space="preserve"> (25) and Management Companies - Apartment Blocks – (11)</w:t>
      </w:r>
    </w:p>
    <w:p w14:paraId="0E67C01F" w14:textId="77777777" w:rsidR="00942712" w:rsidRPr="00420C57" w:rsidRDefault="00942712" w:rsidP="00942712">
      <w:pPr>
        <w:rPr>
          <w:b/>
          <w:sz w:val="22"/>
          <w:szCs w:val="22"/>
          <w:lang w:val="en-US"/>
        </w:rPr>
      </w:pPr>
      <w:r w:rsidRPr="00420C57">
        <w:rPr>
          <w:b/>
          <w:sz w:val="22"/>
          <w:szCs w:val="22"/>
          <w:lang w:val="en-US"/>
        </w:rPr>
        <w:t>Table 8</w:t>
      </w:r>
      <w:r w:rsidRPr="00420C57">
        <w:rPr>
          <w:sz w:val="22"/>
          <w:szCs w:val="22"/>
          <w:lang w:val="en-US"/>
        </w:rPr>
        <w:t xml:space="preserve"> sets out the </w:t>
      </w:r>
      <w:r w:rsidRPr="00420C57">
        <w:rPr>
          <w:b/>
          <w:sz w:val="22"/>
          <w:szCs w:val="22"/>
          <w:lang w:val="en-US"/>
        </w:rPr>
        <w:t xml:space="preserve">Health </w:t>
      </w:r>
      <w:r w:rsidRPr="00420C57">
        <w:rPr>
          <w:sz w:val="22"/>
          <w:szCs w:val="22"/>
          <w:lang w:val="en-US"/>
        </w:rPr>
        <w:t xml:space="preserve">query dataset for Quarter 3, 2022. Health replaced Moving Country in the top three categories of queries, representing 7.1% of all queries compared with 6.6% in Q3 2021. The Health category essentially covers health service entitlements and eligibility with the main query area being </w:t>
      </w:r>
      <w:r w:rsidRPr="00420C57">
        <w:rPr>
          <w:b/>
          <w:sz w:val="22"/>
          <w:szCs w:val="22"/>
          <w:lang w:val="en-US"/>
        </w:rPr>
        <w:t>Medical Card</w:t>
      </w:r>
      <w:r w:rsidRPr="00420C57">
        <w:rPr>
          <w:sz w:val="22"/>
          <w:szCs w:val="22"/>
          <w:lang w:val="en-US"/>
        </w:rPr>
        <w:t xml:space="preserve"> related concerns.</w:t>
      </w:r>
    </w:p>
    <w:p w14:paraId="3D42197D" w14:textId="77777777" w:rsidR="00942712" w:rsidRPr="00420C57" w:rsidRDefault="00942712" w:rsidP="00942712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 w:rsidRPr="00420C57">
        <w:rPr>
          <w:rFonts w:ascii="Calibri" w:hAnsi="Calibri" w:cs="Calibri"/>
          <w:color w:val="auto"/>
          <w:sz w:val="22"/>
          <w:szCs w:val="22"/>
          <w:lang w:val="en-US"/>
        </w:rPr>
        <w:t xml:space="preserve">Q3 2022 showed some changes in the type, as well as the amount, of </w:t>
      </w:r>
      <w:r w:rsidRPr="00420C57">
        <w:rPr>
          <w:rFonts w:ascii="Calibri" w:hAnsi="Calibri" w:cs="Calibri"/>
          <w:b/>
          <w:color w:val="auto"/>
          <w:sz w:val="22"/>
          <w:szCs w:val="22"/>
          <w:lang w:val="en-US"/>
        </w:rPr>
        <w:t>Health</w:t>
      </w:r>
      <w:r w:rsidRPr="00420C57">
        <w:rPr>
          <w:rFonts w:ascii="Calibri" w:hAnsi="Calibri" w:cs="Calibri"/>
          <w:color w:val="auto"/>
          <w:sz w:val="22"/>
          <w:szCs w:val="22"/>
          <w:lang w:val="en-US"/>
        </w:rPr>
        <w:t xml:space="preserve"> queries received from the public: </w:t>
      </w:r>
    </w:p>
    <w:p w14:paraId="2BD89B0A" w14:textId="77777777" w:rsidR="00942712" w:rsidRPr="00420C57" w:rsidRDefault="00942712" w:rsidP="00942712">
      <w:pPr>
        <w:pStyle w:val="Heading1"/>
        <w:numPr>
          <w:ilvl w:val="0"/>
          <w:numId w:val="7"/>
        </w:numPr>
        <w:rPr>
          <w:rFonts w:ascii="Calibri" w:hAnsi="Calibri" w:cs="Calibri"/>
          <w:color w:val="auto"/>
          <w:sz w:val="22"/>
          <w:szCs w:val="22"/>
          <w:lang w:val="en-US"/>
        </w:rPr>
      </w:pPr>
      <w:r w:rsidRPr="00420C57">
        <w:rPr>
          <w:rFonts w:ascii="Calibri" w:hAnsi="Calibri" w:cs="Calibri"/>
          <w:b/>
          <w:color w:val="auto"/>
          <w:sz w:val="22"/>
          <w:szCs w:val="22"/>
          <w:lang w:val="en-US"/>
        </w:rPr>
        <w:t>Medical Card</w:t>
      </w:r>
      <w:r w:rsidRPr="00420C57">
        <w:rPr>
          <w:rFonts w:ascii="Calibri" w:hAnsi="Calibri" w:cs="Calibri"/>
          <w:color w:val="auto"/>
          <w:sz w:val="22"/>
          <w:szCs w:val="22"/>
          <w:lang w:val="en-US"/>
        </w:rPr>
        <w:t xml:space="preserve"> queries increased from 7,627 in Q3 2021 to </w:t>
      </w:r>
      <w:r w:rsidRPr="00420C57">
        <w:rPr>
          <w:rFonts w:ascii="Calibri" w:hAnsi="Calibri" w:cs="Calibri"/>
          <w:b/>
          <w:color w:val="auto"/>
          <w:sz w:val="22"/>
          <w:szCs w:val="22"/>
          <w:lang w:val="en-US"/>
        </w:rPr>
        <w:t>9,650</w:t>
      </w:r>
      <w:r w:rsidRPr="00420C57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Pr="00420C57">
        <w:rPr>
          <w:rFonts w:ascii="Calibri" w:hAnsi="Calibri" w:cs="Calibri"/>
          <w:b/>
          <w:color w:val="auto"/>
          <w:sz w:val="22"/>
          <w:szCs w:val="22"/>
          <w:lang w:val="en-US"/>
        </w:rPr>
        <w:t>in Q3 2022</w:t>
      </w:r>
      <w:r w:rsidRPr="00420C57">
        <w:rPr>
          <w:rFonts w:ascii="Calibri" w:hAnsi="Calibri" w:cs="Calibri"/>
          <w:color w:val="auto"/>
          <w:sz w:val="22"/>
          <w:szCs w:val="22"/>
          <w:lang w:val="en-US"/>
        </w:rPr>
        <w:t xml:space="preserve"> (+26.5%) to represent 62% of all Health queries, up from 60% in Q3, 2021.</w:t>
      </w:r>
    </w:p>
    <w:p w14:paraId="2FC0A52D" w14:textId="77777777" w:rsidR="00942712" w:rsidRPr="00420C57" w:rsidRDefault="00942712" w:rsidP="00942712">
      <w:pPr>
        <w:spacing w:after="0"/>
        <w:rPr>
          <w:sz w:val="22"/>
          <w:szCs w:val="22"/>
          <w:lang w:val="en-US"/>
        </w:rPr>
      </w:pPr>
    </w:p>
    <w:p w14:paraId="0C8D8153" w14:textId="16871413" w:rsidR="00942712" w:rsidRPr="00420C57" w:rsidRDefault="00942712" w:rsidP="00420C57">
      <w:pPr>
        <w:pStyle w:val="ListParagraph"/>
        <w:numPr>
          <w:ilvl w:val="0"/>
          <w:numId w:val="5"/>
        </w:numPr>
        <w:rPr>
          <w:sz w:val="22"/>
          <w:lang w:val="en-US"/>
        </w:rPr>
      </w:pPr>
      <w:r w:rsidRPr="00420C57">
        <w:rPr>
          <w:b/>
          <w:sz w:val="22"/>
          <w:lang w:eastAsia="en-IE"/>
        </w:rPr>
        <w:t>GP Services</w:t>
      </w:r>
      <w:r w:rsidRPr="00420C57">
        <w:rPr>
          <w:sz w:val="22"/>
          <w:lang w:eastAsia="en-IE"/>
        </w:rPr>
        <w:t xml:space="preserve"> increased by 50%, compared to Q3 2021, </w:t>
      </w:r>
      <w:r w:rsidRPr="00420C57">
        <w:rPr>
          <w:color w:val="000000"/>
          <w:sz w:val="22"/>
          <w:lang w:eastAsia="en-IE"/>
        </w:rPr>
        <w:t>while</w:t>
      </w:r>
      <w:r w:rsidRPr="00420C57">
        <w:rPr>
          <w:b/>
          <w:color w:val="000000"/>
          <w:sz w:val="22"/>
          <w:lang w:eastAsia="en-IE"/>
        </w:rPr>
        <w:t xml:space="preserve"> </w:t>
      </w:r>
      <w:r w:rsidRPr="00420C57">
        <w:rPr>
          <w:sz w:val="22"/>
          <w:lang w:val="en-US"/>
        </w:rPr>
        <w:t>queries on the</w:t>
      </w:r>
      <w:r w:rsidRPr="00420C57">
        <w:rPr>
          <w:b/>
          <w:sz w:val="22"/>
          <w:lang w:val="en-US"/>
        </w:rPr>
        <w:t xml:space="preserve"> </w:t>
      </w:r>
      <w:r w:rsidRPr="00420C57">
        <w:rPr>
          <w:b/>
          <w:color w:val="000000"/>
          <w:sz w:val="22"/>
          <w:lang w:eastAsia="en-IE"/>
        </w:rPr>
        <w:t xml:space="preserve">Fair Deal &amp; Home Care Package </w:t>
      </w:r>
      <w:r w:rsidRPr="00420C57">
        <w:rPr>
          <w:color w:val="000000"/>
          <w:sz w:val="22"/>
          <w:lang w:eastAsia="en-IE"/>
        </w:rPr>
        <w:t>just slightly increased by 6%.</w:t>
      </w:r>
    </w:p>
    <w:p w14:paraId="2BA6F5B1" w14:textId="77777777" w:rsidR="00942712" w:rsidRPr="00420C57" w:rsidRDefault="00942712" w:rsidP="00942712">
      <w:pPr>
        <w:pStyle w:val="Heading1"/>
        <w:rPr>
          <w:rFonts w:ascii="Tw Cen MT Condensed" w:hAnsi="Tw Cen MT Condensed"/>
          <w:b/>
          <w:sz w:val="24"/>
          <w:szCs w:val="24"/>
          <w:lang w:val="en-US"/>
        </w:rPr>
      </w:pPr>
      <w:r w:rsidRPr="00420C57">
        <w:rPr>
          <w:rFonts w:ascii="Tw Cen MT Condensed" w:hAnsi="Tw Cen MT Condensed"/>
          <w:b/>
          <w:sz w:val="24"/>
          <w:szCs w:val="24"/>
          <w:lang w:val="en-US"/>
        </w:rPr>
        <w:t>Table 8 - Health Query Breakdown, Q3 2022</w:t>
      </w:r>
    </w:p>
    <w:tbl>
      <w:tblPr>
        <w:tblW w:w="13482" w:type="dxa"/>
        <w:tblInd w:w="-10" w:type="dxa"/>
        <w:tblLook w:val="04A0" w:firstRow="1" w:lastRow="0" w:firstColumn="1" w:lastColumn="0" w:noHBand="0" w:noVBand="1"/>
      </w:tblPr>
      <w:tblGrid>
        <w:gridCol w:w="1615"/>
        <w:gridCol w:w="4115"/>
        <w:gridCol w:w="4933"/>
        <w:gridCol w:w="1336"/>
        <w:gridCol w:w="1483"/>
      </w:tblGrid>
      <w:tr w:rsidR="00942712" w:rsidRPr="00966547" w14:paraId="0D74516C" w14:textId="77777777" w:rsidTr="00D50363">
        <w:trPr>
          <w:trHeight w:val="948"/>
        </w:trPr>
        <w:tc>
          <w:tcPr>
            <w:tcW w:w="1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3F2C450B" w14:textId="77777777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>Category</w:t>
            </w:r>
          </w:p>
        </w:tc>
        <w:tc>
          <w:tcPr>
            <w:tcW w:w="411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20618440" w14:textId="77777777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>Sub-category</w:t>
            </w:r>
          </w:p>
        </w:tc>
        <w:tc>
          <w:tcPr>
            <w:tcW w:w="493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581B4924" w14:textId="77777777" w:rsidR="00942712" w:rsidRPr="00966547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 w:rsidRPr="00966547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Q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3</w:t>
            </w:r>
            <w:r w:rsidRPr="00966547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, 2022 Sub-category Breakdown</w:t>
            </w:r>
          </w:p>
        </w:tc>
        <w:tc>
          <w:tcPr>
            <w:tcW w:w="133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29D1C544" w14:textId="77777777" w:rsidR="00942712" w:rsidRPr="00966547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966547">
              <w:rPr>
                <w:rFonts w:eastAsia="Times New Roman"/>
                <w:b/>
                <w:bCs/>
                <w:lang w:eastAsia="en-IE"/>
              </w:rPr>
              <w:t xml:space="preserve"># </w:t>
            </w:r>
            <w:r w:rsidRPr="00DB34BE">
              <w:rPr>
                <w:rFonts w:eastAsia="Times New Roman"/>
                <w:b/>
                <w:bCs/>
                <w:lang w:eastAsia="en-IE"/>
              </w:rPr>
              <w:t>of Q</w:t>
            </w:r>
            <w:r w:rsidRPr="00966547">
              <w:rPr>
                <w:rFonts w:eastAsia="Times New Roman"/>
                <w:b/>
                <w:bCs/>
                <w:lang w:eastAsia="en-IE"/>
              </w:rPr>
              <w:t>ueries</w:t>
            </w:r>
          </w:p>
        </w:tc>
        <w:tc>
          <w:tcPr>
            <w:tcW w:w="148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6F899DB6" w14:textId="77777777" w:rsidR="00942712" w:rsidRPr="00DB34BE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DB34BE">
              <w:rPr>
                <w:rFonts w:eastAsia="Times New Roman"/>
                <w:b/>
                <w:bCs/>
                <w:lang w:eastAsia="en-IE"/>
              </w:rPr>
              <w:t>% of Health Sub-category</w:t>
            </w:r>
          </w:p>
        </w:tc>
      </w:tr>
      <w:tr w:rsidR="00942712" w:rsidRPr="00624209" w14:paraId="1C9AD312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2644AEA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Medical Card</w:t>
            </w:r>
          </w:p>
        </w:tc>
      </w:tr>
      <w:tr w:rsidR="00942712" w:rsidRPr="00624209" w14:paraId="7DD8A64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A007C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856ED2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9D5C4A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E6AE7C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9,650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C0A722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</w:p>
        </w:tc>
      </w:tr>
      <w:tr w:rsidR="00942712" w:rsidRPr="00624209" w14:paraId="512C762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B6F02D2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CC3230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AE5E0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5A702F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9,650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8EB116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C872A4E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1BCA15D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GP Services</w:t>
            </w:r>
          </w:p>
        </w:tc>
      </w:tr>
      <w:tr w:rsidR="00942712" w:rsidRPr="00624209" w14:paraId="62E7337C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86EAAA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96C5D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B30301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B155D8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990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370C7F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sz w:val="20"/>
                <w:szCs w:val="20"/>
                <w:lang w:eastAsia="en-IE"/>
              </w:rPr>
              <w:t> </w:t>
            </w:r>
          </w:p>
        </w:tc>
      </w:tr>
      <w:tr w:rsidR="00942712" w:rsidRPr="00624209" w14:paraId="524EFFFB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AAF039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29DF7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C6EE51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57B623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990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0F356A0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E72BD0D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BF2171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Fair Deal &amp; Home Care Package</w:t>
            </w:r>
          </w:p>
        </w:tc>
      </w:tr>
      <w:tr w:rsidR="00942712" w:rsidRPr="00624209" w14:paraId="782605B7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2CB5CC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B271C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EC4412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036B4D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877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0383A6C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sz w:val="20"/>
                <w:szCs w:val="20"/>
                <w:lang w:eastAsia="en-IE"/>
              </w:rPr>
              <w:t> </w:t>
            </w:r>
          </w:p>
        </w:tc>
      </w:tr>
      <w:tr w:rsidR="00942712" w:rsidRPr="00624209" w14:paraId="12F3E853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5B63E6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B85F30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CC9310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6BB3F0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877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7E2CD8A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A6A0F5A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2246CAE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Health - Other</w:t>
            </w:r>
          </w:p>
        </w:tc>
      </w:tr>
      <w:tr w:rsidR="00942712" w:rsidRPr="00624209" w14:paraId="687F2589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1DBB5C2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4D8809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C9BB4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6237DC0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764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A9BDD22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sz w:val="20"/>
                <w:szCs w:val="20"/>
                <w:lang w:eastAsia="en-IE"/>
              </w:rPr>
              <w:t> </w:t>
            </w:r>
          </w:p>
        </w:tc>
      </w:tr>
      <w:tr w:rsidR="00942712" w:rsidRPr="00624209" w14:paraId="08A61D49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0CFDDD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7EA8F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32420F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113723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764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B7D1546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08CDA1E9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7BE40ED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lastRenderedPageBreak/>
              <w:t>Drugs/Medicines</w:t>
            </w:r>
          </w:p>
        </w:tc>
      </w:tr>
      <w:tr w:rsidR="00942712" w:rsidRPr="00624209" w14:paraId="61363CDE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3C92B0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83AA8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Drugs/Medicines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1316C0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Drugs Payment Scheme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00A6632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320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49FF463C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sz w:val="20"/>
                <w:szCs w:val="20"/>
              </w:rPr>
              <w:t>74.8%</w:t>
            </w:r>
          </w:p>
        </w:tc>
      </w:tr>
      <w:tr w:rsidR="00942712" w:rsidRPr="00624209" w14:paraId="022DDCFD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C9FF0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8492BA5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A1C4810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A054FAD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108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hideMark/>
          </w:tcPr>
          <w:p w14:paraId="58CE6CB9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sz w:val="20"/>
                <w:szCs w:val="20"/>
              </w:rPr>
              <w:t>25.2%</w:t>
            </w:r>
          </w:p>
        </w:tc>
      </w:tr>
      <w:tr w:rsidR="00942712" w:rsidRPr="00624209" w14:paraId="1D59CB66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8378F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C4E8F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2A038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1D71E6D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428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4B70C26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68D94DA4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8DCC75F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Dental, Aural and Optical Health</w:t>
            </w:r>
          </w:p>
        </w:tc>
      </w:tr>
      <w:tr w:rsidR="00942712" w:rsidRPr="00624209" w14:paraId="682FE1D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3848D6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30A54B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420D2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9007CDF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368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C344B7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00FDA7C0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FF6F7C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8B5F03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C8BCE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038FFC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368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8B77484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4544DA1B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E192248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EU Healthcare</w:t>
            </w:r>
          </w:p>
        </w:tc>
      </w:tr>
      <w:tr w:rsidR="00942712" w:rsidRPr="00624209" w14:paraId="4ED0A664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D701AC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BF57A5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79246C2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1B156F2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323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B614CEB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F9D8477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58C2E0F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CFC63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6F44B35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4F5E334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1A2F83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A2D93C9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8EF94D5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Hospital Services</w:t>
            </w:r>
          </w:p>
        </w:tc>
      </w:tr>
      <w:tr w:rsidR="00942712" w:rsidRPr="00624209" w14:paraId="7E48C47D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18B48C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73F46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674D64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B4D7C73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6ABF7A8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65C543CC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8A6F52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817E23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74E13EC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5F2A8F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2F0AA63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74B01BC0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C6CCEA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Health Services for Older People</w:t>
            </w:r>
          </w:p>
        </w:tc>
      </w:tr>
      <w:tr w:rsidR="00942712" w:rsidRPr="00624209" w14:paraId="3B8F460D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325806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BC89D2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002E4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DFC56B2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96E2FF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44F8836F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27F2C6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D7306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169AA9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C2C117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300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7685D2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1C20709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CD7115E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Care in your Community</w:t>
            </w:r>
          </w:p>
        </w:tc>
      </w:tr>
      <w:tr w:rsidR="00942712" w:rsidRPr="00624209" w14:paraId="0C0C3F71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B94AD7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CFE68F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CCA921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9814523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287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F4603CB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7FA7F6CE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CEA8A79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CF152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F6C5BA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04FC9E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287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5C2945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44EC5F7B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9B44C9F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Health Services for People with Disabilities</w:t>
            </w:r>
          </w:p>
        </w:tc>
      </w:tr>
      <w:tr w:rsidR="00942712" w:rsidRPr="00624209" w14:paraId="3B636555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17C4DB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9E7D0D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D4476D0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68F032B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227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798154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8E307C3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F334458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CD1D55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8F21757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7628F1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20D7233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6EBB4DE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8AD99A1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Mental Health</w:t>
            </w:r>
          </w:p>
        </w:tc>
      </w:tr>
      <w:tr w:rsidR="00942712" w:rsidRPr="00624209" w14:paraId="338854D5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B867A6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112550D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559DD3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A949A25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213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1EA45E6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18E3D828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02B45C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2080F6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5005ADF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9AB005E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213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39EA72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2044648A" w14:textId="77777777" w:rsidTr="00D50363">
        <w:trPr>
          <w:trHeight w:val="252"/>
        </w:trPr>
        <w:tc>
          <w:tcPr>
            <w:tcW w:w="13482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E8279B" w14:textId="77777777" w:rsidR="00942712" w:rsidRPr="005923C4" w:rsidRDefault="00942712" w:rsidP="00D5036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All other sub-categories (&lt;100 queries)*</w:t>
            </w:r>
          </w:p>
        </w:tc>
      </w:tr>
      <w:tr w:rsidR="00942712" w:rsidRPr="00624209" w14:paraId="5D61C63F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D1C617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A956E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77507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5653FF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754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E14004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3B3C9DD6" w14:textId="77777777" w:rsidTr="00D50363">
        <w:trPr>
          <w:trHeight w:val="240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AFF5534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074581A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64975E" w14:textId="77777777" w:rsidR="00942712" w:rsidRPr="00624209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0FB449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754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5843046" w14:textId="77777777" w:rsidR="00942712" w:rsidRPr="00624209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eastAsia="Times New Roman"/>
                <w:b/>
                <w:bCs/>
                <w:sz w:val="20"/>
                <w:szCs w:val="20"/>
                <w:lang w:eastAsia="en-IE"/>
              </w:rPr>
              <w:t>100%</w:t>
            </w:r>
          </w:p>
        </w:tc>
      </w:tr>
      <w:tr w:rsidR="00942712" w:rsidRPr="00624209" w14:paraId="79B07891" w14:textId="77777777" w:rsidTr="00D50363">
        <w:trPr>
          <w:trHeight w:val="252"/>
        </w:trPr>
        <w:tc>
          <w:tcPr>
            <w:tcW w:w="161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F7FDB42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b/>
                <w:bCs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0B3584" w14:textId="77777777" w:rsidR="00942712" w:rsidRPr="00624209" w:rsidRDefault="00942712" w:rsidP="00D50363">
            <w:pPr>
              <w:spacing w:after="0" w:line="240" w:lineRule="auto"/>
              <w:rPr>
                <w:rFonts w:ascii="Tw Cen MT" w:eastAsia="Times New Roman" w:hAnsi="Tw Cen MT"/>
                <w:sz w:val="20"/>
                <w:szCs w:val="20"/>
                <w:lang w:eastAsia="en-IE"/>
              </w:rPr>
            </w:pPr>
            <w:r w:rsidRPr="00624209">
              <w:rPr>
                <w:rFonts w:ascii="Tw Cen MT" w:eastAsia="Times New Roman" w:hAnsi="Tw Cen MT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10C7D1" w14:textId="77777777" w:rsidR="00942712" w:rsidRPr="005923C4" w:rsidRDefault="00942712" w:rsidP="00D50363">
            <w:pPr>
              <w:spacing w:after="0" w:line="240" w:lineRule="auto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Total Health Queries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CE85FA" w14:textId="77777777" w:rsidR="00942712" w:rsidRPr="005923C4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15,481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F6949F" w14:textId="77777777" w:rsidR="00942712" w:rsidRPr="005923C4" w:rsidRDefault="00942712" w:rsidP="00D50363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en-IE"/>
              </w:rPr>
            </w:pPr>
            <w:r w:rsidRPr="005923C4">
              <w:rPr>
                <w:rFonts w:eastAsia="Times New Roman"/>
                <w:b/>
                <w:bCs/>
                <w:lang w:eastAsia="en-IE"/>
              </w:rPr>
              <w:t>100%</w:t>
            </w:r>
          </w:p>
        </w:tc>
      </w:tr>
    </w:tbl>
    <w:p w14:paraId="020E4698" w14:textId="77777777" w:rsidR="00942712" w:rsidRPr="0038793B" w:rsidRDefault="00942712" w:rsidP="00942712">
      <w:pPr>
        <w:spacing w:line="240" w:lineRule="auto"/>
        <w:rPr>
          <w:sz w:val="20"/>
          <w:szCs w:val="20"/>
          <w:lang w:val="en-US"/>
        </w:rPr>
      </w:pPr>
      <w:r w:rsidRPr="00966547">
        <w:rPr>
          <w:b/>
          <w:lang w:val="en-US"/>
        </w:rPr>
        <w:lastRenderedPageBreak/>
        <w:t>*</w:t>
      </w:r>
      <w:r>
        <w:rPr>
          <w:b/>
          <w:lang w:val="en-US"/>
        </w:rPr>
        <w:t xml:space="preserve"> </w:t>
      </w:r>
      <w:r w:rsidRPr="0038793B">
        <w:rPr>
          <w:sz w:val="20"/>
          <w:szCs w:val="20"/>
          <w:lang w:val="en-US"/>
        </w:rPr>
        <w:t xml:space="preserve">All other sub-categories include the following query areas:  </w:t>
      </w:r>
      <w:r>
        <w:rPr>
          <w:sz w:val="20"/>
          <w:szCs w:val="20"/>
          <w:lang w:val="en-US"/>
        </w:rPr>
        <w:t xml:space="preserve">Health Insurance, Children’s Health, Health-Related Benefits and Entitlements, Cancer Services, Entitlement to Health Services, Aids and Appliances, Health Service Agencies, Women’s Health, Alcohol and Drug Treatment Services, </w:t>
      </w:r>
      <w:r w:rsidRPr="0038793B">
        <w:rPr>
          <w:sz w:val="20"/>
          <w:szCs w:val="20"/>
          <w:lang w:val="en-US"/>
        </w:rPr>
        <w:t>Ho</w:t>
      </w:r>
      <w:r>
        <w:rPr>
          <w:sz w:val="20"/>
          <w:szCs w:val="20"/>
          <w:lang w:val="en-US"/>
        </w:rPr>
        <w:t>w Health Services are O</w:t>
      </w:r>
      <w:r w:rsidRPr="0038793B">
        <w:rPr>
          <w:sz w:val="20"/>
          <w:szCs w:val="20"/>
          <w:lang w:val="en-US"/>
        </w:rPr>
        <w:t>rgani</w:t>
      </w:r>
      <w:r>
        <w:rPr>
          <w:sz w:val="20"/>
          <w:szCs w:val="20"/>
          <w:lang w:val="en-US"/>
        </w:rPr>
        <w:t>z</w:t>
      </w:r>
      <w:r w:rsidRPr="0038793B">
        <w:rPr>
          <w:sz w:val="20"/>
          <w:szCs w:val="20"/>
          <w:lang w:val="en-US"/>
        </w:rPr>
        <w:t xml:space="preserve">ed, Emergency Health Services, </w:t>
      </w:r>
      <w:r>
        <w:rPr>
          <w:sz w:val="20"/>
          <w:szCs w:val="20"/>
          <w:lang w:val="en-US"/>
        </w:rPr>
        <w:t xml:space="preserve">Blood and Organ Donation, </w:t>
      </w:r>
      <w:r w:rsidRPr="0038793B">
        <w:rPr>
          <w:sz w:val="20"/>
          <w:szCs w:val="20"/>
          <w:lang w:val="en-US"/>
        </w:rPr>
        <w:t>Environmental Health, and Alternative Health.</w:t>
      </w:r>
    </w:p>
    <w:sectPr w:rsidR="00942712" w:rsidRPr="0038793B" w:rsidSect="00D50363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4F630" w14:textId="77777777" w:rsidR="00D96984" w:rsidRDefault="00D96984" w:rsidP="00942712">
      <w:pPr>
        <w:spacing w:after="0" w:line="240" w:lineRule="auto"/>
      </w:pPr>
      <w:r>
        <w:separator/>
      </w:r>
    </w:p>
  </w:endnote>
  <w:endnote w:type="continuationSeparator" w:id="0">
    <w:p w14:paraId="5882FFF8" w14:textId="77777777" w:rsidR="00D96984" w:rsidRDefault="00D96984" w:rsidP="0094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CC53A" w14:textId="458EE57E" w:rsidR="00D96984" w:rsidRDefault="00D96984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B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D73A08" w14:textId="77777777" w:rsidR="00D96984" w:rsidRDefault="00D969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06DC6" w14:textId="77777777" w:rsidR="00D96984" w:rsidRDefault="00D96984" w:rsidP="00942712">
      <w:pPr>
        <w:spacing w:after="0" w:line="240" w:lineRule="auto"/>
      </w:pPr>
      <w:r>
        <w:separator/>
      </w:r>
    </w:p>
  </w:footnote>
  <w:footnote w:type="continuationSeparator" w:id="0">
    <w:p w14:paraId="4CD7ED76" w14:textId="77777777" w:rsidR="00D96984" w:rsidRDefault="00D96984" w:rsidP="00942712">
      <w:pPr>
        <w:spacing w:after="0" w:line="240" w:lineRule="auto"/>
      </w:pPr>
      <w:r>
        <w:continuationSeparator/>
      </w:r>
    </w:p>
  </w:footnote>
  <w:footnote w:id="1">
    <w:p w14:paraId="57562A8D" w14:textId="77777777" w:rsidR="00D96984" w:rsidRDefault="00D96984" w:rsidP="00942712">
      <w:pPr>
        <w:pStyle w:val="FootnoteText"/>
      </w:pPr>
      <w:r w:rsidRPr="00FD6A40">
        <w:rPr>
          <w:rStyle w:val="FootnoteReference"/>
        </w:rPr>
        <w:footnoteRef/>
      </w:r>
      <w:r w:rsidRPr="00FD6A40">
        <w:t xml:space="preserve"> Of the in-person callers, 91% were drop in, and 9% were appointments.</w:t>
      </w:r>
      <w:r>
        <w:t xml:space="preserve"> </w:t>
      </w:r>
    </w:p>
  </w:footnote>
  <w:footnote w:id="2">
    <w:p w14:paraId="1FAB5989" w14:textId="77777777" w:rsidR="00D96984" w:rsidRDefault="00D96984" w:rsidP="00942712">
      <w:pPr>
        <w:pStyle w:val="FootnoteText"/>
      </w:pPr>
      <w:r>
        <w:rPr>
          <w:rStyle w:val="FootnoteReference"/>
        </w:rPr>
        <w:footnoteRef/>
      </w:r>
      <w:r>
        <w:t xml:space="preserve"> Note: Quarterly trends are </w:t>
      </w:r>
      <w:r w:rsidRPr="00F81FD2">
        <w:rPr>
          <w:u w:val="single"/>
        </w:rPr>
        <w:t>not</w:t>
      </w:r>
      <w:r>
        <w:t xml:space="preserve"> indicative of trends for a full year’s dataset – changes and patterns reflected from quarter to quarter may balance out over a year. </w:t>
      </w:r>
    </w:p>
  </w:footnote>
  <w:footnote w:id="3">
    <w:p w14:paraId="53179FF8" w14:textId="77777777" w:rsidR="00D96984" w:rsidRDefault="00D96984" w:rsidP="00A3446A">
      <w:pPr>
        <w:pStyle w:val="FootnoteText"/>
      </w:pPr>
      <w:r>
        <w:rPr>
          <w:rStyle w:val="FootnoteReference"/>
        </w:rPr>
        <w:footnoteRef/>
      </w:r>
      <w:r>
        <w:t xml:space="preserve"> This reflects similar issues identified in a joint CIB/Threshold report on Renting and Risk, launched the 13</w:t>
      </w:r>
      <w:r w:rsidRPr="005B0979">
        <w:rPr>
          <w:vertAlign w:val="superscript"/>
        </w:rPr>
        <w:t>th</w:t>
      </w:r>
      <w:r>
        <w:t xml:space="preserve"> October 2022.</w:t>
      </w:r>
    </w:p>
  </w:footnote>
  <w:footnote w:id="4">
    <w:p w14:paraId="0B96AF58" w14:textId="77777777" w:rsidR="00D96984" w:rsidRDefault="00D96984" w:rsidP="00942712">
      <w:pPr>
        <w:pStyle w:val="FootnoteText"/>
      </w:pPr>
      <w:r>
        <w:rPr>
          <w:rStyle w:val="FootnoteReference"/>
        </w:rPr>
        <w:footnoteRef/>
      </w:r>
      <w:r>
        <w:t xml:space="preserve"> Queries here were formerly recorded under the Exceptional/Urgent Needs Payment sub-category. </w:t>
      </w:r>
    </w:p>
  </w:footnote>
  <w:footnote w:id="5">
    <w:p w14:paraId="76CC1A22" w14:textId="68E6F76C" w:rsidR="00624209" w:rsidRDefault="006242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4209">
        <w:t>Query sub-categories are presented in thematic categories, as recorded by CISs. The percentages in the right-hand column represent the percentage of queries for that data sub-category i.e., the Fuel Allowance percentage represents the queries recorded as a percentage of the Extra Social Welfare Benefits sub-category.</w:t>
      </w:r>
    </w:p>
  </w:footnote>
  <w:footnote w:id="6">
    <w:p w14:paraId="4F8555CF" w14:textId="03B4DBC6" w:rsidR="00420C57" w:rsidRDefault="00420C57">
      <w:pPr>
        <w:pStyle w:val="FootnoteText"/>
      </w:pPr>
      <w:r>
        <w:rPr>
          <w:rStyle w:val="FootnoteReference"/>
        </w:rPr>
        <w:footnoteRef/>
      </w:r>
      <w:r>
        <w:t xml:space="preserve"> CIB/Threshold (2022) Renting and Risk – an analysis of the vulnerabilities of renting. </w:t>
      </w:r>
      <w:r w:rsidRPr="00420C57">
        <w:t>https://www.citizensinformationboard.ie/en/publications/social_policy/research.html</w:t>
      </w:r>
    </w:p>
  </w:footnote>
  <w:footnote w:id="7">
    <w:p w14:paraId="3DB4B488" w14:textId="7E50F9A5" w:rsidR="005923C4" w:rsidRDefault="005923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23C4">
        <w:rPr>
          <w:lang w:val="en-US"/>
        </w:rPr>
        <w:t xml:space="preserve">The percentages in the right-hand column represent the percentage of queries for the related data sub-category i.e., the Housing Assistance Payment (HAP) percentage represents the number of HAP queries recorded as a percentage of the </w:t>
      </w:r>
      <w:r w:rsidRPr="005923C4">
        <w:rPr>
          <w:b/>
          <w:i/>
          <w:lang w:val="en-US"/>
        </w:rPr>
        <w:t>Local Authority and Social Housing</w:t>
      </w:r>
      <w:r w:rsidRPr="005923C4">
        <w:rPr>
          <w:lang w:val="en-US"/>
        </w:rPr>
        <w:t xml:space="preserve"> sub-category.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AAD"/>
    <w:multiLevelType w:val="hybridMultilevel"/>
    <w:tmpl w:val="9DCC1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5199"/>
    <w:multiLevelType w:val="hybridMultilevel"/>
    <w:tmpl w:val="2752C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992"/>
    <w:multiLevelType w:val="hybridMultilevel"/>
    <w:tmpl w:val="326A6E5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539CD"/>
    <w:multiLevelType w:val="hybridMultilevel"/>
    <w:tmpl w:val="45F409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660343"/>
    <w:multiLevelType w:val="hybridMultilevel"/>
    <w:tmpl w:val="8388946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4855D8F"/>
    <w:multiLevelType w:val="hybridMultilevel"/>
    <w:tmpl w:val="F53816D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51574"/>
    <w:multiLevelType w:val="hybridMultilevel"/>
    <w:tmpl w:val="A2284A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C6DBF"/>
    <w:multiLevelType w:val="hybridMultilevel"/>
    <w:tmpl w:val="0F6018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F976975"/>
    <w:multiLevelType w:val="hybridMultilevel"/>
    <w:tmpl w:val="53F4463A"/>
    <w:lvl w:ilvl="0" w:tplc="6AB4FEA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0999"/>
    <w:multiLevelType w:val="hybridMultilevel"/>
    <w:tmpl w:val="BB46E65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A2D90"/>
    <w:multiLevelType w:val="hybridMultilevel"/>
    <w:tmpl w:val="512C97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12"/>
    <w:rsid w:val="00036978"/>
    <w:rsid w:val="0004776E"/>
    <w:rsid w:val="000C3899"/>
    <w:rsid w:val="000C72D6"/>
    <w:rsid w:val="000E388D"/>
    <w:rsid w:val="00174A1A"/>
    <w:rsid w:val="001D1491"/>
    <w:rsid w:val="00296592"/>
    <w:rsid w:val="002B2452"/>
    <w:rsid w:val="0037547C"/>
    <w:rsid w:val="003E7BB6"/>
    <w:rsid w:val="004027EE"/>
    <w:rsid w:val="00420C57"/>
    <w:rsid w:val="004D3E73"/>
    <w:rsid w:val="00514EDC"/>
    <w:rsid w:val="00537F12"/>
    <w:rsid w:val="00551903"/>
    <w:rsid w:val="005923C4"/>
    <w:rsid w:val="00594846"/>
    <w:rsid w:val="00594D87"/>
    <w:rsid w:val="00624209"/>
    <w:rsid w:val="006304D5"/>
    <w:rsid w:val="006C4630"/>
    <w:rsid w:val="006D1BBA"/>
    <w:rsid w:val="007466C8"/>
    <w:rsid w:val="007A1AE3"/>
    <w:rsid w:val="007F78D5"/>
    <w:rsid w:val="0087110F"/>
    <w:rsid w:val="008F7776"/>
    <w:rsid w:val="00900EFB"/>
    <w:rsid w:val="00942712"/>
    <w:rsid w:val="009F383A"/>
    <w:rsid w:val="00A3446A"/>
    <w:rsid w:val="00A45526"/>
    <w:rsid w:val="00A643B1"/>
    <w:rsid w:val="00AF1751"/>
    <w:rsid w:val="00AF5632"/>
    <w:rsid w:val="00B16F66"/>
    <w:rsid w:val="00B916B3"/>
    <w:rsid w:val="00BD3429"/>
    <w:rsid w:val="00C07064"/>
    <w:rsid w:val="00C3247F"/>
    <w:rsid w:val="00D50363"/>
    <w:rsid w:val="00D51DA2"/>
    <w:rsid w:val="00D96984"/>
    <w:rsid w:val="00DC23EE"/>
    <w:rsid w:val="00E27DCE"/>
    <w:rsid w:val="00E56559"/>
    <w:rsid w:val="00E67B39"/>
    <w:rsid w:val="00F46982"/>
    <w:rsid w:val="00F732A9"/>
    <w:rsid w:val="00F928CF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35C7"/>
  <w15:chartTrackingRefBased/>
  <w15:docId w15:val="{0A7034D3-24EF-4EEB-9A23-CA3955DD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712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2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71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2712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2712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AF1751"/>
    <w:pPr>
      <w:numPr>
        <w:numId w:val="6"/>
      </w:numPr>
      <w:spacing w:after="0" w:line="240" w:lineRule="auto"/>
      <w:contextualSpacing/>
      <w:jc w:val="both"/>
    </w:pPr>
    <w:rPr>
      <w:rFonts w:asciiTheme="minorHAnsi" w:hAnsi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712"/>
    <w:rPr>
      <w:rFonts w:ascii="Times New Roman" w:eastAsia="Times New Roman" w:hAnsi="Times New Roman" w:cs="Times New Roman"/>
      <w:b/>
      <w:bCs/>
      <w:color w:val="auto"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942712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942712"/>
    <w:rPr>
      <w:rFonts w:asciiTheme="majorHAnsi" w:eastAsiaTheme="majorEastAsia" w:hAnsiTheme="majorHAnsi" w:cstheme="majorBidi"/>
      <w:i/>
      <w:iCs/>
      <w:color w:val="1481AB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42712"/>
    <w:rPr>
      <w:rFonts w:asciiTheme="majorHAnsi" w:eastAsiaTheme="majorEastAsia" w:hAnsiTheme="majorHAnsi" w:cstheme="majorBidi"/>
      <w:color w:val="1481AB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942712"/>
    <w:rPr>
      <w:b/>
      <w:bCs/>
    </w:rPr>
  </w:style>
  <w:style w:type="character" w:styleId="Emphasis">
    <w:name w:val="Emphasis"/>
    <w:basedOn w:val="DefaultParagraphFont"/>
    <w:uiPriority w:val="20"/>
    <w:qFormat/>
    <w:rsid w:val="00942712"/>
    <w:rPr>
      <w:i/>
      <w:iCs/>
    </w:rPr>
  </w:style>
  <w:style w:type="table" w:styleId="GridTable6Colorful-Accent5">
    <w:name w:val="Grid Table 6 Colorful Accent 5"/>
    <w:basedOn w:val="TableNormal"/>
    <w:uiPriority w:val="51"/>
    <w:rsid w:val="00942712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42712"/>
    <w:rPr>
      <w:rFonts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2712"/>
    <w:pPr>
      <w:tabs>
        <w:tab w:val="center" w:pos="4513"/>
        <w:tab w:val="right" w:pos="9026"/>
      </w:tabs>
      <w:spacing w:after="0" w:line="240" w:lineRule="auto"/>
    </w:pPr>
    <w:rPr>
      <w:rFonts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42712"/>
    <w:rPr>
      <w:rFonts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12"/>
    <w:pPr>
      <w:spacing w:after="0" w:line="240" w:lineRule="auto"/>
    </w:pPr>
    <w:rPr>
      <w:rFonts w:ascii="Segoe U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12"/>
    <w:rPr>
      <w:rFonts w:ascii="Segoe UI" w:hAnsi="Segoe UI" w:cs="Segoe UI"/>
      <w:color w:val="aut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2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712"/>
    <w:pPr>
      <w:spacing w:line="240" w:lineRule="auto"/>
    </w:pPr>
    <w:rPr>
      <w:rFonts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712"/>
    <w:rPr>
      <w:rFonts w:cstheme="minorBidi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712"/>
    <w:rPr>
      <w:rFonts w:cstheme="minorBidi"/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94271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2712"/>
    <w:pPr>
      <w:spacing w:after="0" w:line="240" w:lineRule="auto"/>
    </w:pPr>
    <w:rPr>
      <w:rFonts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712"/>
    <w:rPr>
      <w:rFonts w:cstheme="minorBidi"/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2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5" ma:contentTypeDescription="Create a new document for eDocs" ma:contentTypeScope="" ma:versionID="f5968d7d951fc31c9ae2b695a2df219e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bc22b9dd1081b9b9163c5aa3be18f164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13b0a387-28e5-4d0e-ba93-bfbfb7bc32d7" ma:fieldId="{6bbd3faf-a5ab-4e5e-b8a6-a5e099cef439}" ma:sspId="d0d6d11a-6141-46f1-a85a-6babb2177756" ma:termSetId="db6ecfed-f642-4316-baf3-3abe4cabc4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SecurityClassification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13b0a387-28e5-4d0e-ba93-bfbfb7bc32d7</TermId>
        </TermInfo>
      </Terms>
    </eDocs_SecurityClassification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2BA8-A7E9-4201-A4B5-6E13A5AC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89BCC-C753-4F69-8C37-E44A31E4EE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0396F3-B46B-48D8-892B-D9B5C9C9F7E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FBE116A-7454-43B9-AF0E-CC1D426121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F5D32A-2018-41A0-B8EE-F5BE25D44CC9}">
  <ds:schemaRefs>
    <ds:schemaRef ds:uri="http://purl.org/dc/terms/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2673a930-82f3-4ed8-baba-3de8723459aa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67D3937-88DF-4591-9E59-064B5D90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O’Connor</dc:creator>
  <cp:keywords/>
  <dc:description/>
  <cp:lastModifiedBy>Joan O’Connor</cp:lastModifiedBy>
  <cp:revision>4</cp:revision>
  <dcterms:created xsi:type="dcterms:W3CDTF">2022-10-25T15:42:00Z</dcterms:created>
  <dcterms:modified xsi:type="dcterms:W3CDTF">2022-10-25T15:53:00Z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SecurityClassification">
    <vt:lpwstr>1;#Unclassified|13b0a387-28e5-4d0e-ba93-bfbfb7bc32d7</vt:lpwstr>
  </property>
  <property fmtid="{D5CDD505-2E9C-101B-9397-08002B2CF9AE}" pid="5" name="eDocs_DocumentTopics">
    <vt:lpwstr/>
  </property>
  <property fmtid="{D5CDD505-2E9C-101B-9397-08002B2CF9AE}" pid="6" name="eDocs_Year">
    <vt:lpwstr>3;#2021|0e846ee2-68d6-4f7d-bff6-25a86a327e82</vt:lpwstr>
  </property>
  <property fmtid="{D5CDD505-2E9C-101B-9397-08002B2CF9AE}" pid="7" name="eDocs_SeriesSubSeries">
    <vt:lpwstr>4;#042|3c96f07b-1152-4d2e-8a69-d6b60d1fab17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