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1EAF" w14:textId="71E023A6" w:rsidR="00B60276" w:rsidRDefault="00B60276" w:rsidP="00B60276">
      <w:pPr>
        <w:pStyle w:val="Heading1"/>
        <w:rPr>
          <w:sz w:val="44"/>
          <w:szCs w:val="44"/>
        </w:rPr>
      </w:pPr>
      <w:r>
        <w:rPr>
          <w:sz w:val="44"/>
          <w:szCs w:val="44"/>
        </w:rPr>
        <w:t>Citizens Information Services (CIS</w:t>
      </w:r>
      <w:r w:rsidR="00352248">
        <w:rPr>
          <w:sz w:val="44"/>
          <w:szCs w:val="44"/>
        </w:rPr>
        <w:t>s</w:t>
      </w:r>
      <w:r>
        <w:rPr>
          <w:sz w:val="44"/>
          <w:szCs w:val="44"/>
        </w:rPr>
        <w:t>) – Caller/Query Data</w:t>
      </w:r>
    </w:p>
    <w:p w14:paraId="6F86E003" w14:textId="4B0488FD" w:rsidR="00B60276" w:rsidRPr="00B86165" w:rsidRDefault="00B60276" w:rsidP="00B60276">
      <w:pPr>
        <w:pStyle w:val="Heading1"/>
        <w:rPr>
          <w:sz w:val="44"/>
          <w:szCs w:val="44"/>
        </w:rPr>
      </w:pPr>
      <w:r w:rsidRPr="00D82C65">
        <w:rPr>
          <w:sz w:val="44"/>
          <w:szCs w:val="44"/>
        </w:rPr>
        <w:t>St</w:t>
      </w:r>
      <w:r w:rsidR="00707E05">
        <w:rPr>
          <w:sz w:val="44"/>
          <w:szCs w:val="44"/>
        </w:rPr>
        <w:t xml:space="preserve">atistical Summary Quarter 2 </w:t>
      </w:r>
      <w:r w:rsidR="00874F43">
        <w:rPr>
          <w:sz w:val="44"/>
          <w:szCs w:val="44"/>
        </w:rPr>
        <w:t>2022</w:t>
      </w:r>
      <w:r w:rsidRPr="00B86165">
        <w:rPr>
          <w:sz w:val="44"/>
          <w:szCs w:val="44"/>
        </w:rPr>
        <w:t xml:space="preserve"> </w:t>
      </w:r>
    </w:p>
    <w:p w14:paraId="244CB506" w14:textId="755DD5BF" w:rsidR="00B60276" w:rsidRPr="00691DD1" w:rsidRDefault="00B60276" w:rsidP="00B60276">
      <w:pPr>
        <w:rPr>
          <w:rFonts w:eastAsia="Times New Roman" w:cs="Calibri"/>
          <w:color w:val="FF0000"/>
          <w:vertAlign w:val="superscript"/>
          <w:lang w:eastAsia="en-IE"/>
        </w:rPr>
      </w:pPr>
      <w:r w:rsidRPr="00B12326">
        <w:rPr>
          <w:rFonts w:eastAsia="Times New Roman" w:cs="Calibri"/>
          <w:lang w:eastAsia="en-IE"/>
        </w:rPr>
        <w:t>The following is a statistical summary of CIS</w:t>
      </w:r>
      <w:r w:rsidR="00352248">
        <w:rPr>
          <w:rFonts w:eastAsia="Times New Roman" w:cs="Calibri"/>
          <w:lang w:eastAsia="en-IE"/>
        </w:rPr>
        <w:t>s</w:t>
      </w:r>
      <w:r w:rsidRPr="00B12326">
        <w:rPr>
          <w:rFonts w:eastAsia="Times New Roman" w:cs="Calibri"/>
          <w:lang w:eastAsia="en-IE"/>
        </w:rPr>
        <w:t xml:space="preserve"> caller and query </w:t>
      </w:r>
      <w:r w:rsidR="003269F0" w:rsidRPr="00B12326">
        <w:rPr>
          <w:rFonts w:eastAsia="Times New Roman" w:cs="Calibri"/>
          <w:lang w:eastAsia="en-IE"/>
        </w:rPr>
        <w:t xml:space="preserve">data for Quarter </w:t>
      </w:r>
      <w:r w:rsidR="00707E05">
        <w:rPr>
          <w:rFonts w:eastAsia="Times New Roman" w:cs="Calibri"/>
          <w:lang w:eastAsia="en-IE"/>
        </w:rPr>
        <w:t>2</w:t>
      </w:r>
      <w:r w:rsidR="00471317">
        <w:rPr>
          <w:rFonts w:eastAsia="Times New Roman" w:cs="Calibri"/>
          <w:lang w:eastAsia="en-IE"/>
        </w:rPr>
        <w:t>,</w:t>
      </w:r>
      <w:r w:rsidR="00707E05">
        <w:rPr>
          <w:rFonts w:eastAsia="Times New Roman" w:cs="Calibri"/>
          <w:lang w:eastAsia="en-IE"/>
        </w:rPr>
        <w:t xml:space="preserve"> 1</w:t>
      </w:r>
      <w:r w:rsidR="00707E05" w:rsidRPr="00707E05">
        <w:rPr>
          <w:rFonts w:eastAsia="Times New Roman" w:cs="Calibri"/>
          <w:vertAlign w:val="superscript"/>
          <w:lang w:eastAsia="en-IE"/>
        </w:rPr>
        <w:t>st</w:t>
      </w:r>
      <w:r w:rsidR="00707E05">
        <w:rPr>
          <w:rFonts w:eastAsia="Times New Roman" w:cs="Calibri"/>
          <w:lang w:eastAsia="en-IE"/>
        </w:rPr>
        <w:t xml:space="preserve"> April – 30</w:t>
      </w:r>
      <w:r w:rsidR="00707E05" w:rsidRPr="00707E05">
        <w:rPr>
          <w:rFonts w:eastAsia="Times New Roman" w:cs="Calibri"/>
          <w:vertAlign w:val="superscript"/>
          <w:lang w:eastAsia="en-IE"/>
        </w:rPr>
        <w:t>th</w:t>
      </w:r>
      <w:r w:rsidR="00707E05">
        <w:rPr>
          <w:rFonts w:eastAsia="Times New Roman" w:cs="Calibri"/>
          <w:lang w:eastAsia="en-IE"/>
        </w:rPr>
        <w:t xml:space="preserve"> June 2022. </w:t>
      </w:r>
    </w:p>
    <w:p w14:paraId="22FD95CE" w14:textId="77777777" w:rsidR="00B60276" w:rsidRPr="00B12326" w:rsidRDefault="00B60276" w:rsidP="00B60276">
      <w:pPr>
        <w:pStyle w:val="Heading1"/>
        <w:rPr>
          <w:sz w:val="28"/>
          <w:szCs w:val="28"/>
        </w:rPr>
      </w:pPr>
      <w:r w:rsidRPr="00B12326">
        <w:rPr>
          <w:sz w:val="28"/>
          <w:szCs w:val="28"/>
        </w:rPr>
        <w:t>Caller Summary</w:t>
      </w:r>
    </w:p>
    <w:p w14:paraId="7334BFAD" w14:textId="0C25A822" w:rsidR="00955F89" w:rsidRPr="00B12326" w:rsidRDefault="00955F89" w:rsidP="00B86719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 w:rsidRPr="00B12326">
        <w:rPr>
          <w:rFonts w:ascii="Calibri" w:hAnsi="Calibri" w:cs="Calibri"/>
          <w:color w:val="auto"/>
          <w:sz w:val="22"/>
          <w:szCs w:val="22"/>
        </w:rPr>
        <w:t xml:space="preserve">There were </w:t>
      </w:r>
      <w:r w:rsidR="003A2BB2">
        <w:rPr>
          <w:rFonts w:ascii="Calibri" w:hAnsi="Calibri" w:cs="Calibri"/>
          <w:b/>
          <w:color w:val="auto"/>
          <w:sz w:val="22"/>
          <w:szCs w:val="22"/>
        </w:rPr>
        <w:t>96,710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callers to CISs nationally during </w:t>
      </w:r>
      <w:r w:rsidR="00874F43" w:rsidRPr="00691DD1">
        <w:rPr>
          <w:rFonts w:ascii="Calibri" w:hAnsi="Calibri" w:cs="Calibri"/>
          <w:color w:val="auto"/>
          <w:sz w:val="22"/>
          <w:szCs w:val="22"/>
        </w:rPr>
        <w:t>Q</w:t>
      </w:r>
      <w:r w:rsidR="00006942">
        <w:rPr>
          <w:rFonts w:ascii="Calibri" w:hAnsi="Calibri" w:cs="Calibri"/>
          <w:color w:val="auto"/>
          <w:sz w:val="22"/>
          <w:szCs w:val="22"/>
        </w:rPr>
        <w:t>2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, 2022, </w:t>
      </w:r>
      <w:r w:rsidR="00874F43" w:rsidRPr="0047173B">
        <w:rPr>
          <w:rFonts w:ascii="Calibri" w:hAnsi="Calibri" w:cs="Calibri"/>
          <w:b/>
          <w:color w:val="auto"/>
          <w:sz w:val="22"/>
          <w:szCs w:val="22"/>
        </w:rPr>
        <w:t xml:space="preserve">a </w:t>
      </w:r>
      <w:r w:rsidR="00AB3CD3" w:rsidRPr="0047173B">
        <w:rPr>
          <w:rFonts w:ascii="Calibri" w:hAnsi="Calibri" w:cs="Calibri"/>
          <w:b/>
          <w:color w:val="auto"/>
          <w:sz w:val="22"/>
          <w:szCs w:val="22"/>
        </w:rPr>
        <w:t>16</w:t>
      </w:r>
      <w:r w:rsidR="005866A6" w:rsidRPr="0047173B">
        <w:rPr>
          <w:rFonts w:ascii="Calibri" w:hAnsi="Calibri" w:cs="Calibri"/>
          <w:b/>
          <w:color w:val="auto"/>
          <w:sz w:val="22"/>
          <w:szCs w:val="22"/>
        </w:rPr>
        <w:t xml:space="preserve">% </w:t>
      </w:r>
      <w:r w:rsidR="003A2BB2" w:rsidRPr="0047173B">
        <w:rPr>
          <w:rFonts w:ascii="Calibri" w:hAnsi="Calibri" w:cs="Calibri"/>
          <w:b/>
          <w:color w:val="auto"/>
          <w:sz w:val="22"/>
          <w:szCs w:val="22"/>
        </w:rPr>
        <w:t>increase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on the same period in 2021 when there were </w:t>
      </w:r>
      <w:r w:rsidR="005866A6">
        <w:rPr>
          <w:rFonts w:ascii="Calibri" w:hAnsi="Calibri" w:cs="Calibri"/>
          <w:color w:val="auto"/>
          <w:sz w:val="22"/>
          <w:szCs w:val="22"/>
        </w:rPr>
        <w:t>83,371</w:t>
      </w:r>
      <w:r w:rsidR="00B60276" w:rsidRPr="00B12326">
        <w:rPr>
          <w:rFonts w:ascii="Calibri" w:hAnsi="Calibri" w:cs="Calibri"/>
          <w:color w:val="auto"/>
          <w:sz w:val="22"/>
          <w:szCs w:val="22"/>
        </w:rPr>
        <w:t xml:space="preserve"> call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>ers</w:t>
      </w:r>
      <w:r w:rsidR="003433AB" w:rsidRPr="00B12326">
        <w:rPr>
          <w:rFonts w:ascii="Calibri" w:hAnsi="Calibri" w:cs="Calibri"/>
          <w:color w:val="auto"/>
          <w:sz w:val="22"/>
          <w:szCs w:val="22"/>
        </w:rPr>
        <w:t>.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 xml:space="preserve"> Most callers</w:t>
      </w:r>
      <w:r w:rsidR="00352248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533048">
        <w:rPr>
          <w:rFonts w:ascii="Calibri" w:hAnsi="Calibri" w:cs="Calibri"/>
          <w:color w:val="auto"/>
          <w:sz w:val="22"/>
          <w:szCs w:val="22"/>
        </w:rPr>
        <w:t>in Q</w:t>
      </w:r>
      <w:r w:rsidR="005866A6">
        <w:rPr>
          <w:rFonts w:ascii="Calibri" w:hAnsi="Calibri" w:cs="Calibri"/>
          <w:color w:val="auto"/>
          <w:sz w:val="22"/>
          <w:szCs w:val="22"/>
        </w:rPr>
        <w:t>2</w:t>
      </w:r>
      <w:r w:rsidR="00533048">
        <w:rPr>
          <w:rFonts w:ascii="Calibri" w:hAnsi="Calibri" w:cs="Calibri"/>
          <w:color w:val="auto"/>
          <w:sz w:val="22"/>
          <w:szCs w:val="22"/>
        </w:rPr>
        <w:t xml:space="preserve"> 2022 </w:t>
      </w:r>
      <w:r w:rsidR="00874F43" w:rsidRPr="00B12326">
        <w:rPr>
          <w:rFonts w:ascii="Calibri" w:hAnsi="Calibri" w:cs="Calibri"/>
          <w:color w:val="auto"/>
          <w:sz w:val="22"/>
          <w:szCs w:val="22"/>
        </w:rPr>
        <w:t>were female (61.</w:t>
      </w:r>
      <w:r w:rsidR="002924E2">
        <w:rPr>
          <w:rFonts w:ascii="Calibri" w:hAnsi="Calibri" w:cs="Calibri"/>
          <w:color w:val="auto"/>
          <w:sz w:val="22"/>
          <w:szCs w:val="22"/>
        </w:rPr>
        <w:t>6</w:t>
      </w:r>
      <w:r w:rsidR="00B60276" w:rsidRPr="00B12326">
        <w:rPr>
          <w:rFonts w:ascii="Calibri" w:hAnsi="Calibri" w:cs="Calibri"/>
          <w:color w:val="auto"/>
          <w:sz w:val="22"/>
          <w:szCs w:val="22"/>
        </w:rPr>
        <w:t xml:space="preserve">%). </w:t>
      </w:r>
    </w:p>
    <w:p w14:paraId="0D4784C1" w14:textId="28E29EFA" w:rsidR="00E23A75" w:rsidRPr="00B12326" w:rsidRDefault="00B60276" w:rsidP="00B86719">
      <w:pPr>
        <w:pStyle w:val="Heading1"/>
        <w:jc w:val="both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>Table 1 – Caller Gender Profile –</w:t>
      </w:r>
      <w:r w:rsidR="005866A6">
        <w:rPr>
          <w:rFonts w:eastAsia="Times New Roman"/>
          <w:b/>
          <w:sz w:val="24"/>
          <w:szCs w:val="24"/>
          <w:lang w:eastAsia="en-IE"/>
        </w:rPr>
        <w:t xml:space="preserve"> Q2</w:t>
      </w:r>
      <w:r w:rsidR="00352248">
        <w:rPr>
          <w:rFonts w:eastAsia="Times New Roman"/>
          <w:b/>
          <w:sz w:val="24"/>
          <w:szCs w:val="24"/>
          <w:lang w:eastAsia="en-IE"/>
        </w:rPr>
        <w:t>/2022</w:t>
      </w:r>
      <w:r w:rsidRPr="00B12326">
        <w:rPr>
          <w:rFonts w:eastAsia="Times New Roman"/>
          <w:b/>
          <w:sz w:val="24"/>
          <w:szCs w:val="24"/>
          <w:lang w:eastAsia="en-IE"/>
        </w:rPr>
        <w:t xml:space="preserve"> Summary</w:t>
      </w:r>
    </w:p>
    <w:tbl>
      <w:tblPr>
        <w:tblStyle w:val="GridTable5Dark-Accent6"/>
        <w:tblW w:w="7119" w:type="dxa"/>
        <w:tblLook w:val="04A0" w:firstRow="1" w:lastRow="0" w:firstColumn="1" w:lastColumn="0" w:noHBand="0" w:noVBand="1"/>
        <w:tblCaption w:val="Caller Gender Profile - Quarter 1"/>
        <w:tblDescription w:val="A table setting out the gender profile data for Q1 2021.  &#10;"/>
      </w:tblPr>
      <w:tblGrid>
        <w:gridCol w:w="1939"/>
        <w:gridCol w:w="2720"/>
        <w:gridCol w:w="2460"/>
      </w:tblGrid>
      <w:tr w:rsidR="00E23A75" w:rsidRPr="00B12326" w14:paraId="4416EB4D" w14:textId="77777777" w:rsidTr="00691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1EBA8F58" w14:textId="77777777" w:rsidR="00E23A75" w:rsidRPr="00B12326" w:rsidRDefault="00E23A75" w:rsidP="00E23A7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Caller Profile</w:t>
            </w:r>
          </w:p>
        </w:tc>
        <w:tc>
          <w:tcPr>
            <w:tcW w:w="2720" w:type="dxa"/>
            <w:noWrap/>
            <w:hideMark/>
          </w:tcPr>
          <w:p w14:paraId="7619F563" w14:textId="77777777" w:rsidR="00E23A75" w:rsidRPr="00B12326" w:rsidRDefault="00E23A75" w:rsidP="00BB3D0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60" w:type="dxa"/>
            <w:noWrap/>
            <w:hideMark/>
          </w:tcPr>
          <w:p w14:paraId="5CE7CFAC" w14:textId="2CB87E9E" w:rsidR="00E23A75" w:rsidRPr="00B12326" w:rsidRDefault="00E23A75" w:rsidP="00BB3D00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% </w:t>
            </w:r>
            <w:r w:rsidRPr="00691DD1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o</w:t>
            </w:r>
            <w:r w:rsidRPr="00691DD1">
              <w:rPr>
                <w:rFonts w:eastAsia="Times New Roman" w:cs="Calibri"/>
                <w:color w:val="000000"/>
                <w:sz w:val="24"/>
                <w:szCs w:val="24"/>
                <w:u w:val="double"/>
                <w:lang w:eastAsia="en-IE"/>
              </w:rPr>
              <w:t>f</w:t>
            </w:r>
            <w:r w:rsidR="00F77EAB">
              <w:rPr>
                <w:rFonts w:eastAsia="Times New Roman" w:cs="Calibri"/>
                <w:color w:val="000000"/>
                <w:sz w:val="24"/>
                <w:szCs w:val="24"/>
                <w:u w:val="double"/>
                <w:lang w:eastAsia="en-IE"/>
              </w:rPr>
              <w:t xml:space="preserve"> </w:t>
            </w:r>
            <w:r w:rsidRPr="00691DD1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</w:t>
            </w: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allers</w:t>
            </w:r>
          </w:p>
        </w:tc>
      </w:tr>
      <w:tr w:rsidR="002924E2" w:rsidRPr="00B12326" w14:paraId="0AEA708B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3E4DBF71" w14:textId="77777777" w:rsidR="002924E2" w:rsidRPr="00B12326" w:rsidRDefault="002924E2" w:rsidP="002924E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lang w:eastAsia="en-IE"/>
              </w:rPr>
              <w:t>Female</w:t>
            </w:r>
          </w:p>
        </w:tc>
        <w:tc>
          <w:tcPr>
            <w:tcW w:w="2720" w:type="dxa"/>
            <w:noWrap/>
            <w:hideMark/>
          </w:tcPr>
          <w:p w14:paraId="47B61D0E" w14:textId="23C931CC" w:rsidR="002924E2" w:rsidRPr="00491CD9" w:rsidRDefault="002924E2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A94669">
              <w:t xml:space="preserve"> 59,561 </w:t>
            </w:r>
          </w:p>
        </w:tc>
        <w:tc>
          <w:tcPr>
            <w:tcW w:w="2460" w:type="dxa"/>
            <w:noWrap/>
            <w:hideMark/>
          </w:tcPr>
          <w:p w14:paraId="3085751C" w14:textId="1A34B406" w:rsidR="002924E2" w:rsidRPr="00491CD9" w:rsidRDefault="002924E2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A94669">
              <w:t>61.6%</w:t>
            </w:r>
          </w:p>
        </w:tc>
      </w:tr>
      <w:tr w:rsidR="002924E2" w:rsidRPr="00B12326" w14:paraId="7BADF2ED" w14:textId="77777777" w:rsidTr="00691DD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5EEC2EE7" w14:textId="77777777" w:rsidR="002924E2" w:rsidRPr="00B12326" w:rsidRDefault="002924E2" w:rsidP="002924E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lang w:eastAsia="en-IE"/>
              </w:rPr>
              <w:t>Male</w:t>
            </w:r>
          </w:p>
        </w:tc>
        <w:tc>
          <w:tcPr>
            <w:tcW w:w="2720" w:type="dxa"/>
            <w:noWrap/>
            <w:hideMark/>
          </w:tcPr>
          <w:p w14:paraId="25D04CC7" w14:textId="2CFEDAA6" w:rsidR="002924E2" w:rsidRPr="00491CD9" w:rsidRDefault="002924E2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523C65">
              <w:t xml:space="preserve"> 33,562 </w:t>
            </w:r>
          </w:p>
        </w:tc>
        <w:tc>
          <w:tcPr>
            <w:tcW w:w="2460" w:type="dxa"/>
            <w:noWrap/>
            <w:hideMark/>
          </w:tcPr>
          <w:p w14:paraId="431E479C" w14:textId="2F5A7C8D" w:rsidR="002924E2" w:rsidRPr="00491CD9" w:rsidRDefault="002924E2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523C65">
              <w:t>34.7%</w:t>
            </w:r>
          </w:p>
        </w:tc>
      </w:tr>
      <w:tr w:rsidR="002924E2" w:rsidRPr="00B12326" w14:paraId="483AB3EB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5B4D6455" w14:textId="77777777" w:rsidR="002924E2" w:rsidRPr="00B12326" w:rsidRDefault="002924E2" w:rsidP="002924E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lang w:eastAsia="en-IE"/>
              </w:rPr>
              <w:t>Couples</w:t>
            </w:r>
          </w:p>
        </w:tc>
        <w:tc>
          <w:tcPr>
            <w:tcW w:w="2720" w:type="dxa"/>
            <w:noWrap/>
            <w:hideMark/>
          </w:tcPr>
          <w:p w14:paraId="430F02FF" w14:textId="48EBF52D" w:rsidR="002924E2" w:rsidRPr="00491CD9" w:rsidRDefault="002924E2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640F3D">
              <w:t xml:space="preserve"> 3,061 </w:t>
            </w:r>
          </w:p>
        </w:tc>
        <w:tc>
          <w:tcPr>
            <w:tcW w:w="2460" w:type="dxa"/>
            <w:noWrap/>
            <w:hideMark/>
          </w:tcPr>
          <w:p w14:paraId="31F2BC9D" w14:textId="1B4DE7F2" w:rsidR="002924E2" w:rsidRPr="00491CD9" w:rsidRDefault="002924E2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640F3D">
              <w:t>3.2%</w:t>
            </w:r>
          </w:p>
        </w:tc>
      </w:tr>
      <w:tr w:rsidR="002924E2" w:rsidRPr="00B12326" w14:paraId="2ED8A643" w14:textId="77777777" w:rsidTr="00691DD1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9" w:type="dxa"/>
            <w:noWrap/>
            <w:hideMark/>
          </w:tcPr>
          <w:p w14:paraId="0F1512E5" w14:textId="77777777" w:rsidR="002924E2" w:rsidRPr="00B12326" w:rsidRDefault="002924E2" w:rsidP="002924E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lang w:eastAsia="en-IE"/>
              </w:rPr>
              <w:t>Unknown</w:t>
            </w:r>
          </w:p>
        </w:tc>
        <w:tc>
          <w:tcPr>
            <w:tcW w:w="2720" w:type="dxa"/>
            <w:noWrap/>
            <w:hideMark/>
          </w:tcPr>
          <w:p w14:paraId="36828A79" w14:textId="4987A655" w:rsidR="002924E2" w:rsidRPr="00491CD9" w:rsidRDefault="002924E2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7A220D">
              <w:t xml:space="preserve"> 526 </w:t>
            </w:r>
          </w:p>
        </w:tc>
        <w:tc>
          <w:tcPr>
            <w:tcW w:w="2460" w:type="dxa"/>
            <w:noWrap/>
            <w:hideMark/>
          </w:tcPr>
          <w:p w14:paraId="49070F09" w14:textId="7D08FE85" w:rsidR="002924E2" w:rsidRPr="00491CD9" w:rsidRDefault="002924E2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7A220D">
              <w:t>0.5%</w:t>
            </w:r>
          </w:p>
        </w:tc>
      </w:tr>
    </w:tbl>
    <w:p w14:paraId="46FBA7F8" w14:textId="6218F3F2" w:rsidR="003433AB" w:rsidRDefault="003433AB" w:rsidP="003433AB">
      <w:pPr>
        <w:rPr>
          <w:lang w:eastAsia="en-IE"/>
        </w:rPr>
      </w:pPr>
    </w:p>
    <w:p w14:paraId="725369D8" w14:textId="55C6B2B5" w:rsidR="00A51866" w:rsidRPr="00A51866" w:rsidRDefault="00F21355" w:rsidP="00B86719">
      <w:pPr>
        <w:pStyle w:val="Heading3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Where age was recorded (n=6</w:t>
      </w:r>
      <w:r w:rsidR="009A5AC1">
        <w:rPr>
          <w:rFonts w:ascii="Calibri" w:hAnsi="Calibri" w:cs="Calibri"/>
          <w:color w:val="auto"/>
          <w:sz w:val="22"/>
          <w:szCs w:val="22"/>
        </w:rPr>
        <w:t>6</w:t>
      </w:r>
      <w:r w:rsidR="00A51866" w:rsidRPr="00B12326">
        <w:rPr>
          <w:rFonts w:ascii="Calibri" w:hAnsi="Calibri" w:cs="Calibri"/>
          <w:color w:val="auto"/>
          <w:sz w:val="22"/>
          <w:szCs w:val="22"/>
        </w:rPr>
        <w:t>%), the highest number</w:t>
      </w:r>
      <w:r w:rsidR="00041720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48567D">
        <w:rPr>
          <w:rFonts w:ascii="Calibri" w:hAnsi="Calibri" w:cs="Calibri"/>
          <w:color w:val="auto"/>
          <w:sz w:val="22"/>
          <w:szCs w:val="22"/>
        </w:rPr>
        <w:t>of callers</w:t>
      </w:r>
      <w:r w:rsidR="00A51866" w:rsidRPr="00B12326">
        <w:rPr>
          <w:rFonts w:ascii="Calibri" w:hAnsi="Calibri" w:cs="Calibri"/>
          <w:color w:val="auto"/>
          <w:sz w:val="22"/>
          <w:szCs w:val="22"/>
        </w:rPr>
        <w:t xml:space="preserve"> were in the 26</w:t>
      </w:r>
      <w:r w:rsidR="00C94637">
        <w:rPr>
          <w:rFonts w:ascii="Calibri" w:hAnsi="Calibri" w:cs="Calibri"/>
          <w:color w:val="auto"/>
          <w:sz w:val="22"/>
          <w:szCs w:val="22"/>
        </w:rPr>
        <w:t>-45 age bracket representing 4</w:t>
      </w:r>
      <w:r w:rsidR="009A5AC1">
        <w:rPr>
          <w:rFonts w:ascii="Calibri" w:hAnsi="Calibri" w:cs="Calibri"/>
          <w:color w:val="auto"/>
          <w:sz w:val="22"/>
          <w:szCs w:val="22"/>
        </w:rPr>
        <w:t>6</w:t>
      </w:r>
      <w:r w:rsidR="008944F2">
        <w:rPr>
          <w:rFonts w:ascii="Calibri" w:hAnsi="Calibri" w:cs="Calibri"/>
          <w:color w:val="auto"/>
          <w:sz w:val="22"/>
          <w:szCs w:val="22"/>
        </w:rPr>
        <w:t>.1</w:t>
      </w:r>
      <w:r w:rsidR="00C94637">
        <w:rPr>
          <w:rFonts w:ascii="Calibri" w:hAnsi="Calibri" w:cs="Calibri"/>
          <w:color w:val="auto"/>
          <w:sz w:val="22"/>
          <w:szCs w:val="22"/>
        </w:rPr>
        <w:t>%</w:t>
      </w:r>
      <w:r w:rsidR="00A51866" w:rsidRPr="00B12326">
        <w:rPr>
          <w:rFonts w:ascii="Calibri" w:hAnsi="Calibri" w:cs="Calibri"/>
          <w:color w:val="auto"/>
          <w:sz w:val="22"/>
          <w:szCs w:val="22"/>
        </w:rPr>
        <w:t xml:space="preserve"> of callers and down from </w:t>
      </w:r>
      <w:r w:rsidR="009A5AC1" w:rsidRPr="004F1830">
        <w:rPr>
          <w:rFonts w:ascii="Calibri" w:hAnsi="Calibri" w:cs="Calibri"/>
          <w:color w:val="auto"/>
          <w:sz w:val="22"/>
          <w:szCs w:val="22"/>
        </w:rPr>
        <w:t>50</w:t>
      </w:r>
      <w:r w:rsidR="004F1830" w:rsidRPr="004F1830">
        <w:rPr>
          <w:rFonts w:ascii="Calibri" w:hAnsi="Calibri" w:cs="Calibri"/>
          <w:color w:val="auto"/>
          <w:sz w:val="22"/>
          <w:szCs w:val="22"/>
        </w:rPr>
        <w:t>.5</w:t>
      </w:r>
      <w:r w:rsidR="00A51866" w:rsidRPr="004F1830">
        <w:rPr>
          <w:rFonts w:ascii="Calibri" w:hAnsi="Calibri" w:cs="Calibri"/>
          <w:color w:val="auto"/>
          <w:sz w:val="22"/>
          <w:szCs w:val="22"/>
        </w:rPr>
        <w:t>% in the same period in 2021.</w:t>
      </w:r>
      <w:r w:rsidR="00A51866" w:rsidRPr="00B12326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A51866" w:rsidRPr="00F108D4">
        <w:rPr>
          <w:rFonts w:ascii="Calibri" w:hAnsi="Calibri" w:cs="Calibri"/>
          <w:color w:val="auto"/>
          <w:sz w:val="22"/>
          <w:szCs w:val="22"/>
        </w:rPr>
        <w:t xml:space="preserve">The number of callers in the ‘66 and over’ age bracket rose by </w:t>
      </w:r>
      <w:r w:rsidR="00B452B4" w:rsidRPr="00F108D4">
        <w:rPr>
          <w:rFonts w:ascii="Calibri" w:hAnsi="Calibri" w:cs="Calibri"/>
          <w:color w:val="auto"/>
          <w:sz w:val="22"/>
          <w:szCs w:val="22"/>
        </w:rPr>
        <w:t>twice as much from 4,901</w:t>
      </w:r>
      <w:r w:rsidR="003079C8" w:rsidRPr="00F108D4">
        <w:rPr>
          <w:rFonts w:ascii="Calibri" w:hAnsi="Calibri" w:cs="Calibri"/>
          <w:color w:val="auto"/>
          <w:sz w:val="22"/>
          <w:szCs w:val="22"/>
        </w:rPr>
        <w:t xml:space="preserve"> in Q2 2001 to 9,921 for this quarter while </w:t>
      </w:r>
      <w:r w:rsidR="000155CD" w:rsidRPr="00F108D4">
        <w:rPr>
          <w:rFonts w:ascii="Calibri" w:hAnsi="Calibri" w:cs="Calibri"/>
          <w:color w:val="auto"/>
          <w:sz w:val="22"/>
          <w:szCs w:val="22"/>
        </w:rPr>
        <w:t xml:space="preserve">callers in the 26-45 range </w:t>
      </w:r>
      <w:r w:rsidR="00F108D4" w:rsidRPr="00F108D4">
        <w:rPr>
          <w:rFonts w:ascii="Calibri" w:hAnsi="Calibri" w:cs="Calibri"/>
          <w:color w:val="auto"/>
          <w:sz w:val="22"/>
          <w:szCs w:val="22"/>
        </w:rPr>
        <w:t xml:space="preserve">rose </w:t>
      </w:r>
      <w:r w:rsidR="000155CD" w:rsidRPr="00F108D4">
        <w:rPr>
          <w:rFonts w:ascii="Calibri" w:hAnsi="Calibri" w:cs="Calibri"/>
          <w:color w:val="auto"/>
          <w:sz w:val="22"/>
          <w:szCs w:val="22"/>
        </w:rPr>
        <w:t xml:space="preserve">by </w:t>
      </w:r>
      <w:r w:rsidR="00F108D4" w:rsidRPr="00F108D4">
        <w:rPr>
          <w:rFonts w:ascii="Calibri" w:hAnsi="Calibri" w:cs="Calibri"/>
          <w:color w:val="auto"/>
          <w:sz w:val="22"/>
          <w:szCs w:val="22"/>
        </w:rPr>
        <w:t xml:space="preserve">20% </w:t>
      </w:r>
      <w:r w:rsidR="009B2AA6" w:rsidRPr="00F108D4">
        <w:rPr>
          <w:rFonts w:ascii="Calibri" w:hAnsi="Calibri" w:cs="Calibri"/>
          <w:color w:val="auto"/>
          <w:sz w:val="22"/>
          <w:szCs w:val="22"/>
        </w:rPr>
        <w:t>from 24,389 callers to 29,34</w:t>
      </w:r>
      <w:r w:rsidR="009B2AA6">
        <w:rPr>
          <w:rFonts w:ascii="Calibri" w:hAnsi="Calibri" w:cs="Calibri"/>
          <w:color w:val="auto"/>
          <w:sz w:val="22"/>
          <w:szCs w:val="22"/>
        </w:rPr>
        <w:t>4 callers in this quarter.</w:t>
      </w:r>
    </w:p>
    <w:p w14:paraId="3F67A15F" w14:textId="21F4188F" w:rsidR="00B60276" w:rsidRPr="00B12326" w:rsidRDefault="005866A6" w:rsidP="00B60276">
      <w:pPr>
        <w:pStyle w:val="Heading1"/>
        <w:rPr>
          <w:rFonts w:eastAsia="Times New Roman"/>
          <w:b/>
          <w:sz w:val="24"/>
          <w:szCs w:val="24"/>
          <w:lang w:eastAsia="en-IE"/>
        </w:rPr>
      </w:pPr>
      <w:r>
        <w:rPr>
          <w:rFonts w:eastAsia="Times New Roman"/>
          <w:b/>
          <w:sz w:val="24"/>
          <w:szCs w:val="24"/>
          <w:lang w:eastAsia="en-IE"/>
        </w:rPr>
        <w:t>Table 2 – Caller Age Profile – Q2</w:t>
      </w:r>
      <w:r w:rsidR="00352248">
        <w:rPr>
          <w:rFonts w:eastAsia="Times New Roman"/>
          <w:b/>
          <w:sz w:val="24"/>
          <w:szCs w:val="24"/>
          <w:lang w:eastAsia="en-IE"/>
        </w:rPr>
        <w:t xml:space="preserve"> 2022</w:t>
      </w:r>
      <w:r w:rsidR="00B60276" w:rsidRPr="00B12326">
        <w:rPr>
          <w:rFonts w:eastAsia="Times New Roman"/>
          <w:b/>
          <w:sz w:val="24"/>
          <w:szCs w:val="24"/>
          <w:lang w:eastAsia="en-IE"/>
        </w:rPr>
        <w:t xml:space="preserve"> Summary </w:t>
      </w:r>
    </w:p>
    <w:tbl>
      <w:tblPr>
        <w:tblStyle w:val="GridTable5Dark-Accent6"/>
        <w:tblW w:w="7125" w:type="dxa"/>
        <w:tblLook w:val="04A0" w:firstRow="1" w:lastRow="0" w:firstColumn="1" w:lastColumn="0" w:noHBand="0" w:noVBand="1"/>
        <w:tblCaption w:val="Caller Age Profile - Quarter 1"/>
        <w:tblDescription w:val="A table setting out the caller age profile for quarter 1 2021."/>
      </w:tblPr>
      <w:tblGrid>
        <w:gridCol w:w="2427"/>
        <w:gridCol w:w="2228"/>
        <w:gridCol w:w="2470"/>
      </w:tblGrid>
      <w:tr w:rsidR="008C2567" w:rsidRPr="00B12326" w14:paraId="1E46E313" w14:textId="77777777" w:rsidTr="00691D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vMerge w:val="restart"/>
            <w:noWrap/>
            <w:hideMark/>
          </w:tcPr>
          <w:p w14:paraId="0442C416" w14:textId="77777777" w:rsidR="008C2567" w:rsidRPr="00B12326" w:rsidRDefault="008C2567" w:rsidP="008C2567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Caller Age Range</w:t>
            </w:r>
          </w:p>
        </w:tc>
        <w:tc>
          <w:tcPr>
            <w:tcW w:w="2228" w:type="dxa"/>
            <w:noWrap/>
            <w:hideMark/>
          </w:tcPr>
          <w:p w14:paraId="10692935" w14:textId="77777777" w:rsidR="008C2567" w:rsidRPr="00B12326" w:rsidRDefault="008C2567" w:rsidP="008C25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Number of Callers </w:t>
            </w:r>
          </w:p>
        </w:tc>
        <w:tc>
          <w:tcPr>
            <w:tcW w:w="2470" w:type="dxa"/>
            <w:vMerge w:val="restart"/>
            <w:noWrap/>
            <w:hideMark/>
          </w:tcPr>
          <w:p w14:paraId="2D5E85FC" w14:textId="77777777" w:rsidR="008C2567" w:rsidRPr="00B12326" w:rsidRDefault="008C2567" w:rsidP="008C2567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8C2567" w:rsidRPr="00B12326" w14:paraId="3F27B9CE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vMerge/>
            <w:hideMark/>
          </w:tcPr>
          <w:p w14:paraId="2082112B" w14:textId="77777777" w:rsidR="008C2567" w:rsidRPr="00B12326" w:rsidRDefault="008C2567" w:rsidP="008C2567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2228" w:type="dxa"/>
            <w:shd w:val="clear" w:color="auto" w:fill="62A39F" w:themeFill="accent6"/>
            <w:noWrap/>
            <w:hideMark/>
          </w:tcPr>
          <w:p w14:paraId="38D95A1D" w14:textId="2D7C3EF0" w:rsidR="008C2567" w:rsidRPr="00163F56" w:rsidRDefault="005866A6" w:rsidP="008C25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highlight w:val="yellow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(n= 65.8</w:t>
            </w:r>
            <w:r w:rsidR="008944F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3</w:t>
            </w:r>
            <w:r w:rsidR="008C2567" w:rsidRPr="005866A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%)</w:t>
            </w:r>
          </w:p>
        </w:tc>
        <w:tc>
          <w:tcPr>
            <w:tcW w:w="2470" w:type="dxa"/>
            <w:vMerge/>
            <w:hideMark/>
          </w:tcPr>
          <w:p w14:paraId="0562ECEB" w14:textId="77777777" w:rsidR="008C2567" w:rsidRPr="00B12326" w:rsidRDefault="008C2567" w:rsidP="008C256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  <w:tr w:rsidR="00EC5F94" w:rsidRPr="00B12326" w14:paraId="506F6CF4" w14:textId="77777777" w:rsidTr="0057515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720FE3C8" w14:textId="0A52F22E" w:rsidR="00EC5F94" w:rsidRPr="006A6154" w:rsidRDefault="00EC5F94" w:rsidP="00EC5F9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6A6154">
              <w:rPr>
                <w:rFonts w:cs="Calibri"/>
                <w:color w:val="000000"/>
              </w:rPr>
              <w:t>26 - 45</w:t>
            </w:r>
          </w:p>
        </w:tc>
        <w:tc>
          <w:tcPr>
            <w:tcW w:w="2228" w:type="dxa"/>
            <w:noWrap/>
            <w:vAlign w:val="bottom"/>
            <w:hideMark/>
          </w:tcPr>
          <w:p w14:paraId="66A26897" w14:textId="68B2247C" w:rsidR="00EC5F94" w:rsidRPr="00491CD9" w:rsidRDefault="00EC5F94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highlight w:val="yellow"/>
                <w:lang w:eastAsia="en-IE"/>
              </w:rPr>
            </w:pPr>
            <w:r>
              <w:rPr>
                <w:rFonts w:cs="Calibri"/>
                <w:color w:val="000000"/>
              </w:rPr>
              <w:t>29,344</w:t>
            </w:r>
          </w:p>
        </w:tc>
        <w:tc>
          <w:tcPr>
            <w:tcW w:w="2470" w:type="dxa"/>
            <w:noWrap/>
            <w:vAlign w:val="bottom"/>
            <w:hideMark/>
          </w:tcPr>
          <w:p w14:paraId="7F934949" w14:textId="597ECDBD" w:rsidR="00EC5F94" w:rsidRPr="00491CD9" w:rsidRDefault="00EC5F94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46.1%</w:t>
            </w:r>
          </w:p>
        </w:tc>
      </w:tr>
      <w:tr w:rsidR="00EC5F94" w:rsidRPr="00B12326" w14:paraId="0E670BF8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5DB3BB29" w14:textId="7E102A3C" w:rsidR="00EC5F94" w:rsidRPr="006A6154" w:rsidRDefault="00EC5F94" w:rsidP="00EC5F9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6A6154">
              <w:rPr>
                <w:rFonts w:cs="Calibri"/>
                <w:color w:val="000000"/>
              </w:rPr>
              <w:t>46 - 65</w:t>
            </w:r>
          </w:p>
        </w:tc>
        <w:tc>
          <w:tcPr>
            <w:tcW w:w="2228" w:type="dxa"/>
            <w:noWrap/>
            <w:vAlign w:val="bottom"/>
            <w:hideMark/>
          </w:tcPr>
          <w:p w14:paraId="531FEAA9" w14:textId="3A0E8EB3" w:rsidR="00EC5F94" w:rsidRPr="00491CD9" w:rsidRDefault="00EC5F94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22,133</w:t>
            </w:r>
          </w:p>
        </w:tc>
        <w:tc>
          <w:tcPr>
            <w:tcW w:w="2470" w:type="dxa"/>
            <w:noWrap/>
            <w:vAlign w:val="bottom"/>
            <w:hideMark/>
          </w:tcPr>
          <w:p w14:paraId="0A7A3C46" w14:textId="42DD04F8" w:rsidR="00EC5F94" w:rsidRPr="00491CD9" w:rsidRDefault="00EC5F94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34.8%</w:t>
            </w:r>
          </w:p>
        </w:tc>
      </w:tr>
      <w:tr w:rsidR="00EC5F94" w:rsidRPr="00B12326" w14:paraId="57733959" w14:textId="77777777" w:rsidTr="00575157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2242E7F6" w14:textId="0F0E637D" w:rsidR="00EC5F94" w:rsidRPr="006A6154" w:rsidRDefault="00EC5F94" w:rsidP="00EC5F9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6A6154">
              <w:rPr>
                <w:rFonts w:cs="Calibri"/>
                <w:color w:val="000000"/>
              </w:rPr>
              <w:t>66 and Over</w:t>
            </w:r>
          </w:p>
        </w:tc>
        <w:tc>
          <w:tcPr>
            <w:tcW w:w="2228" w:type="dxa"/>
            <w:noWrap/>
            <w:vAlign w:val="bottom"/>
            <w:hideMark/>
          </w:tcPr>
          <w:p w14:paraId="7BC98B0D" w14:textId="2046A8A3" w:rsidR="00EC5F94" w:rsidRPr="00491CD9" w:rsidRDefault="00EC5F94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9,921</w:t>
            </w:r>
          </w:p>
        </w:tc>
        <w:tc>
          <w:tcPr>
            <w:tcW w:w="2470" w:type="dxa"/>
            <w:noWrap/>
            <w:vAlign w:val="bottom"/>
            <w:hideMark/>
          </w:tcPr>
          <w:p w14:paraId="7DE864E2" w14:textId="0079F14C" w:rsidR="00EC5F94" w:rsidRPr="00491CD9" w:rsidRDefault="00EC5F94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15.6%</w:t>
            </w:r>
          </w:p>
        </w:tc>
      </w:tr>
      <w:tr w:rsidR="00EC5F94" w:rsidRPr="00B12326" w14:paraId="11B92745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7A6BDFEC" w14:textId="58963CC6" w:rsidR="00EC5F94" w:rsidRPr="006A6154" w:rsidRDefault="00EC5F94" w:rsidP="00EC5F9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6A6154">
              <w:rPr>
                <w:rFonts w:cs="Calibri"/>
                <w:color w:val="000000"/>
              </w:rPr>
              <w:t>25 and Under</w:t>
            </w:r>
          </w:p>
        </w:tc>
        <w:tc>
          <w:tcPr>
            <w:tcW w:w="2228" w:type="dxa"/>
            <w:noWrap/>
            <w:vAlign w:val="bottom"/>
            <w:hideMark/>
          </w:tcPr>
          <w:p w14:paraId="177A63B6" w14:textId="54F413D1" w:rsidR="00EC5F94" w:rsidRPr="00491CD9" w:rsidRDefault="00EC5F94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2,268</w:t>
            </w:r>
          </w:p>
        </w:tc>
        <w:tc>
          <w:tcPr>
            <w:tcW w:w="2470" w:type="dxa"/>
            <w:noWrap/>
            <w:vAlign w:val="bottom"/>
            <w:hideMark/>
          </w:tcPr>
          <w:p w14:paraId="4D500413" w14:textId="05797553" w:rsidR="00EC5F94" w:rsidRPr="00491CD9" w:rsidRDefault="00EC5F94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3.6%</w:t>
            </w:r>
          </w:p>
        </w:tc>
      </w:tr>
    </w:tbl>
    <w:p w14:paraId="320CC961" w14:textId="3FCDB18E" w:rsidR="008C2567" w:rsidRPr="00B12326" w:rsidRDefault="008C2567" w:rsidP="00B60276">
      <w:pPr>
        <w:sectPr w:rsidR="008C2567" w:rsidRPr="00B12326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9B5A4" w14:textId="52B8F96C" w:rsidR="00725B40" w:rsidRPr="00725B40" w:rsidRDefault="00041720" w:rsidP="00B86719">
      <w:pPr>
        <w:jc w:val="both"/>
      </w:pPr>
      <w:r>
        <w:rPr>
          <w:rFonts w:cs="Calibri"/>
        </w:rPr>
        <w:t xml:space="preserve">Of the </w:t>
      </w:r>
      <w:r w:rsidR="008D592E">
        <w:rPr>
          <w:rFonts w:cs="Calibri"/>
        </w:rPr>
        <w:t>96,710</w:t>
      </w:r>
      <w:r>
        <w:rPr>
          <w:rFonts w:cs="Calibri"/>
        </w:rPr>
        <w:t xml:space="preserve"> callers </w:t>
      </w:r>
      <w:r w:rsidR="003C36C5" w:rsidRPr="00B12326">
        <w:rPr>
          <w:rFonts w:cs="Calibri"/>
        </w:rPr>
        <w:t>that contacted CISs in Q</w:t>
      </w:r>
      <w:r w:rsidR="009A5AC1">
        <w:rPr>
          <w:rFonts w:cs="Calibri"/>
        </w:rPr>
        <w:t>2</w:t>
      </w:r>
      <w:r w:rsidR="003C36C5" w:rsidRPr="00B12326">
        <w:rPr>
          <w:rFonts w:cs="Calibri"/>
        </w:rPr>
        <w:t xml:space="preserve"> 2022</w:t>
      </w:r>
      <w:r>
        <w:rPr>
          <w:rFonts w:cs="Calibri"/>
        </w:rPr>
        <w:t xml:space="preserve">, </w:t>
      </w:r>
      <w:r w:rsidR="00FF5BEC">
        <w:rPr>
          <w:rFonts w:cs="Calibri"/>
        </w:rPr>
        <w:t>55</w:t>
      </w:r>
      <w:r w:rsidRPr="00B12326">
        <w:rPr>
          <w:rFonts w:cs="Calibri"/>
        </w:rPr>
        <w:t>% of people</w:t>
      </w:r>
      <w:r w:rsidR="003C36C5" w:rsidRPr="00B12326">
        <w:rPr>
          <w:rFonts w:cs="Calibri"/>
        </w:rPr>
        <w:t xml:space="preserve"> did so by telephone, compared to </w:t>
      </w:r>
      <w:r w:rsidR="00FF5BEC">
        <w:rPr>
          <w:rFonts w:cs="Calibri"/>
        </w:rPr>
        <w:t>72</w:t>
      </w:r>
      <w:r w:rsidR="003C36C5" w:rsidRPr="00B12326">
        <w:rPr>
          <w:rFonts w:cs="Calibri"/>
        </w:rPr>
        <w:t>%</w:t>
      </w:r>
      <w:r w:rsidR="00B60276" w:rsidRPr="00B12326">
        <w:rPr>
          <w:rFonts w:cs="Calibri"/>
        </w:rPr>
        <w:t xml:space="preserve"> in </w:t>
      </w:r>
      <w:r w:rsidR="005467C3" w:rsidRPr="00B12326">
        <w:rPr>
          <w:rFonts w:cs="Calibri"/>
        </w:rPr>
        <w:t>Q</w:t>
      </w:r>
      <w:r w:rsidR="00FF5BEC">
        <w:rPr>
          <w:rFonts w:cs="Calibri"/>
        </w:rPr>
        <w:t>2</w:t>
      </w:r>
      <w:r w:rsidR="00B60276" w:rsidRPr="00B12326">
        <w:rPr>
          <w:rFonts w:cs="Calibri"/>
        </w:rPr>
        <w:t xml:space="preserve"> 2021</w:t>
      </w:r>
      <w:r w:rsidR="003C36C5" w:rsidRPr="00B12326">
        <w:rPr>
          <w:rFonts w:cs="Calibri"/>
        </w:rPr>
        <w:t xml:space="preserve"> when face-to-face services were closed.</w:t>
      </w:r>
      <w:r w:rsidR="00B60276" w:rsidRPr="00B12326">
        <w:rPr>
          <w:rFonts w:cs="Calibri"/>
        </w:rPr>
        <w:t xml:space="preserve"> </w:t>
      </w:r>
      <w:r w:rsidR="009F073C" w:rsidRPr="00203E25">
        <w:t xml:space="preserve">Face-to-face </w:t>
      </w:r>
      <w:r w:rsidR="00212807">
        <w:t>services</w:t>
      </w:r>
      <w:r w:rsidR="00F21355">
        <w:t xml:space="preserve"> </w:t>
      </w:r>
      <w:r w:rsidR="00E41486">
        <w:t>(drop-in and appointment)</w:t>
      </w:r>
      <w:r w:rsidR="00E41486" w:rsidRPr="00203E25">
        <w:t xml:space="preserve"> </w:t>
      </w:r>
      <w:r w:rsidR="00212807">
        <w:t xml:space="preserve">resumed on a phased basis in Q1, </w:t>
      </w:r>
      <w:r w:rsidR="009F073C" w:rsidRPr="00203E25">
        <w:t>2022</w:t>
      </w:r>
      <w:r w:rsidR="00BB6A6F">
        <w:t>. C</w:t>
      </w:r>
      <w:r w:rsidR="00FF5BEC">
        <w:t>allers in person</w:t>
      </w:r>
      <w:r w:rsidR="00BB6A6F">
        <w:t xml:space="preserve"> therefore</w:t>
      </w:r>
      <w:r w:rsidR="00FF5BEC">
        <w:t xml:space="preserve"> increased </w:t>
      </w:r>
      <w:r w:rsidR="00236DD9">
        <w:t xml:space="preserve">from 6.8% </w:t>
      </w:r>
      <w:r w:rsidR="00C4798E">
        <w:t xml:space="preserve">in Q2 2021 </w:t>
      </w:r>
      <w:r w:rsidR="00BB6A6F">
        <w:t xml:space="preserve">to 41%, </w:t>
      </w:r>
      <w:r w:rsidR="00BB6A6F" w:rsidRPr="00E65392">
        <w:t xml:space="preserve">an increase of </w:t>
      </w:r>
      <w:r w:rsidR="00FF5BEC" w:rsidRPr="00E65392">
        <w:t>34%</w:t>
      </w:r>
      <w:r w:rsidR="00BB6A6F" w:rsidRPr="00E65392">
        <w:t xml:space="preserve"> as a percentage of all callers</w:t>
      </w:r>
      <w:r w:rsidR="00FF5BEC" w:rsidRPr="00E65392">
        <w:rPr>
          <w:rStyle w:val="FootnoteReference"/>
        </w:rPr>
        <w:footnoteReference w:id="2"/>
      </w:r>
      <w:r w:rsidR="00FF5BEC" w:rsidRPr="00E65392">
        <w:t>.</w:t>
      </w:r>
      <w:r w:rsidR="00DF02C3">
        <w:t xml:space="preserve"> </w:t>
      </w:r>
    </w:p>
    <w:p w14:paraId="32DA03CE" w14:textId="6E0013E3" w:rsidR="00B60276" w:rsidRPr="00B12326" w:rsidRDefault="00B60276" w:rsidP="005467C3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>Table 3 – Caller Mode of Contact</w:t>
      </w:r>
      <w:r w:rsidR="005467C3" w:rsidRPr="00B12326">
        <w:rPr>
          <w:rFonts w:eastAsia="Times New Roman"/>
          <w:b/>
          <w:sz w:val="24"/>
          <w:szCs w:val="24"/>
          <w:lang w:eastAsia="en-IE"/>
        </w:rPr>
        <w:t xml:space="preserve"> –</w:t>
      </w:r>
      <w:r w:rsidR="009A5AC1">
        <w:rPr>
          <w:rFonts w:eastAsia="Times New Roman"/>
          <w:b/>
          <w:sz w:val="24"/>
          <w:szCs w:val="24"/>
          <w:lang w:eastAsia="en-IE"/>
        </w:rPr>
        <w:t xml:space="preserve"> Q2 </w:t>
      </w:r>
      <w:r w:rsidRPr="00B12326">
        <w:rPr>
          <w:rFonts w:eastAsia="Times New Roman"/>
          <w:b/>
          <w:sz w:val="24"/>
          <w:szCs w:val="24"/>
          <w:lang w:eastAsia="en-IE"/>
        </w:rPr>
        <w:t>Summary</w:t>
      </w:r>
    </w:p>
    <w:tbl>
      <w:tblPr>
        <w:tblStyle w:val="GridTable5Dark-Accent6"/>
        <w:tblW w:w="7150" w:type="dxa"/>
        <w:tblLook w:val="04A0" w:firstRow="1" w:lastRow="0" w:firstColumn="1" w:lastColumn="0" w:noHBand="0" w:noVBand="1"/>
        <w:tblCaption w:val="Caller Mode of Contact - Quarter 1 2021"/>
        <w:tblDescription w:val="A table setting out the caller contact type by telephone, personal and letter/email for quarter 1 2021."/>
      </w:tblPr>
      <w:tblGrid>
        <w:gridCol w:w="2029"/>
        <w:gridCol w:w="2640"/>
        <w:gridCol w:w="2481"/>
      </w:tblGrid>
      <w:tr w:rsidR="003C36C5" w:rsidRPr="00B12326" w14:paraId="7EA4B4D3" w14:textId="77777777" w:rsidTr="00690F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7A2B7CEA" w14:textId="77777777" w:rsidR="003C36C5" w:rsidRPr="00B12326" w:rsidRDefault="003C36C5" w:rsidP="003C36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Caller Type</w:t>
            </w:r>
          </w:p>
        </w:tc>
        <w:tc>
          <w:tcPr>
            <w:tcW w:w="2640" w:type="dxa"/>
            <w:noWrap/>
            <w:hideMark/>
          </w:tcPr>
          <w:p w14:paraId="716424ED" w14:textId="77777777" w:rsidR="003C36C5" w:rsidRPr="00B12326" w:rsidRDefault="003C36C5" w:rsidP="003C36C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Number of Callers</w:t>
            </w:r>
          </w:p>
        </w:tc>
        <w:tc>
          <w:tcPr>
            <w:tcW w:w="2481" w:type="dxa"/>
            <w:noWrap/>
            <w:hideMark/>
          </w:tcPr>
          <w:p w14:paraId="29E9851F" w14:textId="77777777" w:rsidR="003C36C5" w:rsidRPr="00B12326" w:rsidRDefault="003C36C5" w:rsidP="003C36C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% of Callers</w:t>
            </w:r>
          </w:p>
        </w:tc>
      </w:tr>
      <w:tr w:rsidR="008D592E" w:rsidRPr="00B12326" w14:paraId="44B7438B" w14:textId="77777777" w:rsidTr="0069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0FB9F632" w14:textId="77777777" w:rsidR="008D592E" w:rsidRPr="00B12326" w:rsidRDefault="008D592E" w:rsidP="008D592E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lang w:eastAsia="en-IE"/>
              </w:rPr>
              <w:t>Telephone</w:t>
            </w:r>
          </w:p>
        </w:tc>
        <w:tc>
          <w:tcPr>
            <w:tcW w:w="2640" w:type="dxa"/>
            <w:noWrap/>
            <w:hideMark/>
          </w:tcPr>
          <w:p w14:paraId="6C26933C" w14:textId="1AA0C21F" w:rsidR="008D592E" w:rsidRPr="00491CD9" w:rsidRDefault="008D592E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53,381</w:t>
            </w:r>
          </w:p>
        </w:tc>
        <w:tc>
          <w:tcPr>
            <w:tcW w:w="2481" w:type="dxa"/>
            <w:noWrap/>
          </w:tcPr>
          <w:p w14:paraId="1EEB520B" w14:textId="19F97F87" w:rsidR="008D592E" w:rsidRPr="00491CD9" w:rsidRDefault="008D592E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502A6">
              <w:rPr>
                <w:rFonts w:cs="Calibri"/>
                <w:color w:val="000000"/>
              </w:rPr>
              <w:t>55.2%</w:t>
            </w:r>
          </w:p>
        </w:tc>
      </w:tr>
      <w:tr w:rsidR="008D592E" w:rsidRPr="00B12326" w14:paraId="01A6056B" w14:textId="77777777" w:rsidTr="00690F3B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45A6F347" w14:textId="77777777" w:rsidR="008D592E" w:rsidRPr="00B12326" w:rsidRDefault="008D592E" w:rsidP="008D592E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lang w:eastAsia="en-IE"/>
              </w:rPr>
              <w:t>Personal</w:t>
            </w:r>
          </w:p>
        </w:tc>
        <w:tc>
          <w:tcPr>
            <w:tcW w:w="2640" w:type="dxa"/>
            <w:noWrap/>
            <w:hideMark/>
          </w:tcPr>
          <w:p w14:paraId="30CFC515" w14:textId="58FE2E12" w:rsidR="008D592E" w:rsidRPr="00491CD9" w:rsidRDefault="008D592E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39,772</w:t>
            </w:r>
          </w:p>
        </w:tc>
        <w:tc>
          <w:tcPr>
            <w:tcW w:w="2481" w:type="dxa"/>
            <w:noWrap/>
          </w:tcPr>
          <w:p w14:paraId="2DC88BC0" w14:textId="40E1F111" w:rsidR="008D592E" w:rsidRPr="00491CD9" w:rsidRDefault="008D592E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41.1%</w:t>
            </w:r>
          </w:p>
        </w:tc>
      </w:tr>
      <w:tr w:rsidR="008D592E" w:rsidRPr="003C36C5" w14:paraId="643F2934" w14:textId="77777777" w:rsidTr="00690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9" w:type="dxa"/>
            <w:noWrap/>
            <w:hideMark/>
          </w:tcPr>
          <w:p w14:paraId="592A83FB" w14:textId="77777777" w:rsidR="008D592E" w:rsidRPr="00B12326" w:rsidRDefault="008D592E" w:rsidP="008D592E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lang w:eastAsia="en-IE"/>
              </w:rPr>
              <w:t>Letter/Email</w:t>
            </w:r>
          </w:p>
        </w:tc>
        <w:tc>
          <w:tcPr>
            <w:tcW w:w="2640" w:type="dxa"/>
            <w:noWrap/>
            <w:hideMark/>
          </w:tcPr>
          <w:p w14:paraId="4F16112C" w14:textId="1C83A1B3" w:rsidR="008D592E" w:rsidRPr="00491CD9" w:rsidRDefault="008D592E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3,557</w:t>
            </w:r>
          </w:p>
        </w:tc>
        <w:tc>
          <w:tcPr>
            <w:tcW w:w="2481" w:type="dxa"/>
            <w:noWrap/>
          </w:tcPr>
          <w:p w14:paraId="1C9D93E3" w14:textId="6A51854E" w:rsidR="008D592E" w:rsidRPr="00491CD9" w:rsidRDefault="008D592E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cs="Calibri"/>
                <w:color w:val="000000"/>
              </w:rPr>
              <w:t>3.7%</w:t>
            </w:r>
          </w:p>
        </w:tc>
      </w:tr>
    </w:tbl>
    <w:p w14:paraId="39A63158" w14:textId="285997E7" w:rsidR="005A640A" w:rsidRPr="00135533" w:rsidRDefault="005A640A" w:rsidP="00B60276">
      <w:pPr>
        <w:sectPr w:rsidR="005A640A" w:rsidRPr="00135533" w:rsidSect="003269F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C795667" w14:textId="77777777" w:rsidR="00B60276" w:rsidRPr="00135533" w:rsidRDefault="00B60276" w:rsidP="00B60276">
      <w:pPr>
        <w:sectPr w:rsidR="00B60276" w:rsidRPr="00135533" w:rsidSect="003269F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5F468AF" w14:textId="77777777" w:rsidR="00B60276" w:rsidRPr="00135533" w:rsidRDefault="00B60276" w:rsidP="00B60276">
      <w:pPr>
        <w:sectPr w:rsidR="00B60276" w:rsidRPr="00135533" w:rsidSect="003269F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60F56A" w14:textId="77777777" w:rsidR="00B60276" w:rsidRDefault="00B60276" w:rsidP="00B60276">
      <w:pPr>
        <w:rPr>
          <w:lang w:val="en-US"/>
        </w:rPr>
        <w:sectPr w:rsidR="00B60276" w:rsidSect="003269F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B3B673" w14:textId="77777777" w:rsidR="00B60276" w:rsidRPr="000C2E61" w:rsidRDefault="00B60276" w:rsidP="00B60276">
      <w:pPr>
        <w:pStyle w:val="Heading1"/>
        <w:rPr>
          <w:b/>
          <w:sz w:val="28"/>
          <w:szCs w:val="28"/>
        </w:rPr>
      </w:pPr>
      <w:r w:rsidRPr="005D5240">
        <w:rPr>
          <w:b/>
          <w:sz w:val="28"/>
          <w:szCs w:val="28"/>
        </w:rPr>
        <w:lastRenderedPageBreak/>
        <w:t>Query Summary</w:t>
      </w:r>
      <w:r w:rsidRPr="000C2E61">
        <w:rPr>
          <w:b/>
          <w:sz w:val="28"/>
          <w:szCs w:val="28"/>
        </w:rPr>
        <w:t xml:space="preserve"> </w:t>
      </w:r>
    </w:p>
    <w:p w14:paraId="0590B721" w14:textId="60282404" w:rsidR="000A6757" w:rsidRPr="00B12326" w:rsidRDefault="00B60276" w:rsidP="00853B85">
      <w:pPr>
        <w:jc w:val="both"/>
        <w:rPr>
          <w:rFonts w:cs="Calibri"/>
        </w:rPr>
        <w:sectPr w:rsidR="000A6757" w:rsidRPr="00B12326" w:rsidSect="003269F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B12326">
        <w:rPr>
          <w:rFonts w:cs="Calibri"/>
        </w:rPr>
        <w:t xml:space="preserve">Services dealt with </w:t>
      </w:r>
      <w:r w:rsidR="00EB73F2" w:rsidRPr="000A6598">
        <w:rPr>
          <w:rFonts w:cs="Calibri"/>
          <w:b/>
        </w:rPr>
        <w:t>1</w:t>
      </w:r>
      <w:r w:rsidR="003A2BB2" w:rsidRPr="000A6598">
        <w:rPr>
          <w:rFonts w:cs="Calibri"/>
          <w:b/>
        </w:rPr>
        <w:t>90,86</w:t>
      </w:r>
      <w:r w:rsidR="00B20D3F" w:rsidRPr="000A6598">
        <w:rPr>
          <w:rFonts w:cs="Calibri"/>
          <w:b/>
        </w:rPr>
        <w:t>7</w:t>
      </w:r>
      <w:r w:rsidR="000A6757" w:rsidRPr="00B12326">
        <w:rPr>
          <w:rFonts w:cs="Calibri"/>
        </w:rPr>
        <w:t xml:space="preserve"> queries during Q</w:t>
      </w:r>
      <w:r w:rsidR="000A2F57">
        <w:rPr>
          <w:rFonts w:cs="Calibri"/>
        </w:rPr>
        <w:t>2</w:t>
      </w:r>
      <w:r w:rsidR="000A6757" w:rsidRPr="00B12326">
        <w:rPr>
          <w:rFonts w:cs="Calibri"/>
        </w:rPr>
        <w:t xml:space="preserve"> 2022</w:t>
      </w:r>
      <w:r w:rsidR="000A2F57">
        <w:rPr>
          <w:rFonts w:cs="Calibri"/>
        </w:rPr>
        <w:t>, a</w:t>
      </w:r>
      <w:r w:rsidR="00567AE3">
        <w:rPr>
          <w:rFonts w:cs="Calibri"/>
        </w:rPr>
        <w:t xml:space="preserve">n </w:t>
      </w:r>
      <w:r w:rsidR="00567AE3" w:rsidRPr="0047173B">
        <w:rPr>
          <w:rFonts w:cs="Calibri"/>
          <w:b/>
        </w:rPr>
        <w:t xml:space="preserve">increase </w:t>
      </w:r>
      <w:r w:rsidR="00C0783D" w:rsidRPr="0047173B">
        <w:rPr>
          <w:rFonts w:cs="Calibri"/>
          <w:b/>
        </w:rPr>
        <w:t xml:space="preserve">of </w:t>
      </w:r>
      <w:r w:rsidR="000A2F57" w:rsidRPr="0047173B">
        <w:rPr>
          <w:rFonts w:cs="Calibri"/>
          <w:b/>
        </w:rPr>
        <w:t>9</w:t>
      </w:r>
      <w:r w:rsidR="00C0783D" w:rsidRPr="0047173B">
        <w:rPr>
          <w:rFonts w:cs="Calibri"/>
          <w:b/>
        </w:rPr>
        <w:t>%</w:t>
      </w:r>
      <w:r w:rsidR="00C0783D" w:rsidRPr="00B12326">
        <w:rPr>
          <w:rFonts w:cs="Calibri"/>
        </w:rPr>
        <w:t xml:space="preserve"> on the same period in </w:t>
      </w:r>
      <w:r w:rsidRPr="00B12326">
        <w:rPr>
          <w:rFonts w:cs="Calibri"/>
        </w:rPr>
        <w:t>2021. There</w:t>
      </w:r>
      <w:r w:rsidR="00041720">
        <w:rPr>
          <w:rFonts w:cs="Calibri"/>
        </w:rPr>
        <w:t xml:space="preserve"> was a slight drop in the ratio of queries to callers</w:t>
      </w:r>
      <w:r w:rsidR="00853B85">
        <w:rPr>
          <w:rFonts w:cs="Calibri"/>
        </w:rPr>
        <w:t>,</w:t>
      </w:r>
      <w:r w:rsidR="00041720">
        <w:rPr>
          <w:rFonts w:cs="Calibri"/>
        </w:rPr>
        <w:t xml:space="preserve"> at</w:t>
      </w:r>
      <w:r w:rsidR="005E597E">
        <w:rPr>
          <w:rFonts w:cs="Calibri"/>
        </w:rPr>
        <w:t xml:space="preserve"> </w:t>
      </w:r>
      <w:r w:rsidR="000A2F57">
        <w:rPr>
          <w:rFonts w:cs="Calibri"/>
          <w:b/>
        </w:rPr>
        <w:t>1.9</w:t>
      </w:r>
      <w:r w:rsidR="00DF5236">
        <w:rPr>
          <w:rFonts w:cs="Calibri"/>
          <w:b/>
        </w:rPr>
        <w:t>7</w:t>
      </w:r>
      <w:r w:rsidR="00C0783D" w:rsidRPr="00203E25">
        <w:rPr>
          <w:rFonts w:cs="Calibri"/>
          <w:b/>
        </w:rPr>
        <w:t xml:space="preserve"> queries per caller</w:t>
      </w:r>
      <w:r w:rsidR="00C0783D" w:rsidRPr="00B12326">
        <w:rPr>
          <w:rFonts w:cs="Calibri"/>
        </w:rPr>
        <w:t xml:space="preserve"> compared with </w:t>
      </w:r>
      <w:r w:rsidR="003269F0" w:rsidRPr="00B12326">
        <w:rPr>
          <w:rFonts w:cs="Calibri"/>
          <w:lang w:val="en-US"/>
        </w:rPr>
        <w:t>2.</w:t>
      </w:r>
      <w:r w:rsidR="000A2F57">
        <w:rPr>
          <w:rFonts w:cs="Calibri"/>
          <w:lang w:val="en-US"/>
        </w:rPr>
        <w:t>09</w:t>
      </w:r>
      <w:r w:rsidRPr="00B12326">
        <w:rPr>
          <w:rFonts w:cs="Calibri"/>
          <w:lang w:val="en-US"/>
        </w:rPr>
        <w:t xml:space="preserve"> </w:t>
      </w:r>
      <w:r w:rsidR="00C0783D" w:rsidRPr="00B12326">
        <w:rPr>
          <w:rFonts w:cs="Calibri"/>
        </w:rPr>
        <w:t>in Q</w:t>
      </w:r>
      <w:r w:rsidR="000A2F57">
        <w:rPr>
          <w:rFonts w:cs="Calibri"/>
        </w:rPr>
        <w:t>2</w:t>
      </w:r>
      <w:r w:rsidR="00C0783D" w:rsidRPr="00B12326">
        <w:rPr>
          <w:rFonts w:cs="Calibri"/>
        </w:rPr>
        <w:t xml:space="preserve"> 2021</w:t>
      </w:r>
      <w:r w:rsidRPr="00B12326">
        <w:rPr>
          <w:rFonts w:cs="Calibri"/>
        </w:rPr>
        <w:t>. Of the</w:t>
      </w:r>
      <w:r w:rsidR="00567AE3">
        <w:rPr>
          <w:rFonts w:cs="Calibri"/>
        </w:rPr>
        <w:t>se</w:t>
      </w:r>
      <w:r w:rsidR="0028312E">
        <w:rPr>
          <w:rFonts w:cs="Calibri"/>
        </w:rPr>
        <w:t xml:space="preserve"> </w:t>
      </w:r>
      <w:r w:rsidRPr="00B12326">
        <w:rPr>
          <w:rFonts w:cs="Calibri"/>
        </w:rPr>
        <w:t xml:space="preserve">queries recorded by CISs, </w:t>
      </w:r>
      <w:r w:rsidR="00041720">
        <w:rPr>
          <w:rFonts w:cs="Calibri"/>
        </w:rPr>
        <w:t>4</w:t>
      </w:r>
      <w:r w:rsidR="00DF5236">
        <w:rPr>
          <w:rFonts w:cs="Calibri"/>
        </w:rPr>
        <w:t>4</w:t>
      </w:r>
      <w:r w:rsidR="00041720">
        <w:rPr>
          <w:rFonts w:cs="Calibri"/>
        </w:rPr>
        <w:t xml:space="preserve">% </w:t>
      </w:r>
      <w:r w:rsidRPr="00B12326">
        <w:rPr>
          <w:rFonts w:cs="Calibri"/>
        </w:rPr>
        <w:t xml:space="preserve">were </w:t>
      </w:r>
      <w:r w:rsidR="00567AE3">
        <w:rPr>
          <w:rFonts w:cs="Calibri"/>
        </w:rPr>
        <w:t xml:space="preserve">related to </w:t>
      </w:r>
      <w:r w:rsidRPr="00B12326">
        <w:rPr>
          <w:rFonts w:cs="Calibri"/>
        </w:rPr>
        <w:t xml:space="preserve">Social Welfare rights and entitlements </w:t>
      </w:r>
      <w:r w:rsidRPr="000A6598">
        <w:rPr>
          <w:rFonts w:cs="Calibri"/>
        </w:rPr>
        <w:t>(</w:t>
      </w:r>
      <w:r w:rsidR="00DF5236" w:rsidRPr="000A6598">
        <w:rPr>
          <w:rFonts w:eastAsia="Times New Roman" w:cs="Calibri"/>
          <w:color w:val="000000"/>
          <w:lang w:eastAsia="en-IE"/>
        </w:rPr>
        <w:t>84,05</w:t>
      </w:r>
      <w:r w:rsidR="001E0A9B" w:rsidRPr="000A6598">
        <w:rPr>
          <w:rFonts w:eastAsia="Times New Roman" w:cs="Calibri"/>
          <w:color w:val="000000"/>
          <w:lang w:eastAsia="en-IE"/>
        </w:rPr>
        <w:t>2</w:t>
      </w:r>
      <w:r w:rsidR="00DF5236">
        <w:rPr>
          <w:rFonts w:eastAsia="Times New Roman" w:cs="Calibri"/>
          <w:color w:val="000000"/>
          <w:lang w:eastAsia="en-IE"/>
        </w:rPr>
        <w:t xml:space="preserve"> </w:t>
      </w:r>
      <w:r w:rsidRPr="00B12326">
        <w:rPr>
          <w:rFonts w:cs="Calibri"/>
        </w:rPr>
        <w:t xml:space="preserve">queries) followed </w:t>
      </w:r>
      <w:r w:rsidR="00151717" w:rsidRPr="00B12326">
        <w:rPr>
          <w:rFonts w:cs="Calibri"/>
        </w:rPr>
        <w:t>by Housing</w:t>
      </w:r>
      <w:r w:rsidR="000155CD">
        <w:rPr>
          <w:rFonts w:cs="Calibri"/>
        </w:rPr>
        <w:t xml:space="preserve"> 9.</w:t>
      </w:r>
      <w:r w:rsidR="0028312E">
        <w:rPr>
          <w:rFonts w:cs="Calibri"/>
        </w:rPr>
        <w:t>7</w:t>
      </w:r>
      <w:r w:rsidR="000155CD">
        <w:rPr>
          <w:rFonts w:cs="Calibri"/>
        </w:rPr>
        <w:t>%</w:t>
      </w:r>
      <w:r w:rsidR="00151717" w:rsidRPr="00B12326">
        <w:rPr>
          <w:rFonts w:cs="Calibri"/>
        </w:rPr>
        <w:t xml:space="preserve"> (</w:t>
      </w:r>
      <w:r w:rsidR="0028312E">
        <w:rPr>
          <w:rFonts w:cs="Calibri"/>
        </w:rPr>
        <w:t>1</w:t>
      </w:r>
      <w:r w:rsidR="00DF5236">
        <w:rPr>
          <w:rFonts w:cs="Calibri"/>
        </w:rPr>
        <w:t>8,480)</w:t>
      </w:r>
      <w:r w:rsidR="00853B85">
        <w:rPr>
          <w:rFonts w:cs="Calibri"/>
        </w:rPr>
        <w:t xml:space="preserve"> </w:t>
      </w:r>
      <w:r w:rsidR="00151717" w:rsidRPr="00B12326">
        <w:rPr>
          <w:rFonts w:cs="Calibri"/>
        </w:rPr>
        <w:t xml:space="preserve">and </w:t>
      </w:r>
      <w:r w:rsidR="0028312E">
        <w:rPr>
          <w:rFonts w:cs="Calibri"/>
        </w:rPr>
        <w:t>Moving Country 7.</w:t>
      </w:r>
      <w:r w:rsidR="00486201">
        <w:rPr>
          <w:rFonts w:cs="Calibri"/>
        </w:rPr>
        <w:t>5</w:t>
      </w:r>
      <w:r w:rsidR="000155CD">
        <w:rPr>
          <w:rFonts w:cs="Calibri"/>
        </w:rPr>
        <w:t>%</w:t>
      </w:r>
      <w:r w:rsidR="00151717" w:rsidRPr="00B12326">
        <w:rPr>
          <w:rFonts w:cs="Calibri"/>
        </w:rPr>
        <w:t xml:space="preserve"> (1</w:t>
      </w:r>
      <w:r w:rsidR="00DF5236">
        <w:rPr>
          <w:rFonts w:cs="Calibri"/>
        </w:rPr>
        <w:t>4,319</w:t>
      </w:r>
      <w:r w:rsidR="005854F7" w:rsidRPr="00B12326">
        <w:rPr>
          <w:rFonts w:cs="Calibri"/>
        </w:rPr>
        <w:t xml:space="preserve">). </w:t>
      </w:r>
      <w:r w:rsidRPr="00B12326">
        <w:rPr>
          <w:rFonts w:cs="Calibri"/>
        </w:rPr>
        <w:t xml:space="preserve">The following tables set out the data in relation to the range of queries received from the public. Table 4, below, sets out the number of queries received across high-level </w:t>
      </w:r>
      <w:r w:rsidR="007078D3">
        <w:rPr>
          <w:rFonts w:cs="Calibri"/>
        </w:rPr>
        <w:t xml:space="preserve">parent </w:t>
      </w:r>
      <w:r w:rsidRPr="00B12326">
        <w:rPr>
          <w:rFonts w:cs="Calibri"/>
        </w:rPr>
        <w:t>category areas.  Table 5</w:t>
      </w:r>
      <w:r w:rsidR="000F2A48">
        <w:rPr>
          <w:rFonts w:cs="Calibri"/>
        </w:rPr>
        <w:t xml:space="preserve"> </w:t>
      </w:r>
      <w:r w:rsidRPr="00B12326">
        <w:rPr>
          <w:rFonts w:cs="Calibri"/>
        </w:rPr>
        <w:t>provides a break</w:t>
      </w:r>
      <w:r w:rsidR="007078D3">
        <w:rPr>
          <w:rFonts w:cs="Calibri"/>
        </w:rPr>
        <w:t xml:space="preserve">down on the single payments, </w:t>
      </w:r>
      <w:proofErr w:type="gramStart"/>
      <w:r w:rsidRPr="00B12326">
        <w:rPr>
          <w:rFonts w:cs="Calibri"/>
        </w:rPr>
        <w:t>schemes</w:t>
      </w:r>
      <w:proofErr w:type="gramEnd"/>
      <w:r w:rsidRPr="00B12326">
        <w:rPr>
          <w:rFonts w:cs="Calibri"/>
        </w:rPr>
        <w:t xml:space="preserve"> </w:t>
      </w:r>
      <w:r w:rsidR="007078D3">
        <w:rPr>
          <w:rFonts w:cs="Calibri"/>
        </w:rPr>
        <w:t xml:space="preserve">or entitlements </w:t>
      </w:r>
      <w:r w:rsidRPr="00B12326">
        <w:rPr>
          <w:rFonts w:cs="Calibri"/>
        </w:rPr>
        <w:t>with the highest number of queries</w:t>
      </w:r>
      <w:r w:rsidR="000A6757" w:rsidRPr="00B12326">
        <w:rPr>
          <w:rFonts w:cs="Calibri"/>
        </w:rPr>
        <w:t xml:space="preserve"> overal</w:t>
      </w:r>
      <w:r w:rsidR="00151717" w:rsidRPr="00B12326">
        <w:rPr>
          <w:rFonts w:cs="Calibri"/>
        </w:rPr>
        <w:t>l</w:t>
      </w:r>
      <w:r w:rsidR="0067000B">
        <w:rPr>
          <w:rFonts w:cs="Calibri"/>
        </w:rPr>
        <w:t xml:space="preserve"> in this </w:t>
      </w:r>
      <w:r w:rsidR="009C0662">
        <w:rPr>
          <w:rFonts w:cs="Calibri"/>
        </w:rPr>
        <w:t>quarter.</w:t>
      </w:r>
    </w:p>
    <w:p w14:paraId="1B03AE70" w14:textId="73C9E37D" w:rsidR="000A6757" w:rsidRPr="00B12326" w:rsidRDefault="000A6757" w:rsidP="000A6757">
      <w:pPr>
        <w:pStyle w:val="Heading1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>Tabl</w:t>
      </w:r>
      <w:r w:rsidR="0028312E">
        <w:rPr>
          <w:rFonts w:eastAsia="Times New Roman"/>
          <w:b/>
          <w:sz w:val="24"/>
          <w:szCs w:val="24"/>
          <w:lang w:eastAsia="en-IE"/>
        </w:rPr>
        <w:t xml:space="preserve">e 4 - Query Profile Q2 </w:t>
      </w:r>
      <w:r w:rsidRPr="00B12326">
        <w:rPr>
          <w:rFonts w:eastAsia="Times New Roman"/>
          <w:b/>
          <w:sz w:val="24"/>
          <w:szCs w:val="24"/>
          <w:lang w:eastAsia="en-IE"/>
        </w:rPr>
        <w:t>2022 High-level</w:t>
      </w:r>
    </w:p>
    <w:tbl>
      <w:tblPr>
        <w:tblStyle w:val="GridTable5Dark-Accent6"/>
        <w:tblW w:w="5922" w:type="dxa"/>
        <w:tblLook w:val="04A0" w:firstRow="1" w:lastRow="0" w:firstColumn="1" w:lastColumn="0" w:noHBand="0" w:noVBand="1"/>
        <w:tblCaption w:val="Table 4 Query Profile Quarter 1 2021"/>
        <w:tblDescription w:val="Table shows the number and percentage of all the high-level query categories recorded by CISs."/>
      </w:tblPr>
      <w:tblGrid>
        <w:gridCol w:w="2622"/>
        <w:gridCol w:w="1650"/>
        <w:gridCol w:w="1650"/>
      </w:tblGrid>
      <w:tr w:rsidR="000A6757" w:rsidRPr="00B12326" w14:paraId="20FF6E48" w14:textId="77777777" w:rsidTr="002C4C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hideMark/>
          </w:tcPr>
          <w:p w14:paraId="63989890" w14:textId="77777777" w:rsidR="000A6757" w:rsidRPr="00B12326" w:rsidRDefault="000A6757" w:rsidP="008839F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Query Category</w:t>
            </w:r>
          </w:p>
        </w:tc>
        <w:tc>
          <w:tcPr>
            <w:tcW w:w="1650" w:type="dxa"/>
            <w:hideMark/>
          </w:tcPr>
          <w:p w14:paraId="7021B150" w14:textId="77777777" w:rsidR="000A6757" w:rsidRPr="00B12326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650" w:type="dxa"/>
            <w:hideMark/>
          </w:tcPr>
          <w:p w14:paraId="579C4492" w14:textId="77777777" w:rsidR="000A6757" w:rsidRPr="00B12326" w:rsidRDefault="000A6757" w:rsidP="008839F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% of all Queries</w:t>
            </w:r>
          </w:p>
        </w:tc>
      </w:tr>
      <w:tr w:rsidR="00B72276" w:rsidRPr="00B12326" w14:paraId="0613B785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02368073" w14:textId="6665C65B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Social Welfare</w:t>
            </w:r>
          </w:p>
        </w:tc>
        <w:tc>
          <w:tcPr>
            <w:tcW w:w="1650" w:type="dxa"/>
            <w:noWrap/>
            <w:hideMark/>
          </w:tcPr>
          <w:p w14:paraId="7FEA6968" w14:textId="5F02EF82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</w:t>
            </w:r>
            <w:r w:rsidRPr="000A6598">
              <w:rPr>
                <w:sz w:val="18"/>
                <w:szCs w:val="18"/>
              </w:rPr>
              <w:t>84,05</w:t>
            </w:r>
            <w:r w:rsidR="00F77EAB" w:rsidRPr="000A6598">
              <w:rPr>
                <w:sz w:val="18"/>
                <w:szCs w:val="18"/>
              </w:rPr>
              <w:t>2</w:t>
            </w:r>
            <w:r w:rsidRPr="008207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50" w:type="dxa"/>
            <w:noWrap/>
            <w:hideMark/>
          </w:tcPr>
          <w:p w14:paraId="5EDAAC60" w14:textId="0FAD3739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44.0%</w:t>
            </w:r>
          </w:p>
        </w:tc>
      </w:tr>
      <w:tr w:rsidR="00B72276" w:rsidRPr="00B12326" w14:paraId="36124732" w14:textId="77777777" w:rsidTr="00691DD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3D741839" w14:textId="7E605EBE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Housing</w:t>
            </w:r>
          </w:p>
        </w:tc>
        <w:tc>
          <w:tcPr>
            <w:tcW w:w="1650" w:type="dxa"/>
            <w:noWrap/>
            <w:hideMark/>
          </w:tcPr>
          <w:p w14:paraId="29D2114F" w14:textId="50AF07DC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18,480 </w:t>
            </w:r>
          </w:p>
        </w:tc>
        <w:tc>
          <w:tcPr>
            <w:tcW w:w="1650" w:type="dxa"/>
            <w:noWrap/>
            <w:hideMark/>
          </w:tcPr>
          <w:p w14:paraId="7AEECBED" w14:textId="147A95DA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9.7%</w:t>
            </w:r>
          </w:p>
        </w:tc>
      </w:tr>
      <w:tr w:rsidR="00B72276" w:rsidRPr="00B12326" w14:paraId="426F0AB1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76422BFE" w14:textId="5093EAF3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Moving Country</w:t>
            </w:r>
          </w:p>
        </w:tc>
        <w:tc>
          <w:tcPr>
            <w:tcW w:w="1650" w:type="dxa"/>
            <w:noWrap/>
            <w:hideMark/>
          </w:tcPr>
          <w:p w14:paraId="639E9F84" w14:textId="765FB4F2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14,319 </w:t>
            </w:r>
          </w:p>
        </w:tc>
        <w:tc>
          <w:tcPr>
            <w:tcW w:w="1650" w:type="dxa"/>
            <w:noWrap/>
            <w:hideMark/>
          </w:tcPr>
          <w:p w14:paraId="575A68B0" w14:textId="302023C5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7.5%</w:t>
            </w:r>
          </w:p>
        </w:tc>
      </w:tr>
      <w:tr w:rsidR="00B72276" w:rsidRPr="00B12326" w14:paraId="5FCFF025" w14:textId="77777777" w:rsidTr="00206DBF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noWrap/>
            <w:hideMark/>
          </w:tcPr>
          <w:p w14:paraId="38FA1193" w14:textId="1C86B532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Health</w:t>
            </w:r>
          </w:p>
        </w:tc>
        <w:tc>
          <w:tcPr>
            <w:tcW w:w="0" w:type="dxa"/>
            <w:noWrap/>
            <w:hideMark/>
          </w:tcPr>
          <w:p w14:paraId="6C81161B" w14:textId="59FB8584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</w:t>
            </w:r>
            <w:r w:rsidRPr="000A6598">
              <w:rPr>
                <w:sz w:val="18"/>
                <w:szCs w:val="18"/>
              </w:rPr>
              <w:t>14,00</w:t>
            </w:r>
            <w:r w:rsidR="00F77EAB" w:rsidRPr="000A6598">
              <w:rPr>
                <w:sz w:val="18"/>
                <w:szCs w:val="18"/>
              </w:rPr>
              <w:t>9</w:t>
            </w:r>
            <w:r w:rsidRPr="008207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dxa"/>
            <w:noWrap/>
            <w:hideMark/>
          </w:tcPr>
          <w:p w14:paraId="2F3A049E" w14:textId="2C40FE32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7.3%</w:t>
            </w:r>
          </w:p>
        </w:tc>
      </w:tr>
      <w:tr w:rsidR="00B72276" w:rsidRPr="00B12326" w14:paraId="705973E2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473CB7F9" w14:textId="5B55706F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Employment</w:t>
            </w:r>
          </w:p>
        </w:tc>
        <w:tc>
          <w:tcPr>
            <w:tcW w:w="1650" w:type="dxa"/>
            <w:noWrap/>
            <w:hideMark/>
          </w:tcPr>
          <w:p w14:paraId="7F6AA0F2" w14:textId="2FE0E2A3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12,415 </w:t>
            </w:r>
          </w:p>
        </w:tc>
        <w:tc>
          <w:tcPr>
            <w:tcW w:w="1650" w:type="dxa"/>
            <w:noWrap/>
            <w:hideMark/>
          </w:tcPr>
          <w:p w14:paraId="38AD6DC8" w14:textId="390B703D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6.5%</w:t>
            </w:r>
          </w:p>
        </w:tc>
      </w:tr>
      <w:tr w:rsidR="00B72276" w:rsidRPr="00B12326" w14:paraId="2DE037A4" w14:textId="77777777" w:rsidTr="00691DD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32BFAA53" w14:textId="09311234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Local</w:t>
            </w:r>
          </w:p>
        </w:tc>
        <w:tc>
          <w:tcPr>
            <w:tcW w:w="1650" w:type="dxa"/>
            <w:noWrap/>
            <w:hideMark/>
          </w:tcPr>
          <w:p w14:paraId="7DF60A7D" w14:textId="7F2D0167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11,828 </w:t>
            </w:r>
          </w:p>
        </w:tc>
        <w:tc>
          <w:tcPr>
            <w:tcW w:w="1650" w:type="dxa"/>
            <w:noWrap/>
            <w:hideMark/>
          </w:tcPr>
          <w:p w14:paraId="62FD6388" w14:textId="021F4967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6.2%</w:t>
            </w:r>
          </w:p>
        </w:tc>
      </w:tr>
      <w:tr w:rsidR="00B72276" w:rsidRPr="00B12326" w14:paraId="75313FB2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0DC36340" w14:textId="34EA8209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Money and Tax</w:t>
            </w:r>
          </w:p>
        </w:tc>
        <w:tc>
          <w:tcPr>
            <w:tcW w:w="1650" w:type="dxa"/>
            <w:noWrap/>
            <w:hideMark/>
          </w:tcPr>
          <w:p w14:paraId="1BC34B78" w14:textId="5D6FBC47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8,831 </w:t>
            </w:r>
          </w:p>
        </w:tc>
        <w:tc>
          <w:tcPr>
            <w:tcW w:w="1650" w:type="dxa"/>
            <w:noWrap/>
            <w:hideMark/>
          </w:tcPr>
          <w:p w14:paraId="2E32FD6E" w14:textId="0DA222F0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4.6%</w:t>
            </w:r>
          </w:p>
        </w:tc>
      </w:tr>
      <w:tr w:rsidR="00B72276" w:rsidRPr="00B12326" w14:paraId="4206DB24" w14:textId="77777777" w:rsidTr="00691DD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7D658E97" w14:textId="1866431C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Travel and Recreation</w:t>
            </w:r>
          </w:p>
        </w:tc>
        <w:tc>
          <w:tcPr>
            <w:tcW w:w="1650" w:type="dxa"/>
            <w:noWrap/>
            <w:hideMark/>
          </w:tcPr>
          <w:p w14:paraId="3C1C2BAB" w14:textId="7B2057CC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6,672 </w:t>
            </w:r>
          </w:p>
        </w:tc>
        <w:tc>
          <w:tcPr>
            <w:tcW w:w="1650" w:type="dxa"/>
            <w:noWrap/>
            <w:hideMark/>
          </w:tcPr>
          <w:p w14:paraId="1FC41FDB" w14:textId="65359EE2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3.5%</w:t>
            </w:r>
          </w:p>
        </w:tc>
      </w:tr>
      <w:tr w:rsidR="00B72276" w:rsidRPr="00B12326" w14:paraId="3A2FC437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1C11D1F7" w14:textId="64F93CD8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Birth, Family and Relationships</w:t>
            </w:r>
          </w:p>
        </w:tc>
        <w:tc>
          <w:tcPr>
            <w:tcW w:w="1650" w:type="dxa"/>
            <w:noWrap/>
            <w:hideMark/>
          </w:tcPr>
          <w:p w14:paraId="72B0BB0E" w14:textId="5A5189DE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4,758 </w:t>
            </w:r>
          </w:p>
        </w:tc>
        <w:tc>
          <w:tcPr>
            <w:tcW w:w="1650" w:type="dxa"/>
            <w:noWrap/>
            <w:hideMark/>
          </w:tcPr>
          <w:p w14:paraId="01050F7C" w14:textId="26DCDFD1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2.5%</w:t>
            </w:r>
          </w:p>
        </w:tc>
      </w:tr>
      <w:tr w:rsidR="00B72276" w:rsidRPr="00B12326" w14:paraId="0276312D" w14:textId="77777777" w:rsidTr="00691DD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5587465A" w14:textId="31AF12EB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Justice</w:t>
            </w:r>
          </w:p>
        </w:tc>
        <w:tc>
          <w:tcPr>
            <w:tcW w:w="1650" w:type="dxa"/>
            <w:noWrap/>
            <w:hideMark/>
          </w:tcPr>
          <w:p w14:paraId="41A2BDDE" w14:textId="7A72ABBB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4,742 </w:t>
            </w:r>
          </w:p>
        </w:tc>
        <w:tc>
          <w:tcPr>
            <w:tcW w:w="1650" w:type="dxa"/>
            <w:noWrap/>
            <w:hideMark/>
          </w:tcPr>
          <w:p w14:paraId="1B5AB8F4" w14:textId="6EDD12B7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2.5%</w:t>
            </w:r>
          </w:p>
        </w:tc>
      </w:tr>
      <w:tr w:rsidR="00B72276" w:rsidRPr="00B12326" w14:paraId="54CFD833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0B49383C" w14:textId="490542D6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Education and Training</w:t>
            </w:r>
          </w:p>
        </w:tc>
        <w:tc>
          <w:tcPr>
            <w:tcW w:w="1650" w:type="dxa"/>
            <w:noWrap/>
            <w:hideMark/>
          </w:tcPr>
          <w:p w14:paraId="12FF01B6" w14:textId="273D1A99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3,499 </w:t>
            </w:r>
          </w:p>
        </w:tc>
        <w:tc>
          <w:tcPr>
            <w:tcW w:w="1650" w:type="dxa"/>
            <w:noWrap/>
            <w:hideMark/>
          </w:tcPr>
          <w:p w14:paraId="5BF15828" w14:textId="15BDEDD6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1.8%</w:t>
            </w:r>
          </w:p>
        </w:tc>
      </w:tr>
      <w:tr w:rsidR="00B72276" w:rsidRPr="00B12326" w14:paraId="11356738" w14:textId="77777777" w:rsidTr="00691DD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44A600A2" w14:textId="491376CA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Consumer Affairs</w:t>
            </w:r>
          </w:p>
        </w:tc>
        <w:tc>
          <w:tcPr>
            <w:tcW w:w="1650" w:type="dxa"/>
            <w:noWrap/>
            <w:hideMark/>
          </w:tcPr>
          <w:p w14:paraId="2F73141B" w14:textId="3BE5A512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2,909 </w:t>
            </w:r>
          </w:p>
        </w:tc>
        <w:tc>
          <w:tcPr>
            <w:tcW w:w="1650" w:type="dxa"/>
            <w:noWrap/>
            <w:hideMark/>
          </w:tcPr>
          <w:p w14:paraId="6CD70DB2" w14:textId="68D46480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1.5%</w:t>
            </w:r>
          </w:p>
        </w:tc>
      </w:tr>
      <w:tr w:rsidR="00B72276" w:rsidRPr="00B12326" w14:paraId="1E443FC9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48C58511" w14:textId="4F5FC4D2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Covid 19</w:t>
            </w:r>
          </w:p>
        </w:tc>
        <w:tc>
          <w:tcPr>
            <w:tcW w:w="1650" w:type="dxa"/>
            <w:noWrap/>
            <w:hideMark/>
          </w:tcPr>
          <w:p w14:paraId="5C8EC014" w14:textId="6FDF4323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1,493 </w:t>
            </w:r>
          </w:p>
        </w:tc>
        <w:tc>
          <w:tcPr>
            <w:tcW w:w="1650" w:type="dxa"/>
            <w:noWrap/>
            <w:hideMark/>
          </w:tcPr>
          <w:p w14:paraId="6B6BB679" w14:textId="4B3207DD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0.8%</w:t>
            </w:r>
          </w:p>
        </w:tc>
      </w:tr>
      <w:tr w:rsidR="00B72276" w:rsidRPr="00B12326" w14:paraId="22F19ABC" w14:textId="77777777" w:rsidTr="00691DD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3B4FD75D" w14:textId="658A4660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Death and Bereavement</w:t>
            </w:r>
          </w:p>
        </w:tc>
        <w:tc>
          <w:tcPr>
            <w:tcW w:w="1650" w:type="dxa"/>
            <w:noWrap/>
            <w:hideMark/>
          </w:tcPr>
          <w:p w14:paraId="0105E05C" w14:textId="7F521C71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1,298 </w:t>
            </w:r>
          </w:p>
        </w:tc>
        <w:tc>
          <w:tcPr>
            <w:tcW w:w="1650" w:type="dxa"/>
            <w:noWrap/>
            <w:hideMark/>
          </w:tcPr>
          <w:p w14:paraId="597CC72B" w14:textId="5F2D0E99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0.7%</w:t>
            </w:r>
          </w:p>
        </w:tc>
      </w:tr>
      <w:tr w:rsidR="00B72276" w:rsidRPr="00B12326" w14:paraId="67458216" w14:textId="77777777" w:rsidTr="00691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29C9E2A2" w14:textId="7240CEE2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Government in Ireland</w:t>
            </w:r>
          </w:p>
        </w:tc>
        <w:tc>
          <w:tcPr>
            <w:tcW w:w="1650" w:type="dxa"/>
            <w:noWrap/>
            <w:hideMark/>
          </w:tcPr>
          <w:p w14:paraId="41082D81" w14:textId="3AD7364E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1,142 </w:t>
            </w:r>
          </w:p>
        </w:tc>
        <w:tc>
          <w:tcPr>
            <w:tcW w:w="1650" w:type="dxa"/>
            <w:noWrap/>
            <w:hideMark/>
          </w:tcPr>
          <w:p w14:paraId="71C680BB" w14:textId="780BEF9C" w:rsidR="00B72276" w:rsidRPr="0082075B" w:rsidRDefault="00B72276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0.6%</w:t>
            </w:r>
          </w:p>
        </w:tc>
      </w:tr>
      <w:tr w:rsidR="00B72276" w:rsidRPr="00B12326" w14:paraId="244DC88D" w14:textId="77777777" w:rsidTr="00691DD1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709C8571" w14:textId="0303F50A" w:rsidR="00B72276" w:rsidRPr="00A2111B" w:rsidRDefault="00B72276" w:rsidP="00B72276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650" w:type="dxa"/>
            <w:noWrap/>
            <w:hideMark/>
          </w:tcPr>
          <w:p w14:paraId="3FB83F21" w14:textId="3F82699B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 xml:space="preserve"> 420 </w:t>
            </w:r>
          </w:p>
        </w:tc>
        <w:tc>
          <w:tcPr>
            <w:tcW w:w="1650" w:type="dxa"/>
            <w:noWrap/>
            <w:hideMark/>
          </w:tcPr>
          <w:p w14:paraId="1A5AB13A" w14:textId="4C93C98C" w:rsidR="00B72276" w:rsidRPr="0082075B" w:rsidRDefault="00B72276" w:rsidP="00BB3D00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82075B">
              <w:rPr>
                <w:sz w:val="18"/>
                <w:szCs w:val="18"/>
              </w:rPr>
              <w:t>0.2%</w:t>
            </w:r>
          </w:p>
        </w:tc>
      </w:tr>
      <w:tr w:rsidR="0062330D" w:rsidRPr="00B12326" w14:paraId="1093DC48" w14:textId="77777777" w:rsidTr="00623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2" w:type="dxa"/>
            <w:noWrap/>
            <w:hideMark/>
          </w:tcPr>
          <w:p w14:paraId="571391D4" w14:textId="77777777" w:rsidR="0062330D" w:rsidRPr="00B12326" w:rsidRDefault="0062330D" w:rsidP="0062330D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650" w:type="dxa"/>
            <w:noWrap/>
          </w:tcPr>
          <w:p w14:paraId="24CE4C3B" w14:textId="615B9E9F" w:rsidR="0062330D" w:rsidRPr="00A2111B" w:rsidRDefault="00514855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A659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190,86</w:t>
            </w:r>
            <w:r w:rsidR="00F77EAB" w:rsidRPr="000A659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650" w:type="dxa"/>
            <w:noWrap/>
            <w:hideMark/>
          </w:tcPr>
          <w:p w14:paraId="194F4196" w14:textId="6A6A255C" w:rsidR="0062330D" w:rsidRPr="00A2111B" w:rsidRDefault="0062330D" w:rsidP="00BB3D00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2111B">
              <w:rPr>
                <w:rFonts w:cs="Calibri"/>
                <w:b/>
                <w:bCs/>
                <w:sz w:val="20"/>
                <w:szCs w:val="20"/>
              </w:rPr>
              <w:t>100%</w:t>
            </w:r>
          </w:p>
        </w:tc>
      </w:tr>
    </w:tbl>
    <w:p w14:paraId="64675BD9" w14:textId="7404B349" w:rsidR="000A6757" w:rsidRPr="00B12326" w:rsidRDefault="000A6757" w:rsidP="0056157B">
      <w:pPr>
        <w:pStyle w:val="Heading1"/>
        <w:spacing w:before="0"/>
        <w:rPr>
          <w:rFonts w:eastAsia="Times New Roman"/>
          <w:b/>
          <w:sz w:val="24"/>
          <w:szCs w:val="24"/>
          <w:lang w:eastAsia="en-IE"/>
        </w:rPr>
      </w:pPr>
      <w:r w:rsidRPr="00B12326">
        <w:rPr>
          <w:rFonts w:eastAsia="Times New Roman"/>
          <w:b/>
          <w:sz w:val="24"/>
          <w:szCs w:val="24"/>
          <w:lang w:eastAsia="en-IE"/>
        </w:rPr>
        <w:t xml:space="preserve">Table 5 - Top-Ten Single Payments or Schemes, </w:t>
      </w:r>
      <w:r w:rsidR="0028312E">
        <w:rPr>
          <w:rFonts w:eastAsia="Times New Roman"/>
          <w:b/>
          <w:sz w:val="24"/>
          <w:szCs w:val="24"/>
          <w:lang w:eastAsia="en-IE"/>
        </w:rPr>
        <w:t xml:space="preserve">Q2 </w:t>
      </w:r>
      <w:r w:rsidRPr="00B12326">
        <w:rPr>
          <w:rFonts w:eastAsia="Times New Roman"/>
          <w:b/>
          <w:sz w:val="24"/>
          <w:szCs w:val="24"/>
          <w:lang w:eastAsia="en-IE"/>
        </w:rPr>
        <w:t>2022</w:t>
      </w:r>
    </w:p>
    <w:tbl>
      <w:tblPr>
        <w:tblStyle w:val="GridTable5Dark-Accent6"/>
        <w:tblW w:w="6658" w:type="dxa"/>
        <w:tblLook w:val="04A0" w:firstRow="1" w:lastRow="0" w:firstColumn="1" w:lastColumn="0" w:noHBand="0" w:noVBand="1"/>
        <w:tblCaption w:val="Table 5 - Top ten single payments or schemes for quarter 1 2021"/>
        <w:tblDescription w:val="This table shows the top 10 Single Payment or Schemes with the percentage of total queries shown also."/>
      </w:tblPr>
      <w:tblGrid>
        <w:gridCol w:w="437"/>
        <w:gridCol w:w="2055"/>
        <w:gridCol w:w="2028"/>
        <w:gridCol w:w="862"/>
        <w:gridCol w:w="1276"/>
      </w:tblGrid>
      <w:tr w:rsidR="000A6757" w:rsidRPr="00B12326" w14:paraId="617CC38F" w14:textId="77777777" w:rsidTr="00E43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5"/>
            <w:hideMark/>
          </w:tcPr>
          <w:p w14:paraId="250F92BB" w14:textId="58523C29" w:rsidR="000A6757" w:rsidRPr="00B12326" w:rsidRDefault="000A6757" w:rsidP="008839F4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Top Ten Single Payment or Schemes Q</w:t>
            </w:r>
            <w:r w:rsidR="0028312E" w:rsidRPr="0028312E">
              <w:rPr>
                <w:rFonts w:eastAsia="Times New Roman" w:cs="Calibri"/>
                <w:color w:val="auto"/>
                <w:sz w:val="20"/>
                <w:szCs w:val="20"/>
                <w:lang w:eastAsia="en-IE"/>
              </w:rPr>
              <w:t>2</w:t>
            </w:r>
            <w:r w:rsidRPr="0028312E">
              <w:rPr>
                <w:rFonts w:eastAsia="Times New Roman" w:cs="Calibri"/>
                <w:color w:val="auto"/>
                <w:sz w:val="20"/>
                <w:szCs w:val="20"/>
                <w:lang w:eastAsia="en-IE"/>
              </w:rPr>
              <w:t xml:space="preserve">, </w:t>
            </w:r>
            <w:r w:rsidRPr="00B12326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2022</w:t>
            </w:r>
          </w:p>
        </w:tc>
      </w:tr>
      <w:tr w:rsidR="000A6757" w:rsidRPr="00B12326" w14:paraId="377DEDCF" w14:textId="77777777" w:rsidTr="001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0A672490" w14:textId="0596CCB5" w:rsidR="000A6757" w:rsidRPr="00B12326" w:rsidRDefault="000A6757" w:rsidP="008839F4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156" w:type="dxa"/>
            <w:shd w:val="clear" w:color="auto" w:fill="62A39F" w:themeFill="accent6"/>
            <w:hideMark/>
          </w:tcPr>
          <w:p w14:paraId="31F25319" w14:textId="77777777" w:rsidR="000A6757" w:rsidRPr="00B12326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Category</w:t>
            </w:r>
          </w:p>
        </w:tc>
        <w:tc>
          <w:tcPr>
            <w:tcW w:w="1927" w:type="dxa"/>
            <w:shd w:val="clear" w:color="auto" w:fill="62A39F" w:themeFill="accent6"/>
            <w:hideMark/>
          </w:tcPr>
          <w:p w14:paraId="386AB50F" w14:textId="77777777" w:rsidR="000A6757" w:rsidRPr="00B12326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Single Payment or Scheme</w:t>
            </w:r>
          </w:p>
        </w:tc>
        <w:tc>
          <w:tcPr>
            <w:tcW w:w="862" w:type="dxa"/>
            <w:shd w:val="clear" w:color="auto" w:fill="62A39F" w:themeFill="accent6"/>
            <w:hideMark/>
          </w:tcPr>
          <w:p w14:paraId="70B0C528" w14:textId="77777777" w:rsidR="000A6757" w:rsidRPr="00B12326" w:rsidRDefault="000A6757" w:rsidP="008839F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# of Queries</w:t>
            </w:r>
          </w:p>
        </w:tc>
        <w:tc>
          <w:tcPr>
            <w:tcW w:w="1276" w:type="dxa"/>
            <w:shd w:val="clear" w:color="auto" w:fill="62A39F" w:themeFill="accent6"/>
            <w:hideMark/>
          </w:tcPr>
          <w:p w14:paraId="48887F06" w14:textId="0BB0B52C" w:rsidR="000A6757" w:rsidRPr="00B12326" w:rsidRDefault="000A6757" w:rsidP="008C46B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123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% of </w:t>
            </w:r>
            <w:r w:rsidR="008C46B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 xml:space="preserve">Top Ten </w:t>
            </w:r>
            <w:r w:rsidRPr="00B12326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Queries</w:t>
            </w:r>
          </w:p>
        </w:tc>
      </w:tr>
      <w:tr w:rsidR="001F62CB" w:rsidRPr="00093507" w14:paraId="0C23AA2F" w14:textId="77777777" w:rsidTr="001F62CB">
        <w:trPr>
          <w:trHeight w:val="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7518F5DD" w14:textId="77777777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1</w:t>
            </w:r>
          </w:p>
        </w:tc>
        <w:tc>
          <w:tcPr>
            <w:tcW w:w="2156" w:type="dxa"/>
            <w:vAlign w:val="bottom"/>
            <w:hideMark/>
          </w:tcPr>
          <w:p w14:paraId="599D0D0E" w14:textId="74FE68A2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Health - Medical Card</w:t>
            </w:r>
          </w:p>
        </w:tc>
        <w:tc>
          <w:tcPr>
            <w:tcW w:w="1927" w:type="dxa"/>
            <w:vAlign w:val="bottom"/>
            <w:hideMark/>
          </w:tcPr>
          <w:p w14:paraId="790AAFF8" w14:textId="45DC6725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Medical Card</w:t>
            </w:r>
          </w:p>
        </w:tc>
        <w:tc>
          <w:tcPr>
            <w:tcW w:w="862" w:type="dxa"/>
            <w:noWrap/>
            <w:vAlign w:val="bottom"/>
            <w:hideMark/>
          </w:tcPr>
          <w:p w14:paraId="2A0DADCA" w14:textId="6DDF1245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</w:t>
            </w:r>
            <w:r w:rsidRPr="000A6598">
              <w:rPr>
                <w:rFonts w:cs="Calibri"/>
                <w:color w:val="000000"/>
                <w:sz w:val="20"/>
                <w:szCs w:val="20"/>
              </w:rPr>
              <w:t>9,0</w:t>
            </w:r>
            <w:r w:rsidR="00F77EAB" w:rsidRPr="000A6598">
              <w:rPr>
                <w:rFonts w:cs="Calibri"/>
                <w:color w:val="000000"/>
                <w:sz w:val="20"/>
                <w:szCs w:val="20"/>
              </w:rPr>
              <w:t>80</w:t>
            </w: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vAlign w:val="bottom"/>
            <w:hideMark/>
          </w:tcPr>
          <w:p w14:paraId="69D0D90D" w14:textId="0BC73313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17.5%</w:t>
            </w:r>
          </w:p>
        </w:tc>
      </w:tr>
      <w:tr w:rsidR="001F62CB" w:rsidRPr="00093507" w14:paraId="2CA80E69" w14:textId="77777777" w:rsidTr="001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04C79299" w14:textId="1DA19D81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2</w:t>
            </w:r>
          </w:p>
        </w:tc>
        <w:tc>
          <w:tcPr>
            <w:tcW w:w="2156" w:type="dxa"/>
            <w:vAlign w:val="bottom"/>
            <w:hideMark/>
          </w:tcPr>
          <w:p w14:paraId="774F9BEB" w14:textId="1C5AB91E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Social Welfare - Carers</w:t>
            </w:r>
          </w:p>
        </w:tc>
        <w:tc>
          <w:tcPr>
            <w:tcW w:w="1927" w:type="dxa"/>
            <w:vAlign w:val="bottom"/>
            <w:hideMark/>
          </w:tcPr>
          <w:p w14:paraId="441D8A3F" w14:textId="468A7206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Carer's Allowance</w:t>
            </w:r>
          </w:p>
        </w:tc>
        <w:tc>
          <w:tcPr>
            <w:tcW w:w="862" w:type="dxa"/>
            <w:noWrap/>
            <w:vAlign w:val="bottom"/>
            <w:hideMark/>
          </w:tcPr>
          <w:p w14:paraId="3C4D60BD" w14:textId="216C87DA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6,529 </w:t>
            </w:r>
          </w:p>
        </w:tc>
        <w:tc>
          <w:tcPr>
            <w:tcW w:w="1276" w:type="dxa"/>
            <w:noWrap/>
            <w:vAlign w:val="bottom"/>
            <w:hideMark/>
          </w:tcPr>
          <w:p w14:paraId="7F8501EE" w14:textId="4F4E27F2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12.6%</w:t>
            </w:r>
          </w:p>
        </w:tc>
      </w:tr>
      <w:tr w:rsidR="001F62CB" w:rsidRPr="00093507" w14:paraId="48B52112" w14:textId="77777777" w:rsidTr="001F62CB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4F44741C" w14:textId="716BE93D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3</w:t>
            </w:r>
          </w:p>
        </w:tc>
        <w:tc>
          <w:tcPr>
            <w:tcW w:w="2156" w:type="dxa"/>
            <w:vAlign w:val="bottom"/>
            <w:hideMark/>
          </w:tcPr>
          <w:p w14:paraId="1027485E" w14:textId="58990D36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Social Welfare - Disability and illness</w:t>
            </w:r>
          </w:p>
        </w:tc>
        <w:tc>
          <w:tcPr>
            <w:tcW w:w="1927" w:type="dxa"/>
            <w:vAlign w:val="bottom"/>
            <w:hideMark/>
          </w:tcPr>
          <w:p w14:paraId="4E0FEABB" w14:textId="5296F5E5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Disability Allowance</w:t>
            </w:r>
          </w:p>
        </w:tc>
        <w:tc>
          <w:tcPr>
            <w:tcW w:w="862" w:type="dxa"/>
            <w:noWrap/>
            <w:vAlign w:val="bottom"/>
            <w:hideMark/>
          </w:tcPr>
          <w:p w14:paraId="53ACE4B2" w14:textId="1313CAE9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6,035 </w:t>
            </w:r>
          </w:p>
        </w:tc>
        <w:tc>
          <w:tcPr>
            <w:tcW w:w="1276" w:type="dxa"/>
            <w:noWrap/>
            <w:vAlign w:val="bottom"/>
            <w:hideMark/>
          </w:tcPr>
          <w:p w14:paraId="2ACE558F" w14:textId="5AC8080F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11.7%</w:t>
            </w:r>
          </w:p>
        </w:tc>
      </w:tr>
      <w:tr w:rsidR="001F62CB" w:rsidRPr="00093507" w14:paraId="74458622" w14:textId="77777777" w:rsidTr="001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441448E6" w14:textId="77777777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4</w:t>
            </w:r>
          </w:p>
        </w:tc>
        <w:tc>
          <w:tcPr>
            <w:tcW w:w="2156" w:type="dxa"/>
            <w:vAlign w:val="bottom"/>
            <w:hideMark/>
          </w:tcPr>
          <w:p w14:paraId="593D6649" w14:textId="1DE95B66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Social Welfare - Older and Retired People</w:t>
            </w:r>
          </w:p>
        </w:tc>
        <w:tc>
          <w:tcPr>
            <w:tcW w:w="1927" w:type="dxa"/>
            <w:vAlign w:val="bottom"/>
            <w:hideMark/>
          </w:tcPr>
          <w:p w14:paraId="2389EA58" w14:textId="44ED3426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State Pension/Contributory</w:t>
            </w:r>
          </w:p>
        </w:tc>
        <w:tc>
          <w:tcPr>
            <w:tcW w:w="862" w:type="dxa"/>
            <w:noWrap/>
            <w:vAlign w:val="bottom"/>
            <w:hideMark/>
          </w:tcPr>
          <w:p w14:paraId="7CEFF40D" w14:textId="0DB04BE7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</w:t>
            </w:r>
            <w:r w:rsidRPr="000A6598">
              <w:rPr>
                <w:rFonts w:cs="Calibri"/>
                <w:color w:val="000000"/>
                <w:sz w:val="20"/>
                <w:szCs w:val="20"/>
              </w:rPr>
              <w:t>5,95</w:t>
            </w:r>
            <w:r w:rsidR="001E0A9B" w:rsidRPr="000A6598">
              <w:rPr>
                <w:rFonts w:cs="Calibri"/>
                <w:color w:val="000000"/>
                <w:sz w:val="20"/>
                <w:szCs w:val="20"/>
              </w:rPr>
              <w:t>9</w:t>
            </w: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noWrap/>
            <w:vAlign w:val="bottom"/>
            <w:hideMark/>
          </w:tcPr>
          <w:p w14:paraId="1C729EDF" w14:textId="767E5368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11.5%</w:t>
            </w:r>
          </w:p>
        </w:tc>
      </w:tr>
      <w:tr w:rsidR="001F62CB" w:rsidRPr="00B12326" w14:paraId="6CE7D148" w14:textId="77777777" w:rsidTr="001F62CB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31C10E6F" w14:textId="1D7B5BBE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5</w:t>
            </w:r>
          </w:p>
        </w:tc>
        <w:tc>
          <w:tcPr>
            <w:tcW w:w="2156" w:type="dxa"/>
            <w:vAlign w:val="bottom"/>
            <w:hideMark/>
          </w:tcPr>
          <w:p w14:paraId="565381FA" w14:textId="68B948DD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Housing - Local Authority and Social Housing</w:t>
            </w:r>
          </w:p>
        </w:tc>
        <w:tc>
          <w:tcPr>
            <w:tcW w:w="1927" w:type="dxa"/>
            <w:vAlign w:val="bottom"/>
            <w:hideMark/>
          </w:tcPr>
          <w:p w14:paraId="5CAE42DD" w14:textId="0F32585F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Applying for Local Authority/Social Housing</w:t>
            </w:r>
          </w:p>
        </w:tc>
        <w:tc>
          <w:tcPr>
            <w:tcW w:w="862" w:type="dxa"/>
            <w:noWrap/>
            <w:vAlign w:val="bottom"/>
            <w:hideMark/>
          </w:tcPr>
          <w:p w14:paraId="2447F978" w14:textId="336AD84D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5,022 </w:t>
            </w:r>
          </w:p>
        </w:tc>
        <w:tc>
          <w:tcPr>
            <w:tcW w:w="1276" w:type="dxa"/>
            <w:noWrap/>
            <w:vAlign w:val="bottom"/>
            <w:hideMark/>
          </w:tcPr>
          <w:p w14:paraId="783A3A9F" w14:textId="78637FC2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9.7%</w:t>
            </w:r>
          </w:p>
        </w:tc>
      </w:tr>
      <w:tr w:rsidR="001F62CB" w:rsidRPr="00B12326" w14:paraId="1963859D" w14:textId="77777777" w:rsidTr="001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3A01D807" w14:textId="31F9F6EF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6</w:t>
            </w:r>
          </w:p>
        </w:tc>
        <w:tc>
          <w:tcPr>
            <w:tcW w:w="2156" w:type="dxa"/>
            <w:vAlign w:val="bottom"/>
            <w:hideMark/>
          </w:tcPr>
          <w:p w14:paraId="73C95982" w14:textId="7530B831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Social Welfare - Unemployed People</w:t>
            </w:r>
          </w:p>
        </w:tc>
        <w:tc>
          <w:tcPr>
            <w:tcW w:w="1927" w:type="dxa"/>
            <w:vAlign w:val="bottom"/>
            <w:hideMark/>
          </w:tcPr>
          <w:p w14:paraId="0E7BCFAF" w14:textId="38C791A0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Jobseeker's Allowance</w:t>
            </w:r>
          </w:p>
        </w:tc>
        <w:tc>
          <w:tcPr>
            <w:tcW w:w="862" w:type="dxa"/>
            <w:noWrap/>
            <w:vAlign w:val="bottom"/>
            <w:hideMark/>
          </w:tcPr>
          <w:p w14:paraId="3EDB1F00" w14:textId="09BEE89A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4,006 </w:t>
            </w:r>
          </w:p>
        </w:tc>
        <w:tc>
          <w:tcPr>
            <w:tcW w:w="1276" w:type="dxa"/>
            <w:noWrap/>
            <w:vAlign w:val="bottom"/>
            <w:hideMark/>
          </w:tcPr>
          <w:p w14:paraId="77412634" w14:textId="78DABC7F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7.7%</w:t>
            </w:r>
          </w:p>
        </w:tc>
      </w:tr>
      <w:tr w:rsidR="001F62CB" w:rsidRPr="00B12326" w14:paraId="7202003A" w14:textId="77777777" w:rsidTr="001F62CB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1A09A118" w14:textId="03AE98F0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7</w:t>
            </w:r>
          </w:p>
        </w:tc>
        <w:tc>
          <w:tcPr>
            <w:tcW w:w="2156" w:type="dxa"/>
            <w:vAlign w:val="bottom"/>
            <w:hideMark/>
          </w:tcPr>
          <w:p w14:paraId="7E75CD03" w14:textId="58DB7D5B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Social Welfare - Disability and illness</w:t>
            </w:r>
          </w:p>
        </w:tc>
        <w:tc>
          <w:tcPr>
            <w:tcW w:w="1927" w:type="dxa"/>
            <w:vAlign w:val="bottom"/>
            <w:hideMark/>
          </w:tcPr>
          <w:p w14:paraId="0846EE3E" w14:textId="755E7404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Illness Benefit</w:t>
            </w:r>
          </w:p>
        </w:tc>
        <w:tc>
          <w:tcPr>
            <w:tcW w:w="862" w:type="dxa"/>
            <w:noWrap/>
            <w:vAlign w:val="bottom"/>
            <w:hideMark/>
          </w:tcPr>
          <w:p w14:paraId="242E87A2" w14:textId="61A832A4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3,956 </w:t>
            </w:r>
          </w:p>
        </w:tc>
        <w:tc>
          <w:tcPr>
            <w:tcW w:w="1276" w:type="dxa"/>
            <w:noWrap/>
            <w:vAlign w:val="bottom"/>
            <w:hideMark/>
          </w:tcPr>
          <w:p w14:paraId="281613CA" w14:textId="2EF948BE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7.6%</w:t>
            </w:r>
          </w:p>
        </w:tc>
      </w:tr>
      <w:tr w:rsidR="001F62CB" w:rsidRPr="00B12326" w14:paraId="088E2CA5" w14:textId="77777777" w:rsidTr="001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45148BC" w14:textId="682C5C1E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8</w:t>
            </w:r>
          </w:p>
        </w:tc>
        <w:tc>
          <w:tcPr>
            <w:tcW w:w="2156" w:type="dxa"/>
            <w:vAlign w:val="bottom"/>
            <w:hideMark/>
          </w:tcPr>
          <w:p w14:paraId="4D6033D5" w14:textId="3B86CCC4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Social Welfare - Extra Social Welfare Benefits</w:t>
            </w:r>
          </w:p>
        </w:tc>
        <w:tc>
          <w:tcPr>
            <w:tcW w:w="1927" w:type="dxa"/>
            <w:vAlign w:val="bottom"/>
            <w:hideMark/>
          </w:tcPr>
          <w:p w14:paraId="7EB1538F" w14:textId="30AF96CD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Household Benefits Package</w:t>
            </w:r>
          </w:p>
        </w:tc>
        <w:tc>
          <w:tcPr>
            <w:tcW w:w="862" w:type="dxa"/>
            <w:noWrap/>
            <w:vAlign w:val="bottom"/>
            <w:hideMark/>
          </w:tcPr>
          <w:p w14:paraId="73DF8557" w14:textId="374D7D92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3,899 </w:t>
            </w:r>
          </w:p>
        </w:tc>
        <w:tc>
          <w:tcPr>
            <w:tcW w:w="1276" w:type="dxa"/>
            <w:noWrap/>
            <w:vAlign w:val="bottom"/>
            <w:hideMark/>
          </w:tcPr>
          <w:p w14:paraId="610B4620" w14:textId="02A7DEFE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7.5%</w:t>
            </w:r>
          </w:p>
        </w:tc>
      </w:tr>
      <w:tr w:rsidR="001F62CB" w:rsidRPr="00B12326" w14:paraId="255648C1" w14:textId="77777777" w:rsidTr="001F62CB">
        <w:trPr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27585F77" w14:textId="33BC0785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9</w:t>
            </w:r>
          </w:p>
        </w:tc>
        <w:tc>
          <w:tcPr>
            <w:tcW w:w="2156" w:type="dxa"/>
            <w:vAlign w:val="bottom"/>
            <w:hideMark/>
          </w:tcPr>
          <w:p w14:paraId="045330BA" w14:textId="2B23293B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Social Welfare - Extra Social Welfare Benefits</w:t>
            </w:r>
          </w:p>
        </w:tc>
        <w:tc>
          <w:tcPr>
            <w:tcW w:w="1927" w:type="dxa"/>
            <w:vAlign w:val="bottom"/>
            <w:hideMark/>
          </w:tcPr>
          <w:p w14:paraId="0680F08B" w14:textId="10A6C094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Fuel Allowance</w:t>
            </w:r>
          </w:p>
        </w:tc>
        <w:tc>
          <w:tcPr>
            <w:tcW w:w="862" w:type="dxa"/>
            <w:noWrap/>
            <w:vAlign w:val="bottom"/>
            <w:hideMark/>
          </w:tcPr>
          <w:p w14:paraId="1B98B4FA" w14:textId="11592A45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3,851 </w:t>
            </w:r>
          </w:p>
        </w:tc>
        <w:tc>
          <w:tcPr>
            <w:tcW w:w="1276" w:type="dxa"/>
            <w:noWrap/>
            <w:vAlign w:val="bottom"/>
            <w:hideMark/>
          </w:tcPr>
          <w:p w14:paraId="4C63A24D" w14:textId="27F7770C" w:rsidR="001F62CB" w:rsidRPr="000F2A48" w:rsidRDefault="001F62CB" w:rsidP="001F62C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7.4%</w:t>
            </w:r>
          </w:p>
        </w:tc>
      </w:tr>
      <w:tr w:rsidR="001F62CB" w:rsidRPr="000A6757" w14:paraId="31769632" w14:textId="77777777" w:rsidTr="001F62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" w:type="dxa"/>
            <w:noWrap/>
            <w:hideMark/>
          </w:tcPr>
          <w:p w14:paraId="51CF94B9" w14:textId="77777777" w:rsidR="001F62CB" w:rsidRPr="002C4C50" w:rsidRDefault="001F62CB" w:rsidP="001F62CB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18"/>
                <w:szCs w:val="18"/>
                <w:lang w:eastAsia="en-IE"/>
              </w:rPr>
            </w:pPr>
            <w:r w:rsidRPr="002C4C50"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  <w:t>10</w:t>
            </w:r>
          </w:p>
        </w:tc>
        <w:tc>
          <w:tcPr>
            <w:tcW w:w="2156" w:type="dxa"/>
            <w:vAlign w:val="bottom"/>
            <w:hideMark/>
          </w:tcPr>
          <w:p w14:paraId="23896D87" w14:textId="77C243C0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18"/>
                <w:szCs w:val="18"/>
                <w:lang w:eastAsia="en-IE"/>
              </w:rPr>
            </w:pPr>
            <w:r w:rsidRPr="000F2A48">
              <w:rPr>
                <w:rFonts w:cs="Calibri"/>
                <w:color w:val="000000"/>
                <w:sz w:val="18"/>
                <w:szCs w:val="18"/>
              </w:rPr>
              <w:t>Moving Country - Irish Citizenship</w:t>
            </w:r>
          </w:p>
        </w:tc>
        <w:tc>
          <w:tcPr>
            <w:tcW w:w="1927" w:type="dxa"/>
            <w:vAlign w:val="bottom"/>
            <w:hideMark/>
          </w:tcPr>
          <w:p w14:paraId="6A3B923B" w14:textId="1B185FB8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b/>
                <w:bCs/>
                <w:color w:val="000000"/>
                <w:sz w:val="20"/>
                <w:szCs w:val="20"/>
              </w:rPr>
              <w:t>Irish Citizenship</w:t>
            </w:r>
          </w:p>
        </w:tc>
        <w:tc>
          <w:tcPr>
            <w:tcW w:w="862" w:type="dxa"/>
            <w:noWrap/>
            <w:vAlign w:val="bottom"/>
            <w:hideMark/>
          </w:tcPr>
          <w:p w14:paraId="0A65D880" w14:textId="1BA5BAF5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 xml:space="preserve">                  3,409 </w:t>
            </w:r>
          </w:p>
        </w:tc>
        <w:tc>
          <w:tcPr>
            <w:tcW w:w="1276" w:type="dxa"/>
            <w:noWrap/>
            <w:vAlign w:val="bottom"/>
            <w:hideMark/>
          </w:tcPr>
          <w:p w14:paraId="002F4BAB" w14:textId="2C0E1501" w:rsidR="001F62CB" w:rsidRPr="000F2A48" w:rsidRDefault="001F62CB" w:rsidP="001F62C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2A48">
              <w:rPr>
                <w:rFonts w:cs="Calibri"/>
                <w:color w:val="000000"/>
                <w:sz w:val="20"/>
                <w:szCs w:val="20"/>
              </w:rPr>
              <w:t>6.6%</w:t>
            </w:r>
          </w:p>
        </w:tc>
      </w:tr>
    </w:tbl>
    <w:p w14:paraId="2F66D8B9" w14:textId="77777777" w:rsidR="000A6757" w:rsidRDefault="000A6757" w:rsidP="00B60276">
      <w:pPr>
        <w:rPr>
          <w:rFonts w:cs="Calibri"/>
        </w:rPr>
        <w:sectPr w:rsidR="000A6757" w:rsidSect="000A6757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D7F8306" w14:textId="5C549CD5" w:rsidR="005A640A" w:rsidRPr="00061A6D" w:rsidRDefault="005A640A" w:rsidP="00B60276">
      <w:pPr>
        <w:rPr>
          <w:rFonts w:cs="Calibri"/>
        </w:rPr>
        <w:sectPr w:rsidR="005A640A" w:rsidRPr="00061A6D" w:rsidSect="00004B7C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7011B73B" w14:textId="65BB5BF2" w:rsidR="00004B7C" w:rsidRPr="000A6757" w:rsidRDefault="00004B7C" w:rsidP="000A6757">
      <w:pPr>
        <w:pStyle w:val="Heading1"/>
        <w:rPr>
          <w:rFonts w:eastAsia="Times New Roman"/>
          <w:b/>
          <w:sz w:val="24"/>
          <w:szCs w:val="24"/>
          <w:highlight w:val="green"/>
          <w:lang w:eastAsia="en-IE"/>
        </w:rPr>
        <w:sectPr w:rsidR="00004B7C" w:rsidRPr="000A6757" w:rsidSect="005A640A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D1C9A77" w14:textId="0B386B78" w:rsidR="00E65C63" w:rsidRPr="00EC7C6C" w:rsidRDefault="00E65C63" w:rsidP="00B60276">
      <w:pPr>
        <w:rPr>
          <w:lang w:val="en-US"/>
        </w:rPr>
        <w:sectPr w:rsidR="00E65C63" w:rsidRPr="00EC7C6C" w:rsidSect="00004B7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7B67F028" w14:textId="77777777" w:rsidR="0080231C" w:rsidRDefault="0080231C" w:rsidP="00B60276">
      <w:pPr>
        <w:pStyle w:val="Heading1"/>
        <w:rPr>
          <w:rFonts w:ascii="Calibri" w:hAnsi="Calibri" w:cs="Calibri"/>
          <w:b/>
          <w:color w:val="auto"/>
          <w:sz w:val="22"/>
          <w:szCs w:val="22"/>
          <w:lang w:val="en-US"/>
        </w:rPr>
        <w:sectPr w:rsidR="0080231C" w:rsidSect="00004B7C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CBE820" w14:textId="77777777" w:rsidR="00004B7C" w:rsidRDefault="00004B7C" w:rsidP="00B60276">
      <w:pPr>
        <w:pStyle w:val="Heading1"/>
        <w:rPr>
          <w:rFonts w:ascii="Calibri" w:hAnsi="Calibri" w:cs="Calibri"/>
          <w:b/>
          <w:color w:val="auto"/>
          <w:sz w:val="22"/>
          <w:szCs w:val="22"/>
          <w:highlight w:val="green"/>
          <w:lang w:val="en-US"/>
        </w:rPr>
        <w:sectPr w:rsidR="00004B7C" w:rsidSect="003269F0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73D8A53" w14:textId="028AA834" w:rsidR="00261A00" w:rsidRPr="000831D6" w:rsidRDefault="00261A00" w:rsidP="000831D6">
      <w:pPr>
        <w:pStyle w:val="Heading1"/>
        <w:rPr>
          <w:b/>
          <w:sz w:val="28"/>
          <w:szCs w:val="28"/>
        </w:rPr>
      </w:pPr>
      <w:r w:rsidRPr="000831D6">
        <w:rPr>
          <w:b/>
          <w:sz w:val="28"/>
          <w:szCs w:val="28"/>
        </w:rPr>
        <w:t>Quarter-on-Quarter Comparison</w:t>
      </w:r>
      <w:r w:rsidR="000A6757">
        <w:rPr>
          <w:b/>
          <w:sz w:val="28"/>
          <w:szCs w:val="28"/>
        </w:rPr>
        <w:t>: what’</w:t>
      </w:r>
      <w:r w:rsidR="000F3F7D">
        <w:rPr>
          <w:b/>
          <w:sz w:val="28"/>
          <w:szCs w:val="28"/>
        </w:rPr>
        <w:t>s new?</w:t>
      </w:r>
      <w:r w:rsidR="00F81FD2">
        <w:rPr>
          <w:rStyle w:val="FootnoteReference"/>
          <w:b/>
          <w:sz w:val="28"/>
          <w:szCs w:val="28"/>
        </w:rPr>
        <w:footnoteReference w:id="3"/>
      </w:r>
    </w:p>
    <w:p w14:paraId="1EFD0E45" w14:textId="3477AF50" w:rsidR="00261A00" w:rsidRPr="00FD7261" w:rsidRDefault="00261A00" w:rsidP="00261A00">
      <w:pPr>
        <w:spacing w:line="240" w:lineRule="auto"/>
        <w:rPr>
          <w:rFonts w:eastAsia="Times New Roman" w:cs="Calibri"/>
          <w:color w:val="000000"/>
          <w:lang w:eastAsia="en-IE"/>
        </w:rPr>
      </w:pPr>
      <w:r w:rsidRPr="00A941B3">
        <w:rPr>
          <w:rFonts w:cs="Calibri"/>
          <w:lang w:val="en-US"/>
        </w:rPr>
        <w:t>Q</w:t>
      </w:r>
      <w:r w:rsidR="00EF687B">
        <w:rPr>
          <w:rFonts w:cs="Calibri"/>
          <w:lang w:val="en-US"/>
        </w:rPr>
        <w:t>2</w:t>
      </w:r>
      <w:r w:rsidRPr="00A941B3">
        <w:rPr>
          <w:rFonts w:cs="Calibri"/>
          <w:lang w:val="en-US"/>
        </w:rPr>
        <w:t xml:space="preserve"> 2022 showed </w:t>
      </w:r>
      <w:proofErr w:type="gramStart"/>
      <w:r w:rsidRPr="00A941B3">
        <w:rPr>
          <w:rFonts w:cs="Calibri"/>
          <w:lang w:val="en-US"/>
        </w:rPr>
        <w:t>a number of</w:t>
      </w:r>
      <w:proofErr w:type="gramEnd"/>
      <w:r w:rsidRPr="00A941B3">
        <w:rPr>
          <w:rFonts w:cs="Calibri"/>
          <w:lang w:val="en-US"/>
        </w:rPr>
        <w:t xml:space="preserve"> changes in </w:t>
      </w:r>
      <w:r w:rsidR="007078D3">
        <w:rPr>
          <w:rFonts w:cs="Calibri"/>
          <w:lang w:val="en-US"/>
        </w:rPr>
        <w:t>the</w:t>
      </w:r>
      <w:r w:rsidR="000F3F7D">
        <w:rPr>
          <w:rFonts w:cs="Calibri"/>
          <w:lang w:val="en-US"/>
        </w:rPr>
        <w:t xml:space="preserve"> </w:t>
      </w:r>
      <w:r w:rsidR="000A6598">
        <w:rPr>
          <w:rFonts w:cs="Calibri"/>
          <w:lang w:val="en-US"/>
        </w:rPr>
        <w:t>caller</w:t>
      </w:r>
      <w:r w:rsidR="00EF687B">
        <w:rPr>
          <w:rFonts w:cs="Calibri"/>
          <w:lang w:val="en-US"/>
        </w:rPr>
        <w:t xml:space="preserve"> data and </w:t>
      </w:r>
      <w:r w:rsidR="000F3F7D">
        <w:rPr>
          <w:rFonts w:cs="Calibri"/>
          <w:lang w:val="en-US"/>
        </w:rPr>
        <w:t xml:space="preserve">type of </w:t>
      </w:r>
      <w:r w:rsidR="007078D3">
        <w:rPr>
          <w:rFonts w:cs="Calibri"/>
          <w:lang w:val="en-US"/>
        </w:rPr>
        <w:t xml:space="preserve">queries </w:t>
      </w:r>
      <w:r w:rsidRPr="00A941B3">
        <w:rPr>
          <w:rFonts w:cs="Calibri"/>
          <w:lang w:val="en-US"/>
        </w:rPr>
        <w:t>received from the public</w:t>
      </w:r>
      <w:r w:rsidR="008B6A43">
        <w:rPr>
          <w:rFonts w:cs="Calibri"/>
          <w:lang w:val="en-US"/>
        </w:rPr>
        <w:t xml:space="preserve"> </w:t>
      </w:r>
      <w:r w:rsidR="00853B85">
        <w:rPr>
          <w:rFonts w:cs="Calibri"/>
          <w:lang w:val="en-US"/>
        </w:rPr>
        <w:t>compared with</w:t>
      </w:r>
      <w:r w:rsidR="008C46B1">
        <w:rPr>
          <w:rFonts w:cs="Calibri"/>
          <w:lang w:val="en-US"/>
        </w:rPr>
        <w:t xml:space="preserve"> the same period last year</w:t>
      </w:r>
      <w:r w:rsidR="00F81FD2">
        <w:rPr>
          <w:rFonts w:cs="Calibri"/>
          <w:lang w:val="en-US"/>
        </w:rPr>
        <w:t>.</w:t>
      </w:r>
    </w:p>
    <w:p w14:paraId="7F523C7C" w14:textId="1D9AE5BB" w:rsidR="00261A00" w:rsidRPr="007078D3" w:rsidRDefault="00261A00" w:rsidP="007078D3">
      <w:pPr>
        <w:rPr>
          <w:rFonts w:cs="Calibri"/>
        </w:rPr>
      </w:pPr>
      <w:r w:rsidRPr="007078D3">
        <w:rPr>
          <w:rFonts w:cs="Calibri"/>
        </w:rPr>
        <w:t xml:space="preserve">Of note: </w:t>
      </w:r>
    </w:p>
    <w:p w14:paraId="248F5298" w14:textId="7FE728AD" w:rsidR="00212807" w:rsidRPr="008A3B04" w:rsidRDefault="00EF687B" w:rsidP="006D3CE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8A3B04">
        <w:rPr>
          <w:rFonts w:cs="Calibri"/>
          <w:b/>
          <w:bCs/>
          <w:color w:val="000000" w:themeColor="text1"/>
        </w:rPr>
        <w:t>Callers in person</w:t>
      </w:r>
      <w:r w:rsidRPr="008A3B04">
        <w:rPr>
          <w:rFonts w:cs="Calibri"/>
          <w:color w:val="000000" w:themeColor="text1"/>
        </w:rPr>
        <w:t xml:space="preserve"> increased to</w:t>
      </w:r>
      <w:r w:rsidR="00BB6A6F" w:rsidRPr="008A3B04">
        <w:rPr>
          <w:rFonts w:cs="Calibri"/>
          <w:color w:val="000000" w:themeColor="text1"/>
        </w:rPr>
        <w:t xml:space="preserve"> 41% of all callers</w:t>
      </w:r>
      <w:r w:rsidR="00D27869" w:rsidRPr="008A3B04">
        <w:rPr>
          <w:rFonts w:cs="Calibri"/>
          <w:color w:val="000000" w:themeColor="text1"/>
        </w:rPr>
        <w:t xml:space="preserve"> (</w:t>
      </w:r>
      <w:r w:rsidR="00831F83" w:rsidRPr="008A3B04">
        <w:rPr>
          <w:rFonts w:cs="Calibri"/>
          <w:color w:val="000000" w:themeColor="text1"/>
        </w:rPr>
        <w:t xml:space="preserve">an increase of </w:t>
      </w:r>
      <w:r w:rsidR="00D27869" w:rsidRPr="008A3B04">
        <w:rPr>
          <w:rFonts w:cs="Calibri"/>
          <w:color w:val="000000" w:themeColor="text1"/>
        </w:rPr>
        <w:t>34</w:t>
      </w:r>
      <w:r w:rsidR="00831F83" w:rsidRPr="008A3B04">
        <w:rPr>
          <w:rFonts w:cs="Calibri"/>
          <w:color w:val="000000" w:themeColor="text1"/>
        </w:rPr>
        <w:t>%</w:t>
      </w:r>
      <w:r w:rsidR="008A3B04" w:rsidRPr="008A3B04">
        <w:rPr>
          <w:rFonts w:cs="Calibri"/>
          <w:color w:val="000000" w:themeColor="text1"/>
        </w:rPr>
        <w:t xml:space="preserve"> compared with quarter 2 last year</w:t>
      </w:r>
      <w:r w:rsidR="007B67A3">
        <w:rPr>
          <w:rFonts w:cs="Calibri"/>
          <w:color w:val="000000" w:themeColor="text1"/>
        </w:rPr>
        <w:t xml:space="preserve">) </w:t>
      </w:r>
      <w:r w:rsidR="00BB6A6F" w:rsidRPr="008A3B04">
        <w:rPr>
          <w:rFonts w:cs="Calibri"/>
          <w:color w:val="000000" w:themeColor="text1"/>
        </w:rPr>
        <w:t>with a corresponding fall in contact by telephone to 55%, decreasing by 1</w:t>
      </w:r>
      <w:r w:rsidR="007A48ED" w:rsidRPr="008A3B04">
        <w:rPr>
          <w:rFonts w:cs="Calibri"/>
          <w:color w:val="000000" w:themeColor="text1"/>
        </w:rPr>
        <w:t>7</w:t>
      </w:r>
      <w:r w:rsidR="00BB6A6F" w:rsidRPr="008A3B04">
        <w:rPr>
          <w:rFonts w:cs="Calibri"/>
          <w:color w:val="000000" w:themeColor="text1"/>
        </w:rPr>
        <w:t xml:space="preserve">%, as a percentage of all callers. </w:t>
      </w:r>
      <w:r w:rsidR="00AB2EAB" w:rsidRPr="008A3B04">
        <w:rPr>
          <w:rFonts w:cs="Calibri"/>
          <w:color w:val="000000" w:themeColor="text1"/>
        </w:rPr>
        <w:t>This was because of the increased provision of face</w:t>
      </w:r>
      <w:r w:rsidR="007A48ED" w:rsidRPr="008A3B04">
        <w:rPr>
          <w:rFonts w:cs="Calibri"/>
          <w:color w:val="000000" w:themeColor="text1"/>
        </w:rPr>
        <w:t>-</w:t>
      </w:r>
      <w:r w:rsidR="00AB2EAB" w:rsidRPr="008A3B04">
        <w:rPr>
          <w:rFonts w:cs="Calibri"/>
          <w:color w:val="000000" w:themeColor="text1"/>
        </w:rPr>
        <w:t>to</w:t>
      </w:r>
      <w:r w:rsidR="007A48ED" w:rsidRPr="008A3B04">
        <w:rPr>
          <w:rFonts w:cs="Calibri"/>
          <w:color w:val="000000" w:themeColor="text1"/>
        </w:rPr>
        <w:t>-</w:t>
      </w:r>
      <w:r w:rsidR="00AB2EAB" w:rsidRPr="008A3B04">
        <w:rPr>
          <w:rFonts w:cs="Calibri"/>
          <w:color w:val="000000" w:themeColor="text1"/>
        </w:rPr>
        <w:t>face services linked to the decreasing Covid-19 risk.</w:t>
      </w:r>
    </w:p>
    <w:p w14:paraId="3B4DFFA7" w14:textId="77777777" w:rsidR="005E4E2D" w:rsidRPr="001A137A" w:rsidRDefault="005E4E2D" w:rsidP="00B86719">
      <w:pPr>
        <w:pStyle w:val="ListParagraph"/>
        <w:spacing w:after="0"/>
        <w:jc w:val="both"/>
        <w:rPr>
          <w:rFonts w:cs="Calibri"/>
          <w:color w:val="000000" w:themeColor="text1"/>
        </w:rPr>
      </w:pPr>
    </w:p>
    <w:p w14:paraId="13023EDB" w14:textId="77777777" w:rsidR="00191334" w:rsidRDefault="00BB6A6F" w:rsidP="001913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5E4E2D">
        <w:rPr>
          <w:rFonts w:cs="Calibri"/>
          <w:b/>
          <w:bCs/>
          <w:color w:val="000000" w:themeColor="text1"/>
        </w:rPr>
        <w:t>Moving Country</w:t>
      </w:r>
      <w:r w:rsidRPr="001A137A">
        <w:rPr>
          <w:rFonts w:cs="Calibri"/>
          <w:color w:val="000000" w:themeColor="text1"/>
        </w:rPr>
        <w:t xml:space="preserve"> </w:t>
      </w:r>
      <w:r w:rsidR="00D57F00" w:rsidRPr="001A137A">
        <w:rPr>
          <w:rFonts w:cs="Calibri"/>
          <w:color w:val="000000" w:themeColor="text1"/>
        </w:rPr>
        <w:t>became</w:t>
      </w:r>
      <w:r w:rsidRPr="001A137A">
        <w:rPr>
          <w:rFonts w:cs="Calibri"/>
          <w:color w:val="000000" w:themeColor="text1"/>
        </w:rPr>
        <w:t xml:space="preserve"> the 3</w:t>
      </w:r>
      <w:r w:rsidRPr="001A137A">
        <w:rPr>
          <w:rFonts w:cs="Calibri"/>
          <w:color w:val="000000" w:themeColor="text1"/>
          <w:vertAlign w:val="superscript"/>
        </w:rPr>
        <w:t>rd</w:t>
      </w:r>
      <w:r w:rsidRPr="001A137A">
        <w:rPr>
          <w:rFonts w:cs="Calibri"/>
          <w:color w:val="000000" w:themeColor="text1"/>
        </w:rPr>
        <w:t xml:space="preserve"> highest category of queries, with 1</w:t>
      </w:r>
      <w:r w:rsidR="007A48ED" w:rsidRPr="001A137A">
        <w:rPr>
          <w:rFonts w:cs="Calibri"/>
          <w:color w:val="000000" w:themeColor="text1"/>
        </w:rPr>
        <w:t>4,319</w:t>
      </w:r>
      <w:r w:rsidRPr="001A137A">
        <w:rPr>
          <w:rFonts w:cs="Calibri"/>
          <w:color w:val="000000" w:themeColor="text1"/>
        </w:rPr>
        <w:t xml:space="preserve"> queries</w:t>
      </w:r>
      <w:r w:rsidR="00D27869" w:rsidRPr="001A137A">
        <w:rPr>
          <w:rFonts w:cs="Calibri"/>
          <w:color w:val="000000" w:themeColor="text1"/>
        </w:rPr>
        <w:t xml:space="preserve">, </w:t>
      </w:r>
      <w:r w:rsidR="00497F74" w:rsidRPr="001A137A">
        <w:rPr>
          <w:rFonts w:cs="Calibri"/>
          <w:color w:val="000000" w:themeColor="text1"/>
        </w:rPr>
        <w:t>more than double the number for Q2 2021</w:t>
      </w:r>
      <w:r w:rsidR="009E3622" w:rsidRPr="001A137A">
        <w:rPr>
          <w:rFonts w:cs="Calibri"/>
          <w:color w:val="000000" w:themeColor="text1"/>
        </w:rPr>
        <w:t xml:space="preserve"> (5,971)</w:t>
      </w:r>
      <w:r w:rsidR="00497F74" w:rsidRPr="001A137A">
        <w:rPr>
          <w:rFonts w:cs="Calibri"/>
          <w:color w:val="000000" w:themeColor="text1"/>
        </w:rPr>
        <w:t xml:space="preserve">. </w:t>
      </w:r>
      <w:r w:rsidR="00B744E5" w:rsidRPr="001A137A">
        <w:rPr>
          <w:rFonts w:cs="Calibri"/>
          <w:color w:val="000000" w:themeColor="text1"/>
        </w:rPr>
        <w:t>Almost h</w:t>
      </w:r>
      <w:r w:rsidR="00497F74" w:rsidRPr="001A137A">
        <w:rPr>
          <w:rFonts w:cs="Calibri"/>
          <w:color w:val="000000" w:themeColor="text1"/>
        </w:rPr>
        <w:t>alf of all these queries (6,</w:t>
      </w:r>
      <w:r w:rsidR="00B744E5" w:rsidRPr="001A137A">
        <w:rPr>
          <w:rFonts w:cs="Calibri"/>
          <w:color w:val="000000" w:themeColor="text1"/>
        </w:rPr>
        <w:t>758</w:t>
      </w:r>
      <w:r w:rsidR="00497F74" w:rsidRPr="001A137A">
        <w:rPr>
          <w:rFonts w:cs="Calibri"/>
          <w:color w:val="000000" w:themeColor="text1"/>
        </w:rPr>
        <w:t>)</w:t>
      </w:r>
      <w:r w:rsidR="00D27869" w:rsidRPr="001A137A">
        <w:rPr>
          <w:rFonts w:cs="Calibri"/>
          <w:color w:val="000000" w:themeColor="text1"/>
        </w:rPr>
        <w:t xml:space="preserve"> were queries relating to issues for</w:t>
      </w:r>
      <w:r w:rsidR="00497F74" w:rsidRPr="001A137A">
        <w:rPr>
          <w:rFonts w:cs="Calibri"/>
          <w:color w:val="000000" w:themeColor="text1"/>
        </w:rPr>
        <w:t xml:space="preserve"> Ukrainian</w:t>
      </w:r>
      <w:r w:rsidR="00D27869" w:rsidRPr="001A137A">
        <w:rPr>
          <w:rFonts w:cs="Calibri"/>
          <w:color w:val="000000" w:themeColor="text1"/>
        </w:rPr>
        <w:t xml:space="preserve"> refugees in accessing Letters of Protection </w:t>
      </w:r>
      <w:r w:rsidR="00221E6E">
        <w:rPr>
          <w:rFonts w:cs="Calibri"/>
          <w:color w:val="000000" w:themeColor="text1"/>
        </w:rPr>
        <w:t xml:space="preserve">under the </w:t>
      </w:r>
      <w:r w:rsidR="00D27869" w:rsidRPr="001A137A">
        <w:rPr>
          <w:rFonts w:cs="Calibri"/>
          <w:color w:val="000000" w:themeColor="text1"/>
        </w:rPr>
        <w:t xml:space="preserve">EU Temporary Protection Directive, </w:t>
      </w:r>
      <w:r w:rsidR="00300967" w:rsidRPr="001A137A">
        <w:rPr>
          <w:rFonts w:cs="Calibri"/>
          <w:color w:val="000000" w:themeColor="text1"/>
        </w:rPr>
        <w:t xml:space="preserve">recognition of </w:t>
      </w:r>
      <w:r w:rsidR="00D27869" w:rsidRPr="001A137A">
        <w:rPr>
          <w:rFonts w:cs="Calibri"/>
          <w:color w:val="000000" w:themeColor="text1"/>
        </w:rPr>
        <w:t xml:space="preserve">PPS numbers, and </w:t>
      </w:r>
      <w:r w:rsidR="00300967" w:rsidRPr="001A137A">
        <w:rPr>
          <w:rFonts w:cs="Calibri"/>
          <w:color w:val="000000" w:themeColor="text1"/>
        </w:rPr>
        <w:t xml:space="preserve">in </w:t>
      </w:r>
      <w:proofErr w:type="gramStart"/>
      <w:r w:rsidR="00D27869" w:rsidRPr="001A137A">
        <w:rPr>
          <w:rFonts w:cs="Calibri"/>
          <w:color w:val="000000" w:themeColor="text1"/>
        </w:rPr>
        <w:t>making contact with</w:t>
      </w:r>
      <w:proofErr w:type="gramEnd"/>
      <w:r w:rsidR="00D27869" w:rsidRPr="001A137A">
        <w:rPr>
          <w:rFonts w:cs="Calibri"/>
          <w:color w:val="000000" w:themeColor="text1"/>
        </w:rPr>
        <w:t xml:space="preserve"> the International Protection Accommodation Service (IPAS).</w:t>
      </w:r>
      <w:r w:rsidR="00B744E5" w:rsidRPr="001A137A">
        <w:rPr>
          <w:rFonts w:cs="Calibri"/>
          <w:color w:val="000000" w:themeColor="text1"/>
        </w:rPr>
        <w:t xml:space="preserve"> </w:t>
      </w:r>
    </w:p>
    <w:p w14:paraId="65E0A610" w14:textId="77777777" w:rsidR="00191334" w:rsidRPr="00191334" w:rsidRDefault="00191334" w:rsidP="00191334">
      <w:pPr>
        <w:pStyle w:val="ListParagraph"/>
        <w:rPr>
          <w:rFonts w:cs="Calibri"/>
          <w:color w:val="000000" w:themeColor="text1"/>
        </w:rPr>
      </w:pPr>
    </w:p>
    <w:p w14:paraId="53136B5F" w14:textId="02CD249D" w:rsidR="006D3CE6" w:rsidRPr="00191334" w:rsidRDefault="009E3622" w:rsidP="001913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191334">
        <w:rPr>
          <w:rFonts w:cs="Calibri"/>
          <w:color w:val="000000" w:themeColor="text1"/>
        </w:rPr>
        <w:t>As expected</w:t>
      </w:r>
      <w:r w:rsidR="00B744E5" w:rsidRPr="00191334">
        <w:rPr>
          <w:rFonts w:cs="Calibri"/>
          <w:color w:val="000000" w:themeColor="text1"/>
        </w:rPr>
        <w:t xml:space="preserve">, the </w:t>
      </w:r>
      <w:r w:rsidR="00422446" w:rsidRPr="00191334">
        <w:rPr>
          <w:rFonts w:cs="Calibri"/>
          <w:color w:val="000000" w:themeColor="text1"/>
        </w:rPr>
        <w:t xml:space="preserve">largest decrease in the number of queries was in relation to the </w:t>
      </w:r>
      <w:r w:rsidR="00B744E5" w:rsidRPr="00191334">
        <w:rPr>
          <w:rFonts w:cs="Calibri"/>
          <w:b/>
          <w:bCs/>
          <w:color w:val="000000" w:themeColor="text1"/>
        </w:rPr>
        <w:t>Covid-19 category</w:t>
      </w:r>
      <w:r w:rsidR="00B744E5" w:rsidRPr="00191334">
        <w:rPr>
          <w:rFonts w:cs="Calibri"/>
          <w:color w:val="000000" w:themeColor="text1"/>
        </w:rPr>
        <w:t xml:space="preserve"> queries </w:t>
      </w:r>
      <w:r w:rsidR="00422446" w:rsidRPr="00191334">
        <w:rPr>
          <w:rFonts w:cs="Calibri"/>
          <w:color w:val="000000" w:themeColor="text1"/>
        </w:rPr>
        <w:t>which f</w:t>
      </w:r>
      <w:r w:rsidR="00B744E5" w:rsidRPr="00191334">
        <w:rPr>
          <w:rFonts w:cs="Calibri"/>
          <w:color w:val="000000" w:themeColor="text1"/>
        </w:rPr>
        <w:t>ell by 87% compared with the same quarter in 2021</w:t>
      </w:r>
      <w:r w:rsidR="00B744E5" w:rsidRPr="00191334">
        <w:rPr>
          <w:rFonts w:cs="Calibri"/>
          <w:b/>
          <w:bCs/>
          <w:color w:val="000000" w:themeColor="text1"/>
        </w:rPr>
        <w:t>.</w:t>
      </w:r>
      <w:r w:rsidR="000E2961" w:rsidRPr="00191334">
        <w:rPr>
          <w:rFonts w:cs="Calibri"/>
          <w:b/>
          <w:bCs/>
          <w:color w:val="000000" w:themeColor="text1"/>
        </w:rPr>
        <w:t xml:space="preserve">  Employment</w:t>
      </w:r>
      <w:r w:rsidR="00B92D4A" w:rsidRPr="00191334">
        <w:rPr>
          <w:rFonts w:cs="Calibri"/>
          <w:b/>
          <w:bCs/>
          <w:color w:val="000000" w:themeColor="text1"/>
        </w:rPr>
        <w:t xml:space="preserve"> related queries, including employment rights,</w:t>
      </w:r>
      <w:r w:rsidR="009C0662" w:rsidRPr="00191334">
        <w:rPr>
          <w:rFonts w:cs="Calibri"/>
          <w:b/>
          <w:bCs/>
          <w:color w:val="000000" w:themeColor="text1"/>
        </w:rPr>
        <w:t xml:space="preserve"> </w:t>
      </w:r>
      <w:r w:rsidR="000E2961" w:rsidRPr="00191334">
        <w:rPr>
          <w:rFonts w:cs="Calibri"/>
          <w:color w:val="000000" w:themeColor="text1"/>
        </w:rPr>
        <w:t>dropped</w:t>
      </w:r>
      <w:r w:rsidR="009C0662" w:rsidRPr="00191334">
        <w:rPr>
          <w:rFonts w:cs="Calibri"/>
          <w:color w:val="000000" w:themeColor="text1"/>
        </w:rPr>
        <w:t xml:space="preserve"> by 34%</w:t>
      </w:r>
      <w:r w:rsidR="000E2961" w:rsidRPr="00191334">
        <w:rPr>
          <w:rFonts w:cs="Calibri"/>
          <w:color w:val="000000" w:themeColor="text1"/>
        </w:rPr>
        <w:t xml:space="preserve"> </w:t>
      </w:r>
      <w:r w:rsidR="001E1896" w:rsidRPr="00191334">
        <w:rPr>
          <w:rFonts w:cs="Calibri"/>
          <w:color w:val="000000" w:themeColor="text1"/>
        </w:rPr>
        <w:t xml:space="preserve">from </w:t>
      </w:r>
      <w:r w:rsidR="000F2A48" w:rsidRPr="00191334">
        <w:rPr>
          <w:rFonts w:cs="Calibri"/>
          <w:color w:val="000000" w:themeColor="text1"/>
        </w:rPr>
        <w:t xml:space="preserve">being </w:t>
      </w:r>
      <w:r w:rsidR="001E1896" w:rsidRPr="00191334">
        <w:rPr>
          <w:rFonts w:cs="Calibri"/>
          <w:color w:val="000000" w:themeColor="text1"/>
        </w:rPr>
        <w:t>the 2</w:t>
      </w:r>
      <w:r w:rsidR="001E1896" w:rsidRPr="00191334">
        <w:rPr>
          <w:rFonts w:cs="Calibri"/>
          <w:color w:val="000000" w:themeColor="text1"/>
          <w:vertAlign w:val="superscript"/>
        </w:rPr>
        <w:t>nd</w:t>
      </w:r>
      <w:r w:rsidR="001E1896" w:rsidRPr="00191334">
        <w:rPr>
          <w:rFonts w:cs="Calibri"/>
          <w:color w:val="000000" w:themeColor="text1"/>
        </w:rPr>
        <w:t xml:space="preserve"> highest query area at 9.</w:t>
      </w:r>
      <w:r w:rsidR="00AA1AFD" w:rsidRPr="00191334">
        <w:rPr>
          <w:rFonts w:cs="Calibri"/>
          <w:color w:val="000000" w:themeColor="text1"/>
        </w:rPr>
        <w:t>5</w:t>
      </w:r>
      <w:r w:rsidR="001E1896" w:rsidRPr="00191334">
        <w:rPr>
          <w:rFonts w:cs="Calibri"/>
          <w:color w:val="000000" w:themeColor="text1"/>
        </w:rPr>
        <w:t xml:space="preserve">% in </w:t>
      </w:r>
      <w:r w:rsidR="003033D5" w:rsidRPr="00191334">
        <w:rPr>
          <w:rFonts w:cs="Calibri"/>
          <w:color w:val="000000" w:themeColor="text1"/>
        </w:rPr>
        <w:t>Q</w:t>
      </w:r>
      <w:r w:rsidR="001E1896" w:rsidRPr="00191334">
        <w:rPr>
          <w:rFonts w:cs="Calibri"/>
          <w:color w:val="000000" w:themeColor="text1"/>
        </w:rPr>
        <w:t>1 2021</w:t>
      </w:r>
      <w:r w:rsidR="00B92D4A" w:rsidRPr="00191334">
        <w:rPr>
          <w:rFonts w:cs="Calibri"/>
          <w:color w:val="000000" w:themeColor="text1"/>
        </w:rPr>
        <w:t xml:space="preserve">, </w:t>
      </w:r>
      <w:r w:rsidR="009C0662" w:rsidRPr="00191334">
        <w:rPr>
          <w:rFonts w:cs="Calibri"/>
          <w:color w:val="000000" w:themeColor="text1"/>
        </w:rPr>
        <w:t xml:space="preserve">(16,657 queries) </w:t>
      </w:r>
      <w:r w:rsidR="001E1896" w:rsidRPr="00191334">
        <w:rPr>
          <w:rFonts w:cs="Calibri"/>
          <w:color w:val="000000" w:themeColor="text1"/>
        </w:rPr>
        <w:t>to the 5</w:t>
      </w:r>
      <w:r w:rsidR="001E1896" w:rsidRPr="00191334">
        <w:rPr>
          <w:rFonts w:cs="Calibri"/>
          <w:color w:val="000000" w:themeColor="text1"/>
          <w:vertAlign w:val="superscript"/>
        </w:rPr>
        <w:t>th</w:t>
      </w:r>
      <w:r w:rsidR="001E1896" w:rsidRPr="00191334">
        <w:rPr>
          <w:rFonts w:cs="Calibri"/>
          <w:color w:val="000000" w:themeColor="text1"/>
        </w:rPr>
        <w:t xml:space="preserve"> </w:t>
      </w:r>
      <w:r w:rsidR="0067000B" w:rsidRPr="00191334">
        <w:rPr>
          <w:rFonts w:cs="Calibri"/>
          <w:color w:val="000000" w:themeColor="text1"/>
        </w:rPr>
        <w:t xml:space="preserve">ranking </w:t>
      </w:r>
      <w:r w:rsidR="001E1896" w:rsidRPr="00191334">
        <w:rPr>
          <w:rFonts w:cs="Calibri"/>
          <w:color w:val="000000" w:themeColor="text1"/>
        </w:rPr>
        <w:t xml:space="preserve">query area </w:t>
      </w:r>
      <w:r w:rsidR="00575157" w:rsidRPr="00191334">
        <w:rPr>
          <w:rFonts w:cs="Calibri"/>
          <w:color w:val="000000" w:themeColor="text1"/>
        </w:rPr>
        <w:t xml:space="preserve">at </w:t>
      </w:r>
      <w:r w:rsidR="001E1896" w:rsidRPr="00191334">
        <w:rPr>
          <w:rFonts w:cs="Calibri"/>
          <w:color w:val="000000" w:themeColor="text1"/>
        </w:rPr>
        <w:t>6.5%</w:t>
      </w:r>
      <w:r w:rsidR="0067000B" w:rsidRPr="00191334">
        <w:rPr>
          <w:rFonts w:cs="Calibri"/>
          <w:color w:val="000000" w:themeColor="text1"/>
        </w:rPr>
        <w:t xml:space="preserve"> (12,415 queries)</w:t>
      </w:r>
      <w:r w:rsidR="000A6598" w:rsidRPr="00191334">
        <w:rPr>
          <w:rFonts w:cs="Calibri"/>
          <w:color w:val="000000" w:themeColor="text1"/>
        </w:rPr>
        <w:t>,</w:t>
      </w:r>
      <w:r w:rsidR="00041B52" w:rsidRPr="00191334">
        <w:rPr>
          <w:rFonts w:cs="Calibri"/>
          <w:color w:val="000000" w:themeColor="text1"/>
        </w:rPr>
        <w:t xml:space="preserve"> </w:t>
      </w:r>
      <w:r w:rsidR="00AA1AFD" w:rsidRPr="00191334">
        <w:rPr>
          <w:rFonts w:cs="Calibri"/>
          <w:color w:val="000000" w:themeColor="text1"/>
        </w:rPr>
        <w:t xml:space="preserve">as a proportion of </w:t>
      </w:r>
      <w:r w:rsidR="008A3B04" w:rsidRPr="00191334">
        <w:rPr>
          <w:rFonts w:cs="Calibri"/>
          <w:color w:val="000000" w:themeColor="text1"/>
        </w:rPr>
        <w:t>all queries.</w:t>
      </w:r>
    </w:p>
    <w:p w14:paraId="0A3D7748" w14:textId="77777777" w:rsidR="00041B52" w:rsidRPr="0067000B" w:rsidRDefault="00041B52" w:rsidP="0067000B">
      <w:pPr>
        <w:pStyle w:val="ListParagraph"/>
        <w:rPr>
          <w:rFonts w:cs="Calibri"/>
          <w:color w:val="000000" w:themeColor="text1"/>
        </w:rPr>
      </w:pPr>
    </w:p>
    <w:p w14:paraId="0C1AC51B" w14:textId="06628A9B" w:rsidR="0021176D" w:rsidRPr="008A3B04" w:rsidRDefault="00575157" w:rsidP="006D3CE6">
      <w:pPr>
        <w:pStyle w:val="ListParagraph"/>
        <w:numPr>
          <w:ilvl w:val="0"/>
          <w:numId w:val="6"/>
        </w:numPr>
        <w:spacing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Queries relating to </w:t>
      </w:r>
      <w:r w:rsidR="00AA1AFD" w:rsidRPr="000A6598">
        <w:rPr>
          <w:rFonts w:cs="Calibri"/>
          <w:b/>
          <w:color w:val="000000" w:themeColor="text1"/>
        </w:rPr>
        <w:t>Medical Cards</w:t>
      </w:r>
      <w:r w:rsidR="00AA1AFD" w:rsidRPr="008A3B04">
        <w:rPr>
          <w:rFonts w:cs="Calibri"/>
          <w:color w:val="000000" w:themeColor="text1"/>
        </w:rPr>
        <w:t xml:space="preserve"> showed an increase of 58% </w:t>
      </w:r>
      <w:r>
        <w:rPr>
          <w:rFonts w:cs="Calibri"/>
          <w:color w:val="000000" w:themeColor="text1"/>
        </w:rPr>
        <w:t>compared to</w:t>
      </w:r>
      <w:r w:rsidRPr="008A3B04">
        <w:rPr>
          <w:rFonts w:cs="Calibri"/>
          <w:color w:val="000000" w:themeColor="text1"/>
        </w:rPr>
        <w:t xml:space="preserve"> </w:t>
      </w:r>
      <w:r w:rsidR="00AA1AFD" w:rsidRPr="008A3B04">
        <w:rPr>
          <w:rFonts w:cs="Calibri"/>
          <w:color w:val="000000" w:themeColor="text1"/>
        </w:rPr>
        <w:t xml:space="preserve">the same period last </w:t>
      </w:r>
      <w:r w:rsidR="009C0662" w:rsidRPr="008A3B04">
        <w:rPr>
          <w:rFonts w:cs="Calibri"/>
          <w:color w:val="000000" w:themeColor="text1"/>
        </w:rPr>
        <w:t xml:space="preserve">year </w:t>
      </w:r>
      <w:r w:rsidR="009C0662">
        <w:rPr>
          <w:rFonts w:cs="Calibri"/>
          <w:color w:val="000000" w:themeColor="text1"/>
        </w:rPr>
        <w:t>and</w:t>
      </w:r>
      <w:r>
        <w:rPr>
          <w:rFonts w:cs="Calibri"/>
          <w:color w:val="000000" w:themeColor="text1"/>
        </w:rPr>
        <w:t xml:space="preserve"> </w:t>
      </w:r>
      <w:r w:rsidR="00EA5C23">
        <w:rPr>
          <w:rFonts w:cs="Calibri"/>
          <w:color w:val="000000" w:themeColor="text1"/>
        </w:rPr>
        <w:t xml:space="preserve">continued to be </w:t>
      </w:r>
      <w:r w:rsidR="006114C3" w:rsidRPr="008A3B04">
        <w:rPr>
          <w:rFonts w:cs="Calibri"/>
          <w:color w:val="000000" w:themeColor="text1"/>
        </w:rPr>
        <w:t>the single payment or scheme</w:t>
      </w:r>
      <w:r w:rsidR="00BB3D00">
        <w:rPr>
          <w:rFonts w:cs="Calibri"/>
          <w:color w:val="000000" w:themeColor="text1"/>
        </w:rPr>
        <w:t xml:space="preserve"> </w:t>
      </w:r>
      <w:r>
        <w:rPr>
          <w:rFonts w:cs="Calibri"/>
          <w:color w:val="000000" w:themeColor="text1"/>
        </w:rPr>
        <w:t>with the highest number of queries</w:t>
      </w:r>
      <w:r w:rsidR="00041B52">
        <w:rPr>
          <w:rFonts w:cs="Calibri"/>
          <w:color w:val="000000" w:themeColor="text1"/>
        </w:rPr>
        <w:t xml:space="preserve"> at over 9,000.</w:t>
      </w:r>
      <w:r>
        <w:rPr>
          <w:rFonts w:cs="Calibri"/>
          <w:color w:val="000000" w:themeColor="text1"/>
        </w:rPr>
        <w:t xml:space="preserve"> S</w:t>
      </w:r>
      <w:r w:rsidRPr="008A3B04">
        <w:rPr>
          <w:rFonts w:cs="Calibri"/>
          <w:color w:val="000000" w:themeColor="text1"/>
        </w:rPr>
        <w:t xml:space="preserve">ocial </w:t>
      </w:r>
      <w:r w:rsidR="00AA1AFD" w:rsidRPr="008A3B04">
        <w:rPr>
          <w:rFonts w:cs="Calibri"/>
          <w:color w:val="000000" w:themeColor="text1"/>
        </w:rPr>
        <w:t>w</w:t>
      </w:r>
      <w:r w:rsidR="0021176D" w:rsidRPr="008A3B04">
        <w:rPr>
          <w:rFonts w:cs="Calibri"/>
          <w:color w:val="000000" w:themeColor="text1"/>
        </w:rPr>
        <w:t xml:space="preserve">elfare queries relating to Carer’s Allowance, Disability Allowance and State Pension (Contributory) remained in the top </w:t>
      </w:r>
      <w:r w:rsidR="00AA1AFD" w:rsidRPr="008A3B04">
        <w:rPr>
          <w:rFonts w:cs="Calibri"/>
          <w:color w:val="000000" w:themeColor="text1"/>
        </w:rPr>
        <w:t>four</w:t>
      </w:r>
      <w:r w:rsidRPr="00575157">
        <w:rPr>
          <w:rFonts w:cs="Calibri"/>
          <w:color w:val="000000" w:themeColor="text1"/>
        </w:rPr>
        <w:t xml:space="preserve"> highest single payment</w:t>
      </w:r>
      <w:r w:rsidR="00BB3D00">
        <w:rPr>
          <w:rFonts w:cs="Calibri"/>
          <w:color w:val="000000" w:themeColor="text1"/>
        </w:rPr>
        <w:t>s</w:t>
      </w:r>
      <w:r w:rsidRPr="00575157">
        <w:rPr>
          <w:rFonts w:cs="Calibri"/>
          <w:color w:val="000000" w:themeColor="text1"/>
        </w:rPr>
        <w:t xml:space="preserve"> or scheme</w:t>
      </w:r>
      <w:r w:rsidR="00BB3D00">
        <w:rPr>
          <w:rFonts w:cs="Calibri"/>
          <w:color w:val="000000" w:themeColor="text1"/>
        </w:rPr>
        <w:t>s</w:t>
      </w:r>
      <w:r w:rsidR="00191334" w:rsidRPr="00191334">
        <w:rPr>
          <w:rFonts w:cs="Calibri"/>
          <w:color w:val="000000" w:themeColor="text1"/>
        </w:rPr>
        <w:t xml:space="preserve"> </w:t>
      </w:r>
      <w:r w:rsidR="00191334">
        <w:rPr>
          <w:rFonts w:cs="Calibri"/>
          <w:color w:val="000000" w:themeColor="text1"/>
        </w:rPr>
        <w:t xml:space="preserve">with </w:t>
      </w:r>
      <w:r w:rsidR="00191334" w:rsidRPr="00B0023A">
        <w:rPr>
          <w:rFonts w:cs="Calibri"/>
          <w:color w:val="000000" w:themeColor="text1"/>
        </w:rPr>
        <w:t>increases ranging from 13 to 16% compared to last year.</w:t>
      </w:r>
    </w:p>
    <w:p w14:paraId="6FD8B472" w14:textId="77777777" w:rsidR="005E4E2D" w:rsidRPr="005E4E2D" w:rsidRDefault="005E4E2D" w:rsidP="00B86719">
      <w:pPr>
        <w:pStyle w:val="ListParagraph"/>
        <w:jc w:val="both"/>
        <w:rPr>
          <w:rFonts w:cs="Calibri"/>
          <w:color w:val="000000" w:themeColor="text1"/>
        </w:rPr>
      </w:pPr>
    </w:p>
    <w:p w14:paraId="1C762920" w14:textId="774BAF25" w:rsidR="0047173B" w:rsidRDefault="006114C3" w:rsidP="00321F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321F98">
        <w:rPr>
          <w:rFonts w:eastAsia="Times New Roman" w:cs="Calibri"/>
          <w:b/>
          <w:bCs/>
          <w:color w:val="000000" w:themeColor="text1"/>
          <w:lang w:eastAsia="en-IE"/>
        </w:rPr>
        <w:t xml:space="preserve">SW - </w:t>
      </w:r>
      <w:r w:rsidR="00F07836" w:rsidRPr="00321F98">
        <w:rPr>
          <w:rFonts w:eastAsia="Times New Roman" w:cs="Calibri"/>
          <w:b/>
          <w:bCs/>
          <w:color w:val="000000" w:themeColor="text1"/>
          <w:lang w:eastAsia="en-IE"/>
        </w:rPr>
        <w:t>Extra Social Welfare Benefits</w:t>
      </w:r>
      <w:r w:rsidR="00AE14B5" w:rsidRPr="00321F98">
        <w:rPr>
          <w:rFonts w:eastAsia="Times New Roman" w:cs="Calibri"/>
          <w:b/>
          <w:bCs/>
          <w:color w:val="000000" w:themeColor="text1"/>
          <w:lang w:eastAsia="en-IE"/>
        </w:rPr>
        <w:t xml:space="preserve"> (which includes household benefits such as free electricity allowance) continued the trend reflected in Q1 this year</w:t>
      </w:r>
      <w:r w:rsidR="000A6598" w:rsidRPr="00321F98">
        <w:rPr>
          <w:rFonts w:eastAsia="Times New Roman" w:cs="Calibri"/>
          <w:bCs/>
          <w:color w:val="000000" w:themeColor="text1"/>
          <w:lang w:eastAsia="en-IE"/>
        </w:rPr>
        <w:t>,</w:t>
      </w:r>
      <w:r w:rsidR="00AE14B5" w:rsidRPr="00321F98">
        <w:rPr>
          <w:rFonts w:eastAsia="Times New Roman" w:cs="Calibri"/>
          <w:b/>
          <w:bCs/>
          <w:color w:val="000000" w:themeColor="text1"/>
          <w:lang w:eastAsia="en-IE"/>
        </w:rPr>
        <w:t xml:space="preserve"> </w:t>
      </w:r>
      <w:r w:rsidR="00575157" w:rsidRPr="00321F98">
        <w:rPr>
          <w:rFonts w:eastAsia="Times New Roman" w:cs="Calibri"/>
          <w:color w:val="000000" w:themeColor="text1"/>
          <w:lang w:eastAsia="en-IE"/>
        </w:rPr>
        <w:t>increas</w:t>
      </w:r>
      <w:r w:rsidR="009310B6" w:rsidRPr="00321F98">
        <w:rPr>
          <w:rFonts w:eastAsia="Times New Roman" w:cs="Calibri"/>
          <w:color w:val="000000" w:themeColor="text1"/>
          <w:lang w:eastAsia="en-IE"/>
        </w:rPr>
        <w:t>ing</w:t>
      </w:r>
      <w:r w:rsidR="00575157" w:rsidRPr="00321F98">
        <w:rPr>
          <w:rFonts w:eastAsia="Times New Roman" w:cs="Calibri"/>
          <w:color w:val="000000" w:themeColor="text1"/>
          <w:lang w:eastAsia="en-IE"/>
        </w:rPr>
        <w:t xml:space="preserve"> by 68%, compared to Q2 2021 </w:t>
      </w:r>
      <w:r w:rsidR="00F07836" w:rsidRPr="00321F98">
        <w:rPr>
          <w:rFonts w:eastAsia="Times New Roman" w:cs="Calibri"/>
          <w:color w:val="000000" w:themeColor="text1"/>
          <w:lang w:eastAsia="en-IE"/>
        </w:rPr>
        <w:t>from 6,708 to 11,299</w:t>
      </w:r>
      <w:r w:rsidR="00575157" w:rsidRPr="00321F98">
        <w:rPr>
          <w:rFonts w:eastAsia="Times New Roman" w:cs="Calibri"/>
          <w:color w:val="000000" w:themeColor="text1"/>
          <w:lang w:eastAsia="en-IE"/>
        </w:rPr>
        <w:t>.</w:t>
      </w:r>
      <w:r w:rsidR="00F07836" w:rsidRPr="00321F98">
        <w:rPr>
          <w:rFonts w:eastAsia="Times New Roman" w:cs="Calibri"/>
          <w:color w:val="000000" w:themeColor="text1"/>
          <w:lang w:eastAsia="en-IE"/>
        </w:rPr>
        <w:t xml:space="preserve"> </w:t>
      </w:r>
      <w:r w:rsidR="00AE14B5" w:rsidRPr="00321F98">
        <w:rPr>
          <w:rFonts w:cs="Calibri"/>
          <w:b/>
          <w:bCs/>
          <w:color w:val="000000" w:themeColor="text1"/>
        </w:rPr>
        <w:t>Household Benefits Package</w:t>
      </w:r>
      <w:r w:rsidR="00AE14B5" w:rsidRPr="00321F98">
        <w:rPr>
          <w:rFonts w:cs="Calibri"/>
          <w:color w:val="000000" w:themeColor="text1"/>
        </w:rPr>
        <w:t xml:space="preserve"> and </w:t>
      </w:r>
      <w:r w:rsidR="00AE14B5" w:rsidRPr="00321F98">
        <w:rPr>
          <w:rFonts w:cs="Calibri"/>
          <w:b/>
          <w:bCs/>
          <w:color w:val="000000" w:themeColor="text1"/>
        </w:rPr>
        <w:t>Fuel Allowance</w:t>
      </w:r>
      <w:r w:rsidR="00AE14B5" w:rsidRPr="00321F98">
        <w:rPr>
          <w:rFonts w:cs="Calibri"/>
          <w:color w:val="000000" w:themeColor="text1"/>
        </w:rPr>
        <w:t xml:space="preserve"> queries did not feature in the top ten payments/schemes last year but remained high in Q2</w:t>
      </w:r>
      <w:r w:rsidR="0067000B" w:rsidRPr="00321F98">
        <w:rPr>
          <w:rFonts w:cs="Calibri"/>
          <w:color w:val="000000" w:themeColor="text1"/>
        </w:rPr>
        <w:t xml:space="preserve">, </w:t>
      </w:r>
      <w:r w:rsidR="000A6598" w:rsidRPr="00321F98">
        <w:rPr>
          <w:rFonts w:cs="Calibri"/>
          <w:color w:val="000000" w:themeColor="text1"/>
        </w:rPr>
        <w:t xml:space="preserve">consistent with Q1 </w:t>
      </w:r>
      <w:r w:rsidR="0067000B" w:rsidRPr="00321F98">
        <w:rPr>
          <w:rFonts w:cs="Calibri"/>
          <w:color w:val="000000" w:themeColor="text1"/>
        </w:rPr>
        <w:t>this year</w:t>
      </w:r>
      <w:r w:rsidR="00AE14B5" w:rsidRPr="00321F98">
        <w:rPr>
          <w:rFonts w:cs="Calibri"/>
          <w:color w:val="000000" w:themeColor="text1"/>
        </w:rPr>
        <w:t xml:space="preserve">. </w:t>
      </w:r>
      <w:r w:rsidR="00321F98" w:rsidRPr="00321F98">
        <w:rPr>
          <w:rFonts w:cs="Calibri"/>
          <w:color w:val="000000" w:themeColor="text1"/>
        </w:rPr>
        <w:t xml:space="preserve"> </w:t>
      </w:r>
    </w:p>
    <w:p w14:paraId="2D8B06BE" w14:textId="623C34C5" w:rsidR="00321F98" w:rsidRPr="00321F98" w:rsidRDefault="00321F98" w:rsidP="00321F98">
      <w:pPr>
        <w:spacing w:after="0" w:line="240" w:lineRule="auto"/>
        <w:jc w:val="both"/>
        <w:rPr>
          <w:rFonts w:cs="Calibri"/>
          <w:color w:val="000000" w:themeColor="text1"/>
        </w:rPr>
      </w:pPr>
    </w:p>
    <w:p w14:paraId="31F2FC62" w14:textId="4B58DF10" w:rsidR="0047173B" w:rsidRDefault="0047173B" w:rsidP="00B92D4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eastAsia="Times New Roman" w:cs="Calibri"/>
          <w:color w:val="000000"/>
          <w:lang w:eastAsia="en-IE"/>
        </w:rPr>
        <w:t xml:space="preserve">Housing queries overall increased by 13.5% and there was a </w:t>
      </w:r>
      <w:r w:rsidRPr="00321F98">
        <w:rPr>
          <w:rFonts w:eastAsia="Times New Roman" w:cs="Calibri"/>
          <w:b/>
          <w:color w:val="000000"/>
          <w:lang w:eastAsia="en-IE"/>
        </w:rPr>
        <w:t>significant increase in homelessness</w:t>
      </w:r>
      <w:r>
        <w:rPr>
          <w:rFonts w:eastAsia="Times New Roman" w:cs="Calibri"/>
          <w:color w:val="000000"/>
          <w:lang w:eastAsia="en-IE"/>
        </w:rPr>
        <w:t xml:space="preserve"> related issues – up by over two thirds on the same quarter last year.</w:t>
      </w:r>
    </w:p>
    <w:p w14:paraId="6B03BE48" w14:textId="58F0DF27" w:rsidR="005F453B" w:rsidRPr="00B92D4A" w:rsidRDefault="005F453B" w:rsidP="00B92D4A">
      <w:pPr>
        <w:spacing w:after="0" w:line="240" w:lineRule="auto"/>
        <w:jc w:val="both"/>
        <w:rPr>
          <w:rFonts w:eastAsia="Times New Roman" w:cs="Calibri"/>
          <w:color w:val="000000" w:themeColor="text1"/>
          <w:lang w:eastAsia="en-IE"/>
        </w:rPr>
      </w:pPr>
    </w:p>
    <w:p w14:paraId="1A1E5F5F" w14:textId="4FDAC980" w:rsidR="00321F98" w:rsidRPr="00321F98" w:rsidRDefault="00321F98" w:rsidP="00321F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="Calibri"/>
          <w:color w:val="000000" w:themeColor="text1"/>
        </w:rPr>
      </w:pPr>
      <w:r w:rsidRPr="00321F98">
        <w:rPr>
          <w:rFonts w:cs="Calibri"/>
          <w:b/>
          <w:iCs/>
          <w:color w:val="000000" w:themeColor="text1"/>
        </w:rPr>
        <w:t xml:space="preserve">Ongoing affordability challenges faced by citizens and </w:t>
      </w:r>
      <w:r w:rsidRPr="00321F98">
        <w:rPr>
          <w:rFonts w:cs="Calibri"/>
          <w:b/>
          <w:color w:val="000000" w:themeColor="text1"/>
        </w:rPr>
        <w:t xml:space="preserve">concerns with </w:t>
      </w:r>
      <w:r>
        <w:rPr>
          <w:rFonts w:cs="Calibri"/>
          <w:b/>
          <w:color w:val="000000" w:themeColor="text1"/>
        </w:rPr>
        <w:t xml:space="preserve">rises </w:t>
      </w:r>
      <w:r w:rsidRPr="00321F98">
        <w:rPr>
          <w:rFonts w:cs="Calibri"/>
          <w:b/>
          <w:color w:val="000000" w:themeColor="text1"/>
        </w:rPr>
        <w:t>in the cost of living</w:t>
      </w:r>
      <w:r>
        <w:rPr>
          <w:rFonts w:cs="Calibri"/>
          <w:color w:val="000000" w:themeColor="text1"/>
        </w:rPr>
        <w:t xml:space="preserve"> are reflected in </w:t>
      </w:r>
      <w:r w:rsidRPr="00321F98">
        <w:rPr>
          <w:rFonts w:cs="Calibri"/>
          <w:iCs/>
          <w:color w:val="000000" w:themeColor="text1"/>
        </w:rPr>
        <w:t>i</w:t>
      </w:r>
      <w:r w:rsidR="00D30C8B" w:rsidRPr="00321F98">
        <w:rPr>
          <w:rFonts w:cs="Calibri"/>
          <w:iCs/>
          <w:color w:val="000000" w:themeColor="text1"/>
        </w:rPr>
        <w:t>ncreases in the number of queries relating to Medical Cards (58.6%)</w:t>
      </w:r>
      <w:r w:rsidR="001E0A9B" w:rsidRPr="00321F98">
        <w:rPr>
          <w:rFonts w:cs="Calibri"/>
          <w:iCs/>
          <w:color w:val="000000" w:themeColor="text1"/>
        </w:rPr>
        <w:t xml:space="preserve"> </w:t>
      </w:r>
      <w:r w:rsidR="009310B6" w:rsidRPr="00321F98">
        <w:rPr>
          <w:rFonts w:cs="Calibri"/>
          <w:iCs/>
          <w:color w:val="000000" w:themeColor="text1"/>
        </w:rPr>
        <w:t>and a</w:t>
      </w:r>
      <w:r w:rsidR="00D30C8B" w:rsidRPr="00321F98">
        <w:rPr>
          <w:rFonts w:cs="Calibri"/>
          <w:iCs/>
          <w:color w:val="000000" w:themeColor="text1"/>
        </w:rPr>
        <w:t xml:space="preserve">pplying for Local Authority/Social Housing (26%), </w:t>
      </w:r>
      <w:r w:rsidR="009310B6" w:rsidRPr="00321F98">
        <w:rPr>
          <w:rFonts w:cs="Calibri"/>
          <w:iCs/>
          <w:color w:val="000000" w:themeColor="text1"/>
        </w:rPr>
        <w:t xml:space="preserve">as well as the </w:t>
      </w:r>
      <w:r w:rsidR="009C0662" w:rsidRPr="00321F98">
        <w:rPr>
          <w:rFonts w:cs="Calibri"/>
          <w:iCs/>
          <w:color w:val="000000" w:themeColor="text1"/>
        </w:rPr>
        <w:t>continuing demand</w:t>
      </w:r>
      <w:r w:rsidR="009310B6" w:rsidRPr="00321F98">
        <w:rPr>
          <w:rFonts w:cs="Calibri"/>
          <w:iCs/>
          <w:color w:val="000000" w:themeColor="text1"/>
        </w:rPr>
        <w:t xml:space="preserve"> for information</w:t>
      </w:r>
      <w:r w:rsidR="009C0662" w:rsidRPr="00321F98">
        <w:rPr>
          <w:rFonts w:cs="Calibri"/>
          <w:iCs/>
          <w:color w:val="000000" w:themeColor="text1"/>
        </w:rPr>
        <w:t xml:space="preserve"> and assistance</w:t>
      </w:r>
      <w:r w:rsidR="009310B6" w:rsidRPr="00321F98">
        <w:rPr>
          <w:rFonts w:cs="Calibri"/>
          <w:iCs/>
          <w:color w:val="000000" w:themeColor="text1"/>
        </w:rPr>
        <w:t xml:space="preserve"> in relation to energy and fuel support schemes</w:t>
      </w:r>
      <w:r w:rsidR="00B92D4A" w:rsidRPr="00321F98">
        <w:rPr>
          <w:rFonts w:cs="Calibri"/>
          <w:iCs/>
          <w:color w:val="000000" w:themeColor="text1"/>
        </w:rPr>
        <w:t>,</w:t>
      </w:r>
      <w:r w:rsidR="009310B6" w:rsidRPr="00321F98">
        <w:rPr>
          <w:rFonts w:cs="Calibri"/>
          <w:iCs/>
          <w:color w:val="000000" w:themeColor="text1"/>
        </w:rPr>
        <w:t xml:space="preserve"> </w:t>
      </w:r>
      <w:r w:rsidRPr="00321F98">
        <w:rPr>
          <w:rFonts w:cs="Calibri"/>
          <w:iCs/>
          <w:color w:val="000000" w:themeColor="text1"/>
        </w:rPr>
        <w:t>and a rise in Supplementary Welfare Allowance queries – the ‘safety net’ support</w:t>
      </w:r>
      <w:r>
        <w:rPr>
          <w:rFonts w:cs="Calibri"/>
          <w:iCs/>
          <w:color w:val="000000" w:themeColor="text1"/>
        </w:rPr>
        <w:t xml:space="preserve"> and assistance sought for additional and exceptional needs.</w:t>
      </w:r>
    </w:p>
    <w:p w14:paraId="08111E0A" w14:textId="369FE1F0" w:rsidR="007B67A3" w:rsidRPr="00677146" w:rsidRDefault="00321F98" w:rsidP="00677146">
      <w:pPr>
        <w:spacing w:after="0" w:line="240" w:lineRule="auto"/>
        <w:jc w:val="both"/>
        <w:rPr>
          <w:rFonts w:cs="Calibri"/>
          <w:color w:val="000000" w:themeColor="text1"/>
        </w:rPr>
      </w:pPr>
      <w:r w:rsidRPr="00321F98">
        <w:rPr>
          <w:rFonts w:cs="Calibri"/>
          <w:color w:val="000000" w:themeColor="text1"/>
        </w:rPr>
        <w:t xml:space="preserve"> </w:t>
      </w:r>
    </w:p>
    <w:p w14:paraId="0B87B4EA" w14:textId="5870E502" w:rsidR="003A71C0" w:rsidRPr="006D3CE6" w:rsidRDefault="003A71C0" w:rsidP="006D3CE6">
      <w:pPr>
        <w:jc w:val="both"/>
        <w:rPr>
          <w:rFonts w:cs="Calibri"/>
        </w:rPr>
      </w:pPr>
      <w:r w:rsidRPr="006D3CE6">
        <w:rPr>
          <w:rFonts w:cs="Calibri"/>
          <w:lang w:val="en-US"/>
        </w:rPr>
        <w:t xml:space="preserve">Further detail on the </w:t>
      </w:r>
      <w:r w:rsidRPr="006D3CE6">
        <w:rPr>
          <w:rFonts w:cs="Calibri"/>
          <w:b/>
          <w:lang w:val="en-US"/>
        </w:rPr>
        <w:t>top three main</w:t>
      </w:r>
      <w:r w:rsidRPr="006D3CE6">
        <w:rPr>
          <w:rFonts w:cs="Calibri"/>
          <w:lang w:val="en-US"/>
        </w:rPr>
        <w:t xml:space="preserve"> </w:t>
      </w:r>
      <w:r w:rsidRPr="006D3CE6">
        <w:rPr>
          <w:rFonts w:cs="Calibri"/>
          <w:b/>
          <w:lang w:val="en-US"/>
        </w:rPr>
        <w:t>categories</w:t>
      </w:r>
      <w:r w:rsidRPr="006D3CE6">
        <w:rPr>
          <w:rFonts w:cs="Calibri"/>
          <w:lang w:val="en-US"/>
        </w:rPr>
        <w:t xml:space="preserve"> of queries received in this second quarter of 2022, compared with the second quarter of 2021, are also set out in the tables below.</w:t>
      </w:r>
    </w:p>
    <w:p w14:paraId="28DAB76C" w14:textId="6462259D" w:rsidR="00E954B1" w:rsidRPr="00A941B3" w:rsidRDefault="00E954B1" w:rsidP="00B86719">
      <w:pPr>
        <w:jc w:val="both"/>
        <w:rPr>
          <w:rFonts w:cs="Calibri"/>
          <w:lang w:val="en-US"/>
        </w:rPr>
      </w:pPr>
      <w:r w:rsidRPr="00A941B3">
        <w:rPr>
          <w:rFonts w:cs="Calibri"/>
          <w:b/>
          <w:lang w:val="en-US"/>
        </w:rPr>
        <w:t>Table 6</w:t>
      </w:r>
      <w:r w:rsidRPr="00A941B3">
        <w:rPr>
          <w:rFonts w:cs="Calibri"/>
          <w:lang w:val="en-US"/>
        </w:rPr>
        <w:t xml:space="preserve"> </w:t>
      </w:r>
      <w:r w:rsidR="009310B6">
        <w:rPr>
          <w:rFonts w:cs="Calibri"/>
          <w:lang w:val="en-US"/>
        </w:rPr>
        <w:t xml:space="preserve">details </w:t>
      </w:r>
      <w:r w:rsidRPr="00A941B3">
        <w:rPr>
          <w:rFonts w:cs="Calibri"/>
          <w:lang w:val="en-US"/>
        </w:rPr>
        <w:t xml:space="preserve">the </w:t>
      </w:r>
      <w:r w:rsidRPr="00B12326">
        <w:rPr>
          <w:rFonts w:cs="Calibri"/>
          <w:b/>
          <w:lang w:val="en-US"/>
        </w:rPr>
        <w:t>Social Welfare</w:t>
      </w:r>
      <w:r w:rsidRPr="00A941B3">
        <w:rPr>
          <w:rFonts w:cs="Calibri"/>
          <w:lang w:val="en-US"/>
        </w:rPr>
        <w:t xml:space="preserve"> query dataset for Quarter </w:t>
      </w:r>
      <w:r>
        <w:rPr>
          <w:rFonts w:cs="Calibri"/>
          <w:lang w:val="en-US"/>
        </w:rPr>
        <w:t>2</w:t>
      </w:r>
      <w:r w:rsidRPr="00A941B3">
        <w:rPr>
          <w:rFonts w:cs="Calibri"/>
          <w:lang w:val="en-US"/>
        </w:rPr>
        <w:t>, 2022.</w:t>
      </w:r>
      <w:r>
        <w:rPr>
          <w:rFonts w:cs="Calibri"/>
          <w:lang w:val="en-US"/>
        </w:rPr>
        <w:t xml:space="preserve"> </w:t>
      </w:r>
      <w:r w:rsidRPr="00A941B3">
        <w:rPr>
          <w:rFonts w:cs="Calibri"/>
          <w:lang w:val="en-US"/>
        </w:rPr>
        <w:t>Query sub-categories are presented in thematic</w:t>
      </w:r>
      <w:r>
        <w:rPr>
          <w:rFonts w:cs="Calibri"/>
          <w:lang w:val="en-US"/>
        </w:rPr>
        <w:t xml:space="preserve"> categories</w:t>
      </w:r>
      <w:r w:rsidRPr="00A941B3">
        <w:rPr>
          <w:rFonts w:cs="Calibri"/>
          <w:lang w:val="en-US"/>
        </w:rPr>
        <w:t>, as recorded by CISs. The percentages in the right</w:t>
      </w:r>
      <w:r w:rsidR="008826E9">
        <w:rPr>
          <w:rFonts w:cs="Calibri"/>
          <w:lang w:val="en-US"/>
        </w:rPr>
        <w:t>-</w:t>
      </w:r>
      <w:r w:rsidRPr="00A941B3">
        <w:rPr>
          <w:rFonts w:cs="Calibri"/>
          <w:lang w:val="en-US"/>
        </w:rPr>
        <w:t xml:space="preserve">hand column represent the percentage of queries for that </w:t>
      </w:r>
      <w:r>
        <w:rPr>
          <w:rFonts w:cs="Calibri"/>
          <w:lang w:val="en-US"/>
        </w:rPr>
        <w:t xml:space="preserve">data </w:t>
      </w:r>
      <w:r w:rsidRPr="00A941B3">
        <w:rPr>
          <w:rFonts w:cs="Calibri"/>
          <w:lang w:val="en-US"/>
        </w:rPr>
        <w:t xml:space="preserve">sub-category </w:t>
      </w:r>
      <w:proofErr w:type="gramStart"/>
      <w:r w:rsidRPr="00A941B3">
        <w:rPr>
          <w:rFonts w:cs="Calibri"/>
          <w:lang w:val="en-US"/>
        </w:rPr>
        <w:t>i.e.</w:t>
      </w:r>
      <w:proofErr w:type="gramEnd"/>
      <w:r w:rsidRPr="00A941B3">
        <w:rPr>
          <w:rFonts w:cs="Calibri"/>
          <w:lang w:val="en-US"/>
        </w:rPr>
        <w:t xml:space="preserve"> the </w:t>
      </w:r>
      <w:r w:rsidRPr="00212807">
        <w:rPr>
          <w:rFonts w:cs="Calibri"/>
          <w:i/>
          <w:lang w:val="en-US"/>
        </w:rPr>
        <w:t>Disability Allowance</w:t>
      </w:r>
      <w:r w:rsidRPr="00A941B3">
        <w:rPr>
          <w:rFonts w:cs="Calibri"/>
          <w:lang w:val="en-US"/>
        </w:rPr>
        <w:t xml:space="preserve"> percentage represents the queries recorded as a percentage of the </w:t>
      </w:r>
      <w:r w:rsidRPr="00A941B3">
        <w:rPr>
          <w:rFonts w:cs="Calibri"/>
          <w:b/>
          <w:i/>
          <w:lang w:val="en-US"/>
        </w:rPr>
        <w:t>Disability and Illness</w:t>
      </w:r>
      <w:r w:rsidRPr="00A941B3">
        <w:rPr>
          <w:rFonts w:cs="Calibri"/>
          <w:lang w:val="en-US"/>
        </w:rPr>
        <w:t xml:space="preserve"> sub-category. </w:t>
      </w:r>
    </w:p>
    <w:p w14:paraId="64AAFB05" w14:textId="77777777" w:rsidR="00B92D4A" w:rsidRDefault="00B92D4A" w:rsidP="00B86719">
      <w:pPr>
        <w:spacing w:line="240" w:lineRule="auto"/>
        <w:jc w:val="both"/>
        <w:rPr>
          <w:rFonts w:cs="Calibri"/>
          <w:b/>
          <w:lang w:val="en-US"/>
        </w:rPr>
      </w:pPr>
    </w:p>
    <w:p w14:paraId="20BFD661" w14:textId="076C66A8" w:rsidR="008826E9" w:rsidRDefault="008826E9" w:rsidP="00B86719">
      <w:pPr>
        <w:spacing w:line="240" w:lineRule="auto"/>
        <w:jc w:val="both"/>
        <w:rPr>
          <w:rFonts w:cs="Calibri"/>
          <w:lang w:val="en-US"/>
        </w:rPr>
      </w:pPr>
      <w:r w:rsidRPr="00F81FD2">
        <w:rPr>
          <w:rFonts w:cs="Calibri"/>
          <w:b/>
          <w:lang w:val="en-US"/>
        </w:rPr>
        <w:t>Social Welfare payment trends Q</w:t>
      </w:r>
      <w:r>
        <w:rPr>
          <w:rFonts w:cs="Calibri"/>
          <w:b/>
          <w:lang w:val="en-US"/>
        </w:rPr>
        <w:t>2</w:t>
      </w:r>
      <w:r w:rsidRPr="00F81FD2">
        <w:rPr>
          <w:rFonts w:cs="Calibri"/>
          <w:b/>
          <w:lang w:val="en-US"/>
        </w:rPr>
        <w:t>, 2022</w:t>
      </w:r>
      <w:r>
        <w:rPr>
          <w:rFonts w:cs="Calibri"/>
          <w:lang w:val="en-US"/>
        </w:rPr>
        <w:t>:</w:t>
      </w:r>
    </w:p>
    <w:p w14:paraId="7A8FFDB5" w14:textId="14A1D7F9" w:rsidR="008826E9" w:rsidRPr="001A137A" w:rsidRDefault="008826E9" w:rsidP="00B86719">
      <w:pPr>
        <w:pStyle w:val="CommentText"/>
        <w:numPr>
          <w:ilvl w:val="0"/>
          <w:numId w:val="3"/>
        </w:numPr>
        <w:jc w:val="both"/>
        <w:rPr>
          <w:rFonts w:cs="Calibri"/>
          <w:color w:val="000000" w:themeColor="text1"/>
          <w:sz w:val="22"/>
          <w:szCs w:val="22"/>
        </w:rPr>
      </w:pP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The top four sub-categories were </w:t>
      </w:r>
      <w:r w:rsidRPr="001A137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Disability and Illness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; </w:t>
      </w:r>
      <w:r w:rsidRPr="001A137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Extra Social Welfare Benefits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; </w:t>
      </w:r>
      <w:r w:rsidRPr="001A137A">
        <w:rPr>
          <w:rFonts w:eastAsia="Times New Roman" w:cs="Calibri"/>
          <w:b/>
          <w:bCs/>
          <w:color w:val="000000" w:themeColor="text1"/>
          <w:sz w:val="22"/>
          <w:szCs w:val="22"/>
          <w:lang w:eastAsia="en-IE"/>
        </w:rPr>
        <w:t>Families and Children</w:t>
      </w:r>
      <w:r w:rsidRPr="000F2A48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and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</w:t>
      </w:r>
      <w:r w:rsidRPr="001A137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Carer’s</w:t>
      </w:r>
      <w:r w:rsidR="002523EE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 xml:space="preserve">, </w:t>
      </w:r>
      <w:r w:rsidR="002523EE" w:rsidRPr="002523EE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respectively</w:t>
      </w:r>
      <w:r w:rsidRPr="001A137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.</w:t>
      </w:r>
    </w:p>
    <w:p w14:paraId="01050AFC" w14:textId="0CAFB611" w:rsidR="008826E9" w:rsidRPr="001A137A" w:rsidRDefault="008826E9" w:rsidP="00B86719">
      <w:pPr>
        <w:pStyle w:val="CommentText"/>
        <w:numPr>
          <w:ilvl w:val="0"/>
          <w:numId w:val="3"/>
        </w:numPr>
        <w:jc w:val="both"/>
        <w:rPr>
          <w:rFonts w:cs="Calibri"/>
          <w:color w:val="000000" w:themeColor="text1"/>
          <w:sz w:val="22"/>
          <w:szCs w:val="22"/>
        </w:rPr>
      </w:pPr>
      <w:r w:rsidRPr="001A137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Carer’s Allowance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and </w:t>
      </w:r>
      <w:r w:rsidRPr="001A137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Disability Allowance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payments were the highest single payment areas</w:t>
      </w:r>
      <w:r w:rsidR="007F00CC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in the Social Welfare category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. </w:t>
      </w:r>
      <w:r w:rsidRPr="001A137A">
        <w:rPr>
          <w:rFonts w:eastAsia="Times New Roman" w:cs="Calibri"/>
          <w:b/>
          <w:color w:val="000000" w:themeColor="text1"/>
          <w:sz w:val="22"/>
          <w:szCs w:val="22"/>
          <w:lang w:eastAsia="en-IE"/>
        </w:rPr>
        <w:t>Carer’s Allowance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</w:t>
      </w:r>
      <w:r w:rsidR="004A0CD5"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increased 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>by</w:t>
      </w:r>
      <w:r w:rsidR="004A0CD5"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13.6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% compared to last year (5,747 in Q2 2021, compared with </w:t>
      </w:r>
      <w:r w:rsidR="004A0CD5"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>6,529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 in Q2 2022) </w:t>
      </w:r>
      <w:r w:rsidR="00EB6797"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 xml:space="preserve">– representing </w:t>
      </w:r>
      <w:r w:rsidRPr="001A137A">
        <w:rPr>
          <w:rFonts w:eastAsia="Times New Roman" w:cs="Calibri"/>
          <w:color w:val="000000" w:themeColor="text1"/>
          <w:sz w:val="22"/>
          <w:szCs w:val="22"/>
          <w:lang w:eastAsia="en-IE"/>
        </w:rPr>
        <w:t>64% of queries in the Carer’s sub-category</w:t>
      </w:r>
      <w:r w:rsidR="00575157">
        <w:rPr>
          <w:rFonts w:eastAsia="Times New Roman" w:cs="Calibri"/>
          <w:color w:val="000000" w:themeColor="text1"/>
          <w:sz w:val="22"/>
          <w:szCs w:val="22"/>
          <w:lang w:eastAsia="en-IE"/>
        </w:rPr>
        <w:t>.</w:t>
      </w:r>
    </w:p>
    <w:p w14:paraId="73A36106" w14:textId="21496C94" w:rsidR="008826E9" w:rsidRPr="001A137A" w:rsidRDefault="008826E9" w:rsidP="00B86719">
      <w:pPr>
        <w:pStyle w:val="ListParagraph"/>
        <w:numPr>
          <w:ilvl w:val="0"/>
          <w:numId w:val="3"/>
        </w:numPr>
        <w:spacing w:line="240" w:lineRule="auto"/>
        <w:jc w:val="both"/>
        <w:rPr>
          <w:rFonts w:eastAsia="Times New Roman" w:cs="Calibri"/>
          <w:color w:val="000000" w:themeColor="text1"/>
          <w:lang w:eastAsia="en-IE"/>
        </w:rPr>
      </w:pPr>
      <w:r w:rsidRPr="001A137A">
        <w:rPr>
          <w:rFonts w:eastAsia="Times New Roman" w:cs="Calibri"/>
          <w:b/>
          <w:color w:val="000000" w:themeColor="text1"/>
          <w:lang w:eastAsia="en-IE"/>
        </w:rPr>
        <w:t>Disability Allowance</w:t>
      </w:r>
      <w:r w:rsidRPr="001A137A">
        <w:rPr>
          <w:rFonts w:eastAsia="Times New Roman" w:cs="Calibri"/>
          <w:color w:val="000000" w:themeColor="text1"/>
          <w:lang w:eastAsia="en-IE"/>
        </w:rPr>
        <w:t xml:space="preserve"> queries </w:t>
      </w:r>
      <w:r w:rsidR="004A0CD5" w:rsidRPr="001A137A">
        <w:rPr>
          <w:rFonts w:eastAsia="Times New Roman" w:cs="Calibri"/>
          <w:color w:val="000000" w:themeColor="text1"/>
          <w:lang w:eastAsia="en-IE"/>
        </w:rPr>
        <w:t xml:space="preserve">also increased </w:t>
      </w:r>
      <w:r w:rsidRPr="001A137A">
        <w:rPr>
          <w:rFonts w:eastAsia="Times New Roman" w:cs="Calibri"/>
          <w:color w:val="000000" w:themeColor="text1"/>
          <w:lang w:eastAsia="en-IE"/>
        </w:rPr>
        <w:t xml:space="preserve">this quarter - by </w:t>
      </w:r>
      <w:r w:rsidR="004A0CD5" w:rsidRPr="001A137A">
        <w:rPr>
          <w:rFonts w:eastAsia="Times New Roman" w:cs="Calibri"/>
          <w:color w:val="000000" w:themeColor="text1"/>
          <w:lang w:eastAsia="en-IE"/>
        </w:rPr>
        <w:t>13</w:t>
      </w:r>
      <w:r w:rsidRPr="001A137A">
        <w:rPr>
          <w:rFonts w:eastAsia="Times New Roman" w:cs="Calibri"/>
          <w:color w:val="000000" w:themeColor="text1"/>
          <w:lang w:eastAsia="en-IE"/>
        </w:rPr>
        <w:t xml:space="preserve">% (from 5,338 to </w:t>
      </w:r>
      <w:r w:rsidR="004A0CD5" w:rsidRPr="001A137A">
        <w:rPr>
          <w:rFonts w:eastAsia="Times New Roman" w:cs="Calibri"/>
          <w:color w:val="000000" w:themeColor="text1"/>
          <w:lang w:eastAsia="en-IE"/>
        </w:rPr>
        <w:t>6,035</w:t>
      </w:r>
      <w:r w:rsidR="009C0662" w:rsidRPr="001A137A">
        <w:rPr>
          <w:rFonts w:eastAsia="Times New Roman" w:cs="Calibri"/>
          <w:color w:val="000000" w:themeColor="text1"/>
          <w:lang w:eastAsia="en-IE"/>
        </w:rPr>
        <w:t>) –</w:t>
      </w:r>
      <w:r w:rsidR="00EB6797" w:rsidRPr="001A137A">
        <w:rPr>
          <w:rFonts w:eastAsia="Times New Roman" w:cs="Calibri"/>
          <w:color w:val="000000" w:themeColor="text1"/>
          <w:lang w:eastAsia="en-IE"/>
        </w:rPr>
        <w:t xml:space="preserve"> representing 44.5% of queries in the Disability and Illness sub-category. </w:t>
      </w:r>
    </w:p>
    <w:p w14:paraId="3118DF27" w14:textId="77777777" w:rsidR="00A64368" w:rsidRPr="001A137A" w:rsidRDefault="00A64368" w:rsidP="00B86719">
      <w:pPr>
        <w:pStyle w:val="ListParagraph"/>
        <w:spacing w:line="240" w:lineRule="auto"/>
        <w:jc w:val="both"/>
        <w:rPr>
          <w:rFonts w:eastAsia="Times New Roman" w:cs="Calibri"/>
          <w:color w:val="000000" w:themeColor="text1"/>
          <w:lang w:eastAsia="en-IE"/>
        </w:rPr>
      </w:pPr>
    </w:p>
    <w:p w14:paraId="66C5DAC6" w14:textId="6079546D" w:rsidR="001D3346" w:rsidRPr="00EC5A09" w:rsidRDefault="008826E9" w:rsidP="00B86719">
      <w:pPr>
        <w:pStyle w:val="ListParagraph"/>
        <w:numPr>
          <w:ilvl w:val="0"/>
          <w:numId w:val="6"/>
        </w:numPr>
        <w:jc w:val="both"/>
        <w:rPr>
          <w:rFonts w:cs="Calibri"/>
          <w:color w:val="000000" w:themeColor="text1"/>
        </w:rPr>
      </w:pPr>
      <w:r w:rsidRPr="001A137A">
        <w:rPr>
          <w:rFonts w:cs="Calibri"/>
          <w:b/>
          <w:color w:val="000000" w:themeColor="text1"/>
        </w:rPr>
        <w:t xml:space="preserve">Extra Social Welfare Benefits </w:t>
      </w:r>
      <w:r w:rsidR="001D3346" w:rsidRPr="001A137A">
        <w:rPr>
          <w:rFonts w:cs="Calibri"/>
          <w:color w:val="000000" w:themeColor="text1"/>
        </w:rPr>
        <w:t>wer</w:t>
      </w:r>
      <w:r w:rsidRPr="001A137A">
        <w:rPr>
          <w:rFonts w:cs="Calibri"/>
          <w:color w:val="000000" w:themeColor="text1"/>
        </w:rPr>
        <w:t>e the 2</w:t>
      </w:r>
      <w:r w:rsidRPr="001A137A">
        <w:rPr>
          <w:rFonts w:cs="Calibri"/>
          <w:color w:val="000000" w:themeColor="text1"/>
          <w:vertAlign w:val="superscript"/>
        </w:rPr>
        <w:t>nd</w:t>
      </w:r>
      <w:r w:rsidRPr="001A137A">
        <w:rPr>
          <w:rFonts w:cs="Calibri"/>
          <w:color w:val="000000" w:themeColor="text1"/>
        </w:rPr>
        <w:t xml:space="preserve"> highest sub-category under Social Welfare queries</w:t>
      </w:r>
      <w:r w:rsidR="00694B1D" w:rsidRPr="001A137A">
        <w:rPr>
          <w:rFonts w:cs="Calibri"/>
          <w:color w:val="000000" w:themeColor="text1"/>
        </w:rPr>
        <w:t xml:space="preserve"> with 11,299 queries compared to 6,708 queries</w:t>
      </w:r>
      <w:r w:rsidR="00D30C8B">
        <w:rPr>
          <w:rFonts w:cs="Calibri"/>
          <w:color w:val="000000" w:themeColor="text1"/>
        </w:rPr>
        <w:t xml:space="preserve">, an increase of 68% compared to last year. </w:t>
      </w:r>
      <w:r w:rsidRPr="001A137A">
        <w:rPr>
          <w:rFonts w:cs="Calibri"/>
          <w:color w:val="000000" w:themeColor="text1"/>
        </w:rPr>
        <w:t xml:space="preserve">Compared to Q2 2021, the key supports of Household Benefits Package increased by </w:t>
      </w:r>
      <w:r w:rsidR="001C3ED6">
        <w:rPr>
          <w:rFonts w:cs="Calibri"/>
          <w:color w:val="000000" w:themeColor="text1"/>
        </w:rPr>
        <w:t>49</w:t>
      </w:r>
      <w:r w:rsidRPr="001A137A">
        <w:rPr>
          <w:rFonts w:cs="Calibri"/>
          <w:color w:val="000000" w:themeColor="text1"/>
        </w:rPr>
        <w:t xml:space="preserve">%, Fuel Allowance by </w:t>
      </w:r>
      <w:r w:rsidR="00F07836" w:rsidRPr="001A137A">
        <w:rPr>
          <w:rFonts w:cs="Calibri"/>
          <w:color w:val="000000" w:themeColor="text1"/>
        </w:rPr>
        <w:t>136</w:t>
      </w:r>
      <w:r w:rsidRPr="001A137A">
        <w:rPr>
          <w:rFonts w:cs="Calibri"/>
          <w:color w:val="000000" w:themeColor="text1"/>
        </w:rPr>
        <w:t xml:space="preserve">%, Free Travel by </w:t>
      </w:r>
      <w:r w:rsidR="00F54B00" w:rsidRPr="001A137A">
        <w:rPr>
          <w:rFonts w:cs="Calibri"/>
          <w:color w:val="000000" w:themeColor="text1"/>
        </w:rPr>
        <w:t>50.5</w:t>
      </w:r>
      <w:r w:rsidRPr="001A137A">
        <w:rPr>
          <w:rFonts w:cs="Calibri"/>
          <w:color w:val="000000" w:themeColor="text1"/>
        </w:rPr>
        <w:t xml:space="preserve">%, and the </w:t>
      </w:r>
      <w:r w:rsidRPr="001A137A">
        <w:rPr>
          <w:rFonts w:eastAsia="Times New Roman" w:cs="Calibri"/>
          <w:color w:val="000000" w:themeColor="text1"/>
          <w:lang w:eastAsia="en-IE"/>
        </w:rPr>
        <w:t xml:space="preserve">Living Alone Increase by </w:t>
      </w:r>
      <w:r w:rsidR="00F54B00" w:rsidRPr="00EC5A09">
        <w:rPr>
          <w:rFonts w:eastAsia="Times New Roman" w:cs="Calibri"/>
          <w:color w:val="000000" w:themeColor="text1"/>
          <w:lang w:eastAsia="en-IE"/>
        </w:rPr>
        <w:t>62</w:t>
      </w:r>
      <w:r w:rsidRPr="00EC5A09">
        <w:rPr>
          <w:rFonts w:eastAsia="Times New Roman" w:cs="Calibri"/>
          <w:color w:val="000000" w:themeColor="text1"/>
          <w:lang w:eastAsia="en-IE"/>
        </w:rPr>
        <w:t xml:space="preserve">%. </w:t>
      </w:r>
    </w:p>
    <w:p w14:paraId="29BD0A53" w14:textId="77777777" w:rsidR="001D3346" w:rsidRPr="001A137A" w:rsidRDefault="001D3346" w:rsidP="00B86719">
      <w:pPr>
        <w:pStyle w:val="ListParagraph"/>
        <w:jc w:val="both"/>
        <w:rPr>
          <w:rFonts w:cs="Calibri"/>
          <w:color w:val="000000" w:themeColor="text1"/>
        </w:rPr>
      </w:pPr>
    </w:p>
    <w:p w14:paraId="2364076A" w14:textId="083C05E2" w:rsidR="00F54B00" w:rsidRPr="001A137A" w:rsidRDefault="001D3346" w:rsidP="00B86719">
      <w:pPr>
        <w:pStyle w:val="ListParagraph"/>
        <w:numPr>
          <w:ilvl w:val="0"/>
          <w:numId w:val="6"/>
        </w:numPr>
        <w:jc w:val="both"/>
        <w:rPr>
          <w:rFonts w:cs="Calibri"/>
          <w:color w:val="000000" w:themeColor="text1"/>
        </w:rPr>
      </w:pPr>
      <w:r w:rsidRPr="001A137A">
        <w:rPr>
          <w:rFonts w:cs="Calibri"/>
          <w:b/>
          <w:color w:val="000000" w:themeColor="text1"/>
        </w:rPr>
        <w:t xml:space="preserve">Supplementary Welfare Schemes </w:t>
      </w:r>
      <w:r w:rsidRPr="001A137A">
        <w:rPr>
          <w:rFonts w:cs="Calibri"/>
          <w:color w:val="000000" w:themeColor="text1"/>
        </w:rPr>
        <w:t>had a 44% increase in queries compared with the same period in 2021</w:t>
      </w:r>
      <w:r w:rsidR="00BF5CBE">
        <w:rPr>
          <w:rFonts w:cs="Calibri"/>
          <w:color w:val="000000" w:themeColor="text1"/>
        </w:rPr>
        <w:t xml:space="preserve"> with over 6,000 related queries</w:t>
      </w:r>
      <w:r w:rsidR="00F54B00" w:rsidRPr="001A137A">
        <w:rPr>
          <w:rFonts w:cs="Calibri"/>
          <w:color w:val="000000" w:themeColor="text1"/>
        </w:rPr>
        <w:t xml:space="preserve">  </w:t>
      </w:r>
    </w:p>
    <w:p w14:paraId="4BB100E1" w14:textId="77777777" w:rsidR="001D3346" w:rsidRPr="001A137A" w:rsidRDefault="001D3346" w:rsidP="00B86719">
      <w:pPr>
        <w:pStyle w:val="ListParagraph"/>
        <w:jc w:val="both"/>
        <w:rPr>
          <w:rFonts w:cs="Calibri"/>
          <w:color w:val="000000" w:themeColor="text1"/>
        </w:rPr>
      </w:pPr>
    </w:p>
    <w:p w14:paraId="28E2E68F" w14:textId="67B4AEC9" w:rsidR="00F07836" w:rsidRPr="0047173B" w:rsidRDefault="00954C6C" w:rsidP="0047173B">
      <w:pPr>
        <w:pStyle w:val="ListParagraph"/>
        <w:numPr>
          <w:ilvl w:val="0"/>
          <w:numId w:val="6"/>
        </w:numPr>
        <w:jc w:val="both"/>
        <w:rPr>
          <w:rFonts w:cs="Calibri"/>
          <w:color w:val="000000" w:themeColor="text1"/>
        </w:rPr>
      </w:pPr>
      <w:r w:rsidRPr="001A137A">
        <w:rPr>
          <w:rFonts w:cs="Calibri"/>
          <w:b/>
          <w:bCs/>
          <w:color w:val="000000" w:themeColor="text1"/>
        </w:rPr>
        <w:t>SW/</w:t>
      </w:r>
      <w:r w:rsidR="001D3346" w:rsidRPr="001A137A">
        <w:rPr>
          <w:rFonts w:cs="Calibri"/>
          <w:b/>
          <w:bCs/>
          <w:color w:val="000000" w:themeColor="text1"/>
        </w:rPr>
        <w:t>Unemployed People</w:t>
      </w:r>
      <w:r w:rsidR="001D3346" w:rsidRPr="001A137A">
        <w:rPr>
          <w:rFonts w:cs="Calibri"/>
          <w:color w:val="000000" w:themeColor="text1"/>
        </w:rPr>
        <w:t xml:space="preserve"> had a 16% decrease in queries when compared with Q2 2021</w:t>
      </w:r>
      <w:r w:rsidR="00611B33">
        <w:rPr>
          <w:rFonts w:cs="Calibri"/>
          <w:color w:val="000000" w:themeColor="text1"/>
        </w:rPr>
        <w:t>, which may be connected to the fall in the unemployment rate compared to last year</w:t>
      </w:r>
      <w:r w:rsidR="001D3346" w:rsidRPr="001A137A">
        <w:rPr>
          <w:rFonts w:cs="Calibri"/>
          <w:color w:val="000000" w:themeColor="text1"/>
        </w:rPr>
        <w:t xml:space="preserve">.  </w:t>
      </w:r>
      <w:r w:rsidR="00903E46">
        <w:rPr>
          <w:rFonts w:cs="Calibri"/>
          <w:color w:val="000000" w:themeColor="text1"/>
        </w:rPr>
        <w:t>The</w:t>
      </w:r>
      <w:r w:rsidRPr="001A137A">
        <w:rPr>
          <w:rFonts w:cs="Calibri"/>
          <w:color w:val="000000" w:themeColor="text1"/>
        </w:rPr>
        <w:t xml:space="preserve"> top</w:t>
      </w:r>
      <w:r w:rsidR="001E0A9B">
        <w:rPr>
          <w:rFonts w:cs="Calibri"/>
          <w:color w:val="000000" w:themeColor="text1"/>
        </w:rPr>
        <w:t>-</w:t>
      </w:r>
      <w:r w:rsidRPr="001A137A">
        <w:rPr>
          <w:rFonts w:cs="Calibri"/>
          <w:color w:val="000000" w:themeColor="text1"/>
        </w:rPr>
        <w:t xml:space="preserve">level Employment category </w:t>
      </w:r>
      <w:r w:rsidR="00903E46">
        <w:rPr>
          <w:rFonts w:cs="Calibri"/>
          <w:color w:val="000000" w:themeColor="text1"/>
        </w:rPr>
        <w:t>also</w:t>
      </w:r>
      <w:r w:rsidR="00903E46" w:rsidRPr="001A137A">
        <w:rPr>
          <w:rFonts w:cs="Calibri"/>
          <w:color w:val="000000" w:themeColor="text1"/>
        </w:rPr>
        <w:t xml:space="preserve"> </w:t>
      </w:r>
      <w:r w:rsidRPr="001A137A">
        <w:rPr>
          <w:rFonts w:cs="Calibri"/>
          <w:color w:val="000000" w:themeColor="text1"/>
        </w:rPr>
        <w:t>had a decrease in queries</w:t>
      </w:r>
      <w:r w:rsidR="00903E46">
        <w:rPr>
          <w:rFonts w:cs="Calibri"/>
          <w:color w:val="000000" w:themeColor="text1"/>
        </w:rPr>
        <w:t xml:space="preserve">, of </w:t>
      </w:r>
      <w:r w:rsidR="00903E46" w:rsidRPr="00903E46">
        <w:rPr>
          <w:rFonts w:cs="Calibri"/>
          <w:color w:val="000000" w:themeColor="text1"/>
        </w:rPr>
        <w:t xml:space="preserve">25% </w:t>
      </w:r>
      <w:r w:rsidRPr="001A137A">
        <w:rPr>
          <w:rFonts w:cs="Calibri"/>
          <w:color w:val="000000" w:themeColor="text1"/>
        </w:rPr>
        <w:t>compared with same quarter last year.</w:t>
      </w:r>
      <w:r w:rsidR="00EB2E88">
        <w:rPr>
          <w:rFonts w:cs="Calibri"/>
          <w:color w:val="000000" w:themeColor="text1"/>
        </w:rPr>
        <w:t xml:space="preserve"> </w:t>
      </w:r>
    </w:p>
    <w:p w14:paraId="7591573F" w14:textId="413B30B5" w:rsidR="00361EF3" w:rsidRPr="00DF1704" w:rsidRDefault="00B60276" w:rsidP="005854F7">
      <w:pPr>
        <w:pStyle w:val="Heading1"/>
        <w:rPr>
          <w:b/>
          <w:sz w:val="24"/>
          <w:szCs w:val="24"/>
          <w:lang w:val="en-US"/>
        </w:rPr>
      </w:pPr>
      <w:r w:rsidRPr="00DF1704">
        <w:rPr>
          <w:rFonts w:cs="Calibri"/>
          <w:b/>
          <w:sz w:val="24"/>
          <w:szCs w:val="24"/>
          <w:lang w:val="en-US"/>
        </w:rPr>
        <w:t xml:space="preserve">Table </w:t>
      </w:r>
      <w:r w:rsidR="003A71C0">
        <w:rPr>
          <w:rFonts w:cs="Calibri"/>
          <w:b/>
          <w:sz w:val="24"/>
          <w:szCs w:val="24"/>
          <w:lang w:val="en-US"/>
        </w:rPr>
        <w:t xml:space="preserve">6 </w:t>
      </w:r>
      <w:r w:rsidRPr="00DF1704">
        <w:rPr>
          <w:b/>
          <w:sz w:val="24"/>
          <w:szCs w:val="24"/>
          <w:lang w:val="en-US"/>
        </w:rPr>
        <w:t xml:space="preserve">– </w:t>
      </w:r>
      <w:r w:rsidRPr="00DF1704">
        <w:rPr>
          <w:rFonts w:cs="Calibri"/>
          <w:b/>
          <w:sz w:val="24"/>
          <w:szCs w:val="24"/>
          <w:lang w:val="en-US"/>
        </w:rPr>
        <w:t>Social Welfare Query Breakdown</w:t>
      </w:r>
      <w:r w:rsidR="00593B45" w:rsidRPr="00DF1704">
        <w:rPr>
          <w:rFonts w:cs="Calibri"/>
          <w:b/>
          <w:sz w:val="24"/>
          <w:szCs w:val="24"/>
          <w:lang w:val="en-US"/>
        </w:rPr>
        <w:t xml:space="preserve">, </w:t>
      </w:r>
      <w:r w:rsidR="003A71C0">
        <w:rPr>
          <w:rFonts w:cs="Calibri"/>
          <w:b/>
          <w:sz w:val="24"/>
          <w:szCs w:val="24"/>
          <w:lang w:val="en-US"/>
        </w:rPr>
        <w:t xml:space="preserve">Q2 </w:t>
      </w:r>
      <w:r w:rsidR="00361EF3" w:rsidRPr="00DF1704">
        <w:rPr>
          <w:rFonts w:cs="Calibri"/>
          <w:b/>
          <w:sz w:val="24"/>
          <w:szCs w:val="24"/>
          <w:lang w:val="en-US"/>
        </w:rPr>
        <w:t>2022</w:t>
      </w:r>
    </w:p>
    <w:tbl>
      <w:tblPr>
        <w:tblStyle w:val="GridTable5Dark-Accent6"/>
        <w:tblW w:w="13297" w:type="dxa"/>
        <w:tblLook w:val="04A0" w:firstRow="1" w:lastRow="0" w:firstColumn="1" w:lastColumn="0" w:noHBand="0" w:noVBand="1"/>
      </w:tblPr>
      <w:tblGrid>
        <w:gridCol w:w="1870"/>
        <w:gridCol w:w="4074"/>
        <w:gridCol w:w="4604"/>
        <w:gridCol w:w="1213"/>
        <w:gridCol w:w="1536"/>
      </w:tblGrid>
      <w:tr w:rsidR="00086782" w:rsidRPr="00CF2862" w14:paraId="21FBB9F2" w14:textId="77777777" w:rsidTr="00417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hideMark/>
          </w:tcPr>
          <w:p w14:paraId="208322C6" w14:textId="77777777" w:rsidR="00CF2862" w:rsidRPr="00CF2862" w:rsidRDefault="00CF2862" w:rsidP="00CF2862">
            <w:pPr>
              <w:spacing w:line="240" w:lineRule="auto"/>
              <w:rPr>
                <w:rFonts w:eastAsia="Times New Roman" w:cs="Calibri"/>
                <w:color w:val="00000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lang w:eastAsia="en-IE"/>
              </w:rPr>
              <w:t>Category</w:t>
            </w:r>
          </w:p>
        </w:tc>
        <w:tc>
          <w:tcPr>
            <w:tcW w:w="4074" w:type="dxa"/>
            <w:noWrap/>
            <w:hideMark/>
          </w:tcPr>
          <w:p w14:paraId="61D9C338" w14:textId="77777777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lang w:eastAsia="en-IE"/>
              </w:rPr>
              <w:t>Sub-category</w:t>
            </w:r>
          </w:p>
        </w:tc>
        <w:tc>
          <w:tcPr>
            <w:tcW w:w="4604" w:type="dxa"/>
            <w:hideMark/>
          </w:tcPr>
          <w:p w14:paraId="7A232B82" w14:textId="3CDA35A8" w:rsidR="00CF2862" w:rsidRPr="00CF2862" w:rsidRDefault="00CF2862" w:rsidP="00CF2862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8"/>
                <w:szCs w:val="28"/>
                <w:lang w:eastAsia="en-IE"/>
              </w:rPr>
              <w:t>Q</w:t>
            </w:r>
            <w:r w:rsidR="00737795" w:rsidRPr="003A71C0">
              <w:rPr>
                <w:rFonts w:eastAsia="Times New Roman" w:cs="Calibri"/>
                <w:color w:val="auto"/>
                <w:sz w:val="28"/>
                <w:szCs w:val="28"/>
                <w:lang w:eastAsia="en-IE"/>
              </w:rPr>
              <w:t>2</w:t>
            </w:r>
            <w:r w:rsidRPr="00CF2862">
              <w:rPr>
                <w:rFonts w:eastAsia="Times New Roman" w:cs="Calibri"/>
                <w:color w:val="000000"/>
                <w:sz w:val="28"/>
                <w:szCs w:val="28"/>
                <w:lang w:eastAsia="en-IE"/>
              </w:rPr>
              <w:t>, 2022 Sub-category Breakdown</w:t>
            </w:r>
          </w:p>
        </w:tc>
        <w:tc>
          <w:tcPr>
            <w:tcW w:w="1213" w:type="dxa"/>
            <w:hideMark/>
          </w:tcPr>
          <w:p w14:paraId="32491735" w14:textId="77777777" w:rsidR="00CF2862" w:rsidRPr="00CF2862" w:rsidRDefault="00CF2862" w:rsidP="0015758C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lang w:eastAsia="en-IE"/>
              </w:rPr>
              <w:t># of Queries</w:t>
            </w:r>
          </w:p>
        </w:tc>
        <w:tc>
          <w:tcPr>
            <w:tcW w:w="1536" w:type="dxa"/>
            <w:hideMark/>
          </w:tcPr>
          <w:p w14:paraId="390C2532" w14:textId="77777777" w:rsidR="00CF2862" w:rsidRPr="00CF2862" w:rsidRDefault="00CF2862" w:rsidP="0015758C">
            <w:pPr>
              <w:spacing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lang w:eastAsia="en-IE"/>
              </w:rPr>
              <w:t>% of Social Welfare Sub-category</w:t>
            </w:r>
          </w:p>
        </w:tc>
      </w:tr>
      <w:tr w:rsidR="00CF2862" w:rsidRPr="00CF2862" w14:paraId="4F60F7A3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1193707" w14:textId="77777777" w:rsidR="00CF2862" w:rsidRPr="00CF2862" w:rsidRDefault="00CF2862" w:rsidP="00CF2862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Disability and Illness</w:t>
            </w:r>
          </w:p>
        </w:tc>
      </w:tr>
      <w:tr w:rsidR="00BF25B8" w:rsidRPr="00CF2862" w14:paraId="1E6598B1" w14:textId="77777777" w:rsidTr="00BA258B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608F7DD" w14:textId="77777777" w:rsidR="00BF25B8" w:rsidRPr="00CF2862" w:rsidRDefault="00BF25B8" w:rsidP="00BF25B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3119B659" w14:textId="77777777" w:rsidR="00BF25B8" w:rsidRPr="0082075B" w:rsidRDefault="00BF25B8" w:rsidP="00BF25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42753EBC" w14:textId="495712A4" w:rsidR="00BF25B8" w:rsidRPr="0082075B" w:rsidRDefault="00BF25B8" w:rsidP="00BF25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Disability Allowance</w:t>
            </w:r>
          </w:p>
        </w:tc>
        <w:tc>
          <w:tcPr>
            <w:tcW w:w="1213" w:type="dxa"/>
            <w:noWrap/>
            <w:hideMark/>
          </w:tcPr>
          <w:p w14:paraId="26F49A4D" w14:textId="528D49E7" w:rsidR="00BF25B8" w:rsidRPr="0082075B" w:rsidRDefault="00BF25B8" w:rsidP="00BF25B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6,035 </w:t>
            </w:r>
          </w:p>
        </w:tc>
        <w:tc>
          <w:tcPr>
            <w:tcW w:w="1536" w:type="dxa"/>
            <w:noWrap/>
          </w:tcPr>
          <w:p w14:paraId="10D033F3" w14:textId="1FBCDAF1" w:rsidR="00BF25B8" w:rsidRPr="0082075B" w:rsidRDefault="00BF25B8" w:rsidP="00BF25B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44.5%</w:t>
            </w:r>
          </w:p>
        </w:tc>
      </w:tr>
      <w:tr w:rsidR="00BF25B8" w:rsidRPr="00CF2862" w14:paraId="35D5163A" w14:textId="77777777" w:rsidTr="00BA2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A9F869B" w14:textId="22221298" w:rsidR="00BF25B8" w:rsidRPr="00CF2862" w:rsidRDefault="00BF25B8" w:rsidP="00BF25B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4FBCD04" w14:textId="46F71A10" w:rsidR="00BF25B8" w:rsidRPr="0082075B" w:rsidRDefault="00BF25B8" w:rsidP="00BF25B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1AF4CABA" w14:textId="3B2B1CA5" w:rsidR="00BF25B8" w:rsidRPr="0082075B" w:rsidRDefault="00BF25B8" w:rsidP="00BF25B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Illness Benefit</w:t>
            </w:r>
          </w:p>
        </w:tc>
        <w:tc>
          <w:tcPr>
            <w:tcW w:w="1213" w:type="dxa"/>
            <w:noWrap/>
            <w:hideMark/>
          </w:tcPr>
          <w:p w14:paraId="3C1204DB" w14:textId="35BB4943" w:rsidR="00BF25B8" w:rsidRPr="0082075B" w:rsidRDefault="00BF25B8" w:rsidP="00BF25B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3,956 </w:t>
            </w:r>
          </w:p>
        </w:tc>
        <w:tc>
          <w:tcPr>
            <w:tcW w:w="1536" w:type="dxa"/>
            <w:noWrap/>
          </w:tcPr>
          <w:p w14:paraId="1A5123BF" w14:textId="454D4E73" w:rsidR="00BF25B8" w:rsidRPr="0082075B" w:rsidRDefault="00BF25B8" w:rsidP="00BF25B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29.2%</w:t>
            </w:r>
          </w:p>
        </w:tc>
      </w:tr>
      <w:tr w:rsidR="00BF25B8" w:rsidRPr="00CF2862" w14:paraId="15D56864" w14:textId="77777777" w:rsidTr="00BA258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AC27F9E" w14:textId="10300F43" w:rsidR="00BF25B8" w:rsidRPr="00CF2862" w:rsidRDefault="00BF25B8" w:rsidP="00BF25B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2A6B45B" w14:textId="10AFB12B" w:rsidR="00BF25B8" w:rsidRPr="0082075B" w:rsidRDefault="00BF25B8" w:rsidP="00BF25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7061C65F" w14:textId="1BE84D85" w:rsidR="00BF25B8" w:rsidRPr="0082075B" w:rsidRDefault="00BF25B8" w:rsidP="00BF25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Invalidity Pension</w:t>
            </w:r>
          </w:p>
        </w:tc>
        <w:tc>
          <w:tcPr>
            <w:tcW w:w="1213" w:type="dxa"/>
            <w:noWrap/>
            <w:hideMark/>
          </w:tcPr>
          <w:p w14:paraId="72041701" w14:textId="2C87DFA4" w:rsidR="00BF25B8" w:rsidRPr="0082075B" w:rsidRDefault="00BF25B8" w:rsidP="00BF25B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2,606 </w:t>
            </w:r>
          </w:p>
        </w:tc>
        <w:tc>
          <w:tcPr>
            <w:tcW w:w="1536" w:type="dxa"/>
            <w:noWrap/>
          </w:tcPr>
          <w:p w14:paraId="21F3822B" w14:textId="2C88124E" w:rsidR="00BF25B8" w:rsidRPr="0082075B" w:rsidRDefault="00BF25B8" w:rsidP="00BF25B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19.2%</w:t>
            </w:r>
          </w:p>
        </w:tc>
      </w:tr>
      <w:tr w:rsidR="00BF25B8" w:rsidRPr="00CF2862" w14:paraId="1CF7B4D8" w14:textId="77777777" w:rsidTr="00BA2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71283B8" w14:textId="1EC6401A" w:rsidR="00BF25B8" w:rsidRPr="00CF2862" w:rsidRDefault="00BF25B8" w:rsidP="00BF25B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C53F6F2" w14:textId="3F2C7638" w:rsidR="00BF25B8" w:rsidRPr="0082075B" w:rsidRDefault="00BF25B8" w:rsidP="00BF25B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1C35783C" w14:textId="6E5DF943" w:rsidR="00BF25B8" w:rsidRPr="0082075B" w:rsidRDefault="00BF25B8" w:rsidP="00BF25B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Partial Capacity Benefit</w:t>
            </w:r>
          </w:p>
        </w:tc>
        <w:tc>
          <w:tcPr>
            <w:tcW w:w="1213" w:type="dxa"/>
            <w:noWrap/>
            <w:hideMark/>
          </w:tcPr>
          <w:p w14:paraId="4A5252DD" w14:textId="2D324DE6" w:rsidR="00BF25B8" w:rsidRPr="0082075B" w:rsidRDefault="00BF25B8" w:rsidP="00BF25B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487 </w:t>
            </w:r>
          </w:p>
        </w:tc>
        <w:tc>
          <w:tcPr>
            <w:tcW w:w="1536" w:type="dxa"/>
            <w:noWrap/>
          </w:tcPr>
          <w:p w14:paraId="5341C38C" w14:textId="13E073E9" w:rsidR="00BF25B8" w:rsidRPr="0082075B" w:rsidRDefault="00BF25B8" w:rsidP="00BF25B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3.6%</w:t>
            </w:r>
          </w:p>
        </w:tc>
      </w:tr>
      <w:tr w:rsidR="00BF25B8" w:rsidRPr="00CF2862" w14:paraId="3B66CF92" w14:textId="77777777" w:rsidTr="00BA258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5E173EB" w14:textId="3695F937" w:rsidR="00BF25B8" w:rsidRPr="00CF2862" w:rsidRDefault="00BF25B8" w:rsidP="00BF25B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528FA15" w14:textId="27C013A5" w:rsidR="00BF25B8" w:rsidRPr="0082075B" w:rsidRDefault="00BF25B8" w:rsidP="00BF25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600EA6D5" w14:textId="29A86B4C" w:rsidR="00BF25B8" w:rsidRPr="0082075B" w:rsidRDefault="00BF25B8" w:rsidP="00BF25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Injury Benefit</w:t>
            </w:r>
          </w:p>
        </w:tc>
        <w:tc>
          <w:tcPr>
            <w:tcW w:w="1213" w:type="dxa"/>
            <w:noWrap/>
            <w:hideMark/>
          </w:tcPr>
          <w:p w14:paraId="2D2323DA" w14:textId="6BF347EE" w:rsidR="00BF25B8" w:rsidRPr="0082075B" w:rsidRDefault="00BF25B8" w:rsidP="00BF25B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174 </w:t>
            </w:r>
          </w:p>
        </w:tc>
        <w:tc>
          <w:tcPr>
            <w:tcW w:w="1536" w:type="dxa"/>
            <w:noWrap/>
          </w:tcPr>
          <w:p w14:paraId="3823404E" w14:textId="0B9A8B37" w:rsidR="00BF25B8" w:rsidRPr="0082075B" w:rsidRDefault="00BF25B8" w:rsidP="00BF25B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1.3%</w:t>
            </w:r>
          </w:p>
        </w:tc>
      </w:tr>
      <w:tr w:rsidR="00BF25B8" w:rsidRPr="00CF2862" w14:paraId="03A4B20B" w14:textId="77777777" w:rsidTr="00BA25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235E8B5" w14:textId="32868FAB" w:rsidR="00BF25B8" w:rsidRPr="00CF2862" w:rsidRDefault="00BF25B8" w:rsidP="00BF25B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92D4B56" w14:textId="0EBE577E" w:rsidR="00BF25B8" w:rsidRPr="0082075B" w:rsidRDefault="00BF25B8" w:rsidP="00BF25B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79AFE526" w14:textId="7805C3B5" w:rsidR="00BF25B8" w:rsidRPr="0082075B" w:rsidRDefault="00BF25B8" w:rsidP="00BF25B8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Occupational Injuries Benefit Scheme</w:t>
            </w:r>
          </w:p>
        </w:tc>
        <w:tc>
          <w:tcPr>
            <w:tcW w:w="1213" w:type="dxa"/>
            <w:noWrap/>
            <w:hideMark/>
          </w:tcPr>
          <w:p w14:paraId="6BF6EADF" w14:textId="65A88019" w:rsidR="00BF25B8" w:rsidRPr="0082075B" w:rsidRDefault="00BF25B8" w:rsidP="00BF25B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147 </w:t>
            </w:r>
          </w:p>
        </w:tc>
        <w:tc>
          <w:tcPr>
            <w:tcW w:w="1536" w:type="dxa"/>
            <w:noWrap/>
          </w:tcPr>
          <w:p w14:paraId="7A9D67D1" w14:textId="1FDE7889" w:rsidR="00BF25B8" w:rsidRPr="0082075B" w:rsidRDefault="00BF25B8" w:rsidP="00BF25B8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1.1%</w:t>
            </w:r>
          </w:p>
        </w:tc>
      </w:tr>
      <w:tr w:rsidR="00BF25B8" w:rsidRPr="00CF2862" w14:paraId="0F207C85" w14:textId="77777777" w:rsidTr="00BA258B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04EFFE0" w14:textId="6F42610B" w:rsidR="00BF25B8" w:rsidRPr="00CF2862" w:rsidRDefault="00BF25B8" w:rsidP="00BF25B8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1BB10D6" w14:textId="372F393E" w:rsidR="00BF25B8" w:rsidRPr="0082075B" w:rsidRDefault="00BF25B8" w:rsidP="00BF25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4604" w:type="dxa"/>
            <w:noWrap/>
            <w:hideMark/>
          </w:tcPr>
          <w:p w14:paraId="1081C121" w14:textId="34D51F87" w:rsidR="00BF25B8" w:rsidRPr="0082075B" w:rsidRDefault="00BF25B8" w:rsidP="00BF25B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Other Payment (Blind Pension/Other)</w:t>
            </w:r>
          </w:p>
        </w:tc>
        <w:tc>
          <w:tcPr>
            <w:tcW w:w="1213" w:type="dxa"/>
            <w:noWrap/>
            <w:hideMark/>
          </w:tcPr>
          <w:p w14:paraId="5CDACB3B" w14:textId="53D365BB" w:rsidR="00BF25B8" w:rsidRPr="0082075B" w:rsidRDefault="00BF25B8" w:rsidP="00BF25B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143 </w:t>
            </w:r>
          </w:p>
        </w:tc>
        <w:tc>
          <w:tcPr>
            <w:tcW w:w="1536" w:type="dxa"/>
            <w:noWrap/>
          </w:tcPr>
          <w:p w14:paraId="50B371C5" w14:textId="46839ACB" w:rsidR="00BF25B8" w:rsidRPr="0082075B" w:rsidRDefault="00BF25B8" w:rsidP="00BF25B8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1.1%</w:t>
            </w:r>
          </w:p>
        </w:tc>
      </w:tr>
      <w:tr w:rsidR="00E0206E" w:rsidRPr="00CF2862" w14:paraId="0E8D3F5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C55A7A5" w14:textId="77777777" w:rsidR="00E0206E" w:rsidRPr="00CF2862" w:rsidRDefault="00E0206E" w:rsidP="00E0206E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2D0D6106" w14:textId="77777777" w:rsidR="00E0206E" w:rsidRPr="0082075B" w:rsidRDefault="00E0206E" w:rsidP="00E020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54FF539" w14:textId="77777777" w:rsidR="00E0206E" w:rsidRPr="0082075B" w:rsidRDefault="00E0206E" w:rsidP="00E0206E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177F87F1" w14:textId="7322BD4C" w:rsidR="00E0206E" w:rsidRPr="0082075B" w:rsidRDefault="00BD1444" w:rsidP="00E0206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13,548</w:t>
            </w:r>
          </w:p>
        </w:tc>
        <w:tc>
          <w:tcPr>
            <w:tcW w:w="1536" w:type="dxa"/>
            <w:noWrap/>
            <w:hideMark/>
          </w:tcPr>
          <w:p w14:paraId="128EE253" w14:textId="7AF76DC1" w:rsidR="00E0206E" w:rsidRPr="0082075B" w:rsidRDefault="007751F0" w:rsidP="00E0206E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CF2862" w:rsidRPr="00CF2862" w14:paraId="11AC50C6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BC4382F" w14:textId="77777777" w:rsidR="00CF2862" w:rsidRPr="00CF2862" w:rsidRDefault="00CF2862" w:rsidP="00CF2862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Extra Social Welfare Benefits</w:t>
            </w:r>
          </w:p>
        </w:tc>
      </w:tr>
      <w:tr w:rsidR="00BD1444" w:rsidRPr="00CF2862" w14:paraId="5D300407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AA36C69" w14:textId="77777777" w:rsidR="00BD1444" w:rsidRPr="00CF2862" w:rsidRDefault="00BD1444" w:rsidP="00BD1444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0A82BFA1" w14:textId="77777777" w:rsidR="00BD1444" w:rsidRPr="0082075B" w:rsidRDefault="00BD1444" w:rsidP="00BD144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hideMark/>
          </w:tcPr>
          <w:p w14:paraId="54FE41E7" w14:textId="3E514DD3" w:rsidR="00BD1444" w:rsidRPr="0082075B" w:rsidRDefault="00BD1444" w:rsidP="00BD144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Household Benefits Package</w:t>
            </w:r>
          </w:p>
        </w:tc>
        <w:tc>
          <w:tcPr>
            <w:tcW w:w="1213" w:type="dxa"/>
            <w:noWrap/>
            <w:hideMark/>
          </w:tcPr>
          <w:p w14:paraId="39332085" w14:textId="7CA8AAB7" w:rsidR="00BD1444" w:rsidRPr="0082075B" w:rsidRDefault="00BD1444" w:rsidP="00BD14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3,899 </w:t>
            </w:r>
          </w:p>
        </w:tc>
        <w:tc>
          <w:tcPr>
            <w:tcW w:w="1536" w:type="dxa"/>
            <w:noWrap/>
          </w:tcPr>
          <w:p w14:paraId="797373D7" w14:textId="34778534" w:rsidR="00BD1444" w:rsidRPr="0082075B" w:rsidRDefault="00BD1444" w:rsidP="00BD14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34.5%</w:t>
            </w:r>
          </w:p>
        </w:tc>
      </w:tr>
      <w:tr w:rsidR="00BD1444" w:rsidRPr="00CF2862" w14:paraId="37E5F681" w14:textId="77777777" w:rsidTr="00417D86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6176360" w14:textId="04ACE3B9" w:rsidR="00BD1444" w:rsidRPr="00CF2862" w:rsidRDefault="00BD1444" w:rsidP="00BD1444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A4C23C2" w14:textId="428CA6B6" w:rsidR="00BD1444" w:rsidRPr="0082075B" w:rsidRDefault="00BD1444" w:rsidP="00BD14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hideMark/>
          </w:tcPr>
          <w:p w14:paraId="760480B2" w14:textId="288DC0B3" w:rsidR="00BD1444" w:rsidRPr="0082075B" w:rsidRDefault="00BD1444" w:rsidP="00BD14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Fuel Allowance</w:t>
            </w:r>
          </w:p>
        </w:tc>
        <w:tc>
          <w:tcPr>
            <w:tcW w:w="1213" w:type="dxa"/>
            <w:noWrap/>
            <w:hideMark/>
          </w:tcPr>
          <w:p w14:paraId="25CA27D9" w14:textId="16150166" w:rsidR="00BD1444" w:rsidRPr="0082075B" w:rsidRDefault="00BD1444" w:rsidP="00BD14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3,851 </w:t>
            </w:r>
          </w:p>
        </w:tc>
        <w:tc>
          <w:tcPr>
            <w:tcW w:w="1536" w:type="dxa"/>
            <w:noWrap/>
          </w:tcPr>
          <w:p w14:paraId="57677AFC" w14:textId="3372C221" w:rsidR="00BD1444" w:rsidRPr="0082075B" w:rsidRDefault="00BD1444" w:rsidP="00BD14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34.1%</w:t>
            </w:r>
          </w:p>
        </w:tc>
      </w:tr>
      <w:tr w:rsidR="00BD1444" w:rsidRPr="00CF2862" w14:paraId="5130917A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C2E8E5B" w14:textId="77A8E16F" w:rsidR="00BD1444" w:rsidRPr="00CF2862" w:rsidRDefault="00BD1444" w:rsidP="00BD1444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117E437" w14:textId="28E47706" w:rsidR="00BD1444" w:rsidRPr="0082075B" w:rsidRDefault="00BD1444" w:rsidP="00BD144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hideMark/>
          </w:tcPr>
          <w:p w14:paraId="3C9B03CC" w14:textId="451802CE" w:rsidR="00BD1444" w:rsidRPr="0082075B" w:rsidRDefault="00BD1444" w:rsidP="00BD144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 xml:space="preserve">Free Travel (Travel Card, Companion Card, </w:t>
            </w:r>
            <w:r w:rsidR="009C0662" w:rsidRPr="0082075B">
              <w:rPr>
                <w:b/>
                <w:bCs/>
                <w:sz w:val="20"/>
                <w:szCs w:val="20"/>
              </w:rPr>
              <w:t>etc.</w:t>
            </w:r>
            <w:r w:rsidRPr="0082075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13" w:type="dxa"/>
            <w:noWrap/>
            <w:hideMark/>
          </w:tcPr>
          <w:p w14:paraId="21ED7FA7" w14:textId="7065BDAE" w:rsidR="00BD1444" w:rsidRPr="0082075B" w:rsidRDefault="00BD1444" w:rsidP="00BD14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1,901 </w:t>
            </w:r>
          </w:p>
        </w:tc>
        <w:tc>
          <w:tcPr>
            <w:tcW w:w="1536" w:type="dxa"/>
            <w:noWrap/>
          </w:tcPr>
          <w:p w14:paraId="2F46FBA4" w14:textId="224EF9EB" w:rsidR="00BD1444" w:rsidRPr="0082075B" w:rsidRDefault="00BD1444" w:rsidP="00BD14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16.8%</w:t>
            </w:r>
          </w:p>
        </w:tc>
      </w:tr>
      <w:tr w:rsidR="00BD1444" w:rsidRPr="00CF2862" w14:paraId="6E6D8816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F49D96D" w14:textId="24DD4621" w:rsidR="00BD1444" w:rsidRPr="00CF2862" w:rsidRDefault="00BD1444" w:rsidP="00BD1444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F26F7D9" w14:textId="5FB6F207" w:rsidR="00BD1444" w:rsidRPr="0082075B" w:rsidRDefault="00BD1444" w:rsidP="00BD14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hideMark/>
          </w:tcPr>
          <w:p w14:paraId="74FF2415" w14:textId="1F416152" w:rsidR="00BD1444" w:rsidRPr="0082075B" w:rsidRDefault="00BD1444" w:rsidP="00BD14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Living Alone Increase</w:t>
            </w:r>
          </w:p>
        </w:tc>
        <w:tc>
          <w:tcPr>
            <w:tcW w:w="1213" w:type="dxa"/>
            <w:noWrap/>
            <w:hideMark/>
          </w:tcPr>
          <w:p w14:paraId="7B183B2D" w14:textId="5BD838C1" w:rsidR="00BD1444" w:rsidRPr="0082075B" w:rsidRDefault="00BD1444" w:rsidP="00BD14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1,357 </w:t>
            </w:r>
          </w:p>
        </w:tc>
        <w:tc>
          <w:tcPr>
            <w:tcW w:w="1536" w:type="dxa"/>
            <w:noWrap/>
          </w:tcPr>
          <w:p w14:paraId="6BA32FCC" w14:textId="3566EC68" w:rsidR="00BD1444" w:rsidRPr="0082075B" w:rsidRDefault="00BD1444" w:rsidP="00BD14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12.0%</w:t>
            </w:r>
          </w:p>
        </w:tc>
      </w:tr>
      <w:tr w:rsidR="00BD1444" w:rsidRPr="00CF2862" w14:paraId="7E1FDB4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B0AB23E" w14:textId="57D81B8E" w:rsidR="00BD1444" w:rsidRPr="00CF2862" w:rsidRDefault="00BD1444" w:rsidP="00BD1444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464F745" w14:textId="086FD003" w:rsidR="00BD1444" w:rsidRPr="0082075B" w:rsidRDefault="00BD1444" w:rsidP="00BD144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hideMark/>
          </w:tcPr>
          <w:p w14:paraId="106F10EC" w14:textId="270D51D4" w:rsidR="00BD1444" w:rsidRPr="0082075B" w:rsidRDefault="00BD1444" w:rsidP="00BD144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Telephone Support Allowance</w:t>
            </w:r>
          </w:p>
        </w:tc>
        <w:tc>
          <w:tcPr>
            <w:tcW w:w="1213" w:type="dxa"/>
            <w:noWrap/>
            <w:hideMark/>
          </w:tcPr>
          <w:p w14:paraId="0FE8F512" w14:textId="0555568A" w:rsidR="00BD1444" w:rsidRPr="0082075B" w:rsidRDefault="00BD1444" w:rsidP="00BD14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194 </w:t>
            </w:r>
          </w:p>
        </w:tc>
        <w:tc>
          <w:tcPr>
            <w:tcW w:w="1536" w:type="dxa"/>
            <w:noWrap/>
          </w:tcPr>
          <w:p w14:paraId="770E6404" w14:textId="44515F0B" w:rsidR="00BD1444" w:rsidRPr="0082075B" w:rsidRDefault="00BD1444" w:rsidP="00BD14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1.7%</w:t>
            </w:r>
          </w:p>
        </w:tc>
      </w:tr>
      <w:tr w:rsidR="00BD1444" w:rsidRPr="00CF2862" w14:paraId="6F7008C5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72CD78A" w14:textId="18A5FFF0" w:rsidR="00BD1444" w:rsidRPr="00CF2862" w:rsidRDefault="00BD1444" w:rsidP="00BD1444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E559661" w14:textId="448BB1EC" w:rsidR="00BD1444" w:rsidRPr="0082075B" w:rsidRDefault="00BD1444" w:rsidP="00BD14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hideMark/>
          </w:tcPr>
          <w:p w14:paraId="347711DB" w14:textId="2E93BA71" w:rsidR="00BD1444" w:rsidRPr="0082075B" w:rsidRDefault="00BD1444" w:rsidP="00BD14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Treatment Benefits</w:t>
            </w:r>
          </w:p>
        </w:tc>
        <w:tc>
          <w:tcPr>
            <w:tcW w:w="1213" w:type="dxa"/>
            <w:noWrap/>
            <w:hideMark/>
          </w:tcPr>
          <w:p w14:paraId="56F4D9E5" w14:textId="4639B9F2" w:rsidR="00BD1444" w:rsidRPr="0082075B" w:rsidRDefault="00BD1444" w:rsidP="00BD14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89 </w:t>
            </w:r>
          </w:p>
        </w:tc>
        <w:tc>
          <w:tcPr>
            <w:tcW w:w="1536" w:type="dxa"/>
            <w:noWrap/>
          </w:tcPr>
          <w:p w14:paraId="0A581025" w14:textId="0DAC8DFF" w:rsidR="00BD1444" w:rsidRPr="0082075B" w:rsidRDefault="00BD1444" w:rsidP="00BD14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0.8%</w:t>
            </w:r>
          </w:p>
        </w:tc>
      </w:tr>
      <w:tr w:rsidR="00BD1444" w:rsidRPr="00CF2862" w14:paraId="0DE1B477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80D69A6" w14:textId="33585C80" w:rsidR="00BD1444" w:rsidRPr="00CF2862" w:rsidRDefault="00BD1444" w:rsidP="00BD1444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59AD759" w14:textId="3E35725E" w:rsidR="00BD1444" w:rsidRPr="0082075B" w:rsidRDefault="00BD1444" w:rsidP="00BD144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  <w:hideMark/>
          </w:tcPr>
          <w:p w14:paraId="50446D90" w14:textId="5FB497A3" w:rsidR="00BD1444" w:rsidRPr="0082075B" w:rsidRDefault="00BD1444" w:rsidP="00BD144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Christmas Bonus</w:t>
            </w:r>
          </w:p>
        </w:tc>
        <w:tc>
          <w:tcPr>
            <w:tcW w:w="1213" w:type="dxa"/>
            <w:noWrap/>
            <w:hideMark/>
          </w:tcPr>
          <w:p w14:paraId="6C2C0D71" w14:textId="21A2C22C" w:rsidR="00BD1444" w:rsidRPr="0082075B" w:rsidRDefault="00BD1444" w:rsidP="00BD14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1536" w:type="dxa"/>
            <w:noWrap/>
          </w:tcPr>
          <w:p w14:paraId="710CA9F9" w14:textId="231B19EE" w:rsidR="00BD1444" w:rsidRPr="0082075B" w:rsidRDefault="00BD1444" w:rsidP="00BD144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0.1%</w:t>
            </w:r>
          </w:p>
        </w:tc>
      </w:tr>
      <w:tr w:rsidR="00BD1444" w:rsidRPr="00CF2862" w14:paraId="11FAF831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087345" w14:textId="77777777" w:rsidR="00BD1444" w:rsidRPr="00CF2862" w:rsidRDefault="00BD1444" w:rsidP="00BD1444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23AC4F4" w14:textId="23714C81" w:rsidR="00BD1444" w:rsidRPr="0082075B" w:rsidRDefault="00BD1444" w:rsidP="00BD14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4604" w:type="dxa"/>
            <w:noWrap/>
          </w:tcPr>
          <w:p w14:paraId="33A2A8E5" w14:textId="66E0FE18" w:rsidR="00BD1444" w:rsidRPr="0082075B" w:rsidRDefault="00BD1444" w:rsidP="00BD144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82075B">
              <w:rPr>
                <w:b/>
                <w:bCs/>
                <w:sz w:val="20"/>
                <w:szCs w:val="20"/>
              </w:rPr>
              <w:t>Water Conservation Grant</w:t>
            </w:r>
          </w:p>
        </w:tc>
        <w:tc>
          <w:tcPr>
            <w:tcW w:w="1213" w:type="dxa"/>
            <w:noWrap/>
          </w:tcPr>
          <w:p w14:paraId="02363462" w14:textId="4620CD04" w:rsidR="00BD1444" w:rsidRPr="0082075B" w:rsidRDefault="00BD1444" w:rsidP="00BD14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82075B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536" w:type="dxa"/>
            <w:noWrap/>
          </w:tcPr>
          <w:p w14:paraId="7484493F" w14:textId="292F3F06" w:rsidR="00BD1444" w:rsidRPr="0082075B" w:rsidRDefault="00BD1444" w:rsidP="00BD144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0.0%</w:t>
            </w:r>
          </w:p>
        </w:tc>
      </w:tr>
      <w:tr w:rsidR="00C871EA" w:rsidRPr="00CF2862" w14:paraId="0E5E5630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6D4E836" w14:textId="77777777" w:rsidR="00C871EA" w:rsidRPr="00CF2862" w:rsidRDefault="00C871EA" w:rsidP="00C871EA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0DD352F" w14:textId="77777777" w:rsidR="00C871EA" w:rsidRPr="00CF2862" w:rsidRDefault="00C871EA" w:rsidP="00C871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514E368C" w14:textId="77777777" w:rsidR="00C871EA" w:rsidRPr="00E900E8" w:rsidRDefault="00C871EA" w:rsidP="00C871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900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408F76F8" w14:textId="1C961822" w:rsidR="00C871EA" w:rsidRPr="00E900E8" w:rsidRDefault="00BD1444" w:rsidP="00C871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11,299</w:t>
            </w:r>
          </w:p>
        </w:tc>
        <w:tc>
          <w:tcPr>
            <w:tcW w:w="1536" w:type="dxa"/>
            <w:noWrap/>
          </w:tcPr>
          <w:p w14:paraId="5AD3E754" w14:textId="5C27CF09" w:rsidR="00C871EA" w:rsidRPr="00CF2862" w:rsidRDefault="007751F0" w:rsidP="00C871EA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7173B" w:rsidRPr="00CF2862" w14:paraId="42856D54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E09985A" w14:textId="77777777" w:rsidR="0047173B" w:rsidRPr="00CF2862" w:rsidRDefault="0047173B" w:rsidP="00C871EA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1268013" w14:textId="77777777" w:rsidR="0047173B" w:rsidRPr="00CF2862" w:rsidRDefault="0047173B" w:rsidP="00C871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7D0C2866" w14:textId="77777777" w:rsidR="0047173B" w:rsidRPr="00E900E8" w:rsidRDefault="0047173B" w:rsidP="00C871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13" w:type="dxa"/>
            <w:noWrap/>
          </w:tcPr>
          <w:p w14:paraId="5676C68B" w14:textId="77777777" w:rsidR="0047173B" w:rsidRDefault="0047173B" w:rsidP="00C871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36" w:type="dxa"/>
            <w:noWrap/>
          </w:tcPr>
          <w:p w14:paraId="25AB9525" w14:textId="77777777" w:rsidR="0047173B" w:rsidRDefault="0047173B" w:rsidP="00C871EA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7F2654" w:rsidRPr="00CF2862" w14:paraId="3812ED4D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70564145" w14:textId="77777777" w:rsidR="007F2654" w:rsidRPr="00CF2862" w:rsidRDefault="007F2654" w:rsidP="00575157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Families and Children</w:t>
            </w:r>
          </w:p>
        </w:tc>
      </w:tr>
      <w:tr w:rsidR="00E20436" w:rsidRPr="00CF2862" w14:paraId="4A40AA6F" w14:textId="77777777" w:rsidTr="00575157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92678EA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63F98FF5" w14:textId="77777777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81499DE" w14:textId="545E84AC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Working Family Payment (WFP) formerly FIS</w:t>
            </w:r>
          </w:p>
        </w:tc>
        <w:tc>
          <w:tcPr>
            <w:tcW w:w="1213" w:type="dxa"/>
            <w:noWrap/>
          </w:tcPr>
          <w:p w14:paraId="495FE11E" w14:textId="36F53588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3,235 </w:t>
            </w:r>
          </w:p>
        </w:tc>
        <w:tc>
          <w:tcPr>
            <w:tcW w:w="1536" w:type="dxa"/>
            <w:noWrap/>
          </w:tcPr>
          <w:p w14:paraId="7E4C2552" w14:textId="1B6D72C6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31.2%</w:t>
            </w:r>
          </w:p>
        </w:tc>
      </w:tr>
      <w:tr w:rsidR="00E20436" w:rsidRPr="00CF2862" w14:paraId="61EC4EBA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DD730AD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3733A36" w14:textId="77777777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668CE987" w14:textId="281AE7CD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One Parent Family Payment (OFP)</w:t>
            </w:r>
          </w:p>
        </w:tc>
        <w:tc>
          <w:tcPr>
            <w:tcW w:w="1213" w:type="dxa"/>
            <w:noWrap/>
          </w:tcPr>
          <w:p w14:paraId="46E7DDEC" w14:textId="1F35B1EF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2,135 </w:t>
            </w:r>
          </w:p>
        </w:tc>
        <w:tc>
          <w:tcPr>
            <w:tcW w:w="1536" w:type="dxa"/>
            <w:noWrap/>
          </w:tcPr>
          <w:p w14:paraId="48398691" w14:textId="650832EA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20.6%</w:t>
            </w:r>
          </w:p>
        </w:tc>
      </w:tr>
      <w:tr w:rsidR="00E20436" w:rsidRPr="00CF2862" w14:paraId="4EC0E00E" w14:textId="77777777" w:rsidTr="0057515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951E8C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0C1A6B2" w14:textId="77777777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7024B93A" w14:textId="4C141C2B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213" w:type="dxa"/>
            <w:noWrap/>
          </w:tcPr>
          <w:p w14:paraId="4BE2D99C" w14:textId="47EF2D92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1,283 </w:t>
            </w:r>
          </w:p>
        </w:tc>
        <w:tc>
          <w:tcPr>
            <w:tcW w:w="1536" w:type="dxa"/>
            <w:noWrap/>
          </w:tcPr>
          <w:p w14:paraId="58C3131B" w14:textId="42A496CE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12.4%</w:t>
            </w:r>
          </w:p>
        </w:tc>
      </w:tr>
      <w:tr w:rsidR="00E20436" w:rsidRPr="00CF2862" w14:paraId="24E218AD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8604C7B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162EAE5" w14:textId="77777777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4ADA0F5C" w14:textId="35B26F25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Back to School Clothing &amp; Footwear Allowance (BTSCFA)</w:t>
            </w:r>
          </w:p>
        </w:tc>
        <w:tc>
          <w:tcPr>
            <w:tcW w:w="1213" w:type="dxa"/>
            <w:noWrap/>
          </w:tcPr>
          <w:p w14:paraId="2A8C10CB" w14:textId="5EB157C7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915 </w:t>
            </w:r>
          </w:p>
        </w:tc>
        <w:tc>
          <w:tcPr>
            <w:tcW w:w="1536" w:type="dxa"/>
            <w:noWrap/>
          </w:tcPr>
          <w:p w14:paraId="5A6D0EEA" w14:textId="0377FCA4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8.8%</w:t>
            </w:r>
          </w:p>
        </w:tc>
      </w:tr>
      <w:tr w:rsidR="00E20436" w:rsidRPr="00CF2862" w14:paraId="29404DC7" w14:textId="77777777" w:rsidTr="0057515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0D96D62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045F57D" w14:textId="77777777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</w:tcPr>
          <w:p w14:paraId="16E76852" w14:textId="5344C7AB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Maternity/ Adoptive Benefit</w:t>
            </w:r>
          </w:p>
        </w:tc>
        <w:tc>
          <w:tcPr>
            <w:tcW w:w="1213" w:type="dxa"/>
            <w:noWrap/>
          </w:tcPr>
          <w:p w14:paraId="4699D633" w14:textId="528DBAB0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904 </w:t>
            </w:r>
          </w:p>
        </w:tc>
        <w:tc>
          <w:tcPr>
            <w:tcW w:w="1536" w:type="dxa"/>
            <w:noWrap/>
          </w:tcPr>
          <w:p w14:paraId="16BB4485" w14:textId="073103AC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8.7%</w:t>
            </w:r>
          </w:p>
        </w:tc>
      </w:tr>
      <w:tr w:rsidR="00E20436" w:rsidRPr="00CF2862" w14:paraId="5D9B088B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F48C42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AB585F6" w14:textId="77777777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40E0FADF" w14:textId="3FC87F8F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Increase for a Qualified Adult (IQA)</w:t>
            </w:r>
          </w:p>
        </w:tc>
        <w:tc>
          <w:tcPr>
            <w:tcW w:w="1213" w:type="dxa"/>
            <w:noWrap/>
          </w:tcPr>
          <w:p w14:paraId="120501F3" w14:textId="6504BF55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596 </w:t>
            </w:r>
          </w:p>
        </w:tc>
        <w:tc>
          <w:tcPr>
            <w:tcW w:w="1536" w:type="dxa"/>
            <w:noWrap/>
          </w:tcPr>
          <w:p w14:paraId="65287EF2" w14:textId="16F86588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5.7%</w:t>
            </w:r>
          </w:p>
        </w:tc>
      </w:tr>
      <w:tr w:rsidR="00E20436" w:rsidRPr="00CF2862" w14:paraId="5911A1EE" w14:textId="77777777" w:rsidTr="005751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FA3954A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1A2F4B9" w14:textId="77777777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439349EE" w14:textId="24A3E4B6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Parent's Benefit</w:t>
            </w:r>
          </w:p>
        </w:tc>
        <w:tc>
          <w:tcPr>
            <w:tcW w:w="1213" w:type="dxa"/>
            <w:noWrap/>
          </w:tcPr>
          <w:p w14:paraId="0487F872" w14:textId="4A78512C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408 </w:t>
            </w:r>
          </w:p>
        </w:tc>
        <w:tc>
          <w:tcPr>
            <w:tcW w:w="1536" w:type="dxa"/>
            <w:noWrap/>
          </w:tcPr>
          <w:p w14:paraId="6F52DDBE" w14:textId="0E3042DF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3.9%</w:t>
            </w:r>
          </w:p>
        </w:tc>
      </w:tr>
      <w:tr w:rsidR="00E20436" w:rsidRPr="00CF2862" w14:paraId="34909D57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47E147C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3E4978A" w14:textId="77777777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33964F57" w14:textId="584B0A0D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Increase for a Qualified Child (IQC)</w:t>
            </w:r>
          </w:p>
        </w:tc>
        <w:tc>
          <w:tcPr>
            <w:tcW w:w="1213" w:type="dxa"/>
            <w:noWrap/>
          </w:tcPr>
          <w:p w14:paraId="286E9E04" w14:textId="5430B84A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399 </w:t>
            </w:r>
          </w:p>
        </w:tc>
        <w:tc>
          <w:tcPr>
            <w:tcW w:w="1536" w:type="dxa"/>
            <w:noWrap/>
          </w:tcPr>
          <w:p w14:paraId="36B0B806" w14:textId="5C875C60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3.8%</w:t>
            </w:r>
          </w:p>
        </w:tc>
      </w:tr>
      <w:tr w:rsidR="00E20436" w:rsidRPr="00CF2862" w14:paraId="5116A597" w14:textId="77777777" w:rsidTr="0057515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AF0E04F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5D9F809" w14:textId="77777777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460D5A18" w14:textId="39DD327F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Paternity Benefit</w:t>
            </w:r>
          </w:p>
        </w:tc>
        <w:tc>
          <w:tcPr>
            <w:tcW w:w="1213" w:type="dxa"/>
            <w:noWrap/>
          </w:tcPr>
          <w:p w14:paraId="0946290F" w14:textId="39CF1DFF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229 </w:t>
            </w:r>
          </w:p>
        </w:tc>
        <w:tc>
          <w:tcPr>
            <w:tcW w:w="1536" w:type="dxa"/>
            <w:noWrap/>
          </w:tcPr>
          <w:p w14:paraId="63A1CBDC" w14:textId="7E3B4433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2.2%</w:t>
            </w:r>
          </w:p>
        </w:tc>
      </w:tr>
      <w:tr w:rsidR="00E20436" w:rsidRPr="00CF2862" w14:paraId="31C9966E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CDB768F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A602A96" w14:textId="77777777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164E7FDB" w14:textId="197829CF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Back to Work Family Dividend</w:t>
            </w:r>
          </w:p>
        </w:tc>
        <w:tc>
          <w:tcPr>
            <w:tcW w:w="1213" w:type="dxa"/>
            <w:noWrap/>
          </w:tcPr>
          <w:p w14:paraId="5C8BB359" w14:textId="4335302F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181 </w:t>
            </w:r>
          </w:p>
        </w:tc>
        <w:tc>
          <w:tcPr>
            <w:tcW w:w="1536" w:type="dxa"/>
            <w:noWrap/>
          </w:tcPr>
          <w:p w14:paraId="766C3F69" w14:textId="3F857A65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1.7%</w:t>
            </w:r>
          </w:p>
        </w:tc>
      </w:tr>
      <w:tr w:rsidR="00E20436" w:rsidRPr="00CF2862" w14:paraId="5893958E" w14:textId="77777777" w:rsidTr="0057515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D9CDA65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57325C4" w14:textId="77777777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4D7C9835" w14:textId="0B537770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Health and Safety Benefit</w:t>
            </w:r>
          </w:p>
        </w:tc>
        <w:tc>
          <w:tcPr>
            <w:tcW w:w="1213" w:type="dxa"/>
            <w:noWrap/>
          </w:tcPr>
          <w:p w14:paraId="3FE81873" w14:textId="21161D9F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50 </w:t>
            </w:r>
          </w:p>
        </w:tc>
        <w:tc>
          <w:tcPr>
            <w:tcW w:w="1536" w:type="dxa"/>
            <w:noWrap/>
          </w:tcPr>
          <w:p w14:paraId="45FEBC88" w14:textId="5846D67F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0.5%</w:t>
            </w:r>
          </w:p>
        </w:tc>
      </w:tr>
      <w:tr w:rsidR="00E20436" w:rsidRPr="00CF2862" w14:paraId="7C54CAE5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0DD54DC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60D4175" w14:textId="77777777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3594EE8F" w14:textId="7AA5DF00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Deserted Wife's Benefit</w:t>
            </w:r>
          </w:p>
        </w:tc>
        <w:tc>
          <w:tcPr>
            <w:tcW w:w="1213" w:type="dxa"/>
            <w:noWrap/>
          </w:tcPr>
          <w:p w14:paraId="2D90C19C" w14:textId="7FE0714E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27 </w:t>
            </w:r>
          </w:p>
        </w:tc>
        <w:tc>
          <w:tcPr>
            <w:tcW w:w="1536" w:type="dxa"/>
            <w:noWrap/>
          </w:tcPr>
          <w:p w14:paraId="25605976" w14:textId="083AF929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0.3%</w:t>
            </w:r>
          </w:p>
        </w:tc>
      </w:tr>
      <w:tr w:rsidR="00E20436" w:rsidRPr="00CF2862" w14:paraId="651E034D" w14:textId="77777777" w:rsidTr="0057515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BF8BAE3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0266E81" w14:textId="77777777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4604" w:type="dxa"/>
            <w:noWrap/>
            <w:hideMark/>
          </w:tcPr>
          <w:p w14:paraId="0D6A351D" w14:textId="0417A7D6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Deserted Wife's Allowance</w:t>
            </w:r>
          </w:p>
        </w:tc>
        <w:tc>
          <w:tcPr>
            <w:tcW w:w="1213" w:type="dxa"/>
            <w:noWrap/>
          </w:tcPr>
          <w:p w14:paraId="3E8462E4" w14:textId="62B96571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8 </w:t>
            </w:r>
          </w:p>
        </w:tc>
        <w:tc>
          <w:tcPr>
            <w:tcW w:w="1536" w:type="dxa"/>
            <w:noWrap/>
          </w:tcPr>
          <w:p w14:paraId="77D297FF" w14:textId="1F590B6D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0.1%</w:t>
            </w:r>
          </w:p>
        </w:tc>
      </w:tr>
      <w:tr w:rsidR="007F2654" w:rsidRPr="00CF2862" w14:paraId="15A11B30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B718FF1" w14:textId="77777777" w:rsidR="007F2654" w:rsidRPr="00CF2862" w:rsidRDefault="007F2654" w:rsidP="00575157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EABEAC3" w14:textId="77777777" w:rsidR="007F2654" w:rsidRPr="00CF2862" w:rsidRDefault="007F2654" w:rsidP="005751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45A2F5B" w14:textId="77777777" w:rsidR="007F2654" w:rsidRPr="00CF2862" w:rsidRDefault="007F2654" w:rsidP="005751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12D77AD9" w14:textId="642BBD78" w:rsidR="007F2654" w:rsidRPr="00CF2862" w:rsidRDefault="00E20436" w:rsidP="0057515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10,370</w:t>
            </w:r>
          </w:p>
        </w:tc>
        <w:tc>
          <w:tcPr>
            <w:tcW w:w="1536" w:type="dxa"/>
            <w:noWrap/>
          </w:tcPr>
          <w:p w14:paraId="6F908091" w14:textId="77777777" w:rsidR="007F2654" w:rsidRPr="00CF2862" w:rsidRDefault="007F2654" w:rsidP="0057515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CF2862" w:rsidRPr="00CF2862" w14:paraId="7E46EBDD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541D2CA7" w14:textId="0981A1BC" w:rsidR="00CF2862" w:rsidRPr="00CF2862" w:rsidRDefault="00F64339" w:rsidP="00CF2862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Carers </w:t>
            </w:r>
          </w:p>
        </w:tc>
      </w:tr>
      <w:tr w:rsidR="00E20436" w:rsidRPr="00CF2862" w14:paraId="1021E47C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1D37E64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</w:tcPr>
          <w:p w14:paraId="29A4749B" w14:textId="31A5526D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251A3395" w14:textId="63408470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Carer's Allowance</w:t>
            </w:r>
          </w:p>
        </w:tc>
        <w:tc>
          <w:tcPr>
            <w:tcW w:w="1213" w:type="dxa"/>
            <w:noWrap/>
          </w:tcPr>
          <w:p w14:paraId="79399A5D" w14:textId="6A3F9A58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6,529 </w:t>
            </w:r>
          </w:p>
        </w:tc>
        <w:tc>
          <w:tcPr>
            <w:tcW w:w="1536" w:type="dxa"/>
            <w:noWrap/>
          </w:tcPr>
          <w:p w14:paraId="31E3EDAD" w14:textId="1C44D013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63.6%</w:t>
            </w:r>
          </w:p>
        </w:tc>
      </w:tr>
      <w:tr w:rsidR="00E20436" w:rsidRPr="00CF2862" w14:paraId="03CD3A86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F472C54" w14:textId="25DEB80A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87C9710" w14:textId="08541CE4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0EBC2718" w14:textId="6FDB32FE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Carer's Support Grant (Respite Care Grant)</w:t>
            </w:r>
          </w:p>
        </w:tc>
        <w:tc>
          <w:tcPr>
            <w:tcW w:w="1213" w:type="dxa"/>
            <w:noWrap/>
          </w:tcPr>
          <w:p w14:paraId="633474DF" w14:textId="02DFD0CD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1,248 </w:t>
            </w:r>
          </w:p>
        </w:tc>
        <w:tc>
          <w:tcPr>
            <w:tcW w:w="1536" w:type="dxa"/>
            <w:noWrap/>
          </w:tcPr>
          <w:p w14:paraId="6E746ED8" w14:textId="1849204B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12.1%</w:t>
            </w:r>
          </w:p>
        </w:tc>
      </w:tr>
      <w:tr w:rsidR="00E20436" w:rsidRPr="00CF2862" w14:paraId="39233D5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34AE970" w14:textId="6C472FBF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BEA67D3" w14:textId="1DE500F1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</w:tcPr>
          <w:p w14:paraId="0A9DC021" w14:textId="7050C62F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Carer's Benefit</w:t>
            </w:r>
          </w:p>
        </w:tc>
        <w:tc>
          <w:tcPr>
            <w:tcW w:w="1213" w:type="dxa"/>
            <w:noWrap/>
          </w:tcPr>
          <w:p w14:paraId="60E0677C" w14:textId="7575B7BA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1,093 </w:t>
            </w:r>
          </w:p>
        </w:tc>
        <w:tc>
          <w:tcPr>
            <w:tcW w:w="1536" w:type="dxa"/>
            <w:noWrap/>
          </w:tcPr>
          <w:p w14:paraId="1BEEF46A" w14:textId="35600732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10.6%</w:t>
            </w:r>
          </w:p>
        </w:tc>
      </w:tr>
      <w:tr w:rsidR="00E20436" w:rsidRPr="00CF2862" w14:paraId="71F238E1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7F5A467" w14:textId="01FFA39C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5B0BCD0" w14:textId="7561D42C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284856A6" w14:textId="7D1A0EA5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Domiciliary Care Allowance (DCA)</w:t>
            </w:r>
          </w:p>
        </w:tc>
        <w:tc>
          <w:tcPr>
            <w:tcW w:w="1213" w:type="dxa"/>
            <w:noWrap/>
          </w:tcPr>
          <w:p w14:paraId="7A30E509" w14:textId="7742633A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1,044 </w:t>
            </w:r>
          </w:p>
        </w:tc>
        <w:tc>
          <w:tcPr>
            <w:tcW w:w="1536" w:type="dxa"/>
            <w:noWrap/>
          </w:tcPr>
          <w:p w14:paraId="40CF7617" w14:textId="29C68199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10.2%</w:t>
            </w:r>
          </w:p>
        </w:tc>
      </w:tr>
      <w:tr w:rsidR="00E20436" w:rsidRPr="00CF2862" w14:paraId="0D734E3D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47CF87C" w14:textId="47343678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955AAD9" w14:textId="451585C8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4604" w:type="dxa"/>
            <w:noWrap/>
            <w:hideMark/>
          </w:tcPr>
          <w:p w14:paraId="66884622" w14:textId="5C51DC59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Half-rate Carer's Allowance</w:t>
            </w:r>
          </w:p>
        </w:tc>
        <w:tc>
          <w:tcPr>
            <w:tcW w:w="1213" w:type="dxa"/>
            <w:noWrap/>
          </w:tcPr>
          <w:p w14:paraId="14F77792" w14:textId="6ABB43DD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359 </w:t>
            </w:r>
          </w:p>
        </w:tc>
        <w:tc>
          <w:tcPr>
            <w:tcW w:w="1536" w:type="dxa"/>
            <w:noWrap/>
          </w:tcPr>
          <w:p w14:paraId="74B2E11F" w14:textId="5BB3C686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3.5%</w:t>
            </w:r>
          </w:p>
        </w:tc>
      </w:tr>
      <w:tr w:rsidR="007F2654" w:rsidRPr="00CF2862" w14:paraId="40CF5BCF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7632CDF" w14:textId="77777777" w:rsidR="00CF7BF5" w:rsidRPr="00CF2862" w:rsidRDefault="00CF7BF5" w:rsidP="00CF7BF5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2BD092F" w14:textId="77777777" w:rsidR="00CF7BF5" w:rsidRPr="00CF2862" w:rsidRDefault="00CF7BF5" w:rsidP="00CF7BF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2915FCF5" w14:textId="77777777" w:rsidR="00CF7BF5" w:rsidRPr="00E900E8" w:rsidRDefault="00CF7BF5" w:rsidP="00CF7BF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900E8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4B961547" w14:textId="5156A1AC" w:rsidR="00CF7BF5" w:rsidRPr="00E900E8" w:rsidRDefault="00E20436" w:rsidP="00CF7BF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10,273</w:t>
            </w:r>
          </w:p>
        </w:tc>
        <w:tc>
          <w:tcPr>
            <w:tcW w:w="1536" w:type="dxa"/>
            <w:noWrap/>
          </w:tcPr>
          <w:p w14:paraId="57BB2034" w14:textId="7E3E6FEC" w:rsidR="00CF7BF5" w:rsidRPr="00CF2862" w:rsidRDefault="007751F0" w:rsidP="00CF7BF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CF2862" w:rsidRPr="00CF2862" w14:paraId="598BF905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E01E3C5" w14:textId="5368CD9C" w:rsidR="00CF2862" w:rsidRPr="00E954B1" w:rsidRDefault="00F64339" w:rsidP="00CF2862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E954B1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Older and Retired People</w:t>
            </w:r>
          </w:p>
        </w:tc>
      </w:tr>
      <w:tr w:rsidR="00E20436" w:rsidRPr="00CF2862" w14:paraId="349082AB" w14:textId="77777777" w:rsidTr="00417D86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69DD29C7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6498A5E3" w14:textId="1EECC76B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4F20D333" w14:textId="66F7F6DB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State Pension/Contributory</w:t>
            </w:r>
          </w:p>
        </w:tc>
        <w:tc>
          <w:tcPr>
            <w:tcW w:w="1213" w:type="dxa"/>
            <w:noWrap/>
            <w:hideMark/>
          </w:tcPr>
          <w:p w14:paraId="39532E49" w14:textId="5B7808CD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</w:t>
            </w:r>
            <w:r w:rsidRPr="00191334">
              <w:rPr>
                <w:sz w:val="20"/>
                <w:szCs w:val="20"/>
              </w:rPr>
              <w:t>5,95</w:t>
            </w:r>
            <w:r w:rsidR="001E0A9B" w:rsidRPr="00191334">
              <w:rPr>
                <w:sz w:val="20"/>
                <w:szCs w:val="20"/>
              </w:rPr>
              <w:t>9</w:t>
            </w:r>
          </w:p>
        </w:tc>
        <w:tc>
          <w:tcPr>
            <w:tcW w:w="1536" w:type="dxa"/>
            <w:noWrap/>
          </w:tcPr>
          <w:p w14:paraId="4723696E" w14:textId="0D63F70F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59.1%</w:t>
            </w:r>
          </w:p>
        </w:tc>
      </w:tr>
      <w:tr w:rsidR="00E20436" w:rsidRPr="00CF2862" w14:paraId="55B9667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F1AE91" w14:textId="391A662C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0C2BF5A" w14:textId="12086422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6A33AEE4" w14:textId="64DB523A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State Pension/Non</w:t>
            </w:r>
            <w:r w:rsidR="00A2111B" w:rsidRPr="0082075B">
              <w:rPr>
                <w:b/>
                <w:bCs/>
                <w:sz w:val="20"/>
                <w:szCs w:val="20"/>
              </w:rPr>
              <w:t>-</w:t>
            </w:r>
            <w:r w:rsidRPr="0082075B">
              <w:rPr>
                <w:b/>
                <w:bCs/>
                <w:sz w:val="20"/>
                <w:szCs w:val="20"/>
              </w:rPr>
              <w:t>Contributory Pension</w:t>
            </w:r>
          </w:p>
        </w:tc>
        <w:tc>
          <w:tcPr>
            <w:tcW w:w="1213" w:type="dxa"/>
            <w:noWrap/>
            <w:hideMark/>
          </w:tcPr>
          <w:p w14:paraId="5BC960CE" w14:textId="690171B5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2,538 </w:t>
            </w:r>
          </w:p>
        </w:tc>
        <w:tc>
          <w:tcPr>
            <w:tcW w:w="1536" w:type="dxa"/>
            <w:noWrap/>
          </w:tcPr>
          <w:p w14:paraId="5793A1F7" w14:textId="3ACBB445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25.2%</w:t>
            </w:r>
          </w:p>
        </w:tc>
      </w:tr>
      <w:tr w:rsidR="00E20436" w:rsidRPr="00CF2862" w14:paraId="7C40D90F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49D7026" w14:textId="44CE88E4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6E4381F" w14:textId="66F62B97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5C49E0B1" w14:textId="3AD2F982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Payment for people who retire at 65</w:t>
            </w:r>
          </w:p>
        </w:tc>
        <w:tc>
          <w:tcPr>
            <w:tcW w:w="1213" w:type="dxa"/>
            <w:noWrap/>
            <w:hideMark/>
          </w:tcPr>
          <w:p w14:paraId="193DC191" w14:textId="7C0BF2A7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729 </w:t>
            </w:r>
          </w:p>
        </w:tc>
        <w:tc>
          <w:tcPr>
            <w:tcW w:w="1536" w:type="dxa"/>
            <w:noWrap/>
          </w:tcPr>
          <w:p w14:paraId="7137944A" w14:textId="621B6AB0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7.2%</w:t>
            </w:r>
          </w:p>
        </w:tc>
      </w:tr>
      <w:tr w:rsidR="00E20436" w:rsidRPr="00CF2862" w14:paraId="6608E097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ED41027" w14:textId="426663AD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87CA42E" w14:textId="0CF32563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30B31D6D" w14:textId="284374F7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Qualified Adults</w:t>
            </w:r>
          </w:p>
        </w:tc>
        <w:tc>
          <w:tcPr>
            <w:tcW w:w="1213" w:type="dxa"/>
            <w:noWrap/>
            <w:hideMark/>
          </w:tcPr>
          <w:p w14:paraId="627CB896" w14:textId="534A0D87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470 </w:t>
            </w:r>
          </w:p>
        </w:tc>
        <w:tc>
          <w:tcPr>
            <w:tcW w:w="1536" w:type="dxa"/>
            <w:noWrap/>
          </w:tcPr>
          <w:p w14:paraId="65C23219" w14:textId="24D69288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4.7%</w:t>
            </w:r>
          </w:p>
        </w:tc>
      </w:tr>
      <w:tr w:rsidR="00E20436" w:rsidRPr="00CF2862" w14:paraId="7D0F5EA8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D9CF631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099DA0E1" w14:textId="5362AA93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  <w:hideMark/>
          </w:tcPr>
          <w:p w14:paraId="7F317A94" w14:textId="265EB3E4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UK Pensions/Brexit</w:t>
            </w:r>
          </w:p>
        </w:tc>
        <w:tc>
          <w:tcPr>
            <w:tcW w:w="1213" w:type="dxa"/>
            <w:noWrap/>
            <w:hideMark/>
          </w:tcPr>
          <w:p w14:paraId="28386B5D" w14:textId="0C6E7B24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278 </w:t>
            </w:r>
          </w:p>
        </w:tc>
        <w:tc>
          <w:tcPr>
            <w:tcW w:w="1536" w:type="dxa"/>
            <w:noWrap/>
          </w:tcPr>
          <w:p w14:paraId="177BA255" w14:textId="3C2AFDB8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2.8%</w:t>
            </w:r>
          </w:p>
        </w:tc>
      </w:tr>
      <w:tr w:rsidR="00E20436" w:rsidRPr="00CF2862" w14:paraId="4E16E62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E140475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0FBDFA3" w14:textId="0B36ABB6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4604" w:type="dxa"/>
            <w:noWrap/>
          </w:tcPr>
          <w:p w14:paraId="79BF2F9A" w14:textId="36456DCD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EU/International Pensions</w:t>
            </w:r>
          </w:p>
        </w:tc>
        <w:tc>
          <w:tcPr>
            <w:tcW w:w="1213" w:type="dxa"/>
            <w:noWrap/>
          </w:tcPr>
          <w:p w14:paraId="36921A69" w14:textId="1E6CDD96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116 </w:t>
            </w:r>
          </w:p>
        </w:tc>
        <w:tc>
          <w:tcPr>
            <w:tcW w:w="1536" w:type="dxa"/>
            <w:noWrap/>
          </w:tcPr>
          <w:p w14:paraId="1E0C048A" w14:textId="5982A923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1.1%</w:t>
            </w:r>
          </w:p>
        </w:tc>
      </w:tr>
      <w:tr w:rsidR="007F2654" w:rsidRPr="00CF2862" w14:paraId="459A7C5C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1AF53AF" w14:textId="77777777" w:rsidR="00F64339" w:rsidRPr="00CF2862" w:rsidRDefault="00F64339" w:rsidP="00F6433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4E2A35C4" w14:textId="77777777" w:rsidR="00F64339" w:rsidRPr="00CF2862" w:rsidRDefault="00F64339" w:rsidP="00F643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445D8E33" w14:textId="77777777" w:rsidR="00F64339" w:rsidRPr="0082075B" w:rsidRDefault="00F64339" w:rsidP="00F643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42506E1" w14:textId="282A7F22" w:rsidR="00F64339" w:rsidRPr="00191334" w:rsidRDefault="00E20436" w:rsidP="00F6433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913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10,0</w:t>
            </w:r>
            <w:r w:rsidR="00091DB7" w:rsidRPr="001913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536" w:type="dxa"/>
            <w:noWrap/>
          </w:tcPr>
          <w:p w14:paraId="2B85C31A" w14:textId="3C58A0E7" w:rsidR="00F64339" w:rsidRPr="00191334" w:rsidRDefault="007751F0" w:rsidP="00F6433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19133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64339" w:rsidRPr="00CF2862" w14:paraId="35B9D140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8C2D6DF" w14:textId="77777777" w:rsidR="00F64339" w:rsidRPr="00CF2862" w:rsidRDefault="00F64339" w:rsidP="00F64339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Unemployed People</w:t>
            </w:r>
          </w:p>
        </w:tc>
      </w:tr>
      <w:tr w:rsidR="00E20436" w:rsidRPr="00CF2862" w14:paraId="78E78948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49D4C7B" w14:textId="7777777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118BE86C" w14:textId="77777777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3F6033A0" w14:textId="15050008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Jobseeker's Allowance</w:t>
            </w:r>
          </w:p>
        </w:tc>
        <w:tc>
          <w:tcPr>
            <w:tcW w:w="1213" w:type="dxa"/>
            <w:noWrap/>
            <w:hideMark/>
          </w:tcPr>
          <w:p w14:paraId="68A96A66" w14:textId="351E8266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4,006 </w:t>
            </w:r>
          </w:p>
        </w:tc>
        <w:tc>
          <w:tcPr>
            <w:tcW w:w="1536" w:type="dxa"/>
            <w:noWrap/>
          </w:tcPr>
          <w:p w14:paraId="4663ACC3" w14:textId="58BDE1BE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52.9%</w:t>
            </w:r>
          </w:p>
        </w:tc>
      </w:tr>
      <w:tr w:rsidR="00E20436" w:rsidRPr="00CF2862" w14:paraId="5631DACD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58A8431" w14:textId="2474BF3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DFE4184" w14:textId="4F75DA68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6E242623" w14:textId="5A6C3678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Jobseeker's Benefit</w:t>
            </w:r>
          </w:p>
        </w:tc>
        <w:tc>
          <w:tcPr>
            <w:tcW w:w="1213" w:type="dxa"/>
            <w:noWrap/>
            <w:hideMark/>
          </w:tcPr>
          <w:p w14:paraId="7BD80DF6" w14:textId="35F6F8AB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2,359 </w:t>
            </w:r>
          </w:p>
        </w:tc>
        <w:tc>
          <w:tcPr>
            <w:tcW w:w="1536" w:type="dxa"/>
            <w:noWrap/>
          </w:tcPr>
          <w:p w14:paraId="2A9CA34F" w14:textId="6A72D86A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31.1%</w:t>
            </w:r>
          </w:p>
        </w:tc>
      </w:tr>
      <w:tr w:rsidR="00E20436" w:rsidRPr="00CF2862" w14:paraId="29BD2A77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1A3C0CA" w14:textId="2DD85BCD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227E8D1" w14:textId="7748B0AE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201B4ED4" w14:textId="43B90B15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Social Welfare Payments and Work</w:t>
            </w:r>
          </w:p>
        </w:tc>
        <w:tc>
          <w:tcPr>
            <w:tcW w:w="1213" w:type="dxa"/>
            <w:noWrap/>
            <w:hideMark/>
          </w:tcPr>
          <w:p w14:paraId="52ABD7A2" w14:textId="4E8D0F20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649 </w:t>
            </w:r>
          </w:p>
        </w:tc>
        <w:tc>
          <w:tcPr>
            <w:tcW w:w="1536" w:type="dxa"/>
            <w:noWrap/>
          </w:tcPr>
          <w:p w14:paraId="257C39AB" w14:textId="1403FA6F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8.6%</w:t>
            </w:r>
          </w:p>
        </w:tc>
      </w:tr>
      <w:tr w:rsidR="00E20436" w:rsidRPr="00CF2862" w14:paraId="0A657501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912ECCC" w14:textId="60469180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6133895" w14:textId="3AAEE871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6A6E8A3D" w14:textId="0022071C" w:rsidR="00E20436" w:rsidRPr="0082075B" w:rsidRDefault="00E20436" w:rsidP="00E2043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Jobseeker's Transitional Payment</w:t>
            </w:r>
          </w:p>
        </w:tc>
        <w:tc>
          <w:tcPr>
            <w:tcW w:w="1213" w:type="dxa"/>
            <w:noWrap/>
            <w:hideMark/>
          </w:tcPr>
          <w:p w14:paraId="2DBA2565" w14:textId="63B97288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498 </w:t>
            </w:r>
          </w:p>
        </w:tc>
        <w:tc>
          <w:tcPr>
            <w:tcW w:w="1536" w:type="dxa"/>
            <w:noWrap/>
          </w:tcPr>
          <w:p w14:paraId="5939685C" w14:textId="2955EC0F" w:rsidR="00E20436" w:rsidRPr="0082075B" w:rsidRDefault="00E20436" w:rsidP="00E2043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6.6%</w:t>
            </w:r>
          </w:p>
        </w:tc>
      </w:tr>
      <w:tr w:rsidR="00E20436" w:rsidRPr="00CF2862" w14:paraId="388B95D0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1466A32" w14:textId="0E48C707" w:rsidR="00E20436" w:rsidRPr="00CF2862" w:rsidRDefault="00E20436" w:rsidP="00E2043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5650144" w14:textId="6317F9CF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4604" w:type="dxa"/>
            <w:noWrap/>
            <w:hideMark/>
          </w:tcPr>
          <w:p w14:paraId="7EEE6657" w14:textId="2397D998" w:rsidR="00E20436" w:rsidRPr="0082075B" w:rsidRDefault="00E20436" w:rsidP="00E2043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Unemployed following self-employment</w:t>
            </w:r>
          </w:p>
        </w:tc>
        <w:tc>
          <w:tcPr>
            <w:tcW w:w="1213" w:type="dxa"/>
            <w:noWrap/>
            <w:hideMark/>
          </w:tcPr>
          <w:p w14:paraId="1AD9133D" w14:textId="315B5CE7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63 </w:t>
            </w:r>
          </w:p>
        </w:tc>
        <w:tc>
          <w:tcPr>
            <w:tcW w:w="1536" w:type="dxa"/>
            <w:noWrap/>
          </w:tcPr>
          <w:p w14:paraId="14C3D9EA" w14:textId="5ED05A1D" w:rsidR="00E20436" w:rsidRPr="0082075B" w:rsidRDefault="00E20436" w:rsidP="00E2043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0.8%</w:t>
            </w:r>
          </w:p>
        </w:tc>
      </w:tr>
      <w:tr w:rsidR="007F2654" w:rsidRPr="00CF2862" w14:paraId="1C9CFDCA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DFF220E" w14:textId="77777777" w:rsidR="00F64339" w:rsidRPr="00CF2862" w:rsidRDefault="00F64339" w:rsidP="00F6433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FCA5698" w14:textId="77777777" w:rsidR="00F64339" w:rsidRPr="00CF2862" w:rsidRDefault="00F64339" w:rsidP="00F643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3068C116" w14:textId="77777777" w:rsidR="00F64339" w:rsidRPr="00CF2862" w:rsidRDefault="00F64339" w:rsidP="00F64339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3DC447DA" w14:textId="2261E173" w:rsidR="00F64339" w:rsidRPr="00CF2862" w:rsidRDefault="00E20436" w:rsidP="00F6433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7,575</w:t>
            </w:r>
          </w:p>
        </w:tc>
        <w:tc>
          <w:tcPr>
            <w:tcW w:w="1536" w:type="dxa"/>
            <w:noWrap/>
          </w:tcPr>
          <w:p w14:paraId="2E054E63" w14:textId="364F0495" w:rsidR="00F64339" w:rsidRPr="00CF2862" w:rsidRDefault="007751F0" w:rsidP="00F64339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64339" w:rsidRPr="00CF2862" w14:paraId="7DAAEF50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DC0EF58" w14:textId="77777777" w:rsidR="00F64339" w:rsidRPr="00CF2862" w:rsidRDefault="00F64339" w:rsidP="00F64339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Supplementary Welfare Schemes</w:t>
            </w:r>
          </w:p>
        </w:tc>
      </w:tr>
      <w:tr w:rsidR="0011608C" w:rsidRPr="00CF2862" w14:paraId="381C05F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1ABC2EE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5561E978" w14:textId="77777777" w:rsidR="0011608C" w:rsidRPr="0082075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28468599" w14:textId="4E593C9F" w:rsidR="0011608C" w:rsidRPr="0082075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Basic Supplementary Welfare Allowance</w:t>
            </w:r>
          </w:p>
        </w:tc>
        <w:tc>
          <w:tcPr>
            <w:tcW w:w="1213" w:type="dxa"/>
            <w:noWrap/>
            <w:hideMark/>
          </w:tcPr>
          <w:p w14:paraId="348012BA" w14:textId="151E9C7D" w:rsidR="0011608C" w:rsidRPr="0082075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3,273 </w:t>
            </w:r>
          </w:p>
        </w:tc>
        <w:tc>
          <w:tcPr>
            <w:tcW w:w="1536" w:type="dxa"/>
            <w:noWrap/>
          </w:tcPr>
          <w:p w14:paraId="305B42BC" w14:textId="31E5EADB" w:rsidR="0011608C" w:rsidRPr="0082075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53.0%</w:t>
            </w:r>
          </w:p>
        </w:tc>
      </w:tr>
      <w:tr w:rsidR="0011608C" w:rsidRPr="00CF2862" w14:paraId="39B9DB7E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1E464D" w14:textId="123F6879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27BC2D3" w14:textId="26410066" w:rsidR="0011608C" w:rsidRPr="0082075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10EE041A" w14:textId="3F0385C7" w:rsidR="0011608C" w:rsidRPr="0082075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Exceptional/urgent needs payment</w:t>
            </w:r>
          </w:p>
        </w:tc>
        <w:tc>
          <w:tcPr>
            <w:tcW w:w="1213" w:type="dxa"/>
            <w:noWrap/>
            <w:hideMark/>
          </w:tcPr>
          <w:p w14:paraId="16201F35" w14:textId="1A881020" w:rsidR="0011608C" w:rsidRPr="0082075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1,911 </w:t>
            </w:r>
          </w:p>
        </w:tc>
        <w:tc>
          <w:tcPr>
            <w:tcW w:w="1536" w:type="dxa"/>
            <w:noWrap/>
          </w:tcPr>
          <w:p w14:paraId="6959EBD9" w14:textId="42D33FA4" w:rsidR="0011608C" w:rsidRPr="0082075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31.0%</w:t>
            </w:r>
          </w:p>
        </w:tc>
      </w:tr>
      <w:tr w:rsidR="0011608C" w:rsidRPr="00CF2862" w14:paraId="2DB10B85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A264DB0" w14:textId="2597A095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A7F1568" w14:textId="26B91256" w:rsidR="0011608C" w:rsidRPr="0082075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186500AA" w14:textId="75EC5766" w:rsidR="0011608C" w:rsidRPr="0082075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Rent Supplement (RS)</w:t>
            </w:r>
          </w:p>
        </w:tc>
        <w:tc>
          <w:tcPr>
            <w:tcW w:w="1213" w:type="dxa"/>
            <w:noWrap/>
            <w:hideMark/>
          </w:tcPr>
          <w:p w14:paraId="75D730FA" w14:textId="2382C3C7" w:rsidR="0011608C" w:rsidRPr="0082075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936 </w:t>
            </w:r>
          </w:p>
        </w:tc>
        <w:tc>
          <w:tcPr>
            <w:tcW w:w="1536" w:type="dxa"/>
            <w:noWrap/>
          </w:tcPr>
          <w:p w14:paraId="5B7EE200" w14:textId="334D141C" w:rsidR="0011608C" w:rsidRPr="0082075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15.2%</w:t>
            </w:r>
          </w:p>
        </w:tc>
      </w:tr>
      <w:tr w:rsidR="0011608C" w:rsidRPr="00CF2862" w14:paraId="5BD60940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C13A7E8" w14:textId="44F83790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91D7122" w14:textId="25013972" w:rsidR="0011608C" w:rsidRPr="0082075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1989F6F3" w14:textId="0FF99B2D" w:rsidR="0011608C" w:rsidRPr="0082075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Diet/Heating Supplement</w:t>
            </w:r>
          </w:p>
        </w:tc>
        <w:tc>
          <w:tcPr>
            <w:tcW w:w="1213" w:type="dxa"/>
            <w:noWrap/>
            <w:hideMark/>
          </w:tcPr>
          <w:p w14:paraId="5CD39AB2" w14:textId="4ACE1770" w:rsidR="0011608C" w:rsidRPr="0082075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46 </w:t>
            </w:r>
          </w:p>
        </w:tc>
        <w:tc>
          <w:tcPr>
            <w:tcW w:w="1536" w:type="dxa"/>
            <w:noWrap/>
          </w:tcPr>
          <w:p w14:paraId="3CE29760" w14:textId="66267C70" w:rsidR="0011608C" w:rsidRPr="0082075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0.7%</w:t>
            </w:r>
          </w:p>
        </w:tc>
      </w:tr>
      <w:tr w:rsidR="0011608C" w:rsidRPr="00CF2862" w14:paraId="726E2B4E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D2DD21D" w14:textId="01787B70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1E271A9" w14:textId="3B0599D7" w:rsidR="0011608C" w:rsidRPr="0082075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4604" w:type="dxa"/>
            <w:noWrap/>
            <w:hideMark/>
          </w:tcPr>
          <w:p w14:paraId="072F330B" w14:textId="00015CB2" w:rsidR="0011608C" w:rsidRPr="0082075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b/>
                <w:bCs/>
                <w:sz w:val="20"/>
                <w:szCs w:val="20"/>
              </w:rPr>
              <w:t>Mortgage Interest Supplement (MIS)</w:t>
            </w:r>
          </w:p>
        </w:tc>
        <w:tc>
          <w:tcPr>
            <w:tcW w:w="1213" w:type="dxa"/>
            <w:noWrap/>
            <w:hideMark/>
          </w:tcPr>
          <w:p w14:paraId="38C5EDE2" w14:textId="78F337D9" w:rsidR="0011608C" w:rsidRPr="0082075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536" w:type="dxa"/>
            <w:noWrap/>
          </w:tcPr>
          <w:p w14:paraId="1C43DC7B" w14:textId="4BEF4AB4" w:rsidR="0011608C" w:rsidRPr="0082075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82075B">
              <w:rPr>
                <w:sz w:val="20"/>
                <w:szCs w:val="20"/>
              </w:rPr>
              <w:t>0.1%</w:t>
            </w:r>
          </w:p>
        </w:tc>
      </w:tr>
      <w:tr w:rsidR="007F2654" w:rsidRPr="00CF2862" w14:paraId="58898DB3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7803A43" w14:textId="77777777" w:rsidR="00F64339" w:rsidRPr="00CF2862" w:rsidRDefault="00F64339" w:rsidP="00F64339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D47D79B" w14:textId="77777777" w:rsidR="00F64339" w:rsidRPr="00CF2862" w:rsidRDefault="00F64339" w:rsidP="00F643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28274926" w14:textId="77777777" w:rsidR="00F64339" w:rsidRPr="00CF2862" w:rsidRDefault="00F64339" w:rsidP="00F6433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062E099B" w14:textId="36BC6218" w:rsidR="00F64339" w:rsidRPr="00CF2862" w:rsidRDefault="0011608C" w:rsidP="00F6433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6,170</w:t>
            </w:r>
          </w:p>
        </w:tc>
        <w:tc>
          <w:tcPr>
            <w:tcW w:w="1536" w:type="dxa"/>
            <w:noWrap/>
          </w:tcPr>
          <w:p w14:paraId="2F3327C5" w14:textId="106F8ECA" w:rsidR="00F64339" w:rsidRPr="00CF2862" w:rsidRDefault="007751F0" w:rsidP="00F64339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64339" w:rsidRPr="00CF2862" w14:paraId="24B333B9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300E03C4" w14:textId="3E3022B2" w:rsidR="00F64339" w:rsidRPr="00737795" w:rsidRDefault="00F64339" w:rsidP="00F6433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737795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Social </w:t>
            </w:r>
            <w:r w:rsidR="00417D86" w:rsidRPr="00737795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Welfare Miscellaneous</w:t>
            </w:r>
          </w:p>
        </w:tc>
      </w:tr>
      <w:tr w:rsidR="0011608C" w:rsidRPr="00CF2862" w14:paraId="0F720EF1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9D3F88F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23F329D8" w14:textId="1D5B61B0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4298F72B" w14:textId="6103DAAA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014F1334" w14:textId="5520104F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1,445 </w:t>
            </w:r>
          </w:p>
        </w:tc>
        <w:tc>
          <w:tcPr>
            <w:tcW w:w="1536" w:type="dxa"/>
            <w:noWrap/>
          </w:tcPr>
          <w:p w14:paraId="51A0588E" w14:textId="11D6A18C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30.2%</w:t>
            </w:r>
          </w:p>
        </w:tc>
      </w:tr>
      <w:tr w:rsidR="0011608C" w:rsidRPr="00CF2862" w14:paraId="25B082F4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D46720F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29259A0" w14:textId="439ACEEA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23854776" w14:textId="0AB0DDBF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Public Services Card</w:t>
            </w:r>
          </w:p>
        </w:tc>
        <w:tc>
          <w:tcPr>
            <w:tcW w:w="1213" w:type="dxa"/>
            <w:noWrap/>
          </w:tcPr>
          <w:p w14:paraId="4B1348C4" w14:textId="7749349C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1,255 </w:t>
            </w:r>
          </w:p>
        </w:tc>
        <w:tc>
          <w:tcPr>
            <w:tcW w:w="1536" w:type="dxa"/>
            <w:noWrap/>
          </w:tcPr>
          <w:p w14:paraId="3DDB6B4F" w14:textId="5A07FF36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26.3%</w:t>
            </w:r>
          </w:p>
        </w:tc>
      </w:tr>
      <w:tr w:rsidR="0011608C" w:rsidRPr="00CF2862" w14:paraId="5CC42AD0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8B12950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F8AECE8" w14:textId="2500CAD0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4FAF4A16" w14:textId="68BEDF02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Means Tests</w:t>
            </w:r>
          </w:p>
        </w:tc>
        <w:tc>
          <w:tcPr>
            <w:tcW w:w="1213" w:type="dxa"/>
            <w:noWrap/>
          </w:tcPr>
          <w:p w14:paraId="12BA049D" w14:textId="6CA2EA9F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826 </w:t>
            </w:r>
          </w:p>
        </w:tc>
        <w:tc>
          <w:tcPr>
            <w:tcW w:w="1536" w:type="dxa"/>
            <w:noWrap/>
          </w:tcPr>
          <w:p w14:paraId="054FAD9E" w14:textId="14265DCC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17.3%</w:t>
            </w:r>
          </w:p>
        </w:tc>
      </w:tr>
      <w:tr w:rsidR="0011608C" w:rsidRPr="00CF2862" w14:paraId="584F44B6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5B3D9D7" w14:textId="205B44E8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FB8DFF9" w14:textId="2A71654E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2754F9C" w14:textId="6CE18DAC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Habitual Residence Condition</w:t>
            </w:r>
          </w:p>
        </w:tc>
        <w:tc>
          <w:tcPr>
            <w:tcW w:w="1213" w:type="dxa"/>
            <w:noWrap/>
            <w:hideMark/>
          </w:tcPr>
          <w:p w14:paraId="197C1321" w14:textId="6C39D27B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569 </w:t>
            </w:r>
          </w:p>
        </w:tc>
        <w:tc>
          <w:tcPr>
            <w:tcW w:w="1536" w:type="dxa"/>
            <w:noWrap/>
          </w:tcPr>
          <w:p w14:paraId="47F68B6A" w14:textId="763B5B58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11.9%</w:t>
            </w:r>
          </w:p>
        </w:tc>
      </w:tr>
      <w:tr w:rsidR="0011608C" w:rsidRPr="00CF2862" w14:paraId="0CBF97A7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40BE6D6" w14:textId="686F4109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7A38F17" w14:textId="5B482FB6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28B515D6" w14:textId="63A86ADF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MyWelfare.ie</w:t>
            </w:r>
          </w:p>
        </w:tc>
        <w:tc>
          <w:tcPr>
            <w:tcW w:w="1213" w:type="dxa"/>
            <w:noWrap/>
            <w:hideMark/>
          </w:tcPr>
          <w:p w14:paraId="46137A39" w14:textId="09B8CF83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323 </w:t>
            </w:r>
          </w:p>
        </w:tc>
        <w:tc>
          <w:tcPr>
            <w:tcW w:w="1536" w:type="dxa"/>
            <w:noWrap/>
          </w:tcPr>
          <w:p w14:paraId="7444C17C" w14:textId="44853AEE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6.8%</w:t>
            </w:r>
          </w:p>
        </w:tc>
      </w:tr>
      <w:tr w:rsidR="0011608C" w:rsidRPr="00CF2862" w14:paraId="18D8F9A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D29A0D6" w14:textId="0F1EDE6C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10BE9F1" w14:textId="7B5B32CE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311A7EDF" w14:textId="1ADA1AE2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Overpayments</w:t>
            </w:r>
          </w:p>
        </w:tc>
        <w:tc>
          <w:tcPr>
            <w:tcW w:w="1213" w:type="dxa"/>
            <w:noWrap/>
            <w:hideMark/>
          </w:tcPr>
          <w:p w14:paraId="6081ECF4" w14:textId="6870CEFE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185 </w:t>
            </w:r>
          </w:p>
        </w:tc>
        <w:tc>
          <w:tcPr>
            <w:tcW w:w="1536" w:type="dxa"/>
            <w:noWrap/>
          </w:tcPr>
          <w:p w14:paraId="736C3277" w14:textId="073E7B57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3.9%</w:t>
            </w:r>
          </w:p>
        </w:tc>
      </w:tr>
      <w:tr w:rsidR="0011608C" w:rsidRPr="00CF2862" w14:paraId="1CC7E402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6EEC11A" w14:textId="2E479B25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072F430" w14:textId="74B8F2EE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50EA4EF" w14:textId="593BAB7C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EU Contributions and Entitlements</w:t>
            </w:r>
          </w:p>
        </w:tc>
        <w:tc>
          <w:tcPr>
            <w:tcW w:w="1213" w:type="dxa"/>
            <w:noWrap/>
            <w:hideMark/>
          </w:tcPr>
          <w:p w14:paraId="4DDA5A50" w14:textId="52764118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80 </w:t>
            </w:r>
          </w:p>
        </w:tc>
        <w:tc>
          <w:tcPr>
            <w:tcW w:w="1536" w:type="dxa"/>
            <w:noWrap/>
          </w:tcPr>
          <w:p w14:paraId="4CC781B5" w14:textId="70198D5F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1.7%</w:t>
            </w:r>
          </w:p>
        </w:tc>
      </w:tr>
      <w:tr w:rsidR="0011608C" w:rsidRPr="00CF2862" w14:paraId="062CD8BE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B82DFBE" w14:textId="0C179FFA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6CE4CA6" w14:textId="764C9C74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535F40DD" w14:textId="13687BDE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UK Entitlements/Brexit</w:t>
            </w:r>
          </w:p>
        </w:tc>
        <w:tc>
          <w:tcPr>
            <w:tcW w:w="1213" w:type="dxa"/>
            <w:noWrap/>
            <w:hideMark/>
          </w:tcPr>
          <w:p w14:paraId="08483FD8" w14:textId="74970F56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69 </w:t>
            </w:r>
          </w:p>
        </w:tc>
        <w:tc>
          <w:tcPr>
            <w:tcW w:w="1536" w:type="dxa"/>
            <w:noWrap/>
          </w:tcPr>
          <w:p w14:paraId="56C607FA" w14:textId="089DF683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1.4%</w:t>
            </w:r>
          </w:p>
        </w:tc>
      </w:tr>
      <w:tr w:rsidR="0011608C" w:rsidRPr="00CF2862" w14:paraId="628B73E0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183991D" w14:textId="016102E1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095A7D5" w14:textId="741B020D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785455FE" w14:textId="30AB725B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Late Claims</w:t>
            </w:r>
          </w:p>
        </w:tc>
        <w:tc>
          <w:tcPr>
            <w:tcW w:w="1213" w:type="dxa"/>
            <w:noWrap/>
            <w:hideMark/>
          </w:tcPr>
          <w:p w14:paraId="5673DEC8" w14:textId="37D7CFEE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25 </w:t>
            </w:r>
          </w:p>
        </w:tc>
        <w:tc>
          <w:tcPr>
            <w:tcW w:w="1536" w:type="dxa"/>
            <w:noWrap/>
          </w:tcPr>
          <w:p w14:paraId="3636774C" w14:textId="49BD975D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0.5%</w:t>
            </w:r>
          </w:p>
        </w:tc>
      </w:tr>
      <w:tr w:rsidR="0011608C" w:rsidRPr="00CF2862" w14:paraId="048EEA5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AE94D57" w14:textId="01B8290A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348CAD7" w14:textId="4B2AACED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4604" w:type="dxa"/>
            <w:noWrap/>
          </w:tcPr>
          <w:p w14:paraId="1A9A517B" w14:textId="760394AC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Insolvency Payments Scheme</w:t>
            </w:r>
          </w:p>
        </w:tc>
        <w:tc>
          <w:tcPr>
            <w:tcW w:w="1213" w:type="dxa"/>
            <w:noWrap/>
            <w:hideMark/>
          </w:tcPr>
          <w:p w14:paraId="2D349814" w14:textId="7144643C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536" w:type="dxa"/>
            <w:noWrap/>
          </w:tcPr>
          <w:p w14:paraId="55BB112E" w14:textId="3DCED80D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0.0%</w:t>
            </w:r>
          </w:p>
        </w:tc>
      </w:tr>
      <w:tr w:rsidR="007F2654" w:rsidRPr="00CF2862" w14:paraId="4B6BE6BF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9C153F6" w14:textId="77777777" w:rsidR="00417D86" w:rsidRPr="00CF2862" w:rsidRDefault="00417D86" w:rsidP="00417D8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</w:tcPr>
          <w:p w14:paraId="08BEF955" w14:textId="214AB056" w:rsidR="00417D86" w:rsidRPr="00CF2862" w:rsidRDefault="00417D86" w:rsidP="00417D8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  <w:hideMark/>
          </w:tcPr>
          <w:p w14:paraId="216FFA30" w14:textId="77777777" w:rsidR="00417D86" w:rsidRPr="00CF2862" w:rsidRDefault="00417D86" w:rsidP="00417D8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FDDC1C7" w14:textId="1FF76522" w:rsidR="00417D86" w:rsidRPr="00417D86" w:rsidRDefault="0011608C" w:rsidP="00417D8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4,778</w:t>
            </w:r>
          </w:p>
        </w:tc>
        <w:tc>
          <w:tcPr>
            <w:tcW w:w="1536" w:type="dxa"/>
            <w:noWrap/>
          </w:tcPr>
          <w:p w14:paraId="595FCDED" w14:textId="22C599E0" w:rsidR="00417D86" w:rsidRPr="00CF2862" w:rsidRDefault="007751F0" w:rsidP="00417D8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17D86" w:rsidRPr="00CF2862" w14:paraId="1C48C63E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5800B93" w14:textId="5A3959BB" w:rsidR="00417D86" w:rsidRPr="00417D86" w:rsidRDefault="00417D86" w:rsidP="00417D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417D8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Social Insurance (PRSI)</w:t>
            </w:r>
          </w:p>
        </w:tc>
      </w:tr>
      <w:tr w:rsidR="00F1584B" w:rsidRPr="00CF2862" w14:paraId="3838D8B4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EEA0913" w14:textId="77777777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636ADB7E" w14:textId="396B45DA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15735674" w14:textId="12DD53A5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PRSI Records/Paid Contributions</w:t>
            </w:r>
          </w:p>
        </w:tc>
        <w:tc>
          <w:tcPr>
            <w:tcW w:w="1213" w:type="dxa"/>
            <w:noWrap/>
            <w:hideMark/>
          </w:tcPr>
          <w:p w14:paraId="04C86647" w14:textId="2C887529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1,832 </w:t>
            </w:r>
          </w:p>
        </w:tc>
        <w:tc>
          <w:tcPr>
            <w:tcW w:w="1536" w:type="dxa"/>
            <w:noWrap/>
          </w:tcPr>
          <w:p w14:paraId="170865DF" w14:textId="410EFA93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41.9%</w:t>
            </w:r>
          </w:p>
        </w:tc>
      </w:tr>
      <w:tr w:rsidR="00F1584B" w:rsidRPr="00CF2862" w14:paraId="5CDE2E86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7DE502C" w14:textId="5380C2D2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6B69F92" w14:textId="618E4BFE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471479FB" w14:textId="4EF79220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PPS Number</w:t>
            </w:r>
          </w:p>
        </w:tc>
        <w:tc>
          <w:tcPr>
            <w:tcW w:w="1213" w:type="dxa"/>
            <w:noWrap/>
            <w:hideMark/>
          </w:tcPr>
          <w:p w14:paraId="77987922" w14:textId="431D4651" w:rsidR="00F1584B" w:rsidRPr="00C32FB0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1,092 </w:t>
            </w:r>
          </w:p>
        </w:tc>
        <w:tc>
          <w:tcPr>
            <w:tcW w:w="1536" w:type="dxa"/>
            <w:noWrap/>
          </w:tcPr>
          <w:p w14:paraId="2F6BFD39" w14:textId="331D8D76" w:rsidR="00F1584B" w:rsidRPr="00C32FB0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25.0%</w:t>
            </w:r>
          </w:p>
        </w:tc>
      </w:tr>
      <w:tr w:rsidR="00F1584B" w:rsidRPr="00CF2862" w14:paraId="2ABA7AD8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2ABBB12" w14:textId="0DBEC683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1348D10" w14:textId="2B0627EA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78146B63" w14:textId="208BB328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Credited Contributions</w:t>
            </w:r>
          </w:p>
        </w:tc>
        <w:tc>
          <w:tcPr>
            <w:tcW w:w="1213" w:type="dxa"/>
            <w:noWrap/>
            <w:hideMark/>
          </w:tcPr>
          <w:p w14:paraId="4268A73B" w14:textId="77F4728C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437 </w:t>
            </w:r>
          </w:p>
        </w:tc>
        <w:tc>
          <w:tcPr>
            <w:tcW w:w="1536" w:type="dxa"/>
            <w:noWrap/>
          </w:tcPr>
          <w:p w14:paraId="43E45C6C" w14:textId="350BFC38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10.0%</w:t>
            </w:r>
          </w:p>
        </w:tc>
      </w:tr>
      <w:tr w:rsidR="00F1584B" w:rsidRPr="00CF2862" w14:paraId="418B1CE3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F07819E" w14:textId="6AD2495B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04595F" w14:textId="26361147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37E57C96" w14:textId="19945FDB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PRSI Classes</w:t>
            </w:r>
          </w:p>
        </w:tc>
        <w:tc>
          <w:tcPr>
            <w:tcW w:w="1213" w:type="dxa"/>
            <w:noWrap/>
            <w:hideMark/>
          </w:tcPr>
          <w:p w14:paraId="79E94FB2" w14:textId="3FC5B29C" w:rsidR="00F1584B" w:rsidRPr="00C32FB0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282 </w:t>
            </w:r>
          </w:p>
        </w:tc>
        <w:tc>
          <w:tcPr>
            <w:tcW w:w="1536" w:type="dxa"/>
            <w:noWrap/>
          </w:tcPr>
          <w:p w14:paraId="06A34B44" w14:textId="2D4BBE78" w:rsidR="00F1584B" w:rsidRPr="00C32FB0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6.5%</w:t>
            </w:r>
          </w:p>
        </w:tc>
      </w:tr>
      <w:tr w:rsidR="00F1584B" w:rsidRPr="00CF2862" w14:paraId="2B15CAC4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0DFF840" w14:textId="205529FD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B43632C" w14:textId="03419F66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63408A77" w14:textId="44DB57F2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Voluntary Contributions</w:t>
            </w:r>
          </w:p>
        </w:tc>
        <w:tc>
          <w:tcPr>
            <w:tcW w:w="1213" w:type="dxa"/>
            <w:noWrap/>
            <w:hideMark/>
          </w:tcPr>
          <w:p w14:paraId="3E0CDE42" w14:textId="31007BEC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258 </w:t>
            </w:r>
          </w:p>
        </w:tc>
        <w:tc>
          <w:tcPr>
            <w:tcW w:w="1536" w:type="dxa"/>
            <w:noWrap/>
          </w:tcPr>
          <w:p w14:paraId="0EB75A74" w14:textId="3A2647EC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5.9%</w:t>
            </w:r>
          </w:p>
        </w:tc>
      </w:tr>
      <w:tr w:rsidR="00F1584B" w:rsidRPr="00CF2862" w14:paraId="64EDBD5D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E1084A3" w14:textId="7E38812F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ABD4D56" w14:textId="078CADED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2B4CBA47" w14:textId="08DC00F9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Homemakers Scheme/</w:t>
            </w:r>
            <w:proofErr w:type="spellStart"/>
            <w:r w:rsidRPr="00C32FB0">
              <w:rPr>
                <w:b/>
                <w:bCs/>
                <w:sz w:val="20"/>
                <w:szCs w:val="20"/>
              </w:rPr>
              <w:t>HomeCaring</w:t>
            </w:r>
            <w:proofErr w:type="spellEnd"/>
            <w:r w:rsidRPr="00C32FB0">
              <w:rPr>
                <w:b/>
                <w:bCs/>
                <w:sz w:val="20"/>
                <w:szCs w:val="20"/>
              </w:rPr>
              <w:t xml:space="preserve"> Periods Scheme</w:t>
            </w:r>
          </w:p>
        </w:tc>
        <w:tc>
          <w:tcPr>
            <w:tcW w:w="1213" w:type="dxa"/>
            <w:noWrap/>
            <w:hideMark/>
          </w:tcPr>
          <w:p w14:paraId="39930E0F" w14:textId="493EFCDC" w:rsidR="00F1584B" w:rsidRPr="00C32FB0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234 </w:t>
            </w:r>
          </w:p>
        </w:tc>
        <w:tc>
          <w:tcPr>
            <w:tcW w:w="1536" w:type="dxa"/>
            <w:noWrap/>
          </w:tcPr>
          <w:p w14:paraId="598F2E3D" w14:textId="4D12E1FF" w:rsidR="00F1584B" w:rsidRPr="00C32FB0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5.4%</w:t>
            </w:r>
          </w:p>
        </w:tc>
      </w:tr>
      <w:tr w:rsidR="00F1584B" w:rsidRPr="00CF2862" w14:paraId="466B6F8D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F868582" w14:textId="58C0E3B4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6BC9535" w14:textId="3AF91479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7BB4E8F1" w14:textId="641851B2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66596BD2" w14:textId="5585B102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196 </w:t>
            </w:r>
          </w:p>
        </w:tc>
        <w:tc>
          <w:tcPr>
            <w:tcW w:w="1536" w:type="dxa"/>
            <w:noWrap/>
          </w:tcPr>
          <w:p w14:paraId="0F8A4450" w14:textId="4F4E6404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4.5%</w:t>
            </w:r>
          </w:p>
        </w:tc>
      </w:tr>
      <w:tr w:rsidR="00F1584B" w:rsidRPr="00CF2862" w14:paraId="1CE2BA52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2A360CC" w14:textId="7AEC6580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0C52D26" w14:textId="00933959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5762101A" w14:textId="2C8A6FA5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Employer's PRSI</w:t>
            </w:r>
          </w:p>
        </w:tc>
        <w:tc>
          <w:tcPr>
            <w:tcW w:w="1213" w:type="dxa"/>
            <w:noWrap/>
            <w:hideMark/>
          </w:tcPr>
          <w:p w14:paraId="681094AD" w14:textId="097B1601" w:rsidR="00F1584B" w:rsidRPr="00C32FB0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40 </w:t>
            </w:r>
          </w:p>
        </w:tc>
        <w:tc>
          <w:tcPr>
            <w:tcW w:w="1536" w:type="dxa"/>
            <w:noWrap/>
          </w:tcPr>
          <w:p w14:paraId="5F24ABE1" w14:textId="1240A129" w:rsidR="00F1584B" w:rsidRPr="00C32FB0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0.9%</w:t>
            </w:r>
          </w:p>
        </w:tc>
      </w:tr>
      <w:tr w:rsidR="00F1584B" w:rsidRPr="00CF2862" w14:paraId="5E4E9313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1129EA0" w14:textId="59FEDC08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25C3ADE" w14:textId="2B0BB5E5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4604" w:type="dxa"/>
            <w:noWrap/>
          </w:tcPr>
          <w:p w14:paraId="274B08DA" w14:textId="6782307A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Jobs Plus</w:t>
            </w:r>
          </w:p>
        </w:tc>
        <w:tc>
          <w:tcPr>
            <w:tcW w:w="1213" w:type="dxa"/>
            <w:noWrap/>
            <w:hideMark/>
          </w:tcPr>
          <w:p w14:paraId="049F6180" w14:textId="4771FC6E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536" w:type="dxa"/>
            <w:noWrap/>
          </w:tcPr>
          <w:p w14:paraId="716C2EDC" w14:textId="106724E5" w:rsidR="00F1584B" w:rsidRPr="00C32FB0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0.0%</w:t>
            </w:r>
          </w:p>
        </w:tc>
      </w:tr>
      <w:tr w:rsidR="007F2654" w:rsidRPr="00CF2862" w14:paraId="70F6B294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3444660" w14:textId="77777777" w:rsidR="00417D86" w:rsidRPr="00CF2862" w:rsidRDefault="00417D86" w:rsidP="00417D8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3D4C8267" w14:textId="77777777" w:rsidR="00417D86" w:rsidRPr="00CF2862" w:rsidRDefault="00417D86" w:rsidP="00417D8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3B3385BB" w14:textId="77777777" w:rsidR="00417D86" w:rsidRPr="00CF2862" w:rsidRDefault="00417D86" w:rsidP="00417D8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429E2861" w14:textId="63C93F91" w:rsidR="00417D86" w:rsidRPr="00CF2862" w:rsidRDefault="0011608C" w:rsidP="00417D8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4,372</w:t>
            </w:r>
          </w:p>
        </w:tc>
        <w:tc>
          <w:tcPr>
            <w:tcW w:w="1536" w:type="dxa"/>
            <w:noWrap/>
          </w:tcPr>
          <w:p w14:paraId="487FFC16" w14:textId="11ACEC96" w:rsidR="00417D86" w:rsidRPr="00CF2862" w:rsidRDefault="007751F0" w:rsidP="00417D8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17D86" w:rsidRPr="00CF2862" w14:paraId="4E7B9105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432DC8C2" w14:textId="77777777" w:rsidR="00417D86" w:rsidRPr="00CF2862" w:rsidRDefault="00417D86" w:rsidP="00417D86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Activation Schemes, Education and Training</w:t>
            </w:r>
          </w:p>
        </w:tc>
      </w:tr>
      <w:tr w:rsidR="0011608C" w:rsidRPr="00CF2862" w14:paraId="227D0775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75773EC9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7AB09A47" w14:textId="77777777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641BA055" w14:textId="2A9AE3EC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Back to Education Allowance (BTEA)</w:t>
            </w:r>
          </w:p>
        </w:tc>
        <w:tc>
          <w:tcPr>
            <w:tcW w:w="1213" w:type="dxa"/>
            <w:noWrap/>
            <w:hideMark/>
          </w:tcPr>
          <w:p w14:paraId="12E2D78A" w14:textId="4D8874A2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593 </w:t>
            </w:r>
          </w:p>
        </w:tc>
        <w:tc>
          <w:tcPr>
            <w:tcW w:w="1536" w:type="dxa"/>
            <w:noWrap/>
          </w:tcPr>
          <w:p w14:paraId="237389DF" w14:textId="27A903C1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42.2%</w:t>
            </w:r>
          </w:p>
        </w:tc>
      </w:tr>
      <w:tr w:rsidR="0011608C" w:rsidRPr="00CF2862" w14:paraId="15B41998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93C602" w14:textId="1425D2C2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D1FFE8A" w14:textId="274C5276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1F74B65F" w14:textId="521C4A1E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Community Employment (CE)</w:t>
            </w:r>
          </w:p>
        </w:tc>
        <w:tc>
          <w:tcPr>
            <w:tcW w:w="1213" w:type="dxa"/>
            <w:noWrap/>
            <w:hideMark/>
          </w:tcPr>
          <w:p w14:paraId="5B8523DD" w14:textId="14D9D0C6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314 </w:t>
            </w:r>
          </w:p>
        </w:tc>
        <w:tc>
          <w:tcPr>
            <w:tcW w:w="1536" w:type="dxa"/>
            <w:noWrap/>
          </w:tcPr>
          <w:p w14:paraId="1DBDCED2" w14:textId="234E8203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22.3%</w:t>
            </w:r>
          </w:p>
        </w:tc>
      </w:tr>
      <w:tr w:rsidR="0011608C" w:rsidRPr="00CF2862" w14:paraId="0A712582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946A4C0" w14:textId="0A132024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62B2CFE" w14:textId="3604527B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216A04E9" w14:textId="131C75F6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Back to Work Enterprise Allowance (BTWEA)</w:t>
            </w:r>
          </w:p>
        </w:tc>
        <w:tc>
          <w:tcPr>
            <w:tcW w:w="1213" w:type="dxa"/>
            <w:noWrap/>
            <w:hideMark/>
          </w:tcPr>
          <w:p w14:paraId="7B4B230D" w14:textId="268C5A0A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284 </w:t>
            </w:r>
          </w:p>
        </w:tc>
        <w:tc>
          <w:tcPr>
            <w:tcW w:w="1536" w:type="dxa"/>
            <w:noWrap/>
          </w:tcPr>
          <w:p w14:paraId="0C8CA3B6" w14:textId="15CBD9B0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20.2%</w:t>
            </w:r>
          </w:p>
        </w:tc>
      </w:tr>
      <w:tr w:rsidR="0011608C" w:rsidRPr="00CF2862" w14:paraId="5F553061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B89C08" w14:textId="1AC4B961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246B467" w14:textId="5EDD1BD0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3D83908F" w14:textId="4ADB5FBA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32FB0">
              <w:rPr>
                <w:b/>
                <w:bCs/>
                <w:sz w:val="20"/>
                <w:szCs w:val="20"/>
              </w:rPr>
              <w:t>Tús</w:t>
            </w:r>
            <w:proofErr w:type="spellEnd"/>
          </w:p>
        </w:tc>
        <w:tc>
          <w:tcPr>
            <w:tcW w:w="1213" w:type="dxa"/>
            <w:noWrap/>
            <w:hideMark/>
          </w:tcPr>
          <w:p w14:paraId="7B4DA02D" w14:textId="22C98248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51 </w:t>
            </w:r>
          </w:p>
        </w:tc>
        <w:tc>
          <w:tcPr>
            <w:tcW w:w="1536" w:type="dxa"/>
            <w:noWrap/>
          </w:tcPr>
          <w:p w14:paraId="6C06E391" w14:textId="04F0768F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3.6%</w:t>
            </w:r>
          </w:p>
        </w:tc>
      </w:tr>
      <w:tr w:rsidR="0011608C" w:rsidRPr="00CF2862" w14:paraId="1457F71D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22DD912" w14:textId="08088FD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3ED6D98" w14:textId="6380E050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169222D5" w14:textId="78E68F2E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32FB0">
              <w:rPr>
                <w:b/>
                <w:bCs/>
                <w:sz w:val="20"/>
                <w:szCs w:val="20"/>
              </w:rPr>
              <w:t>JobPath</w:t>
            </w:r>
            <w:proofErr w:type="spellEnd"/>
            <w:r w:rsidRPr="00C32FB0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C32FB0">
              <w:rPr>
                <w:b/>
                <w:bCs/>
                <w:sz w:val="20"/>
                <w:szCs w:val="20"/>
              </w:rPr>
              <w:t>Seetec</w:t>
            </w:r>
            <w:proofErr w:type="spellEnd"/>
            <w:r w:rsidRPr="00C32FB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C32FB0">
              <w:rPr>
                <w:b/>
                <w:bCs/>
                <w:sz w:val="20"/>
                <w:szCs w:val="20"/>
              </w:rPr>
              <w:t>Turas</w:t>
            </w:r>
            <w:proofErr w:type="spellEnd"/>
            <w:r w:rsidRPr="00C32FB0">
              <w:rPr>
                <w:b/>
                <w:bCs/>
                <w:sz w:val="20"/>
                <w:szCs w:val="20"/>
              </w:rPr>
              <w:t xml:space="preserve"> Nua</w:t>
            </w:r>
          </w:p>
        </w:tc>
        <w:tc>
          <w:tcPr>
            <w:tcW w:w="1213" w:type="dxa"/>
            <w:noWrap/>
            <w:hideMark/>
          </w:tcPr>
          <w:p w14:paraId="7F4F0B35" w14:textId="3B427919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42 </w:t>
            </w:r>
          </w:p>
        </w:tc>
        <w:tc>
          <w:tcPr>
            <w:tcW w:w="1536" w:type="dxa"/>
            <w:noWrap/>
          </w:tcPr>
          <w:p w14:paraId="166DFB8C" w14:textId="4A0AF45C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3.0%</w:t>
            </w:r>
          </w:p>
        </w:tc>
      </w:tr>
      <w:tr w:rsidR="0011608C" w:rsidRPr="00CF2862" w14:paraId="75CDBAC6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DAFD16E" w14:textId="4B82D72A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D021DC9" w14:textId="622A5086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453D8408" w14:textId="2EA4FF07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Short-Term Enterprise Allowance</w:t>
            </w:r>
          </w:p>
        </w:tc>
        <w:tc>
          <w:tcPr>
            <w:tcW w:w="1213" w:type="dxa"/>
            <w:noWrap/>
            <w:hideMark/>
          </w:tcPr>
          <w:p w14:paraId="63FF02D7" w14:textId="2BF695FF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32 </w:t>
            </w:r>
          </w:p>
        </w:tc>
        <w:tc>
          <w:tcPr>
            <w:tcW w:w="1536" w:type="dxa"/>
            <w:noWrap/>
          </w:tcPr>
          <w:p w14:paraId="491CED70" w14:textId="4A82DFB1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2.3%</w:t>
            </w:r>
          </w:p>
        </w:tc>
      </w:tr>
      <w:tr w:rsidR="0011608C" w:rsidRPr="00CF2862" w14:paraId="792E40FA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0833D01" w14:textId="7585389A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5C851F6" w14:textId="0C60215D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20FD3B49" w14:textId="53ECAC41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Part-time Education Option (PTEO)</w:t>
            </w:r>
          </w:p>
        </w:tc>
        <w:tc>
          <w:tcPr>
            <w:tcW w:w="1213" w:type="dxa"/>
            <w:noWrap/>
            <w:hideMark/>
          </w:tcPr>
          <w:p w14:paraId="2DD82F2B" w14:textId="41806FD2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26 </w:t>
            </w:r>
          </w:p>
        </w:tc>
        <w:tc>
          <w:tcPr>
            <w:tcW w:w="1536" w:type="dxa"/>
            <w:noWrap/>
          </w:tcPr>
          <w:p w14:paraId="599661AE" w14:textId="1E4FDE1A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1.8%</w:t>
            </w:r>
          </w:p>
        </w:tc>
      </w:tr>
      <w:tr w:rsidR="0011608C" w:rsidRPr="00CF2862" w14:paraId="5C155F10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E7F9ED1" w14:textId="12D95DB1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0FCBCA1" w14:textId="5EECA9DA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7ADD13F9" w14:textId="512B3E50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32FB0">
              <w:rPr>
                <w:b/>
                <w:bCs/>
                <w:sz w:val="20"/>
                <w:szCs w:val="20"/>
              </w:rPr>
              <w:t>JobsPlus</w:t>
            </w:r>
            <w:proofErr w:type="spellEnd"/>
          </w:p>
        </w:tc>
        <w:tc>
          <w:tcPr>
            <w:tcW w:w="1213" w:type="dxa"/>
            <w:noWrap/>
            <w:hideMark/>
          </w:tcPr>
          <w:p w14:paraId="0E542D19" w14:textId="0E004C97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22 </w:t>
            </w:r>
          </w:p>
        </w:tc>
        <w:tc>
          <w:tcPr>
            <w:tcW w:w="1536" w:type="dxa"/>
            <w:noWrap/>
          </w:tcPr>
          <w:p w14:paraId="4E52DDD7" w14:textId="22C6F2A3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1.6%</w:t>
            </w:r>
          </w:p>
        </w:tc>
      </w:tr>
      <w:tr w:rsidR="0011608C" w:rsidRPr="00CF2862" w14:paraId="0CFCD261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AECE079" w14:textId="37EBF896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C6C5EDF" w14:textId="383CEB75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54804D7A" w14:textId="3B8EE871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Part-Time Job Incentive Scheme (PTJI)</w:t>
            </w:r>
          </w:p>
        </w:tc>
        <w:tc>
          <w:tcPr>
            <w:tcW w:w="1213" w:type="dxa"/>
            <w:noWrap/>
            <w:hideMark/>
          </w:tcPr>
          <w:p w14:paraId="59293190" w14:textId="3C49B6B8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20 </w:t>
            </w:r>
          </w:p>
        </w:tc>
        <w:tc>
          <w:tcPr>
            <w:tcW w:w="1536" w:type="dxa"/>
            <w:noWrap/>
          </w:tcPr>
          <w:p w14:paraId="1C5F3EE7" w14:textId="0119CFE9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1.4%</w:t>
            </w:r>
          </w:p>
        </w:tc>
      </w:tr>
      <w:tr w:rsidR="0011608C" w:rsidRPr="00CF2862" w14:paraId="0C90D6C4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5A1F7807" w14:textId="72AC6F8D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44C8581" w14:textId="1421CA7D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</w:tcPr>
          <w:p w14:paraId="06AA5AFE" w14:textId="67A6726B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Rural Social Scheme</w:t>
            </w:r>
          </w:p>
        </w:tc>
        <w:tc>
          <w:tcPr>
            <w:tcW w:w="1213" w:type="dxa"/>
            <w:noWrap/>
            <w:hideMark/>
          </w:tcPr>
          <w:p w14:paraId="50716D6E" w14:textId="11E03EB6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16 </w:t>
            </w:r>
          </w:p>
        </w:tc>
        <w:tc>
          <w:tcPr>
            <w:tcW w:w="1536" w:type="dxa"/>
            <w:noWrap/>
          </w:tcPr>
          <w:p w14:paraId="2A8006C7" w14:textId="4338DC14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1.1%</w:t>
            </w:r>
          </w:p>
        </w:tc>
      </w:tr>
      <w:tr w:rsidR="0011608C" w:rsidRPr="00CF2862" w14:paraId="60382E9D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B8BC1D8" w14:textId="5C4064FD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B984E7E" w14:textId="6F61CEDC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0D07F525" w14:textId="2D958B73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Gateway</w:t>
            </w:r>
          </w:p>
        </w:tc>
        <w:tc>
          <w:tcPr>
            <w:tcW w:w="1213" w:type="dxa"/>
            <w:noWrap/>
            <w:hideMark/>
          </w:tcPr>
          <w:p w14:paraId="055436DB" w14:textId="5389BF73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536" w:type="dxa"/>
            <w:noWrap/>
          </w:tcPr>
          <w:p w14:paraId="0AC91BB2" w14:textId="363D585D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0.4%</w:t>
            </w:r>
          </w:p>
        </w:tc>
      </w:tr>
      <w:tr w:rsidR="0011608C" w:rsidRPr="00CF2862" w14:paraId="07BFA1C2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6612AA7" w14:textId="2D6F25FD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8AE3EE8" w14:textId="1649C9A2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4604" w:type="dxa"/>
            <w:noWrap/>
            <w:hideMark/>
          </w:tcPr>
          <w:p w14:paraId="0FB015E3" w14:textId="7633E4A8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proofErr w:type="spellStart"/>
            <w:r w:rsidRPr="00C32FB0">
              <w:rPr>
                <w:b/>
                <w:bCs/>
                <w:sz w:val="20"/>
                <w:szCs w:val="20"/>
              </w:rPr>
              <w:t>JobBridge</w:t>
            </w:r>
            <w:proofErr w:type="spellEnd"/>
            <w:r w:rsidRPr="00C32FB0">
              <w:rPr>
                <w:b/>
                <w:bCs/>
                <w:sz w:val="20"/>
                <w:szCs w:val="20"/>
              </w:rPr>
              <w:t>/ First Steps - Youth Internship</w:t>
            </w:r>
          </w:p>
        </w:tc>
        <w:tc>
          <w:tcPr>
            <w:tcW w:w="1213" w:type="dxa"/>
            <w:noWrap/>
            <w:hideMark/>
          </w:tcPr>
          <w:p w14:paraId="71446381" w14:textId="5A1F0A4A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536" w:type="dxa"/>
            <w:noWrap/>
          </w:tcPr>
          <w:p w14:paraId="67AA34FC" w14:textId="22867D07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0.1%</w:t>
            </w:r>
          </w:p>
        </w:tc>
      </w:tr>
      <w:tr w:rsidR="007F2654" w:rsidRPr="00CF2862" w14:paraId="561D3D82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DAD4CC4" w14:textId="77777777" w:rsidR="00417D86" w:rsidRPr="00CF2862" w:rsidRDefault="00417D86" w:rsidP="00417D8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C66EB5F" w14:textId="77777777" w:rsidR="00417D86" w:rsidRPr="00CF2862" w:rsidRDefault="00417D86" w:rsidP="00417D8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3607220" w14:textId="77777777" w:rsidR="00417D86" w:rsidRPr="00CF2862" w:rsidRDefault="00417D86" w:rsidP="00417D8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560734ED" w14:textId="1B300256" w:rsidR="00417D86" w:rsidRPr="00CF2862" w:rsidRDefault="0011608C" w:rsidP="00417D8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1,406</w:t>
            </w:r>
          </w:p>
        </w:tc>
        <w:tc>
          <w:tcPr>
            <w:tcW w:w="1536" w:type="dxa"/>
            <w:noWrap/>
            <w:hideMark/>
          </w:tcPr>
          <w:p w14:paraId="6D865950" w14:textId="31FCF189" w:rsidR="00417D86" w:rsidRPr="00CF2862" w:rsidRDefault="007751F0" w:rsidP="00417D8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677146" w:rsidRPr="00CF2862" w14:paraId="19A177D6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684BCC1" w14:textId="77777777" w:rsidR="00677146" w:rsidRPr="00CF2862" w:rsidRDefault="00677146" w:rsidP="00417D8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D4A1EB0" w14:textId="77777777" w:rsidR="00677146" w:rsidRPr="00CF2862" w:rsidRDefault="00677146" w:rsidP="00417D8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7F883966" w14:textId="77777777" w:rsidR="00677146" w:rsidRPr="00CF2862" w:rsidRDefault="00677146" w:rsidP="00417D8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213" w:type="dxa"/>
            <w:noWrap/>
          </w:tcPr>
          <w:p w14:paraId="280EFABD" w14:textId="77777777" w:rsidR="00677146" w:rsidRDefault="00677146" w:rsidP="00417D8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36" w:type="dxa"/>
            <w:noWrap/>
          </w:tcPr>
          <w:p w14:paraId="61B5E1BA" w14:textId="77777777" w:rsidR="00677146" w:rsidRDefault="00677146" w:rsidP="00417D8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417D86" w:rsidRPr="00CF2862" w14:paraId="15C74053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804A8A9" w14:textId="77777777" w:rsidR="00417D86" w:rsidRPr="00CF2862" w:rsidRDefault="00417D86" w:rsidP="00707E0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Social Welfare Appeals</w:t>
            </w:r>
          </w:p>
        </w:tc>
      </w:tr>
      <w:tr w:rsidR="0011608C" w:rsidRPr="00CF2862" w14:paraId="47B5F1D6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7FB7D55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2603DCCE" w14:textId="77777777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7D3A83C7" w14:textId="2A528C10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Disability Allowance</w:t>
            </w:r>
          </w:p>
        </w:tc>
        <w:tc>
          <w:tcPr>
            <w:tcW w:w="1213" w:type="dxa"/>
            <w:noWrap/>
            <w:hideMark/>
          </w:tcPr>
          <w:p w14:paraId="48DE6B4B" w14:textId="4F47949A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445 </w:t>
            </w:r>
          </w:p>
        </w:tc>
        <w:tc>
          <w:tcPr>
            <w:tcW w:w="1536" w:type="dxa"/>
            <w:noWrap/>
          </w:tcPr>
          <w:p w14:paraId="17C6FBC8" w14:textId="533B96E5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32.4%</w:t>
            </w:r>
          </w:p>
        </w:tc>
      </w:tr>
      <w:tr w:rsidR="0011608C" w:rsidRPr="00CF2862" w14:paraId="0CE03D1C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A0B71D7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41B0971" w14:textId="5B91E33E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6C4600B3" w14:textId="3BBAB95B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Carer's Allowance/Benefit</w:t>
            </w:r>
          </w:p>
        </w:tc>
        <w:tc>
          <w:tcPr>
            <w:tcW w:w="1213" w:type="dxa"/>
            <w:noWrap/>
            <w:hideMark/>
          </w:tcPr>
          <w:p w14:paraId="5495CC43" w14:textId="29F09005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284 </w:t>
            </w:r>
          </w:p>
        </w:tc>
        <w:tc>
          <w:tcPr>
            <w:tcW w:w="1536" w:type="dxa"/>
            <w:noWrap/>
          </w:tcPr>
          <w:p w14:paraId="11C9FC49" w14:textId="6B066ED3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20.7%</w:t>
            </w:r>
          </w:p>
        </w:tc>
      </w:tr>
      <w:tr w:rsidR="0011608C" w:rsidRPr="00CF2862" w14:paraId="5B615190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19524AE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1ACE1F5" w14:textId="06C79C1E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00653712" w14:textId="6EA71A84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Invalidity Pension</w:t>
            </w:r>
          </w:p>
        </w:tc>
        <w:tc>
          <w:tcPr>
            <w:tcW w:w="1213" w:type="dxa"/>
            <w:noWrap/>
            <w:hideMark/>
          </w:tcPr>
          <w:p w14:paraId="45FE5075" w14:textId="7767756A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198 </w:t>
            </w:r>
          </w:p>
        </w:tc>
        <w:tc>
          <w:tcPr>
            <w:tcW w:w="1536" w:type="dxa"/>
            <w:noWrap/>
          </w:tcPr>
          <w:p w14:paraId="486164B5" w14:textId="2B32AA6A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14.4%</w:t>
            </w:r>
          </w:p>
        </w:tc>
      </w:tr>
      <w:tr w:rsidR="0011608C" w:rsidRPr="00CF2862" w14:paraId="12A2E45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F82EB09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C7F9D6D" w14:textId="32BCCF2A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66C71A50" w14:textId="5E632908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7F496658" w14:textId="6FB2C0F5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97 </w:t>
            </w:r>
          </w:p>
        </w:tc>
        <w:tc>
          <w:tcPr>
            <w:tcW w:w="1536" w:type="dxa"/>
            <w:noWrap/>
          </w:tcPr>
          <w:p w14:paraId="3DE844C4" w14:textId="475BAA1A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7.1%</w:t>
            </w:r>
          </w:p>
        </w:tc>
      </w:tr>
      <w:tr w:rsidR="0011608C" w:rsidRPr="00CF2862" w14:paraId="03A50C68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E1F1FAC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B0ECE31" w14:textId="106454CE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62091D4B" w14:textId="77F8A88E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Jobseeker's Allowance</w:t>
            </w:r>
          </w:p>
        </w:tc>
        <w:tc>
          <w:tcPr>
            <w:tcW w:w="1213" w:type="dxa"/>
            <w:noWrap/>
            <w:hideMark/>
          </w:tcPr>
          <w:p w14:paraId="12B5AAE1" w14:textId="2C839D83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91 </w:t>
            </w:r>
          </w:p>
        </w:tc>
        <w:tc>
          <w:tcPr>
            <w:tcW w:w="1536" w:type="dxa"/>
            <w:noWrap/>
          </w:tcPr>
          <w:p w14:paraId="5E692B0A" w14:textId="06EFFE38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6.6%</w:t>
            </w:r>
          </w:p>
        </w:tc>
      </w:tr>
      <w:tr w:rsidR="0011608C" w:rsidRPr="00CF2862" w14:paraId="7A8A9559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DD9A93A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23DFFCB" w14:textId="74160E71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2F8AF3FA" w14:textId="34A484F0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Domiciliary Care Allowance</w:t>
            </w:r>
          </w:p>
        </w:tc>
        <w:tc>
          <w:tcPr>
            <w:tcW w:w="1213" w:type="dxa"/>
            <w:noWrap/>
            <w:hideMark/>
          </w:tcPr>
          <w:p w14:paraId="00BE8083" w14:textId="00F99485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69 </w:t>
            </w:r>
          </w:p>
        </w:tc>
        <w:tc>
          <w:tcPr>
            <w:tcW w:w="1536" w:type="dxa"/>
            <w:noWrap/>
          </w:tcPr>
          <w:p w14:paraId="2754C808" w14:textId="4266B46D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5.0%</w:t>
            </w:r>
          </w:p>
        </w:tc>
      </w:tr>
      <w:tr w:rsidR="0011608C" w:rsidRPr="00CF2862" w14:paraId="71C0BF5F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319076C0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E2865EA" w14:textId="0D34FA51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3EDA8465" w14:textId="0979EE82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Supplementary Welfare Allowance</w:t>
            </w:r>
          </w:p>
        </w:tc>
        <w:tc>
          <w:tcPr>
            <w:tcW w:w="1213" w:type="dxa"/>
            <w:noWrap/>
            <w:hideMark/>
          </w:tcPr>
          <w:p w14:paraId="6015EDFB" w14:textId="4440DD83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37 </w:t>
            </w:r>
          </w:p>
        </w:tc>
        <w:tc>
          <w:tcPr>
            <w:tcW w:w="1536" w:type="dxa"/>
            <w:noWrap/>
          </w:tcPr>
          <w:p w14:paraId="4457A77A" w14:textId="2387D58D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2.7%</w:t>
            </w:r>
          </w:p>
        </w:tc>
      </w:tr>
      <w:tr w:rsidR="0011608C" w:rsidRPr="00CF2862" w14:paraId="46FCF391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A7A875E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19A7CB56" w14:textId="4473B33E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55305FD5" w14:textId="17DEC286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State Pension (Non-Contributory)</w:t>
            </w:r>
          </w:p>
        </w:tc>
        <w:tc>
          <w:tcPr>
            <w:tcW w:w="1213" w:type="dxa"/>
            <w:noWrap/>
            <w:hideMark/>
          </w:tcPr>
          <w:p w14:paraId="3BD9540F" w14:textId="49385740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34 </w:t>
            </w:r>
          </w:p>
        </w:tc>
        <w:tc>
          <w:tcPr>
            <w:tcW w:w="1536" w:type="dxa"/>
            <w:noWrap/>
          </w:tcPr>
          <w:p w14:paraId="1B7A8996" w14:textId="43863645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2.5%</w:t>
            </w:r>
          </w:p>
        </w:tc>
      </w:tr>
      <w:tr w:rsidR="0011608C" w:rsidRPr="00CF2862" w14:paraId="56BA93E7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118E4BA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30BB8B7" w14:textId="25B025BF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53BA3C24" w14:textId="4AA68D2C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Working Family Payment (WFP)</w:t>
            </w:r>
          </w:p>
        </w:tc>
        <w:tc>
          <w:tcPr>
            <w:tcW w:w="1213" w:type="dxa"/>
            <w:noWrap/>
            <w:hideMark/>
          </w:tcPr>
          <w:p w14:paraId="2AA20DFE" w14:textId="1C4D1664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21 </w:t>
            </w:r>
          </w:p>
        </w:tc>
        <w:tc>
          <w:tcPr>
            <w:tcW w:w="1536" w:type="dxa"/>
            <w:noWrap/>
          </w:tcPr>
          <w:p w14:paraId="25FF85BE" w14:textId="2081D543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1.5%</w:t>
            </w:r>
          </w:p>
        </w:tc>
      </w:tr>
      <w:tr w:rsidR="0011608C" w:rsidRPr="00CF2862" w14:paraId="1EBDB7EE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EC8E281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0BA643B0" w14:textId="71A4CA27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047F5BBB" w14:textId="2112228B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Illness Benefit</w:t>
            </w:r>
          </w:p>
        </w:tc>
        <w:tc>
          <w:tcPr>
            <w:tcW w:w="1213" w:type="dxa"/>
            <w:noWrap/>
            <w:hideMark/>
          </w:tcPr>
          <w:p w14:paraId="24EECF88" w14:textId="2BE5BAEB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21 </w:t>
            </w:r>
          </w:p>
        </w:tc>
        <w:tc>
          <w:tcPr>
            <w:tcW w:w="1536" w:type="dxa"/>
            <w:noWrap/>
          </w:tcPr>
          <w:p w14:paraId="789C4987" w14:textId="753DE63C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1.5%</w:t>
            </w:r>
          </w:p>
        </w:tc>
      </w:tr>
      <w:tr w:rsidR="0011608C" w:rsidRPr="00CF2862" w14:paraId="15E24DA9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F45F0E9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9381779" w14:textId="59EC3C18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27E96E7A" w14:textId="0FBE3268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One Parent Family Payment (OFP)</w:t>
            </w:r>
          </w:p>
        </w:tc>
        <w:tc>
          <w:tcPr>
            <w:tcW w:w="1213" w:type="dxa"/>
            <w:noWrap/>
            <w:hideMark/>
          </w:tcPr>
          <w:p w14:paraId="413FF8EA" w14:textId="3CA91A31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20 </w:t>
            </w:r>
          </w:p>
        </w:tc>
        <w:tc>
          <w:tcPr>
            <w:tcW w:w="1536" w:type="dxa"/>
            <w:noWrap/>
          </w:tcPr>
          <w:p w14:paraId="4E3D047F" w14:textId="4F6AFFBE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1.5%</w:t>
            </w:r>
          </w:p>
        </w:tc>
      </w:tr>
      <w:tr w:rsidR="0011608C" w:rsidRPr="00CF2862" w14:paraId="39AB3C84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5CA17D9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501B64C" w14:textId="56CA3D5C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3DBB72FA" w14:textId="34FE1854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State Pension (Contributory)</w:t>
            </w:r>
          </w:p>
        </w:tc>
        <w:tc>
          <w:tcPr>
            <w:tcW w:w="1213" w:type="dxa"/>
            <w:noWrap/>
            <w:hideMark/>
          </w:tcPr>
          <w:p w14:paraId="5B36B3D7" w14:textId="55D4D55C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18 </w:t>
            </w:r>
          </w:p>
        </w:tc>
        <w:tc>
          <w:tcPr>
            <w:tcW w:w="1536" w:type="dxa"/>
            <w:noWrap/>
          </w:tcPr>
          <w:p w14:paraId="5C9E22D5" w14:textId="578BF8EF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1.3%</w:t>
            </w:r>
          </w:p>
        </w:tc>
      </w:tr>
      <w:tr w:rsidR="0011608C" w:rsidRPr="00CF2862" w14:paraId="2BB0112F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793D6672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3902318" w14:textId="27A0C7B1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0B9F16FB" w14:textId="525B0AEB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Jobseeker's Benefit</w:t>
            </w:r>
          </w:p>
        </w:tc>
        <w:tc>
          <w:tcPr>
            <w:tcW w:w="1213" w:type="dxa"/>
            <w:noWrap/>
            <w:hideMark/>
          </w:tcPr>
          <w:p w14:paraId="714144B1" w14:textId="73BD127C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16 </w:t>
            </w:r>
          </w:p>
        </w:tc>
        <w:tc>
          <w:tcPr>
            <w:tcW w:w="1536" w:type="dxa"/>
            <w:noWrap/>
          </w:tcPr>
          <w:p w14:paraId="6FF52C44" w14:textId="08599836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1.2%</w:t>
            </w:r>
          </w:p>
        </w:tc>
      </w:tr>
      <w:tr w:rsidR="0011608C" w:rsidRPr="00CF2862" w14:paraId="2D7474BC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C9001E2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BA4EB5B" w14:textId="5E199FE6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60E5DAFF" w14:textId="246D1497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213" w:type="dxa"/>
            <w:noWrap/>
            <w:hideMark/>
          </w:tcPr>
          <w:p w14:paraId="6D0F59C7" w14:textId="44DAEF03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14 </w:t>
            </w:r>
          </w:p>
        </w:tc>
        <w:tc>
          <w:tcPr>
            <w:tcW w:w="1536" w:type="dxa"/>
            <w:noWrap/>
          </w:tcPr>
          <w:p w14:paraId="00F40BC7" w14:textId="6E29A229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1.0%</w:t>
            </w:r>
          </w:p>
        </w:tc>
      </w:tr>
      <w:tr w:rsidR="0011608C" w:rsidRPr="00CF2862" w14:paraId="162BB9AD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7AF26EA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4574C373" w14:textId="18182927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2B7AEC3E" w14:textId="615FF8BE" w:rsidR="0011608C" w:rsidRPr="0047173B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Carer's Support Grant</w:t>
            </w:r>
          </w:p>
        </w:tc>
        <w:tc>
          <w:tcPr>
            <w:tcW w:w="1213" w:type="dxa"/>
            <w:noWrap/>
          </w:tcPr>
          <w:p w14:paraId="25C5DBB8" w14:textId="73414145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9 </w:t>
            </w:r>
          </w:p>
        </w:tc>
        <w:tc>
          <w:tcPr>
            <w:tcW w:w="1536" w:type="dxa"/>
            <w:noWrap/>
          </w:tcPr>
          <w:p w14:paraId="328AE97A" w14:textId="1475643A" w:rsidR="0011608C" w:rsidRPr="0047173B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0.7%</w:t>
            </w:r>
          </w:p>
        </w:tc>
      </w:tr>
      <w:tr w:rsidR="0011608C" w:rsidRPr="00CF2862" w14:paraId="01A0AF9A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67ED8D9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B51BCBE" w14:textId="3B6651E4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4604" w:type="dxa"/>
            <w:noWrap/>
            <w:hideMark/>
          </w:tcPr>
          <w:p w14:paraId="39C2C2E7" w14:textId="76A1BA50" w:rsidR="0011608C" w:rsidRPr="0047173B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b/>
                <w:bCs/>
                <w:sz w:val="20"/>
                <w:szCs w:val="20"/>
              </w:rPr>
              <w:t>Widow/Widower/surviving Civil Partner Pension</w:t>
            </w:r>
          </w:p>
        </w:tc>
        <w:tc>
          <w:tcPr>
            <w:tcW w:w="1213" w:type="dxa"/>
            <w:noWrap/>
          </w:tcPr>
          <w:p w14:paraId="7FBBF7BF" w14:textId="772BD64C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1536" w:type="dxa"/>
            <w:noWrap/>
          </w:tcPr>
          <w:p w14:paraId="691C66CD" w14:textId="2700FE51" w:rsidR="0011608C" w:rsidRPr="0047173B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sz w:val="20"/>
                <w:szCs w:val="20"/>
              </w:rPr>
              <w:t>0.1%</w:t>
            </w:r>
          </w:p>
        </w:tc>
      </w:tr>
      <w:tr w:rsidR="007F2654" w:rsidRPr="00CF2862" w14:paraId="77FBB1BE" w14:textId="77777777" w:rsidTr="00DF170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0C7D545B" w14:textId="77777777" w:rsidR="00417D86" w:rsidRPr="00CF2862" w:rsidRDefault="00417D86" w:rsidP="00707E05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3F19DD62" w14:textId="77777777" w:rsidR="00417D86" w:rsidRPr="0047173B" w:rsidRDefault="00417D86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5E4ED207" w14:textId="77777777" w:rsidR="00417D86" w:rsidRPr="0047173B" w:rsidRDefault="00417D86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10DC3B66" w14:textId="5C15FE20" w:rsidR="00417D86" w:rsidRPr="0047173B" w:rsidRDefault="0011608C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1,375</w:t>
            </w:r>
          </w:p>
        </w:tc>
        <w:tc>
          <w:tcPr>
            <w:tcW w:w="1536" w:type="dxa"/>
            <w:noWrap/>
          </w:tcPr>
          <w:p w14:paraId="6BDF7E43" w14:textId="4FCAF3B4" w:rsidR="00417D86" w:rsidRPr="0047173B" w:rsidRDefault="007751F0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47173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17D86" w:rsidRPr="00CF2862" w14:paraId="7B27844A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3ACD9059" w14:textId="77777777" w:rsidR="00417D86" w:rsidRPr="00CF2862" w:rsidRDefault="00417D86" w:rsidP="00417D86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Death Related Benefits</w:t>
            </w:r>
          </w:p>
        </w:tc>
      </w:tr>
      <w:tr w:rsidR="0011608C" w:rsidRPr="00CF2862" w14:paraId="69C46C68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60B028B" w14:textId="786FCFFA" w:rsidR="0011608C" w:rsidRPr="00CF2862" w:rsidRDefault="0047173B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</w:t>
            </w:r>
            <w:r w:rsidR="0011608C"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ocial Welfare</w:t>
            </w:r>
          </w:p>
        </w:tc>
        <w:tc>
          <w:tcPr>
            <w:tcW w:w="4074" w:type="dxa"/>
            <w:noWrap/>
            <w:hideMark/>
          </w:tcPr>
          <w:p w14:paraId="5F6D6B7B" w14:textId="77777777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  <w:hideMark/>
          </w:tcPr>
          <w:p w14:paraId="03C1377D" w14:textId="6D870B91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Widow/Widower/Surviving Civil Partner's Pension (Contrib./Non-</w:t>
            </w:r>
            <w:proofErr w:type="spellStart"/>
            <w:r w:rsidRPr="00C32FB0">
              <w:rPr>
                <w:b/>
                <w:bCs/>
                <w:sz w:val="20"/>
                <w:szCs w:val="20"/>
              </w:rPr>
              <w:t>Contrib</w:t>
            </w:r>
            <w:proofErr w:type="spellEnd"/>
            <w:r w:rsidRPr="00C32FB0">
              <w:rPr>
                <w:b/>
                <w:bCs/>
                <w:sz w:val="20"/>
                <w:szCs w:val="20"/>
              </w:rPr>
              <w:t>).</w:t>
            </w:r>
          </w:p>
        </w:tc>
        <w:tc>
          <w:tcPr>
            <w:tcW w:w="1213" w:type="dxa"/>
            <w:noWrap/>
            <w:hideMark/>
          </w:tcPr>
          <w:p w14:paraId="267A55CF" w14:textId="04F94537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650 </w:t>
            </w:r>
          </w:p>
        </w:tc>
        <w:tc>
          <w:tcPr>
            <w:tcW w:w="1536" w:type="dxa"/>
            <w:noWrap/>
          </w:tcPr>
          <w:p w14:paraId="3E3A9DCC" w14:textId="76C3A436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53.1%</w:t>
            </w:r>
          </w:p>
        </w:tc>
      </w:tr>
      <w:tr w:rsidR="0011608C" w:rsidRPr="00CF2862" w14:paraId="3609525E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F7FAEB2" w14:textId="345EEA34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05D9F21" w14:textId="48414814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  <w:hideMark/>
          </w:tcPr>
          <w:p w14:paraId="32AEA53B" w14:textId="1AF5D6D2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 xml:space="preserve">Widow's, </w:t>
            </w:r>
            <w:proofErr w:type="gramStart"/>
            <w:r w:rsidRPr="00C32FB0">
              <w:rPr>
                <w:b/>
                <w:bCs/>
                <w:sz w:val="20"/>
                <w:szCs w:val="20"/>
              </w:rPr>
              <w:t>Widower's</w:t>
            </w:r>
            <w:proofErr w:type="gramEnd"/>
            <w:r w:rsidRPr="00C32FB0">
              <w:rPr>
                <w:b/>
                <w:bCs/>
                <w:sz w:val="20"/>
                <w:szCs w:val="20"/>
              </w:rPr>
              <w:t xml:space="preserve"> or Surviving Civil Partner's (Contributory) Pension</w:t>
            </w:r>
          </w:p>
        </w:tc>
        <w:tc>
          <w:tcPr>
            <w:tcW w:w="1213" w:type="dxa"/>
            <w:noWrap/>
            <w:hideMark/>
          </w:tcPr>
          <w:p w14:paraId="7105A604" w14:textId="5DBD28D0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231 </w:t>
            </w:r>
          </w:p>
        </w:tc>
        <w:tc>
          <w:tcPr>
            <w:tcW w:w="1536" w:type="dxa"/>
            <w:noWrap/>
          </w:tcPr>
          <w:p w14:paraId="00BEE2A4" w14:textId="1BB090E9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18.9%</w:t>
            </w:r>
          </w:p>
        </w:tc>
      </w:tr>
      <w:tr w:rsidR="0011608C" w:rsidRPr="00CF2862" w14:paraId="4E62E5B0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1EA9C11C" w14:textId="384B951F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71620FC2" w14:textId="0B76F126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  <w:hideMark/>
          </w:tcPr>
          <w:p w14:paraId="5A037558" w14:textId="16D6B503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Help with Funeral Costs</w:t>
            </w:r>
          </w:p>
        </w:tc>
        <w:tc>
          <w:tcPr>
            <w:tcW w:w="1213" w:type="dxa"/>
            <w:noWrap/>
            <w:hideMark/>
          </w:tcPr>
          <w:p w14:paraId="51B99226" w14:textId="606C0FB7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143 </w:t>
            </w:r>
          </w:p>
        </w:tc>
        <w:tc>
          <w:tcPr>
            <w:tcW w:w="1536" w:type="dxa"/>
            <w:noWrap/>
          </w:tcPr>
          <w:p w14:paraId="5728AC32" w14:textId="23C68566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11.7%</w:t>
            </w:r>
          </w:p>
        </w:tc>
      </w:tr>
      <w:tr w:rsidR="0011608C" w:rsidRPr="00CF2862" w14:paraId="0760B0CD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43125D84" w14:textId="46A4A3FF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329A5CDB" w14:textId="6D0DF606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  <w:hideMark/>
          </w:tcPr>
          <w:p w14:paraId="66E91778" w14:textId="7F023DB8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Widow/Widower/Surviving Civil Partner Grant</w:t>
            </w:r>
          </w:p>
        </w:tc>
        <w:tc>
          <w:tcPr>
            <w:tcW w:w="1213" w:type="dxa"/>
            <w:noWrap/>
            <w:hideMark/>
          </w:tcPr>
          <w:p w14:paraId="1736559A" w14:textId="61C7C5C3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106 </w:t>
            </w:r>
          </w:p>
        </w:tc>
        <w:tc>
          <w:tcPr>
            <w:tcW w:w="1536" w:type="dxa"/>
            <w:noWrap/>
          </w:tcPr>
          <w:p w14:paraId="1A7EA3DA" w14:textId="77F29E86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8.7%</w:t>
            </w:r>
          </w:p>
        </w:tc>
      </w:tr>
      <w:tr w:rsidR="0011608C" w:rsidRPr="00CF2862" w14:paraId="3B911DF5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236B4A58" w14:textId="35345065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60FC957" w14:textId="4BA43F5D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  <w:hideMark/>
          </w:tcPr>
          <w:p w14:paraId="06ABF15D" w14:textId="0B077C08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 xml:space="preserve">Widow's, </w:t>
            </w:r>
            <w:proofErr w:type="gramStart"/>
            <w:r w:rsidRPr="00C32FB0">
              <w:rPr>
                <w:b/>
                <w:bCs/>
                <w:sz w:val="20"/>
                <w:szCs w:val="20"/>
              </w:rPr>
              <w:t>Widower's</w:t>
            </w:r>
            <w:proofErr w:type="gramEnd"/>
            <w:r w:rsidRPr="00C32FB0">
              <w:rPr>
                <w:b/>
                <w:bCs/>
                <w:sz w:val="20"/>
                <w:szCs w:val="20"/>
              </w:rPr>
              <w:t xml:space="preserve"> or Surviving Civil Partner's (Non-Contributory) Pension</w:t>
            </w:r>
          </w:p>
        </w:tc>
        <w:tc>
          <w:tcPr>
            <w:tcW w:w="1213" w:type="dxa"/>
            <w:noWrap/>
            <w:hideMark/>
          </w:tcPr>
          <w:p w14:paraId="0D573FB3" w14:textId="318A98DB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47 </w:t>
            </w:r>
          </w:p>
        </w:tc>
        <w:tc>
          <w:tcPr>
            <w:tcW w:w="1536" w:type="dxa"/>
            <w:noWrap/>
          </w:tcPr>
          <w:p w14:paraId="6733715E" w14:textId="5DE8A239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3.8%</w:t>
            </w:r>
          </w:p>
        </w:tc>
      </w:tr>
      <w:tr w:rsidR="0011608C" w:rsidRPr="00CF2862" w14:paraId="61A490E9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9370EAE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603AF869" w14:textId="12FAE126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  <w:hideMark/>
          </w:tcPr>
          <w:p w14:paraId="5158ADC2" w14:textId="798FE08D" w:rsidR="0011608C" w:rsidRPr="00C32FB0" w:rsidRDefault="0011608C" w:rsidP="0011608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Guardian's Payment</w:t>
            </w:r>
          </w:p>
        </w:tc>
        <w:tc>
          <w:tcPr>
            <w:tcW w:w="1213" w:type="dxa"/>
            <w:noWrap/>
            <w:hideMark/>
          </w:tcPr>
          <w:p w14:paraId="520ECE9B" w14:textId="52136085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42 </w:t>
            </w:r>
          </w:p>
        </w:tc>
        <w:tc>
          <w:tcPr>
            <w:tcW w:w="1536" w:type="dxa"/>
            <w:noWrap/>
            <w:hideMark/>
          </w:tcPr>
          <w:p w14:paraId="1D18F610" w14:textId="3207009C" w:rsidR="0011608C" w:rsidRPr="00C32FB0" w:rsidRDefault="0011608C" w:rsidP="0011608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3.4%</w:t>
            </w:r>
          </w:p>
        </w:tc>
      </w:tr>
      <w:tr w:rsidR="0011608C" w:rsidRPr="00CF2862" w14:paraId="2E8C779D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136A917" w14:textId="77777777" w:rsidR="0011608C" w:rsidRPr="00CF2862" w:rsidRDefault="0011608C" w:rsidP="0011608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290179C0" w14:textId="3D9C2414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4604" w:type="dxa"/>
            <w:noWrap/>
          </w:tcPr>
          <w:p w14:paraId="38A87C8A" w14:textId="4A396734" w:rsidR="0011608C" w:rsidRPr="00C32FB0" w:rsidRDefault="0011608C" w:rsidP="0011608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Special Funeral Grant (Occ. Injuries Scheme only)</w:t>
            </w:r>
          </w:p>
        </w:tc>
        <w:tc>
          <w:tcPr>
            <w:tcW w:w="1213" w:type="dxa"/>
            <w:noWrap/>
          </w:tcPr>
          <w:p w14:paraId="32BE8B8B" w14:textId="00D0051F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536" w:type="dxa"/>
            <w:noWrap/>
          </w:tcPr>
          <w:p w14:paraId="52FC27B7" w14:textId="759968AF" w:rsidR="0011608C" w:rsidRPr="00C32FB0" w:rsidRDefault="0011608C" w:rsidP="0011608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0.4%</w:t>
            </w:r>
          </w:p>
        </w:tc>
      </w:tr>
      <w:tr w:rsidR="007F2654" w:rsidRPr="00CF2862" w14:paraId="3D1942BE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6E05C63A" w14:textId="77777777" w:rsidR="00417D86" w:rsidRPr="00CF2862" w:rsidRDefault="00417D86" w:rsidP="00417D8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6E9284AC" w14:textId="77777777" w:rsidR="00417D86" w:rsidRPr="00CF2862" w:rsidRDefault="00417D86" w:rsidP="00417D8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</w:tcPr>
          <w:p w14:paraId="05F8A004" w14:textId="2E1289C0" w:rsidR="00417D86" w:rsidRPr="00CF2862" w:rsidRDefault="00417D86" w:rsidP="00417D8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</w:tcPr>
          <w:p w14:paraId="2E1F71BA" w14:textId="238C99E9" w:rsidR="00417D86" w:rsidRDefault="00F1584B" w:rsidP="00417D8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1,224</w:t>
            </w:r>
          </w:p>
        </w:tc>
        <w:tc>
          <w:tcPr>
            <w:tcW w:w="1536" w:type="dxa"/>
            <w:noWrap/>
          </w:tcPr>
          <w:p w14:paraId="075AAFDC" w14:textId="37F41F8D" w:rsidR="00417D86" w:rsidRPr="00CF2862" w:rsidRDefault="007751F0" w:rsidP="00417D8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7F2654" w:rsidRPr="00CF2862" w14:paraId="4F52374D" w14:textId="77777777" w:rsidTr="00575157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DC8E6FC" w14:textId="77777777" w:rsidR="007F2654" w:rsidRPr="00CF2862" w:rsidRDefault="007F2654" w:rsidP="00575157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Social Welfare Benefits Check</w:t>
            </w:r>
          </w:p>
        </w:tc>
      </w:tr>
      <w:tr w:rsidR="007F2654" w:rsidRPr="00CF2862" w14:paraId="1F38935D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020523A" w14:textId="77777777" w:rsidR="007F2654" w:rsidRPr="00CF2862" w:rsidRDefault="007F2654" w:rsidP="00575157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hideMark/>
          </w:tcPr>
          <w:p w14:paraId="12FF38F7" w14:textId="77777777" w:rsidR="007F2654" w:rsidRPr="00C32FB0" w:rsidRDefault="007F2654" w:rsidP="005751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4604" w:type="dxa"/>
            <w:hideMark/>
          </w:tcPr>
          <w:p w14:paraId="6439108E" w14:textId="77777777" w:rsidR="007F2654" w:rsidRPr="00C32FB0" w:rsidRDefault="007F2654" w:rsidP="005751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Benefits Check</w:t>
            </w:r>
          </w:p>
        </w:tc>
        <w:tc>
          <w:tcPr>
            <w:tcW w:w="1213" w:type="dxa"/>
            <w:noWrap/>
            <w:hideMark/>
          </w:tcPr>
          <w:p w14:paraId="7C3CF398" w14:textId="7E73069D" w:rsidR="007F2654" w:rsidRPr="00CF2862" w:rsidRDefault="004473E3" w:rsidP="0057515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724</w:t>
            </w:r>
          </w:p>
        </w:tc>
        <w:tc>
          <w:tcPr>
            <w:tcW w:w="1536" w:type="dxa"/>
            <w:noWrap/>
          </w:tcPr>
          <w:p w14:paraId="495A1085" w14:textId="77777777" w:rsidR="007F2654" w:rsidRPr="00CF2862" w:rsidRDefault="007F2654" w:rsidP="0057515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7F2654" w:rsidRPr="00CF2862" w14:paraId="5B925A44" w14:textId="77777777" w:rsidTr="0057515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587A107B" w14:textId="77777777" w:rsidR="007F2654" w:rsidRPr="00CF2862" w:rsidRDefault="007F2654" w:rsidP="00575157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5DD71347" w14:textId="77777777" w:rsidR="007F2654" w:rsidRPr="00CF2862" w:rsidRDefault="007F2654" w:rsidP="005751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1F0B6768" w14:textId="77777777" w:rsidR="007F2654" w:rsidRPr="00CF2862" w:rsidRDefault="007F2654" w:rsidP="005751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138AC7BE" w14:textId="1A973A86" w:rsidR="007F2654" w:rsidRPr="00CF2862" w:rsidRDefault="004473E3" w:rsidP="0057515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724</w:t>
            </w:r>
          </w:p>
        </w:tc>
        <w:tc>
          <w:tcPr>
            <w:tcW w:w="1536" w:type="dxa"/>
            <w:noWrap/>
          </w:tcPr>
          <w:p w14:paraId="4E1D7806" w14:textId="77777777" w:rsidR="007F2654" w:rsidRPr="00CF2862" w:rsidRDefault="007F2654" w:rsidP="0057515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17D86" w:rsidRPr="00CF2862" w14:paraId="4A2A3223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636C3B42" w14:textId="77777777" w:rsidR="00417D86" w:rsidRPr="00CF2862" w:rsidRDefault="00417D86" w:rsidP="00417D86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Social Welfare Payments and Work</w:t>
            </w:r>
          </w:p>
        </w:tc>
      </w:tr>
      <w:tr w:rsidR="007F2654" w:rsidRPr="00CF2862" w14:paraId="25B183A0" w14:textId="77777777" w:rsidTr="00417D86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4FD2366A" w14:textId="77777777" w:rsidR="00E070EC" w:rsidRPr="00CF2862" w:rsidRDefault="00E070EC" w:rsidP="00E070E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hideMark/>
          </w:tcPr>
          <w:p w14:paraId="4E7E6835" w14:textId="77777777" w:rsidR="00E070EC" w:rsidRPr="00C32FB0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4604" w:type="dxa"/>
            <w:hideMark/>
          </w:tcPr>
          <w:p w14:paraId="6270A214" w14:textId="77777777" w:rsidR="00E070EC" w:rsidRPr="00C32FB0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213" w:type="dxa"/>
            <w:noWrap/>
            <w:hideMark/>
          </w:tcPr>
          <w:p w14:paraId="1606B787" w14:textId="253275E2" w:rsidR="00E070EC" w:rsidRPr="00CF2862" w:rsidRDefault="004473E3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692</w:t>
            </w:r>
          </w:p>
        </w:tc>
        <w:tc>
          <w:tcPr>
            <w:tcW w:w="1536" w:type="dxa"/>
            <w:noWrap/>
            <w:hideMark/>
          </w:tcPr>
          <w:p w14:paraId="1ABB7CDA" w14:textId="2DF9A7C8" w:rsidR="00E070EC" w:rsidRPr="00CF2862" w:rsidRDefault="00E070EC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7F2654" w:rsidRPr="00CF2862" w14:paraId="162C267B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26134F18" w14:textId="77777777" w:rsidR="00E070EC" w:rsidRPr="00CF2862" w:rsidRDefault="00E070EC" w:rsidP="00E070E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4DCE0783" w14:textId="77777777" w:rsidR="00E070EC" w:rsidRPr="00CF2862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7403047A" w14:textId="77777777" w:rsidR="00E070EC" w:rsidRPr="00CF2862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32CFBEFF" w14:textId="49BA9CFD" w:rsidR="00E070EC" w:rsidRPr="00CF2862" w:rsidRDefault="004473E3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692</w:t>
            </w:r>
          </w:p>
        </w:tc>
        <w:tc>
          <w:tcPr>
            <w:tcW w:w="1536" w:type="dxa"/>
            <w:noWrap/>
            <w:hideMark/>
          </w:tcPr>
          <w:p w14:paraId="66DF0E15" w14:textId="2B6B31ED" w:rsidR="00E070EC" w:rsidRPr="00CF2862" w:rsidRDefault="007751F0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17D86" w:rsidRPr="00CF2862" w14:paraId="4037F2EA" w14:textId="77777777" w:rsidTr="00417D8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97" w:type="dxa"/>
            <w:gridSpan w:val="5"/>
            <w:noWrap/>
            <w:hideMark/>
          </w:tcPr>
          <w:p w14:paraId="093B3A4B" w14:textId="77777777" w:rsidR="00417D86" w:rsidRPr="00C63E75" w:rsidRDefault="00417D86" w:rsidP="00417D86">
            <w:pPr>
              <w:spacing w:line="240" w:lineRule="auto"/>
              <w:jc w:val="center"/>
              <w:rPr>
                <w:rFonts w:eastAsia="Times New Roman" w:cs="Calibri"/>
                <w:b w:val="0"/>
                <w:color w:val="000000"/>
                <w:sz w:val="24"/>
                <w:szCs w:val="24"/>
                <w:lang w:eastAsia="en-IE"/>
              </w:rPr>
            </w:pPr>
            <w:r w:rsidRPr="00C63E75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Farmers</w:t>
            </w:r>
          </w:p>
        </w:tc>
      </w:tr>
      <w:tr w:rsidR="00F1584B" w:rsidRPr="00CF2862" w14:paraId="57843BB8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3D6EC02B" w14:textId="77777777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4074" w:type="dxa"/>
            <w:noWrap/>
            <w:hideMark/>
          </w:tcPr>
          <w:p w14:paraId="5CCEFE32" w14:textId="77777777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4604" w:type="dxa"/>
            <w:noWrap/>
            <w:hideMark/>
          </w:tcPr>
          <w:p w14:paraId="0BFAB66F" w14:textId="3647E6AE" w:rsidR="00F1584B" w:rsidRPr="00C32FB0" w:rsidRDefault="00F1584B" w:rsidP="00F1584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213" w:type="dxa"/>
            <w:noWrap/>
            <w:hideMark/>
          </w:tcPr>
          <w:p w14:paraId="2C3573E0" w14:textId="602464C5" w:rsidR="00F1584B" w:rsidRPr="00417D86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151</w:t>
            </w:r>
          </w:p>
        </w:tc>
        <w:tc>
          <w:tcPr>
            <w:tcW w:w="1536" w:type="dxa"/>
            <w:noWrap/>
          </w:tcPr>
          <w:p w14:paraId="19AB3105" w14:textId="4A3C2BC3" w:rsidR="00F1584B" w:rsidRPr="00CF2862" w:rsidRDefault="00F1584B" w:rsidP="00F1584B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96.8%</w:t>
            </w:r>
          </w:p>
        </w:tc>
      </w:tr>
      <w:tr w:rsidR="00F1584B" w:rsidRPr="00CF2862" w14:paraId="02FF763A" w14:textId="77777777" w:rsidTr="00417D8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</w:tcPr>
          <w:p w14:paraId="06F3F6D0" w14:textId="5B9960BA" w:rsidR="00F1584B" w:rsidRPr="00CF2862" w:rsidRDefault="00F1584B" w:rsidP="00F1584B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074" w:type="dxa"/>
            <w:noWrap/>
          </w:tcPr>
          <w:p w14:paraId="58502B6E" w14:textId="1CA0B055" w:rsidR="00F1584B" w:rsidRPr="00CF2862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604" w:type="dxa"/>
            <w:noWrap/>
            <w:hideMark/>
          </w:tcPr>
          <w:p w14:paraId="169EF8B3" w14:textId="6086D40E" w:rsidR="00F1584B" w:rsidRPr="00C32FB0" w:rsidRDefault="00F1584B" w:rsidP="00F1584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213" w:type="dxa"/>
            <w:noWrap/>
            <w:hideMark/>
          </w:tcPr>
          <w:p w14:paraId="6BB7A76B" w14:textId="2A323985" w:rsidR="00F1584B" w:rsidRPr="00417D86" w:rsidRDefault="00F1584B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536" w:type="dxa"/>
            <w:noWrap/>
          </w:tcPr>
          <w:p w14:paraId="7F9E9D24" w14:textId="2E995639" w:rsidR="00F1584B" w:rsidRPr="00CF2862" w:rsidRDefault="00BA55E6" w:rsidP="00F1584B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t>3.2</w:t>
            </w:r>
            <w:r w:rsidR="00F1584B" w:rsidRPr="00135B13">
              <w:t>%</w:t>
            </w:r>
          </w:p>
        </w:tc>
      </w:tr>
      <w:tr w:rsidR="007F2654" w:rsidRPr="00CF2862" w14:paraId="5F494ECE" w14:textId="77777777" w:rsidTr="00417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D674432" w14:textId="77777777" w:rsidR="00417D86" w:rsidRPr="00CF2862" w:rsidRDefault="00417D86" w:rsidP="00417D86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DB003B1" w14:textId="77777777" w:rsidR="00417D86" w:rsidRPr="00CF2862" w:rsidRDefault="00417D86" w:rsidP="00417D8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048A5966" w14:textId="77777777" w:rsidR="00417D86" w:rsidRPr="00CF2862" w:rsidRDefault="00417D86" w:rsidP="00417D8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213" w:type="dxa"/>
            <w:noWrap/>
            <w:hideMark/>
          </w:tcPr>
          <w:p w14:paraId="4A944518" w14:textId="45D609E6" w:rsidR="00417D86" w:rsidRPr="00CF2862" w:rsidRDefault="004473E3" w:rsidP="00417D8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156</w:t>
            </w:r>
          </w:p>
        </w:tc>
        <w:tc>
          <w:tcPr>
            <w:tcW w:w="1536" w:type="dxa"/>
            <w:noWrap/>
            <w:hideMark/>
          </w:tcPr>
          <w:p w14:paraId="352B758C" w14:textId="6F3B1525" w:rsidR="00417D86" w:rsidRPr="00CF2862" w:rsidRDefault="007751F0" w:rsidP="00417D86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7F2654" w:rsidRPr="00CF2862" w14:paraId="7E27C883" w14:textId="77777777" w:rsidTr="00DF170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noWrap/>
            <w:hideMark/>
          </w:tcPr>
          <w:p w14:paraId="1A61119A" w14:textId="77777777" w:rsidR="00417D86" w:rsidRPr="00CF2862" w:rsidRDefault="00417D86" w:rsidP="00417D86">
            <w:pPr>
              <w:spacing w:line="240" w:lineRule="auto"/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ascii="Tw Cen MT" w:eastAsia="Times New Roman" w:hAnsi="Tw Cen MT" w:cs="Calibri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18ECEF7A" w14:textId="77777777" w:rsidR="00417D86" w:rsidRPr="00CF2862" w:rsidRDefault="00417D86" w:rsidP="00417D8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604" w:type="dxa"/>
            <w:noWrap/>
            <w:hideMark/>
          </w:tcPr>
          <w:p w14:paraId="54ABED71" w14:textId="77777777" w:rsidR="00417D86" w:rsidRPr="00CF2862" w:rsidRDefault="00417D86" w:rsidP="00417D8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CF2862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213" w:type="dxa"/>
            <w:noWrap/>
            <w:hideMark/>
          </w:tcPr>
          <w:p w14:paraId="62C0E4E3" w14:textId="431BFC31" w:rsidR="00417D86" w:rsidRPr="00191334" w:rsidRDefault="004473E3" w:rsidP="00417D8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19133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84,05</w:t>
            </w:r>
            <w:r w:rsidR="00091DB7" w:rsidRPr="0019133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2</w:t>
            </w:r>
          </w:p>
        </w:tc>
        <w:tc>
          <w:tcPr>
            <w:tcW w:w="1536" w:type="dxa"/>
            <w:noWrap/>
          </w:tcPr>
          <w:p w14:paraId="1D19B454" w14:textId="561F5B76" w:rsidR="00417D86" w:rsidRPr="00CF2862" w:rsidRDefault="00417D86" w:rsidP="00417D86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7525A0C2" w14:textId="77777777" w:rsidR="00E954B1" w:rsidRDefault="00E954B1" w:rsidP="00AD338F">
      <w:pPr>
        <w:pStyle w:val="Heading1"/>
        <w:rPr>
          <w:rFonts w:ascii="Calibri" w:hAnsi="Calibri" w:cs="Calibri"/>
          <w:b/>
          <w:color w:val="auto"/>
          <w:sz w:val="22"/>
          <w:szCs w:val="22"/>
          <w:lang w:val="en-US"/>
        </w:rPr>
      </w:pPr>
    </w:p>
    <w:p w14:paraId="066409F0" w14:textId="4D1AEC31" w:rsidR="00AD338F" w:rsidRPr="00B12326" w:rsidRDefault="00B60276" w:rsidP="00B86719">
      <w:pPr>
        <w:pStyle w:val="Heading1"/>
        <w:jc w:val="both"/>
        <w:rPr>
          <w:rFonts w:ascii="Calibri" w:hAnsi="Calibri" w:cs="Calibri"/>
          <w:color w:val="auto"/>
          <w:sz w:val="22"/>
          <w:szCs w:val="22"/>
          <w:lang w:val="en-US"/>
        </w:rPr>
      </w:pPr>
      <w:r w:rsidRPr="00B12326">
        <w:rPr>
          <w:rFonts w:ascii="Calibri" w:hAnsi="Calibri" w:cs="Calibri"/>
          <w:b/>
          <w:color w:val="auto"/>
          <w:sz w:val="22"/>
          <w:szCs w:val="22"/>
          <w:lang w:val="en-US"/>
        </w:rPr>
        <w:t>Table 7</w:t>
      </w:r>
      <w:r w:rsidRPr="00B12326">
        <w:rPr>
          <w:rFonts w:ascii="Calibri" w:hAnsi="Calibri" w:cs="Calibri"/>
          <w:color w:val="auto"/>
          <w:sz w:val="22"/>
          <w:szCs w:val="22"/>
          <w:lang w:val="en-US"/>
        </w:rPr>
        <w:t xml:space="preserve"> </w:t>
      </w:r>
      <w:r w:rsidR="00191334">
        <w:rPr>
          <w:rFonts w:ascii="Calibri" w:hAnsi="Calibri" w:cs="Calibri"/>
          <w:color w:val="auto"/>
          <w:sz w:val="22"/>
          <w:szCs w:val="22"/>
          <w:lang w:val="en-US"/>
        </w:rPr>
        <w:t xml:space="preserve">below </w:t>
      </w:r>
      <w:r w:rsidRPr="00B12326">
        <w:rPr>
          <w:rFonts w:ascii="Calibri" w:hAnsi="Calibri" w:cs="Calibri"/>
          <w:color w:val="auto"/>
          <w:sz w:val="22"/>
          <w:szCs w:val="22"/>
          <w:lang w:val="en-US"/>
        </w:rPr>
        <w:t xml:space="preserve">sets out the </w:t>
      </w:r>
      <w:r w:rsidRPr="00B12326">
        <w:rPr>
          <w:rFonts w:ascii="Calibri" w:hAnsi="Calibri" w:cs="Calibri"/>
          <w:b/>
          <w:color w:val="auto"/>
          <w:sz w:val="22"/>
          <w:szCs w:val="22"/>
          <w:lang w:val="en-US"/>
        </w:rPr>
        <w:t>Housing</w:t>
      </w:r>
      <w:r w:rsidRPr="00B12326">
        <w:rPr>
          <w:rFonts w:ascii="Calibri" w:hAnsi="Calibri" w:cs="Calibri"/>
          <w:color w:val="auto"/>
          <w:sz w:val="22"/>
          <w:szCs w:val="22"/>
          <w:lang w:val="en-US"/>
        </w:rPr>
        <w:t xml:space="preserve"> query data</w:t>
      </w:r>
      <w:r w:rsidR="00A941B3" w:rsidRPr="00B12326">
        <w:rPr>
          <w:rFonts w:ascii="Calibri" w:hAnsi="Calibri" w:cs="Calibri"/>
          <w:color w:val="auto"/>
          <w:sz w:val="22"/>
          <w:szCs w:val="22"/>
          <w:lang w:val="en-US"/>
        </w:rPr>
        <w:t xml:space="preserve">set for Quarter </w:t>
      </w:r>
      <w:r w:rsidR="00E954B1">
        <w:rPr>
          <w:rFonts w:ascii="Calibri" w:hAnsi="Calibri" w:cs="Calibri"/>
          <w:color w:val="auto"/>
          <w:sz w:val="22"/>
          <w:szCs w:val="22"/>
          <w:lang w:val="en-US"/>
        </w:rPr>
        <w:t>2</w:t>
      </w:r>
      <w:r w:rsidR="00DE397A" w:rsidRPr="00B12326">
        <w:rPr>
          <w:rFonts w:ascii="Calibri" w:hAnsi="Calibri" w:cs="Calibri"/>
          <w:color w:val="auto"/>
          <w:sz w:val="22"/>
          <w:szCs w:val="22"/>
          <w:lang w:val="en-US"/>
        </w:rPr>
        <w:t>, 2022</w:t>
      </w:r>
      <w:r w:rsidRPr="00B12326">
        <w:rPr>
          <w:rFonts w:ascii="Calibri" w:hAnsi="Calibri" w:cs="Calibri"/>
          <w:color w:val="auto"/>
          <w:sz w:val="22"/>
          <w:szCs w:val="22"/>
          <w:lang w:val="en-US"/>
        </w:rPr>
        <w:t>. Query sub-categories are presented in thematic form, as recorded by CISs. The percentages in the right</w:t>
      </w:r>
      <w:r w:rsidR="00A64368">
        <w:rPr>
          <w:rFonts w:ascii="Calibri" w:hAnsi="Calibri" w:cs="Calibri"/>
          <w:color w:val="auto"/>
          <w:sz w:val="22"/>
          <w:szCs w:val="22"/>
          <w:lang w:val="en-US"/>
        </w:rPr>
        <w:t>-</w:t>
      </w:r>
      <w:r w:rsidRPr="00B12326">
        <w:rPr>
          <w:rFonts w:ascii="Calibri" w:hAnsi="Calibri" w:cs="Calibri"/>
          <w:color w:val="auto"/>
          <w:sz w:val="22"/>
          <w:szCs w:val="22"/>
          <w:lang w:val="en-US"/>
        </w:rPr>
        <w:t xml:space="preserve">hand column represent the percentage of queries for </w:t>
      </w:r>
      <w:r w:rsidR="00D93AD8">
        <w:rPr>
          <w:rFonts w:ascii="Calibri" w:hAnsi="Calibri" w:cs="Calibri"/>
          <w:color w:val="auto"/>
          <w:sz w:val="22"/>
          <w:szCs w:val="22"/>
          <w:lang w:val="en-US"/>
        </w:rPr>
        <w:t xml:space="preserve">the </w:t>
      </w:r>
      <w:r w:rsidR="008B6A43">
        <w:rPr>
          <w:rFonts w:ascii="Calibri" w:hAnsi="Calibri" w:cs="Calibri"/>
          <w:color w:val="auto"/>
          <w:sz w:val="22"/>
          <w:szCs w:val="22"/>
          <w:lang w:val="en-US"/>
        </w:rPr>
        <w:t xml:space="preserve">related data </w:t>
      </w:r>
      <w:r w:rsidRPr="00B12326">
        <w:rPr>
          <w:rFonts w:ascii="Calibri" w:hAnsi="Calibri" w:cs="Calibri"/>
          <w:color w:val="auto"/>
          <w:sz w:val="22"/>
          <w:szCs w:val="22"/>
          <w:lang w:val="en-US"/>
        </w:rPr>
        <w:t xml:space="preserve">sub-category </w:t>
      </w:r>
      <w:proofErr w:type="gramStart"/>
      <w:r w:rsidRPr="00B12326">
        <w:rPr>
          <w:rFonts w:ascii="Calibri" w:hAnsi="Calibri" w:cs="Calibri"/>
          <w:color w:val="auto"/>
          <w:sz w:val="22"/>
          <w:szCs w:val="22"/>
          <w:lang w:val="en-US"/>
        </w:rPr>
        <w:t>i.e.</w:t>
      </w:r>
      <w:proofErr w:type="gramEnd"/>
      <w:r w:rsidRPr="00B12326">
        <w:rPr>
          <w:rFonts w:ascii="Calibri" w:hAnsi="Calibri" w:cs="Calibri"/>
          <w:color w:val="auto"/>
          <w:sz w:val="22"/>
          <w:szCs w:val="22"/>
          <w:lang w:val="en-US"/>
        </w:rPr>
        <w:t xml:space="preserve"> the Housing Assistance Payment (HAP) percentage represents the number of HAP queries recorded as a percentage of the </w:t>
      </w:r>
      <w:r w:rsidRPr="00B12326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 xml:space="preserve">Local Authority and </w:t>
      </w:r>
      <w:r w:rsidR="004D5540" w:rsidRPr="00B12326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 xml:space="preserve">Social </w:t>
      </w:r>
      <w:r w:rsidRPr="00B12326">
        <w:rPr>
          <w:rFonts w:ascii="Calibri" w:hAnsi="Calibri" w:cs="Calibri"/>
          <w:b/>
          <w:i/>
          <w:color w:val="auto"/>
          <w:sz w:val="22"/>
          <w:szCs w:val="22"/>
          <w:lang w:val="en-US"/>
        </w:rPr>
        <w:t>Housing</w:t>
      </w:r>
      <w:r w:rsidRPr="00B12326">
        <w:rPr>
          <w:rFonts w:ascii="Calibri" w:hAnsi="Calibri" w:cs="Calibri"/>
          <w:color w:val="auto"/>
          <w:sz w:val="22"/>
          <w:szCs w:val="22"/>
          <w:lang w:val="en-US"/>
        </w:rPr>
        <w:t xml:space="preserve"> sub-category. </w:t>
      </w:r>
    </w:p>
    <w:p w14:paraId="408C28D7" w14:textId="1E080CDC" w:rsidR="000F1F54" w:rsidRPr="000F1F54" w:rsidRDefault="001A1A4D" w:rsidP="000F1F54">
      <w:pPr>
        <w:pStyle w:val="Heading1"/>
        <w:rPr>
          <w:rFonts w:ascii="Calibri" w:hAnsi="Calibri" w:cs="Calibri"/>
          <w:color w:val="auto"/>
          <w:sz w:val="22"/>
          <w:szCs w:val="22"/>
          <w:lang w:val="en-US"/>
        </w:rPr>
      </w:pPr>
      <w:r w:rsidRPr="00255AE4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Housing query trends in </w:t>
      </w:r>
      <w:r w:rsidR="00675757" w:rsidRPr="00255AE4">
        <w:rPr>
          <w:rFonts w:ascii="Calibri" w:hAnsi="Calibri" w:cs="Calibri"/>
          <w:b/>
          <w:color w:val="auto"/>
          <w:sz w:val="22"/>
          <w:szCs w:val="22"/>
          <w:lang w:val="en-US"/>
        </w:rPr>
        <w:t>Q</w:t>
      </w:r>
      <w:r w:rsidR="002D0DEB">
        <w:rPr>
          <w:rFonts w:ascii="Calibri" w:hAnsi="Calibri" w:cs="Calibri"/>
          <w:b/>
          <w:color w:val="auto"/>
          <w:sz w:val="22"/>
          <w:szCs w:val="22"/>
          <w:lang w:val="en-US"/>
        </w:rPr>
        <w:t xml:space="preserve">2 </w:t>
      </w:r>
      <w:r w:rsidR="00675757" w:rsidRPr="00255AE4">
        <w:rPr>
          <w:rFonts w:ascii="Calibri" w:hAnsi="Calibri" w:cs="Calibri"/>
          <w:b/>
          <w:color w:val="auto"/>
          <w:sz w:val="22"/>
          <w:szCs w:val="22"/>
          <w:lang w:val="en-US"/>
        </w:rPr>
        <w:t>2022</w:t>
      </w:r>
      <w:r w:rsidR="00255AE4">
        <w:rPr>
          <w:rFonts w:ascii="Calibri" w:hAnsi="Calibri" w:cs="Calibri"/>
          <w:color w:val="auto"/>
          <w:sz w:val="22"/>
          <w:szCs w:val="22"/>
          <w:lang w:val="en-US"/>
        </w:rPr>
        <w:t>:</w:t>
      </w:r>
    </w:p>
    <w:p w14:paraId="680A7D3A" w14:textId="2ADECBF0" w:rsidR="00F574C0" w:rsidRDefault="00F574C0" w:rsidP="0019133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eastAsia="Times New Roman" w:cs="Calibri"/>
          <w:color w:val="000000"/>
          <w:lang w:eastAsia="en-IE"/>
        </w:rPr>
      </w:pPr>
      <w:r>
        <w:rPr>
          <w:rFonts w:eastAsia="Times New Roman" w:cs="Calibri"/>
          <w:color w:val="000000"/>
          <w:lang w:eastAsia="en-IE"/>
        </w:rPr>
        <w:t xml:space="preserve">Housing queries </w:t>
      </w:r>
      <w:r w:rsidR="0029379B">
        <w:rPr>
          <w:rFonts w:eastAsia="Times New Roman" w:cs="Calibri"/>
          <w:color w:val="000000"/>
          <w:lang w:eastAsia="en-IE"/>
        </w:rPr>
        <w:t xml:space="preserve">overall </w:t>
      </w:r>
      <w:r w:rsidR="00A64368">
        <w:rPr>
          <w:rFonts w:eastAsia="Times New Roman" w:cs="Calibri"/>
          <w:color w:val="000000"/>
          <w:lang w:eastAsia="en-IE"/>
        </w:rPr>
        <w:t xml:space="preserve">increased </w:t>
      </w:r>
      <w:r w:rsidR="0029379B">
        <w:rPr>
          <w:rFonts w:eastAsia="Times New Roman" w:cs="Calibri"/>
          <w:color w:val="000000"/>
          <w:lang w:eastAsia="en-IE"/>
        </w:rPr>
        <w:t xml:space="preserve">by </w:t>
      </w:r>
      <w:r w:rsidR="00A64368">
        <w:rPr>
          <w:rFonts w:eastAsia="Times New Roman" w:cs="Calibri"/>
          <w:color w:val="000000"/>
          <w:lang w:eastAsia="en-IE"/>
        </w:rPr>
        <w:t>13.</w:t>
      </w:r>
      <w:r w:rsidR="0029379B">
        <w:rPr>
          <w:rFonts w:eastAsia="Times New Roman" w:cs="Calibri"/>
          <w:color w:val="000000"/>
          <w:lang w:eastAsia="en-IE"/>
        </w:rPr>
        <w:t xml:space="preserve">5% </w:t>
      </w:r>
      <w:r w:rsidR="002D0DEB">
        <w:rPr>
          <w:rFonts w:eastAsia="Times New Roman" w:cs="Calibri"/>
          <w:color w:val="000000"/>
          <w:lang w:eastAsia="en-IE"/>
        </w:rPr>
        <w:t>from</w:t>
      </w:r>
      <w:r w:rsidR="00F8329F">
        <w:rPr>
          <w:rFonts w:eastAsia="Times New Roman" w:cs="Calibri"/>
          <w:color w:val="000000"/>
          <w:lang w:eastAsia="en-IE"/>
        </w:rPr>
        <w:t xml:space="preserve"> </w:t>
      </w:r>
      <w:r w:rsidR="002D0DEB">
        <w:rPr>
          <w:rFonts w:eastAsia="Times New Roman" w:cs="Calibri"/>
          <w:color w:val="000000"/>
          <w:lang w:eastAsia="en-IE"/>
        </w:rPr>
        <w:t>16,285</w:t>
      </w:r>
      <w:r w:rsidR="00F8329F">
        <w:rPr>
          <w:rFonts w:eastAsia="Times New Roman" w:cs="Calibri"/>
          <w:color w:val="000000"/>
          <w:lang w:eastAsia="en-IE"/>
        </w:rPr>
        <w:t xml:space="preserve"> to </w:t>
      </w:r>
      <w:r w:rsidR="002D0DEB">
        <w:rPr>
          <w:rFonts w:eastAsia="Times New Roman" w:cs="Calibri"/>
          <w:color w:val="000000"/>
          <w:lang w:eastAsia="en-IE"/>
        </w:rPr>
        <w:t>1</w:t>
      </w:r>
      <w:r w:rsidR="00A64368">
        <w:rPr>
          <w:rFonts w:eastAsia="Times New Roman" w:cs="Calibri"/>
          <w:color w:val="000000"/>
          <w:lang w:eastAsia="en-IE"/>
        </w:rPr>
        <w:t>8,480</w:t>
      </w:r>
      <w:r w:rsidR="0029379B">
        <w:rPr>
          <w:rFonts w:eastAsia="Times New Roman" w:cs="Calibri"/>
          <w:color w:val="000000"/>
          <w:lang w:eastAsia="en-IE"/>
        </w:rPr>
        <w:t xml:space="preserve"> </w:t>
      </w:r>
      <w:r>
        <w:rPr>
          <w:rFonts w:eastAsia="Times New Roman" w:cs="Calibri"/>
          <w:color w:val="000000"/>
          <w:lang w:eastAsia="en-IE"/>
        </w:rPr>
        <w:t>in this quarter compared to the same quarter the previous year</w:t>
      </w:r>
      <w:r w:rsidR="000F2A48">
        <w:rPr>
          <w:rFonts w:eastAsia="Times New Roman" w:cs="Calibri"/>
          <w:color w:val="000000"/>
          <w:lang w:eastAsia="en-IE"/>
        </w:rPr>
        <w:t>.</w:t>
      </w:r>
      <w:r>
        <w:rPr>
          <w:rFonts w:eastAsia="Times New Roman" w:cs="Calibri"/>
          <w:color w:val="000000"/>
          <w:lang w:eastAsia="en-IE"/>
        </w:rPr>
        <w:t xml:space="preserve"> </w:t>
      </w:r>
    </w:p>
    <w:p w14:paraId="25A70B89" w14:textId="44B7A5FE" w:rsidR="00CE6B6D" w:rsidRPr="0005417C" w:rsidRDefault="00CE6B6D" w:rsidP="001913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/>
          <w:lang w:eastAsia="en-IE"/>
        </w:rPr>
      </w:pPr>
      <w:r w:rsidRPr="0005417C">
        <w:rPr>
          <w:rFonts w:eastAsia="Times New Roman" w:cs="Calibri"/>
          <w:color w:val="000000"/>
          <w:lang w:eastAsia="en-IE"/>
        </w:rPr>
        <w:t>T</w:t>
      </w:r>
      <w:r w:rsidR="00BA2635" w:rsidRPr="0005417C">
        <w:rPr>
          <w:rFonts w:eastAsia="Times New Roman" w:cs="Calibri"/>
          <w:color w:val="000000"/>
          <w:lang w:eastAsia="en-IE"/>
        </w:rPr>
        <w:t>he highest number of queries received were</w:t>
      </w:r>
      <w:r w:rsidRPr="0005417C">
        <w:rPr>
          <w:rFonts w:eastAsia="Times New Roman" w:cs="Calibri"/>
          <w:color w:val="000000"/>
          <w:lang w:eastAsia="en-IE"/>
        </w:rPr>
        <w:t xml:space="preserve"> about </w:t>
      </w:r>
      <w:r w:rsidRPr="0005417C">
        <w:rPr>
          <w:rFonts w:eastAsia="Times New Roman" w:cs="Calibri"/>
          <w:b/>
          <w:color w:val="000000"/>
          <w:lang w:eastAsia="en-IE"/>
        </w:rPr>
        <w:t xml:space="preserve">Local </w:t>
      </w:r>
      <w:r w:rsidR="00F8329F" w:rsidRPr="0005417C">
        <w:rPr>
          <w:rFonts w:eastAsia="Times New Roman" w:cs="Calibri"/>
          <w:b/>
          <w:color w:val="000000"/>
          <w:lang w:eastAsia="en-IE"/>
        </w:rPr>
        <w:t>A</w:t>
      </w:r>
      <w:r w:rsidRPr="0005417C">
        <w:rPr>
          <w:rFonts w:eastAsia="Times New Roman" w:cs="Calibri"/>
          <w:b/>
          <w:color w:val="000000"/>
          <w:lang w:eastAsia="en-IE"/>
        </w:rPr>
        <w:t>uthority and Social Housing</w:t>
      </w:r>
      <w:r w:rsidRPr="0005417C">
        <w:rPr>
          <w:rFonts w:eastAsia="Times New Roman" w:cs="Calibri"/>
          <w:color w:val="000000"/>
          <w:lang w:eastAsia="en-IE"/>
        </w:rPr>
        <w:t xml:space="preserve">, </w:t>
      </w:r>
      <w:r w:rsidR="002D0DEB" w:rsidRPr="0005417C">
        <w:rPr>
          <w:rFonts w:eastAsia="Times New Roman" w:cs="Calibri"/>
          <w:color w:val="000000"/>
          <w:lang w:eastAsia="en-IE"/>
        </w:rPr>
        <w:t xml:space="preserve">representing </w:t>
      </w:r>
      <w:r w:rsidR="0029379B" w:rsidRPr="0005417C">
        <w:rPr>
          <w:rFonts w:eastAsia="Times New Roman" w:cs="Calibri"/>
          <w:color w:val="000000"/>
          <w:lang w:eastAsia="en-IE"/>
        </w:rPr>
        <w:t xml:space="preserve">over </w:t>
      </w:r>
      <w:r w:rsidR="002D0DEB" w:rsidRPr="0005417C">
        <w:rPr>
          <w:rFonts w:eastAsia="Times New Roman" w:cs="Calibri"/>
          <w:color w:val="000000"/>
          <w:lang w:eastAsia="en-IE"/>
        </w:rPr>
        <w:t>half of all housing queries</w:t>
      </w:r>
      <w:r w:rsidR="0005417C" w:rsidRPr="0005417C">
        <w:rPr>
          <w:rFonts w:eastAsia="Times New Roman" w:cs="Calibri"/>
          <w:color w:val="000000"/>
          <w:lang w:eastAsia="en-IE"/>
        </w:rPr>
        <w:t xml:space="preserve"> </w:t>
      </w:r>
      <w:r w:rsidR="0005417C" w:rsidRPr="00EC5A09">
        <w:rPr>
          <w:rFonts w:eastAsia="Times New Roman" w:cs="Calibri"/>
          <w:color w:val="000000"/>
          <w:lang w:eastAsia="en-IE"/>
        </w:rPr>
        <w:t>(</w:t>
      </w:r>
      <w:r w:rsidR="001C3ED6" w:rsidRPr="00EC5A09">
        <w:rPr>
          <w:rFonts w:eastAsia="Times New Roman" w:cs="Calibri"/>
          <w:color w:val="000000"/>
          <w:lang w:eastAsia="en-IE"/>
        </w:rPr>
        <w:t>53.9</w:t>
      </w:r>
      <w:r w:rsidR="0005417C" w:rsidRPr="00EC5A09">
        <w:rPr>
          <w:rFonts w:eastAsia="Times New Roman" w:cs="Calibri"/>
          <w:color w:val="000000"/>
          <w:lang w:eastAsia="en-IE"/>
        </w:rPr>
        <w:t>%)</w:t>
      </w:r>
      <w:r w:rsidR="00F65B6E" w:rsidRPr="00EC5A09">
        <w:rPr>
          <w:rFonts w:eastAsia="Times New Roman" w:cs="Calibri"/>
          <w:color w:val="000000"/>
          <w:lang w:eastAsia="en-IE"/>
        </w:rPr>
        <w:t>,</w:t>
      </w:r>
      <w:r w:rsidR="002D0DEB" w:rsidRPr="0005417C">
        <w:rPr>
          <w:rFonts w:eastAsia="Times New Roman" w:cs="Calibri"/>
          <w:color w:val="000000"/>
          <w:lang w:eastAsia="en-IE"/>
        </w:rPr>
        <w:t xml:space="preserve"> </w:t>
      </w:r>
      <w:r w:rsidRPr="0005417C">
        <w:rPr>
          <w:rFonts w:eastAsia="Times New Roman" w:cs="Calibri"/>
          <w:color w:val="000000"/>
          <w:lang w:eastAsia="en-IE"/>
        </w:rPr>
        <w:t xml:space="preserve">which </w:t>
      </w:r>
      <w:r w:rsidR="0005417C" w:rsidRPr="0005417C">
        <w:rPr>
          <w:rFonts w:eastAsia="Times New Roman" w:cs="Calibri"/>
          <w:color w:val="000000"/>
          <w:lang w:eastAsia="en-IE"/>
        </w:rPr>
        <w:t>rose</w:t>
      </w:r>
      <w:r w:rsidR="0029379B" w:rsidRPr="0005417C">
        <w:rPr>
          <w:rFonts w:eastAsia="Times New Roman" w:cs="Calibri"/>
          <w:color w:val="000000"/>
          <w:lang w:eastAsia="en-IE"/>
        </w:rPr>
        <w:t xml:space="preserve"> </w:t>
      </w:r>
      <w:r w:rsidRPr="0005417C">
        <w:rPr>
          <w:rFonts w:eastAsia="Times New Roman" w:cs="Calibri"/>
          <w:color w:val="000000"/>
          <w:lang w:eastAsia="en-IE"/>
        </w:rPr>
        <w:t>on the same quarter in 2021 (from 8,</w:t>
      </w:r>
      <w:r w:rsidR="002D0DEB" w:rsidRPr="0005417C">
        <w:rPr>
          <w:rFonts w:eastAsia="Times New Roman" w:cs="Calibri"/>
          <w:color w:val="000000"/>
          <w:lang w:eastAsia="en-IE"/>
        </w:rPr>
        <w:t>951</w:t>
      </w:r>
      <w:r w:rsidRPr="0005417C">
        <w:rPr>
          <w:rFonts w:eastAsia="Times New Roman" w:cs="Calibri"/>
          <w:color w:val="000000"/>
          <w:lang w:eastAsia="en-IE"/>
        </w:rPr>
        <w:t xml:space="preserve"> to </w:t>
      </w:r>
      <w:r w:rsidR="0005417C" w:rsidRPr="0005417C">
        <w:rPr>
          <w:rFonts w:eastAsia="Times New Roman" w:cs="Calibri"/>
          <w:color w:val="000000"/>
          <w:lang w:eastAsia="en-IE"/>
        </w:rPr>
        <w:t>9,962</w:t>
      </w:r>
      <w:r w:rsidR="0029379B" w:rsidRPr="0005417C">
        <w:rPr>
          <w:rFonts w:eastAsia="Times New Roman" w:cs="Calibri"/>
          <w:color w:val="000000"/>
          <w:lang w:eastAsia="en-IE"/>
        </w:rPr>
        <w:t xml:space="preserve">). </w:t>
      </w:r>
      <w:r w:rsidR="00F65B6E" w:rsidRPr="0005417C">
        <w:rPr>
          <w:rFonts w:eastAsia="Times New Roman" w:cs="Calibri"/>
          <w:b/>
          <w:color w:val="000000"/>
          <w:lang w:eastAsia="en-IE"/>
        </w:rPr>
        <w:t>Applying for Local Authority/Social Housing</w:t>
      </w:r>
      <w:r w:rsidR="00F65B6E" w:rsidRPr="0005417C">
        <w:rPr>
          <w:rFonts w:eastAsia="Times New Roman" w:cs="Calibri"/>
          <w:color w:val="000000"/>
          <w:lang w:eastAsia="en-IE"/>
        </w:rPr>
        <w:t xml:space="preserve"> queries increased by </w:t>
      </w:r>
      <w:r w:rsidR="0005417C">
        <w:rPr>
          <w:rFonts w:eastAsia="Times New Roman" w:cs="Calibri"/>
          <w:color w:val="000000"/>
          <w:lang w:eastAsia="en-IE"/>
        </w:rPr>
        <w:t>26</w:t>
      </w:r>
      <w:r w:rsidR="00F65B6E" w:rsidRPr="0005417C">
        <w:rPr>
          <w:rFonts w:eastAsia="Times New Roman" w:cs="Calibri"/>
          <w:color w:val="000000"/>
          <w:lang w:eastAsia="en-IE"/>
        </w:rPr>
        <w:t xml:space="preserve">%, while Housing Assistance Payment (HAP) queries fell </w:t>
      </w:r>
      <w:r w:rsidR="00F65B6E" w:rsidRPr="005F453B">
        <w:rPr>
          <w:rFonts w:eastAsia="Times New Roman" w:cs="Calibri"/>
          <w:color w:val="000000"/>
          <w:lang w:eastAsia="en-IE"/>
        </w:rPr>
        <w:t xml:space="preserve">by </w:t>
      </w:r>
      <w:r w:rsidR="0005417C" w:rsidRPr="005F453B">
        <w:rPr>
          <w:rFonts w:eastAsia="Times New Roman" w:cs="Calibri"/>
          <w:color w:val="000000"/>
          <w:lang w:eastAsia="en-IE"/>
        </w:rPr>
        <w:t>8.6</w:t>
      </w:r>
      <w:r w:rsidR="00F65B6E" w:rsidRPr="005F453B">
        <w:rPr>
          <w:rFonts w:eastAsia="Times New Roman" w:cs="Calibri"/>
          <w:color w:val="000000"/>
          <w:lang w:eastAsia="en-IE"/>
        </w:rPr>
        <w:t>%</w:t>
      </w:r>
      <w:r w:rsidR="00422446" w:rsidRPr="005F453B">
        <w:rPr>
          <w:rFonts w:eastAsia="Times New Roman" w:cs="Calibri"/>
          <w:color w:val="000000"/>
          <w:lang w:eastAsia="en-IE"/>
        </w:rPr>
        <w:t xml:space="preserve"> when</w:t>
      </w:r>
      <w:r w:rsidR="00422446">
        <w:rPr>
          <w:rFonts w:eastAsia="Times New Roman" w:cs="Calibri"/>
          <w:color w:val="000000"/>
          <w:lang w:eastAsia="en-IE"/>
        </w:rPr>
        <w:t xml:space="preserve"> compared with the same quarter last year.</w:t>
      </w:r>
    </w:p>
    <w:p w14:paraId="1754FD52" w14:textId="0EB5212F" w:rsidR="00F65B6E" w:rsidRPr="00EC5A09" w:rsidRDefault="00F65B6E" w:rsidP="001913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en-IE"/>
        </w:rPr>
      </w:pPr>
      <w:r w:rsidRPr="00F65B6E">
        <w:rPr>
          <w:rFonts w:eastAsia="Times New Roman" w:cs="Calibri"/>
          <w:b/>
          <w:color w:val="000000"/>
          <w:lang w:eastAsia="en-IE"/>
        </w:rPr>
        <w:t>Renting a Home</w:t>
      </w:r>
      <w:r>
        <w:rPr>
          <w:rFonts w:eastAsia="Times New Roman" w:cs="Calibri"/>
          <w:color w:val="000000"/>
          <w:lang w:eastAsia="en-IE"/>
        </w:rPr>
        <w:t xml:space="preserve"> was the 2</w:t>
      </w:r>
      <w:r w:rsidRPr="00F65B6E">
        <w:rPr>
          <w:rFonts w:eastAsia="Times New Roman" w:cs="Calibri"/>
          <w:color w:val="000000"/>
          <w:vertAlign w:val="superscript"/>
          <w:lang w:eastAsia="en-IE"/>
        </w:rPr>
        <w:t>nd</w:t>
      </w:r>
      <w:r>
        <w:rPr>
          <w:rFonts w:eastAsia="Times New Roman" w:cs="Calibri"/>
          <w:color w:val="000000"/>
          <w:lang w:eastAsia="en-IE"/>
        </w:rPr>
        <w:t xml:space="preserve"> highest category with </w:t>
      </w:r>
      <w:r w:rsidR="0005417C">
        <w:rPr>
          <w:rFonts w:eastAsia="Times New Roman" w:cs="Calibri"/>
          <w:color w:val="000000"/>
          <w:lang w:eastAsia="en-IE"/>
        </w:rPr>
        <w:t>2,734</w:t>
      </w:r>
      <w:r>
        <w:rPr>
          <w:rFonts w:eastAsia="Times New Roman" w:cs="Calibri"/>
          <w:color w:val="000000"/>
          <w:lang w:eastAsia="en-IE"/>
        </w:rPr>
        <w:t xml:space="preserve"> queries,</w:t>
      </w:r>
      <w:r w:rsidR="0005417C">
        <w:rPr>
          <w:rFonts w:eastAsia="Times New Roman" w:cs="Calibri"/>
          <w:color w:val="000000"/>
          <w:lang w:eastAsia="en-IE"/>
        </w:rPr>
        <w:t xml:space="preserve"> (representing a 0.</w:t>
      </w:r>
      <w:r w:rsidR="00796F7A">
        <w:rPr>
          <w:rFonts w:eastAsia="Times New Roman" w:cs="Calibri"/>
          <w:color w:val="000000"/>
          <w:lang w:eastAsia="en-IE"/>
        </w:rPr>
        <w:t>7</w:t>
      </w:r>
      <w:r w:rsidR="0005417C">
        <w:rPr>
          <w:rFonts w:eastAsia="Times New Roman" w:cs="Calibri"/>
          <w:color w:val="000000"/>
          <w:lang w:eastAsia="en-IE"/>
        </w:rPr>
        <w:t>% decrease</w:t>
      </w:r>
      <w:r w:rsidR="00796F7A">
        <w:rPr>
          <w:rFonts w:eastAsia="Times New Roman" w:cs="Calibri"/>
          <w:color w:val="000000"/>
          <w:lang w:eastAsia="en-IE"/>
        </w:rPr>
        <w:t>)</w:t>
      </w:r>
      <w:r w:rsidR="0005417C">
        <w:rPr>
          <w:rFonts w:eastAsia="Times New Roman" w:cs="Calibri"/>
          <w:color w:val="000000"/>
          <w:lang w:eastAsia="en-IE"/>
        </w:rPr>
        <w:t xml:space="preserve"> compared with</w:t>
      </w:r>
      <w:r w:rsidR="00796F7A">
        <w:rPr>
          <w:rFonts w:eastAsia="Times New Roman" w:cs="Calibri"/>
          <w:color w:val="000000"/>
          <w:lang w:eastAsia="en-IE"/>
        </w:rPr>
        <w:t xml:space="preserve"> the same quarter in 2021. </w:t>
      </w:r>
      <w:r w:rsidR="00796F7A" w:rsidRPr="00EC5A09">
        <w:rPr>
          <w:rFonts w:eastAsia="Times New Roman" w:cs="Calibri"/>
          <w:color w:val="000000"/>
          <w:lang w:eastAsia="en-IE"/>
        </w:rPr>
        <w:t>T</w:t>
      </w:r>
      <w:r w:rsidR="00F35454" w:rsidRPr="00EC5A09">
        <w:rPr>
          <w:rFonts w:eastAsia="Times New Roman" w:cs="Calibri"/>
          <w:color w:val="000000"/>
          <w:lang w:eastAsia="en-IE"/>
        </w:rPr>
        <w:t>he three highest areas</w:t>
      </w:r>
      <w:r w:rsidR="00895F68" w:rsidRPr="00EC5A09">
        <w:rPr>
          <w:rFonts w:eastAsia="Times New Roman" w:cs="Calibri"/>
          <w:color w:val="000000"/>
          <w:lang w:eastAsia="en-IE"/>
        </w:rPr>
        <w:t xml:space="preserve"> </w:t>
      </w:r>
      <w:r w:rsidR="00EC5A09" w:rsidRPr="00EC5A09">
        <w:rPr>
          <w:rFonts w:eastAsia="Times New Roman" w:cs="Calibri"/>
          <w:color w:val="000000"/>
          <w:lang w:eastAsia="en-IE"/>
        </w:rPr>
        <w:t xml:space="preserve">related </w:t>
      </w:r>
      <w:r w:rsidR="00895F68" w:rsidRPr="00EC5A09">
        <w:rPr>
          <w:rFonts w:eastAsia="Times New Roman" w:cs="Calibri"/>
          <w:color w:val="000000"/>
          <w:lang w:eastAsia="en-IE"/>
        </w:rPr>
        <w:t xml:space="preserve">to </w:t>
      </w:r>
      <w:r w:rsidR="0031307D" w:rsidRPr="00EC5A09">
        <w:rPr>
          <w:rFonts w:eastAsia="Times New Roman" w:cs="Calibri"/>
          <w:b/>
          <w:color w:val="000000"/>
          <w:lang w:eastAsia="en-IE"/>
        </w:rPr>
        <w:t>Notice/Eviction/Disputes</w:t>
      </w:r>
      <w:r w:rsidR="00EC5A09">
        <w:rPr>
          <w:rFonts w:eastAsia="Times New Roman" w:cs="Calibri"/>
          <w:color w:val="000000"/>
          <w:lang w:eastAsia="en-IE"/>
        </w:rPr>
        <w:t xml:space="preserve">, </w:t>
      </w:r>
      <w:r w:rsidR="003033D5">
        <w:rPr>
          <w:rFonts w:eastAsia="Times New Roman" w:cs="Calibri"/>
          <w:b/>
          <w:color w:val="000000"/>
          <w:lang w:eastAsia="en-IE"/>
        </w:rPr>
        <w:t xml:space="preserve">Tenants </w:t>
      </w:r>
      <w:r w:rsidR="00895F68" w:rsidRPr="00EC5A09">
        <w:rPr>
          <w:rFonts w:eastAsia="Times New Roman" w:cs="Calibri"/>
          <w:b/>
          <w:color w:val="000000"/>
          <w:lang w:eastAsia="en-IE"/>
        </w:rPr>
        <w:t>Rights and Obligations</w:t>
      </w:r>
      <w:r w:rsidR="00895F68" w:rsidRPr="00EC5A09">
        <w:rPr>
          <w:rFonts w:eastAsia="Times New Roman" w:cs="Calibri"/>
          <w:color w:val="000000"/>
          <w:lang w:eastAsia="en-IE"/>
        </w:rPr>
        <w:t xml:space="preserve"> and </w:t>
      </w:r>
      <w:r w:rsidR="00322823" w:rsidRPr="00EC5A09">
        <w:rPr>
          <w:rFonts w:eastAsia="Times New Roman" w:cs="Calibri"/>
          <w:b/>
          <w:bCs/>
          <w:color w:val="000000"/>
          <w:lang w:eastAsia="en-IE"/>
        </w:rPr>
        <w:t>Landlords Rights &amp; Obligations</w:t>
      </w:r>
      <w:r w:rsidR="00EC5A09" w:rsidRPr="00EC5A09">
        <w:rPr>
          <w:rFonts w:eastAsia="Times New Roman" w:cs="Calibri"/>
          <w:b/>
          <w:bCs/>
          <w:color w:val="000000"/>
          <w:lang w:eastAsia="en-IE"/>
        </w:rPr>
        <w:t>.</w:t>
      </w:r>
    </w:p>
    <w:p w14:paraId="20908D67" w14:textId="0DFE8E93" w:rsidR="00505FE9" w:rsidRPr="00ED086C" w:rsidRDefault="00AC04BD" w:rsidP="001913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 w:themeColor="text1"/>
          <w:lang w:eastAsia="en-IE"/>
        </w:rPr>
      </w:pPr>
      <w:r w:rsidRPr="00ED086C">
        <w:rPr>
          <w:rFonts w:eastAsia="Times New Roman" w:cs="Calibri"/>
          <w:color w:val="000000" w:themeColor="text1"/>
          <w:lang w:eastAsia="en-IE"/>
        </w:rPr>
        <w:t>Queries about</w:t>
      </w:r>
      <w:r w:rsidRPr="00ED086C">
        <w:rPr>
          <w:rFonts w:eastAsia="Times New Roman" w:cs="Calibri"/>
          <w:b/>
          <w:color w:val="000000" w:themeColor="text1"/>
          <w:lang w:eastAsia="en-IE"/>
        </w:rPr>
        <w:t xml:space="preserve"> </w:t>
      </w:r>
      <w:r w:rsidR="00505FE9" w:rsidRPr="00ED086C">
        <w:rPr>
          <w:rFonts w:eastAsia="Times New Roman" w:cs="Calibri"/>
          <w:b/>
          <w:color w:val="000000" w:themeColor="text1"/>
          <w:lang w:eastAsia="en-IE"/>
        </w:rPr>
        <w:t>Homelessness</w:t>
      </w:r>
      <w:r w:rsidR="00505FE9" w:rsidRPr="00ED086C">
        <w:rPr>
          <w:rFonts w:eastAsia="Times New Roman" w:cs="Calibri"/>
          <w:color w:val="000000" w:themeColor="text1"/>
          <w:lang w:eastAsia="en-IE"/>
        </w:rPr>
        <w:t xml:space="preserve"> </w:t>
      </w:r>
      <w:r w:rsidRPr="00ED086C">
        <w:rPr>
          <w:rFonts w:eastAsia="Times New Roman" w:cs="Calibri"/>
          <w:color w:val="000000" w:themeColor="text1"/>
          <w:lang w:eastAsia="en-IE"/>
        </w:rPr>
        <w:t xml:space="preserve">were </w:t>
      </w:r>
      <w:r w:rsidR="00AF5AD9" w:rsidRPr="00ED086C">
        <w:rPr>
          <w:rFonts w:eastAsia="Times New Roman" w:cs="Calibri"/>
          <w:color w:val="000000" w:themeColor="text1"/>
          <w:lang w:eastAsia="en-IE"/>
        </w:rPr>
        <w:t>70.7</w:t>
      </w:r>
      <w:r w:rsidRPr="00ED086C">
        <w:rPr>
          <w:rFonts w:eastAsia="Times New Roman" w:cs="Calibri"/>
          <w:color w:val="000000" w:themeColor="text1"/>
          <w:lang w:eastAsia="en-IE"/>
        </w:rPr>
        <w:t>% higher than</w:t>
      </w:r>
      <w:r w:rsidR="00E554E5" w:rsidRPr="00ED086C">
        <w:rPr>
          <w:rFonts w:eastAsia="Times New Roman" w:cs="Calibri"/>
          <w:color w:val="000000" w:themeColor="text1"/>
          <w:lang w:eastAsia="en-IE"/>
        </w:rPr>
        <w:t xml:space="preserve"> for the same period</w:t>
      </w:r>
      <w:r w:rsidRPr="00ED086C">
        <w:rPr>
          <w:rFonts w:eastAsia="Times New Roman" w:cs="Calibri"/>
          <w:color w:val="000000" w:themeColor="text1"/>
          <w:lang w:eastAsia="en-IE"/>
        </w:rPr>
        <w:t xml:space="preserve"> last year</w:t>
      </w:r>
      <w:r w:rsidR="003D7012">
        <w:rPr>
          <w:rFonts w:eastAsia="Times New Roman" w:cs="Calibri"/>
          <w:color w:val="000000" w:themeColor="text1"/>
          <w:lang w:eastAsia="en-IE"/>
        </w:rPr>
        <w:t>.</w:t>
      </w:r>
      <w:r w:rsidR="00F35454" w:rsidRPr="00ED086C">
        <w:rPr>
          <w:rFonts w:eastAsia="Times New Roman" w:cs="Calibri"/>
          <w:color w:val="000000" w:themeColor="text1"/>
          <w:lang w:eastAsia="en-IE"/>
        </w:rPr>
        <w:t xml:space="preserve"> </w:t>
      </w:r>
      <w:r w:rsidR="00E554E5" w:rsidRPr="00ED086C">
        <w:rPr>
          <w:rFonts w:eastAsia="Times New Roman" w:cs="Calibri"/>
          <w:color w:val="000000" w:themeColor="text1"/>
          <w:lang w:eastAsia="en-IE"/>
        </w:rPr>
        <w:t>In addition, there were 1</w:t>
      </w:r>
      <w:r w:rsidR="00ED086C" w:rsidRPr="00ED086C">
        <w:rPr>
          <w:rFonts w:eastAsia="Times New Roman" w:cs="Calibri"/>
          <w:color w:val="000000" w:themeColor="text1"/>
          <w:lang w:eastAsia="en-IE"/>
        </w:rPr>
        <w:t>11</w:t>
      </w:r>
      <w:r w:rsidR="00E554E5" w:rsidRPr="00ED086C">
        <w:rPr>
          <w:rFonts w:eastAsia="Times New Roman" w:cs="Calibri"/>
          <w:color w:val="000000" w:themeColor="text1"/>
          <w:lang w:eastAsia="en-IE"/>
        </w:rPr>
        <w:t xml:space="preserve"> queries about </w:t>
      </w:r>
      <w:r w:rsidR="00E554E5" w:rsidRPr="00ED086C">
        <w:rPr>
          <w:rFonts w:eastAsia="Times New Roman" w:cs="Calibri"/>
          <w:b/>
          <w:color w:val="000000" w:themeColor="text1"/>
          <w:lang w:eastAsia="en-IE"/>
        </w:rPr>
        <w:t>Losing Your Home</w:t>
      </w:r>
      <w:r w:rsidR="00E554E5" w:rsidRPr="00ED086C">
        <w:rPr>
          <w:rFonts w:eastAsia="Times New Roman" w:cs="Calibri"/>
          <w:color w:val="000000" w:themeColor="text1"/>
          <w:lang w:eastAsia="en-IE"/>
        </w:rPr>
        <w:t xml:space="preserve">, and </w:t>
      </w:r>
      <w:r w:rsidR="00ED086C" w:rsidRPr="00ED086C">
        <w:rPr>
          <w:rFonts w:eastAsia="Times New Roman" w:cs="Calibri"/>
          <w:color w:val="000000" w:themeColor="text1"/>
          <w:lang w:eastAsia="en-IE"/>
        </w:rPr>
        <w:t xml:space="preserve">94 </w:t>
      </w:r>
      <w:r w:rsidR="00E554E5" w:rsidRPr="00ED086C">
        <w:rPr>
          <w:rFonts w:eastAsia="Times New Roman" w:cs="Calibri"/>
          <w:color w:val="000000" w:themeColor="text1"/>
          <w:lang w:eastAsia="en-IE"/>
        </w:rPr>
        <w:t xml:space="preserve">queries </w:t>
      </w:r>
      <w:r w:rsidR="006D3CE6">
        <w:rPr>
          <w:rFonts w:eastAsia="Times New Roman" w:cs="Calibri"/>
          <w:color w:val="000000" w:themeColor="text1"/>
          <w:lang w:eastAsia="en-IE"/>
        </w:rPr>
        <w:t xml:space="preserve">relating to </w:t>
      </w:r>
      <w:r w:rsidR="00E554E5" w:rsidRPr="00ED086C">
        <w:rPr>
          <w:rFonts w:eastAsia="Times New Roman" w:cs="Calibri"/>
          <w:b/>
          <w:color w:val="000000" w:themeColor="text1"/>
          <w:lang w:eastAsia="en-IE"/>
        </w:rPr>
        <w:t>Emergency Accommodation</w:t>
      </w:r>
      <w:r w:rsidR="00E554E5" w:rsidRPr="00ED086C">
        <w:rPr>
          <w:rFonts w:eastAsia="Times New Roman" w:cs="Calibri"/>
          <w:color w:val="000000" w:themeColor="text1"/>
          <w:lang w:eastAsia="en-IE"/>
        </w:rPr>
        <w:t xml:space="preserve">, </w:t>
      </w:r>
      <w:r w:rsidR="004E4194">
        <w:rPr>
          <w:rFonts w:eastAsia="Times New Roman" w:cs="Calibri"/>
          <w:color w:val="000000" w:themeColor="text1"/>
          <w:lang w:eastAsia="en-IE"/>
        </w:rPr>
        <w:t xml:space="preserve">comprising </w:t>
      </w:r>
      <w:r w:rsidR="00E554E5" w:rsidRPr="00ED086C">
        <w:rPr>
          <w:rFonts w:eastAsia="Times New Roman" w:cs="Calibri"/>
          <w:color w:val="000000" w:themeColor="text1"/>
          <w:lang w:eastAsia="en-IE"/>
        </w:rPr>
        <w:t xml:space="preserve">a total of </w:t>
      </w:r>
      <w:r w:rsidR="00ED086C" w:rsidRPr="00ED086C">
        <w:rPr>
          <w:rFonts w:eastAsia="Times New Roman" w:cs="Calibri"/>
          <w:color w:val="000000" w:themeColor="text1"/>
          <w:lang w:eastAsia="en-IE"/>
        </w:rPr>
        <w:t>963</w:t>
      </w:r>
      <w:r w:rsidR="00E554E5" w:rsidRPr="00ED086C">
        <w:rPr>
          <w:rFonts w:eastAsia="Times New Roman" w:cs="Calibri"/>
          <w:color w:val="000000" w:themeColor="text1"/>
          <w:lang w:eastAsia="en-IE"/>
        </w:rPr>
        <w:t xml:space="preserve"> queries relating to homelessness</w:t>
      </w:r>
      <w:r w:rsidR="00407D61">
        <w:rPr>
          <w:rFonts w:eastAsia="Times New Roman" w:cs="Calibri"/>
          <w:color w:val="000000" w:themeColor="text1"/>
          <w:lang w:eastAsia="en-IE"/>
        </w:rPr>
        <w:t>/threatened homelessness</w:t>
      </w:r>
      <w:r w:rsidR="00831FD4">
        <w:rPr>
          <w:rFonts w:eastAsia="Times New Roman" w:cs="Calibri"/>
          <w:color w:val="000000" w:themeColor="text1"/>
          <w:lang w:eastAsia="en-IE"/>
        </w:rPr>
        <w:t xml:space="preserve"> for this quarter.</w:t>
      </w:r>
    </w:p>
    <w:p w14:paraId="1B30AB22" w14:textId="1AB556F5" w:rsidR="00F20612" w:rsidRPr="00386236" w:rsidRDefault="00ED086C" w:rsidP="001913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 w:cs="Calibri"/>
          <w:color w:val="000000" w:themeColor="text1"/>
          <w:lang w:eastAsia="en-IE"/>
        </w:rPr>
      </w:pPr>
      <w:r w:rsidRPr="00831FD4">
        <w:rPr>
          <w:rFonts w:eastAsia="Times New Roman" w:cs="Calibri"/>
          <w:b/>
          <w:bCs/>
          <w:color w:val="000000" w:themeColor="text1"/>
          <w:lang w:eastAsia="en-IE"/>
        </w:rPr>
        <w:t>Housing Grants and Schemes</w:t>
      </w:r>
      <w:r w:rsidR="00B4617B">
        <w:rPr>
          <w:rFonts w:eastAsia="Times New Roman" w:cs="Calibri"/>
          <w:b/>
          <w:bCs/>
          <w:color w:val="000000" w:themeColor="text1"/>
          <w:lang w:eastAsia="en-IE"/>
        </w:rPr>
        <w:t>’</w:t>
      </w:r>
      <w:r w:rsidRPr="00386236">
        <w:rPr>
          <w:rFonts w:eastAsia="Times New Roman" w:cs="Calibri"/>
          <w:color w:val="000000" w:themeColor="text1"/>
          <w:lang w:eastAsia="en-IE"/>
        </w:rPr>
        <w:t xml:space="preserve"> </w:t>
      </w:r>
      <w:r w:rsidR="003D7012">
        <w:rPr>
          <w:rFonts w:eastAsia="Times New Roman" w:cs="Calibri"/>
          <w:color w:val="000000" w:themeColor="text1"/>
          <w:lang w:eastAsia="en-IE"/>
        </w:rPr>
        <w:t xml:space="preserve">queries increased by </w:t>
      </w:r>
      <w:r w:rsidRPr="00386236">
        <w:rPr>
          <w:rFonts w:eastAsia="Times New Roman" w:cs="Calibri"/>
          <w:color w:val="000000" w:themeColor="text1"/>
          <w:lang w:eastAsia="en-IE"/>
        </w:rPr>
        <w:t>22.5% (2,643)</w:t>
      </w:r>
      <w:r w:rsidR="003D7012">
        <w:rPr>
          <w:rFonts w:eastAsia="Times New Roman" w:cs="Calibri"/>
          <w:color w:val="000000" w:themeColor="text1"/>
          <w:lang w:eastAsia="en-IE"/>
        </w:rPr>
        <w:t xml:space="preserve"> compared to Q2 2021.</w:t>
      </w:r>
      <w:r w:rsidRPr="00386236">
        <w:rPr>
          <w:rFonts w:eastAsia="Times New Roman" w:cs="Calibri"/>
          <w:color w:val="000000" w:themeColor="text1"/>
          <w:lang w:eastAsia="en-IE"/>
        </w:rPr>
        <w:t xml:space="preserve"> </w:t>
      </w:r>
      <w:r w:rsidR="00F20612" w:rsidRPr="00386236">
        <w:rPr>
          <w:rFonts w:eastAsia="Times New Roman" w:cs="Calibri"/>
          <w:color w:val="000000" w:themeColor="text1"/>
          <w:lang w:eastAsia="en-IE"/>
        </w:rPr>
        <w:t xml:space="preserve">Home Energy Grants (SEAI) </w:t>
      </w:r>
      <w:r w:rsidR="00386236" w:rsidRPr="00386236">
        <w:rPr>
          <w:rFonts w:eastAsia="Times New Roman" w:cs="Calibri"/>
          <w:color w:val="000000" w:themeColor="text1"/>
          <w:lang w:eastAsia="en-IE"/>
        </w:rPr>
        <w:t xml:space="preserve">had </w:t>
      </w:r>
      <w:r w:rsidR="00F20612" w:rsidRPr="00386236">
        <w:rPr>
          <w:rFonts w:eastAsia="Times New Roman" w:cs="Calibri"/>
          <w:color w:val="000000" w:themeColor="text1"/>
          <w:lang w:eastAsia="en-IE"/>
        </w:rPr>
        <w:t>487</w:t>
      </w:r>
      <w:r w:rsidR="00386236" w:rsidRPr="00386236">
        <w:rPr>
          <w:rFonts w:eastAsia="Times New Roman" w:cs="Calibri"/>
          <w:color w:val="000000" w:themeColor="text1"/>
          <w:lang w:eastAsia="en-IE"/>
        </w:rPr>
        <w:t xml:space="preserve"> queries from end of April to </w:t>
      </w:r>
      <w:r w:rsidR="004E4194">
        <w:rPr>
          <w:rFonts w:eastAsia="Times New Roman" w:cs="Calibri"/>
          <w:color w:val="000000" w:themeColor="text1"/>
          <w:lang w:eastAsia="en-IE"/>
        </w:rPr>
        <w:t xml:space="preserve">end of </w:t>
      </w:r>
      <w:r w:rsidR="00386236" w:rsidRPr="00386236">
        <w:rPr>
          <w:rFonts w:eastAsia="Times New Roman" w:cs="Calibri"/>
          <w:color w:val="000000" w:themeColor="text1"/>
          <w:lang w:eastAsia="en-IE"/>
        </w:rPr>
        <w:t>June 2022.</w:t>
      </w:r>
    </w:p>
    <w:p w14:paraId="4D58235C" w14:textId="792CACB4" w:rsidR="00CF2862" w:rsidRDefault="00CF2862" w:rsidP="00CF2862">
      <w:pPr>
        <w:pStyle w:val="ListParagraph"/>
        <w:spacing w:after="0" w:line="240" w:lineRule="auto"/>
        <w:rPr>
          <w:rFonts w:eastAsia="Times New Roman" w:cs="Calibri"/>
          <w:color w:val="000000"/>
          <w:lang w:eastAsia="en-IE"/>
        </w:rPr>
      </w:pPr>
    </w:p>
    <w:p w14:paraId="7C1B95FC" w14:textId="4E06EB49" w:rsidR="00F14F7A" w:rsidRDefault="00B60276" w:rsidP="00E4492D">
      <w:pPr>
        <w:pStyle w:val="Heading1"/>
        <w:rPr>
          <w:b/>
          <w:sz w:val="24"/>
          <w:szCs w:val="24"/>
        </w:rPr>
      </w:pPr>
      <w:r w:rsidRPr="00B12326">
        <w:rPr>
          <w:b/>
          <w:sz w:val="24"/>
          <w:szCs w:val="24"/>
        </w:rPr>
        <w:t>Table 7 – Housing Quer</w:t>
      </w:r>
      <w:r w:rsidR="00115404">
        <w:rPr>
          <w:b/>
          <w:sz w:val="24"/>
          <w:szCs w:val="24"/>
        </w:rPr>
        <w:t>ies</w:t>
      </w:r>
      <w:r w:rsidRPr="00B12326">
        <w:rPr>
          <w:b/>
          <w:sz w:val="24"/>
          <w:szCs w:val="24"/>
        </w:rPr>
        <w:t xml:space="preserve"> Breakdown</w:t>
      </w:r>
      <w:r w:rsidR="00475106" w:rsidRPr="00B12326">
        <w:rPr>
          <w:b/>
          <w:sz w:val="24"/>
          <w:szCs w:val="24"/>
        </w:rPr>
        <w:t>, Q</w:t>
      </w:r>
      <w:r w:rsidR="00E954B1">
        <w:rPr>
          <w:b/>
          <w:sz w:val="24"/>
          <w:szCs w:val="24"/>
        </w:rPr>
        <w:t>2</w:t>
      </w:r>
      <w:r w:rsidR="00AD338F" w:rsidRPr="00B12326">
        <w:rPr>
          <w:b/>
          <w:sz w:val="24"/>
          <w:szCs w:val="24"/>
        </w:rPr>
        <w:t xml:space="preserve"> 2022</w:t>
      </w:r>
    </w:p>
    <w:tbl>
      <w:tblPr>
        <w:tblStyle w:val="GridTable5Dark-Accent6"/>
        <w:tblW w:w="13514" w:type="dxa"/>
        <w:tblLook w:val="04A0" w:firstRow="1" w:lastRow="0" w:firstColumn="1" w:lastColumn="0" w:noHBand="0" w:noVBand="1"/>
        <w:tblCaption w:val="Table 7 Housing Query Breakdown Quarter 1 2021"/>
        <w:tblDescription w:val="This table shows the housing query dataset for Qtr 1 2021"/>
      </w:tblPr>
      <w:tblGrid>
        <w:gridCol w:w="1275"/>
        <w:gridCol w:w="4395"/>
        <w:gridCol w:w="5382"/>
        <w:gridCol w:w="997"/>
        <w:gridCol w:w="1465"/>
      </w:tblGrid>
      <w:tr w:rsidR="000F1F54" w:rsidRPr="000F1F54" w14:paraId="3AE563E6" w14:textId="77777777" w:rsidTr="00EA54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hideMark/>
          </w:tcPr>
          <w:p w14:paraId="14DB2BF8" w14:textId="77777777" w:rsidR="000F1F54" w:rsidRPr="000F1F54" w:rsidRDefault="000F1F54" w:rsidP="000F1F5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Category</w:t>
            </w:r>
          </w:p>
        </w:tc>
        <w:tc>
          <w:tcPr>
            <w:tcW w:w="4395" w:type="dxa"/>
            <w:hideMark/>
          </w:tcPr>
          <w:p w14:paraId="37329898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Sub-category</w:t>
            </w:r>
          </w:p>
        </w:tc>
        <w:tc>
          <w:tcPr>
            <w:tcW w:w="5382" w:type="dxa"/>
            <w:hideMark/>
          </w:tcPr>
          <w:p w14:paraId="2B14CE58" w14:textId="57575AA0" w:rsidR="000F1F54" w:rsidRPr="000F1F54" w:rsidRDefault="000F1F54" w:rsidP="000F1F54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8"/>
                <w:szCs w:val="28"/>
                <w:lang w:eastAsia="en-IE"/>
              </w:rPr>
              <w:t>Q</w:t>
            </w:r>
            <w:r w:rsidR="00CF0CE4" w:rsidRPr="00677146">
              <w:rPr>
                <w:rFonts w:eastAsia="Times New Roman" w:cs="Calibri"/>
                <w:color w:val="auto"/>
                <w:sz w:val="28"/>
                <w:szCs w:val="28"/>
                <w:lang w:eastAsia="en-IE"/>
              </w:rPr>
              <w:t>2</w:t>
            </w:r>
            <w:r w:rsidRPr="000F1F54">
              <w:rPr>
                <w:rFonts w:eastAsia="Times New Roman" w:cs="Calibri"/>
                <w:color w:val="000000"/>
                <w:sz w:val="28"/>
                <w:szCs w:val="28"/>
                <w:lang w:eastAsia="en-IE"/>
              </w:rPr>
              <w:t>, 2022 Sub-category Breakdown</w:t>
            </w:r>
          </w:p>
        </w:tc>
        <w:tc>
          <w:tcPr>
            <w:tcW w:w="997" w:type="dxa"/>
            <w:hideMark/>
          </w:tcPr>
          <w:p w14:paraId="583CD89D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# of Queries</w:t>
            </w:r>
          </w:p>
        </w:tc>
        <w:tc>
          <w:tcPr>
            <w:tcW w:w="1465" w:type="dxa"/>
            <w:hideMark/>
          </w:tcPr>
          <w:p w14:paraId="314EE64A" w14:textId="77777777" w:rsidR="000F1F54" w:rsidRPr="000F1F54" w:rsidRDefault="000F1F54" w:rsidP="000F1F54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% of Housing Sub-category</w:t>
            </w:r>
          </w:p>
        </w:tc>
      </w:tr>
      <w:tr w:rsidR="000F1F54" w:rsidRPr="000F1F54" w14:paraId="75228C44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D363F2E" w14:textId="77777777" w:rsidR="000F1F54" w:rsidRPr="000F1F54" w:rsidRDefault="000F1F54" w:rsidP="000F1F54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Local Authority and Social Housing</w:t>
            </w:r>
          </w:p>
        </w:tc>
      </w:tr>
      <w:tr w:rsidR="007C4292" w:rsidRPr="000F1F54" w14:paraId="0BF4E1E4" w14:textId="77777777" w:rsidTr="00EA54C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96C149F" w14:textId="777777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26004C8" w14:textId="77777777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48A45182" w14:textId="34279E16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Applying for Local Authority/Social Housing</w:t>
            </w:r>
          </w:p>
        </w:tc>
        <w:tc>
          <w:tcPr>
            <w:tcW w:w="997" w:type="dxa"/>
            <w:noWrap/>
            <w:hideMark/>
          </w:tcPr>
          <w:p w14:paraId="62D7D4CC" w14:textId="697D253B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5,022 </w:t>
            </w:r>
          </w:p>
        </w:tc>
        <w:tc>
          <w:tcPr>
            <w:tcW w:w="1465" w:type="dxa"/>
            <w:noWrap/>
          </w:tcPr>
          <w:p w14:paraId="0D0B7785" w14:textId="6B160561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50.4%</w:t>
            </w:r>
          </w:p>
        </w:tc>
      </w:tr>
      <w:tr w:rsidR="007C4292" w:rsidRPr="000F1F54" w14:paraId="2DD8FC13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9626DD2" w14:textId="77777777" w:rsidR="007C4292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01BD16E" w14:textId="2A3E42F5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163E2F06" w14:textId="600BA28A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C32FB0">
              <w:rPr>
                <w:b/>
                <w:bCs/>
                <w:sz w:val="20"/>
                <w:szCs w:val="20"/>
              </w:rPr>
              <w:t>Housing Assistance Payment (HAP)</w:t>
            </w:r>
          </w:p>
        </w:tc>
        <w:tc>
          <w:tcPr>
            <w:tcW w:w="997" w:type="dxa"/>
            <w:noWrap/>
          </w:tcPr>
          <w:p w14:paraId="6A9EA649" w14:textId="50EC5F2F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 xml:space="preserve"> 2,866 </w:t>
            </w:r>
          </w:p>
        </w:tc>
        <w:tc>
          <w:tcPr>
            <w:tcW w:w="1465" w:type="dxa"/>
            <w:noWrap/>
          </w:tcPr>
          <w:p w14:paraId="635E25B2" w14:textId="17B51DBD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>28.8%</w:t>
            </w:r>
          </w:p>
        </w:tc>
      </w:tr>
      <w:tr w:rsidR="007C4292" w:rsidRPr="000F1F54" w14:paraId="751B9292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A8DBCBF" w14:textId="77777777" w:rsidR="007C4292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  <w:p w14:paraId="4C8AA0A0" w14:textId="531E4018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7D40E7D2" w14:textId="77777777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3E0A715B" w14:textId="18ED126B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997" w:type="dxa"/>
            <w:noWrap/>
            <w:hideMark/>
          </w:tcPr>
          <w:p w14:paraId="31AB7285" w14:textId="4046E5D7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776 </w:t>
            </w:r>
          </w:p>
        </w:tc>
        <w:tc>
          <w:tcPr>
            <w:tcW w:w="1465" w:type="dxa"/>
            <w:noWrap/>
          </w:tcPr>
          <w:p w14:paraId="19553694" w14:textId="0585AE62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7.8%</w:t>
            </w:r>
          </w:p>
        </w:tc>
      </w:tr>
      <w:tr w:rsidR="007C4292" w:rsidRPr="000F1F54" w14:paraId="01047D28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DD2DDD4" w14:textId="76CA7984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5D94F258" w14:textId="77777777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3621FC20" w14:textId="707DFC93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Differential Rent</w:t>
            </w:r>
          </w:p>
        </w:tc>
        <w:tc>
          <w:tcPr>
            <w:tcW w:w="997" w:type="dxa"/>
            <w:noWrap/>
            <w:hideMark/>
          </w:tcPr>
          <w:p w14:paraId="50D22F84" w14:textId="7F27295E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435 </w:t>
            </w:r>
          </w:p>
        </w:tc>
        <w:tc>
          <w:tcPr>
            <w:tcW w:w="1465" w:type="dxa"/>
            <w:noWrap/>
          </w:tcPr>
          <w:p w14:paraId="2A75B744" w14:textId="5ECFBE0C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4.4%</w:t>
            </w:r>
          </w:p>
        </w:tc>
      </w:tr>
      <w:tr w:rsidR="007C4292" w:rsidRPr="000F1F54" w14:paraId="782A089B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44205A8" w14:textId="575B8A1A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13DFB243" w14:textId="04A6C5D9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  <w:hideMark/>
          </w:tcPr>
          <w:p w14:paraId="07C6641C" w14:textId="1D2F55F3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LA Transfers</w:t>
            </w:r>
          </w:p>
        </w:tc>
        <w:tc>
          <w:tcPr>
            <w:tcW w:w="997" w:type="dxa"/>
            <w:noWrap/>
            <w:hideMark/>
          </w:tcPr>
          <w:p w14:paraId="60FB44FF" w14:textId="0E22D950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229 </w:t>
            </w:r>
          </w:p>
        </w:tc>
        <w:tc>
          <w:tcPr>
            <w:tcW w:w="1465" w:type="dxa"/>
            <w:noWrap/>
          </w:tcPr>
          <w:p w14:paraId="2292E363" w14:textId="30F0D53B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2.3%</w:t>
            </w:r>
          </w:p>
        </w:tc>
      </w:tr>
      <w:tr w:rsidR="007C4292" w:rsidRPr="000F1F54" w14:paraId="63D052F8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1CFD76A6" w14:textId="777777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42BD8C61" w14:textId="7AC81E86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7CBF496A" w14:textId="35E6B51A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</w:tcPr>
          <w:p w14:paraId="51706217" w14:textId="1E1B38E2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 xml:space="preserve"> 143 </w:t>
            </w:r>
          </w:p>
        </w:tc>
        <w:tc>
          <w:tcPr>
            <w:tcW w:w="1465" w:type="dxa"/>
            <w:noWrap/>
          </w:tcPr>
          <w:p w14:paraId="5F6FEC7D" w14:textId="4F299E04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>1.4%</w:t>
            </w:r>
          </w:p>
        </w:tc>
      </w:tr>
      <w:tr w:rsidR="007C4292" w:rsidRPr="000F1F54" w14:paraId="3D22C1AD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C72E648" w14:textId="777777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1EF93D50" w14:textId="264FAFB0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5AB1E1C7" w14:textId="67E7C641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C32FB0">
              <w:rPr>
                <w:b/>
                <w:bCs/>
                <w:sz w:val="20"/>
                <w:szCs w:val="20"/>
              </w:rPr>
              <w:t>Notice/Eviction/Disputes</w:t>
            </w:r>
          </w:p>
        </w:tc>
        <w:tc>
          <w:tcPr>
            <w:tcW w:w="997" w:type="dxa"/>
            <w:noWrap/>
          </w:tcPr>
          <w:p w14:paraId="752F8693" w14:textId="3BDC62AC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 xml:space="preserve"> 133 </w:t>
            </w:r>
          </w:p>
        </w:tc>
        <w:tc>
          <w:tcPr>
            <w:tcW w:w="1465" w:type="dxa"/>
            <w:noWrap/>
          </w:tcPr>
          <w:p w14:paraId="3B4ABC33" w14:textId="31C75F43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>1.3%</w:t>
            </w:r>
          </w:p>
        </w:tc>
      </w:tr>
      <w:tr w:rsidR="007C4292" w:rsidRPr="000F1F54" w14:paraId="6CF9869B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7902B4F" w14:textId="777777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70DA6471" w14:textId="3AA01803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054C2EE0" w14:textId="6B4EB0B1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C32FB0">
              <w:rPr>
                <w:b/>
                <w:bCs/>
                <w:sz w:val="20"/>
                <w:szCs w:val="20"/>
              </w:rPr>
              <w:t>Rent Arrears/Rent Problems</w:t>
            </w:r>
          </w:p>
        </w:tc>
        <w:tc>
          <w:tcPr>
            <w:tcW w:w="997" w:type="dxa"/>
            <w:noWrap/>
          </w:tcPr>
          <w:p w14:paraId="56AF0989" w14:textId="7F853FB1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 xml:space="preserve"> 120 </w:t>
            </w:r>
          </w:p>
        </w:tc>
        <w:tc>
          <w:tcPr>
            <w:tcW w:w="1465" w:type="dxa"/>
            <w:noWrap/>
          </w:tcPr>
          <w:p w14:paraId="140DB586" w14:textId="009B595E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>1.2%</w:t>
            </w:r>
          </w:p>
        </w:tc>
      </w:tr>
      <w:tr w:rsidR="007C4292" w:rsidRPr="000F1F54" w14:paraId="2CA4FC6F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1F1AD50" w14:textId="777777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F92BC1E" w14:textId="0B58604A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0B478D83" w14:textId="53E62C3E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C32FB0">
              <w:rPr>
                <w:b/>
                <w:bCs/>
                <w:sz w:val="20"/>
                <w:szCs w:val="20"/>
              </w:rPr>
              <w:t>Rental Accommodation Scheme (RAS)</w:t>
            </w:r>
          </w:p>
        </w:tc>
        <w:tc>
          <w:tcPr>
            <w:tcW w:w="997" w:type="dxa"/>
            <w:noWrap/>
          </w:tcPr>
          <w:p w14:paraId="530CA06C" w14:textId="60952038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 xml:space="preserve"> 97 </w:t>
            </w:r>
          </w:p>
        </w:tc>
        <w:tc>
          <w:tcPr>
            <w:tcW w:w="1465" w:type="dxa"/>
            <w:noWrap/>
          </w:tcPr>
          <w:p w14:paraId="2673342A" w14:textId="01469C13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>1.0%</w:t>
            </w:r>
          </w:p>
        </w:tc>
      </w:tr>
      <w:tr w:rsidR="007C4292" w:rsidRPr="000F1F54" w14:paraId="77A95B30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5954639" w14:textId="777777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2AB3E235" w14:textId="155ECE01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51F9DB80" w14:textId="47A9620F" w:rsidR="007C4292" w:rsidRPr="00C32FB0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sz w:val="20"/>
                <w:szCs w:val="20"/>
              </w:rPr>
            </w:pPr>
            <w:r w:rsidRPr="00C32FB0">
              <w:rPr>
                <w:b/>
                <w:bCs/>
                <w:sz w:val="20"/>
                <w:szCs w:val="20"/>
              </w:rPr>
              <w:t>Tenant Purchase (Incremental Scheme)</w:t>
            </w:r>
          </w:p>
        </w:tc>
        <w:tc>
          <w:tcPr>
            <w:tcW w:w="997" w:type="dxa"/>
            <w:noWrap/>
          </w:tcPr>
          <w:p w14:paraId="7966ABF1" w14:textId="1B182146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 xml:space="preserve"> 89 </w:t>
            </w:r>
          </w:p>
        </w:tc>
        <w:tc>
          <w:tcPr>
            <w:tcW w:w="1465" w:type="dxa"/>
            <w:noWrap/>
          </w:tcPr>
          <w:p w14:paraId="72DF32B6" w14:textId="45874301" w:rsidR="007C4292" w:rsidRPr="00C32FB0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32FB0">
              <w:rPr>
                <w:sz w:val="20"/>
                <w:szCs w:val="20"/>
              </w:rPr>
              <w:t>0.9%</w:t>
            </w:r>
          </w:p>
        </w:tc>
      </w:tr>
      <w:tr w:rsidR="007C4292" w:rsidRPr="000F1F54" w14:paraId="40C0DBB0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7F99129F" w14:textId="50877F68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2E6C68C1" w14:textId="3C4AF149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382" w:type="dxa"/>
            <w:noWrap/>
          </w:tcPr>
          <w:p w14:paraId="0FFB8BDC" w14:textId="45A57A54" w:rsidR="007C4292" w:rsidRPr="00C32FB0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b/>
                <w:bCs/>
                <w:sz w:val="20"/>
                <w:szCs w:val="20"/>
              </w:rPr>
              <w:t>Medical Priority</w:t>
            </w:r>
          </w:p>
        </w:tc>
        <w:tc>
          <w:tcPr>
            <w:tcW w:w="997" w:type="dxa"/>
            <w:noWrap/>
            <w:hideMark/>
          </w:tcPr>
          <w:p w14:paraId="40311EEF" w14:textId="1CCE2E03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 xml:space="preserve"> 52 </w:t>
            </w:r>
          </w:p>
        </w:tc>
        <w:tc>
          <w:tcPr>
            <w:tcW w:w="1465" w:type="dxa"/>
            <w:noWrap/>
          </w:tcPr>
          <w:p w14:paraId="377C9084" w14:textId="4DE6E28C" w:rsidR="007C4292" w:rsidRPr="00C32FB0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32FB0">
              <w:rPr>
                <w:sz w:val="20"/>
                <w:szCs w:val="20"/>
              </w:rPr>
              <w:t>0.5%</w:t>
            </w:r>
          </w:p>
        </w:tc>
      </w:tr>
      <w:tr w:rsidR="00F204C5" w:rsidRPr="000F1F54" w14:paraId="43B32764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1E33B15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55E5F2F" w14:textId="77777777" w:rsidR="00F204C5" w:rsidRPr="000F1F54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0765DA6" w14:textId="77777777" w:rsidR="00F204C5" w:rsidRPr="000F1F54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</w:tcPr>
          <w:p w14:paraId="67F37F65" w14:textId="0E381F63" w:rsidR="00F204C5" w:rsidRPr="000F1F54" w:rsidRDefault="0017089C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9,962</w:t>
            </w:r>
          </w:p>
        </w:tc>
        <w:tc>
          <w:tcPr>
            <w:tcW w:w="1465" w:type="dxa"/>
            <w:noWrap/>
          </w:tcPr>
          <w:p w14:paraId="036B3A95" w14:textId="0672B956" w:rsidR="00F204C5" w:rsidRPr="009876E6" w:rsidRDefault="007C4292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44966" w:rsidRPr="000F1F54" w14:paraId="3817280C" w14:textId="77777777" w:rsidTr="00EA54C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40632F37" w14:textId="77777777" w:rsidR="00444966" w:rsidRPr="000F1F54" w:rsidRDefault="00444966" w:rsidP="00707E0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Renting a Home</w:t>
            </w:r>
          </w:p>
        </w:tc>
      </w:tr>
      <w:tr w:rsidR="007C4292" w:rsidRPr="000F1F54" w14:paraId="45FB110A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6B6830BE" w14:textId="777777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1722E7CE" w14:textId="77777777" w:rsidR="007C4292" w:rsidRPr="000F1F54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31238A33" w14:textId="6A3E4696" w:rsidR="007C4292" w:rsidRPr="00E0179A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Notice/Eviction/Disputes</w:t>
            </w:r>
          </w:p>
        </w:tc>
        <w:tc>
          <w:tcPr>
            <w:tcW w:w="997" w:type="dxa"/>
            <w:noWrap/>
            <w:hideMark/>
          </w:tcPr>
          <w:p w14:paraId="3B79A17E" w14:textId="572D43B1" w:rsidR="007C4292" w:rsidRPr="00E0179A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753 </w:t>
            </w:r>
          </w:p>
        </w:tc>
        <w:tc>
          <w:tcPr>
            <w:tcW w:w="1465" w:type="dxa"/>
            <w:noWrap/>
          </w:tcPr>
          <w:p w14:paraId="443525E1" w14:textId="1FBEFAC9" w:rsidR="007C4292" w:rsidRPr="00EA54C7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27.5%</w:t>
            </w:r>
          </w:p>
        </w:tc>
      </w:tr>
      <w:tr w:rsidR="007C4292" w:rsidRPr="000F1F54" w14:paraId="04F76683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BC9807A" w14:textId="5C0348D4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0C52ABFA" w14:textId="77777777" w:rsidR="007C4292" w:rsidRPr="000F1F54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5A9C5FA0" w14:textId="54904F77" w:rsidR="007C4292" w:rsidRPr="00E0179A" w:rsidRDefault="009C066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Tenants’</w:t>
            </w:r>
            <w:r w:rsidR="007C4292" w:rsidRPr="00E0179A">
              <w:rPr>
                <w:b/>
                <w:bCs/>
                <w:sz w:val="20"/>
                <w:szCs w:val="20"/>
              </w:rPr>
              <w:t xml:space="preserve"> Rights and Obligations</w:t>
            </w:r>
          </w:p>
        </w:tc>
        <w:tc>
          <w:tcPr>
            <w:tcW w:w="997" w:type="dxa"/>
            <w:noWrap/>
            <w:hideMark/>
          </w:tcPr>
          <w:p w14:paraId="3C0D53BE" w14:textId="5408BFC6" w:rsidR="007C4292" w:rsidRPr="00E0179A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451 </w:t>
            </w:r>
          </w:p>
        </w:tc>
        <w:tc>
          <w:tcPr>
            <w:tcW w:w="1465" w:type="dxa"/>
            <w:noWrap/>
          </w:tcPr>
          <w:p w14:paraId="665278F6" w14:textId="499488D2" w:rsidR="007C4292" w:rsidRPr="00EA54C7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16.5%</w:t>
            </w:r>
          </w:p>
        </w:tc>
      </w:tr>
      <w:tr w:rsidR="007C4292" w:rsidRPr="000F1F54" w14:paraId="01190434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2246DB5" w14:textId="67D35E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6A91827B" w14:textId="77777777" w:rsidR="007C4292" w:rsidRPr="000F1F54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6B479EB1" w14:textId="0D219620" w:rsidR="007C4292" w:rsidRPr="00E0179A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Landlords Rights &amp; Obligations</w:t>
            </w:r>
          </w:p>
        </w:tc>
        <w:tc>
          <w:tcPr>
            <w:tcW w:w="997" w:type="dxa"/>
            <w:noWrap/>
            <w:hideMark/>
          </w:tcPr>
          <w:p w14:paraId="359FEFBA" w14:textId="0D31EDD4" w:rsidR="007C4292" w:rsidRPr="00E0179A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427 </w:t>
            </w:r>
          </w:p>
        </w:tc>
        <w:tc>
          <w:tcPr>
            <w:tcW w:w="1465" w:type="dxa"/>
            <w:noWrap/>
          </w:tcPr>
          <w:p w14:paraId="53BC7D20" w14:textId="75E54412" w:rsidR="007C4292" w:rsidRPr="00EA54C7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15.6%</w:t>
            </w:r>
          </w:p>
        </w:tc>
      </w:tr>
      <w:tr w:rsidR="007C4292" w:rsidRPr="000F1F54" w14:paraId="155A3BBB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7C2EE9F" w14:textId="5C224882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4C49184A" w14:textId="77777777" w:rsidR="007C4292" w:rsidRPr="000F1F54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2B359B9C" w14:textId="4961A9FE" w:rsidR="007C4292" w:rsidRPr="00E0179A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RTB (Residential Tenancies Board)</w:t>
            </w:r>
          </w:p>
        </w:tc>
        <w:tc>
          <w:tcPr>
            <w:tcW w:w="997" w:type="dxa"/>
            <w:noWrap/>
            <w:hideMark/>
          </w:tcPr>
          <w:p w14:paraId="429F8983" w14:textId="59CA5CB0" w:rsidR="007C4292" w:rsidRPr="00E0179A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426 </w:t>
            </w:r>
          </w:p>
        </w:tc>
        <w:tc>
          <w:tcPr>
            <w:tcW w:w="1465" w:type="dxa"/>
            <w:noWrap/>
          </w:tcPr>
          <w:p w14:paraId="7D6B3842" w14:textId="50ED41E5" w:rsidR="007C4292" w:rsidRPr="00EA54C7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15.6%</w:t>
            </w:r>
          </w:p>
        </w:tc>
      </w:tr>
      <w:tr w:rsidR="007C4292" w:rsidRPr="000F1F54" w14:paraId="529E749B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1B2433C" w14:textId="3EC9DF20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6ECA2784" w14:textId="77777777" w:rsidR="007C4292" w:rsidRPr="000F1F54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5C5AE12C" w14:textId="5E948A7A" w:rsidR="007C4292" w:rsidRPr="00E0179A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Rent Review</w:t>
            </w:r>
          </w:p>
        </w:tc>
        <w:tc>
          <w:tcPr>
            <w:tcW w:w="997" w:type="dxa"/>
            <w:noWrap/>
            <w:hideMark/>
          </w:tcPr>
          <w:p w14:paraId="257D3651" w14:textId="79241137" w:rsidR="007C4292" w:rsidRPr="00E0179A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239 </w:t>
            </w:r>
          </w:p>
        </w:tc>
        <w:tc>
          <w:tcPr>
            <w:tcW w:w="1465" w:type="dxa"/>
            <w:noWrap/>
          </w:tcPr>
          <w:p w14:paraId="4F999964" w14:textId="2FC05698" w:rsidR="007C4292" w:rsidRPr="00EA54C7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8.7%</w:t>
            </w:r>
          </w:p>
        </w:tc>
      </w:tr>
      <w:tr w:rsidR="007C4292" w:rsidRPr="000F1F54" w14:paraId="79EC02E7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23EC5200" w14:textId="5C398BBB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3C128EDC" w14:textId="77777777" w:rsidR="007C4292" w:rsidRPr="000F1F54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2EFF64FD" w14:textId="7258AE62" w:rsidR="007C4292" w:rsidRPr="00E0179A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Rent Arrears/Rent Problems</w:t>
            </w:r>
          </w:p>
        </w:tc>
        <w:tc>
          <w:tcPr>
            <w:tcW w:w="997" w:type="dxa"/>
            <w:noWrap/>
            <w:hideMark/>
          </w:tcPr>
          <w:p w14:paraId="16D21A4D" w14:textId="205103E3" w:rsidR="007C4292" w:rsidRPr="00E0179A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142 </w:t>
            </w:r>
          </w:p>
        </w:tc>
        <w:tc>
          <w:tcPr>
            <w:tcW w:w="1465" w:type="dxa"/>
            <w:noWrap/>
          </w:tcPr>
          <w:p w14:paraId="1547AE07" w14:textId="66D5A63A" w:rsidR="007C4292" w:rsidRPr="00EA54C7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5.2%</w:t>
            </w:r>
          </w:p>
        </w:tc>
      </w:tr>
      <w:tr w:rsidR="007C4292" w:rsidRPr="000F1F54" w14:paraId="5E4CB089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6E38593E" w14:textId="777777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02C48D26" w14:textId="08BFA251" w:rsidR="007C4292" w:rsidRPr="000F1F54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49679464" w14:textId="723A6360" w:rsidR="007C4292" w:rsidRPr="00E0179A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Standards/Repairs</w:t>
            </w:r>
          </w:p>
        </w:tc>
        <w:tc>
          <w:tcPr>
            <w:tcW w:w="997" w:type="dxa"/>
            <w:noWrap/>
          </w:tcPr>
          <w:p w14:paraId="25B492E7" w14:textId="28D50EC8" w:rsidR="007C4292" w:rsidRPr="00E0179A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125 </w:t>
            </w:r>
          </w:p>
        </w:tc>
        <w:tc>
          <w:tcPr>
            <w:tcW w:w="1465" w:type="dxa"/>
            <w:noWrap/>
          </w:tcPr>
          <w:p w14:paraId="1B7478D8" w14:textId="77F47DF7" w:rsidR="007C4292" w:rsidRPr="00EA54C7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4.6%</w:t>
            </w:r>
          </w:p>
        </w:tc>
      </w:tr>
      <w:tr w:rsidR="007C4292" w:rsidRPr="000F1F54" w14:paraId="1D404E79" w14:textId="77777777" w:rsidTr="00EA54C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3F1D6F35" w14:textId="77777777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</w:tcPr>
          <w:p w14:paraId="67400C42" w14:textId="3AC2BE17" w:rsidR="007C4292" w:rsidRPr="000F1F54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</w:tcPr>
          <w:p w14:paraId="1F232F2C" w14:textId="25CA703D" w:rsidR="007C4292" w:rsidRPr="00E0179A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Deposit Retention</w:t>
            </w:r>
          </w:p>
        </w:tc>
        <w:tc>
          <w:tcPr>
            <w:tcW w:w="997" w:type="dxa"/>
            <w:noWrap/>
          </w:tcPr>
          <w:p w14:paraId="23D573BE" w14:textId="6440C01D" w:rsidR="007C4292" w:rsidRPr="00E0179A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93 </w:t>
            </w:r>
          </w:p>
        </w:tc>
        <w:tc>
          <w:tcPr>
            <w:tcW w:w="1465" w:type="dxa"/>
            <w:noWrap/>
          </w:tcPr>
          <w:p w14:paraId="4EC601CF" w14:textId="5CA22C42" w:rsidR="007C4292" w:rsidRPr="00EA54C7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3.4%</w:t>
            </w:r>
          </w:p>
        </w:tc>
      </w:tr>
      <w:tr w:rsidR="007C4292" w:rsidRPr="000F1F54" w14:paraId="2703AB38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470F3D7E" w14:textId="26B2642B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2EB6D3D4" w14:textId="77777777" w:rsidR="007C4292" w:rsidRPr="000F1F54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36E949AD" w14:textId="2385A5B0" w:rsidR="007C4292" w:rsidRPr="00E0179A" w:rsidRDefault="007C4292" w:rsidP="007C429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Finding Accommodation</w:t>
            </w:r>
          </w:p>
        </w:tc>
        <w:tc>
          <w:tcPr>
            <w:tcW w:w="997" w:type="dxa"/>
            <w:noWrap/>
            <w:hideMark/>
          </w:tcPr>
          <w:p w14:paraId="2EBC4DA3" w14:textId="745DC8F0" w:rsidR="007C4292" w:rsidRPr="00E0179A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52 </w:t>
            </w:r>
          </w:p>
        </w:tc>
        <w:tc>
          <w:tcPr>
            <w:tcW w:w="1465" w:type="dxa"/>
            <w:noWrap/>
          </w:tcPr>
          <w:p w14:paraId="08FB2D40" w14:textId="212720BB" w:rsidR="007C4292" w:rsidRPr="00EA54C7" w:rsidRDefault="007C4292" w:rsidP="007C4292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1.9%</w:t>
            </w:r>
          </w:p>
        </w:tc>
      </w:tr>
      <w:tr w:rsidR="007C4292" w:rsidRPr="000F1F54" w14:paraId="4BF234DB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</w:tcPr>
          <w:p w14:paraId="52CC5B4F" w14:textId="445C5411" w:rsidR="007C4292" w:rsidRPr="000F1F54" w:rsidRDefault="007C4292" w:rsidP="007C4292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395" w:type="dxa"/>
            <w:noWrap/>
            <w:hideMark/>
          </w:tcPr>
          <w:p w14:paraId="04D7C8FC" w14:textId="77777777" w:rsidR="007C4292" w:rsidRPr="000F1F54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382" w:type="dxa"/>
            <w:noWrap/>
            <w:hideMark/>
          </w:tcPr>
          <w:p w14:paraId="65461282" w14:textId="3DD6842B" w:rsidR="007C4292" w:rsidRPr="00E0179A" w:rsidRDefault="007C4292" w:rsidP="007C429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b/>
                <w:bCs/>
                <w:sz w:val="20"/>
                <w:szCs w:val="20"/>
              </w:rPr>
              <w:t>Licensee</w:t>
            </w:r>
          </w:p>
        </w:tc>
        <w:tc>
          <w:tcPr>
            <w:tcW w:w="997" w:type="dxa"/>
            <w:noWrap/>
            <w:hideMark/>
          </w:tcPr>
          <w:p w14:paraId="4C40F073" w14:textId="379D1E1C" w:rsidR="007C4292" w:rsidRPr="00E0179A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sz w:val="20"/>
                <w:szCs w:val="20"/>
              </w:rPr>
              <w:t xml:space="preserve"> 26 </w:t>
            </w:r>
          </w:p>
        </w:tc>
        <w:tc>
          <w:tcPr>
            <w:tcW w:w="1465" w:type="dxa"/>
            <w:noWrap/>
            <w:hideMark/>
          </w:tcPr>
          <w:p w14:paraId="725542D7" w14:textId="520E7C47" w:rsidR="007C4292" w:rsidRPr="00EA54C7" w:rsidRDefault="007C4292" w:rsidP="007C4292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A54C7">
              <w:rPr>
                <w:sz w:val="20"/>
                <w:szCs w:val="20"/>
              </w:rPr>
              <w:t>1.0%</w:t>
            </w:r>
          </w:p>
        </w:tc>
      </w:tr>
      <w:tr w:rsidR="00444966" w:rsidRPr="000F1F54" w14:paraId="05D35403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5E28E0D" w14:textId="77777777" w:rsidR="00444966" w:rsidRPr="000F1F54" w:rsidRDefault="00444966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7F70500D" w14:textId="77777777" w:rsidR="00444966" w:rsidRPr="000F1F54" w:rsidRDefault="00444966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12BBFFEE" w14:textId="77777777" w:rsidR="00444966" w:rsidRPr="000F1F54" w:rsidRDefault="00444966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51561504" w14:textId="6086AF47" w:rsidR="00444966" w:rsidRPr="000F1F54" w:rsidRDefault="005A043C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2,</w:t>
            </w:r>
            <w:r w:rsidR="008708AB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734</w:t>
            </w:r>
          </w:p>
        </w:tc>
        <w:tc>
          <w:tcPr>
            <w:tcW w:w="1465" w:type="dxa"/>
            <w:noWrap/>
            <w:hideMark/>
          </w:tcPr>
          <w:p w14:paraId="6E712633" w14:textId="51122022" w:rsidR="00444966" w:rsidRPr="000F1F54" w:rsidRDefault="007751F0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44966" w:rsidRPr="000F1F54" w14:paraId="3ABECC80" w14:textId="77777777" w:rsidTr="00EA54C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47664DAD" w14:textId="77777777" w:rsidR="00444966" w:rsidRPr="000F1F54" w:rsidRDefault="00444966" w:rsidP="00707E0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Housing Grants and Schemes</w:t>
            </w:r>
          </w:p>
        </w:tc>
      </w:tr>
      <w:tr w:rsidR="00444966" w:rsidRPr="000F1F54" w14:paraId="7184DA95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44B81E7F" w14:textId="77777777" w:rsidR="00444966" w:rsidRPr="000F1F54" w:rsidRDefault="00444966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676B95D" w14:textId="77777777" w:rsidR="00444966" w:rsidRPr="00E0179A" w:rsidRDefault="00444966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382" w:type="dxa"/>
            <w:noWrap/>
            <w:hideMark/>
          </w:tcPr>
          <w:p w14:paraId="73B20CB5" w14:textId="77777777" w:rsidR="00444966" w:rsidRPr="00E0179A" w:rsidRDefault="00444966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cs="Calibri"/>
                <w:b/>
                <w:bCs/>
                <w:sz w:val="20"/>
                <w:szCs w:val="20"/>
              </w:rPr>
              <w:t>Housing Grants and Schemes</w:t>
            </w:r>
          </w:p>
        </w:tc>
        <w:tc>
          <w:tcPr>
            <w:tcW w:w="997" w:type="dxa"/>
            <w:noWrap/>
            <w:hideMark/>
          </w:tcPr>
          <w:p w14:paraId="109E797D" w14:textId="2EDDDC49" w:rsidR="00444966" w:rsidRPr="00E0179A" w:rsidRDefault="0017089C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2,643</w:t>
            </w:r>
          </w:p>
        </w:tc>
        <w:tc>
          <w:tcPr>
            <w:tcW w:w="1465" w:type="dxa"/>
            <w:noWrap/>
            <w:hideMark/>
          </w:tcPr>
          <w:p w14:paraId="2AA75C18" w14:textId="44382890" w:rsidR="00444966" w:rsidRPr="00E0179A" w:rsidRDefault="00444966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444966" w:rsidRPr="000F1F54" w14:paraId="56410364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0C28C7B" w14:textId="77777777" w:rsidR="00444966" w:rsidRPr="000F1F54" w:rsidRDefault="00444966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293F206" w14:textId="77777777" w:rsidR="00444966" w:rsidRPr="000F1F54" w:rsidRDefault="00444966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50B89184" w14:textId="77777777" w:rsidR="00444966" w:rsidRPr="000F1F54" w:rsidRDefault="00444966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53B35DC7" w14:textId="04751BAC" w:rsidR="00444966" w:rsidRPr="000F1F54" w:rsidRDefault="0017089C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2,643</w:t>
            </w:r>
          </w:p>
        </w:tc>
        <w:tc>
          <w:tcPr>
            <w:tcW w:w="1465" w:type="dxa"/>
            <w:noWrap/>
            <w:hideMark/>
          </w:tcPr>
          <w:p w14:paraId="2321798E" w14:textId="3F6792B7" w:rsidR="00444966" w:rsidRPr="000F1F54" w:rsidRDefault="007751F0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204C5" w:rsidRPr="000F1F54" w14:paraId="45BAC727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7D4B1D95" w14:textId="77777777" w:rsidR="00F204C5" w:rsidRPr="000F1F54" w:rsidRDefault="00F204C5" w:rsidP="00F204C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Other</w:t>
            </w:r>
          </w:p>
        </w:tc>
      </w:tr>
      <w:tr w:rsidR="00F204C5" w:rsidRPr="000F1F54" w14:paraId="0078CABD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976FDE8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54F785D8" w14:textId="77777777" w:rsidR="00F204C5" w:rsidRPr="00A2111B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  <w:r w:rsidRPr="00A2111B">
              <w:rPr>
                <w:rFonts w:eastAsia="Times New Roman" w:cs="Calibri"/>
                <w:color w:val="000000"/>
                <w:lang w:eastAsia="en-IE"/>
              </w:rPr>
              <w:t>Other</w:t>
            </w:r>
          </w:p>
        </w:tc>
        <w:tc>
          <w:tcPr>
            <w:tcW w:w="5382" w:type="dxa"/>
            <w:noWrap/>
            <w:hideMark/>
          </w:tcPr>
          <w:p w14:paraId="36D6A422" w14:textId="77777777" w:rsidR="00F204C5" w:rsidRPr="00E0179A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97" w:type="dxa"/>
            <w:noWrap/>
            <w:hideMark/>
          </w:tcPr>
          <w:p w14:paraId="63637F12" w14:textId="3FA2137C" w:rsidR="00F204C5" w:rsidRPr="00E0179A" w:rsidRDefault="0017089C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999</w:t>
            </w:r>
          </w:p>
        </w:tc>
        <w:tc>
          <w:tcPr>
            <w:tcW w:w="1465" w:type="dxa"/>
            <w:noWrap/>
          </w:tcPr>
          <w:p w14:paraId="7B0EC3C1" w14:textId="707108DF" w:rsidR="00F204C5" w:rsidRPr="00A2111B" w:rsidRDefault="00F204C5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</w:p>
        </w:tc>
      </w:tr>
      <w:tr w:rsidR="00F204C5" w:rsidRPr="000F1F54" w14:paraId="769D0C54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35065F72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0886764" w14:textId="77777777" w:rsidR="00F204C5" w:rsidRPr="000F1F54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1BF3378B" w14:textId="77777777" w:rsidR="00F204C5" w:rsidRPr="000F1F54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5CA680F3" w14:textId="4D2DC6A8" w:rsidR="00F204C5" w:rsidRPr="000F1F54" w:rsidRDefault="0017089C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999</w:t>
            </w:r>
          </w:p>
        </w:tc>
        <w:tc>
          <w:tcPr>
            <w:tcW w:w="1465" w:type="dxa"/>
            <w:noWrap/>
            <w:hideMark/>
          </w:tcPr>
          <w:p w14:paraId="7AADBF9E" w14:textId="03745292" w:rsidR="00F204C5" w:rsidRPr="000F1F54" w:rsidRDefault="007751F0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204C5" w:rsidRPr="000F1F54" w14:paraId="43A673D6" w14:textId="77777777" w:rsidTr="00EA54C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01EEDD25" w14:textId="77777777" w:rsidR="00F204C5" w:rsidRPr="000F1F54" w:rsidRDefault="00F204C5" w:rsidP="00F204C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Homelessness</w:t>
            </w:r>
          </w:p>
        </w:tc>
      </w:tr>
      <w:tr w:rsidR="00F204C5" w:rsidRPr="000F1F54" w14:paraId="7E0BC4F8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63B6B6B4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738BFFB0" w14:textId="77777777" w:rsidR="00F204C5" w:rsidRPr="00A2111B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  <w:r w:rsidRPr="00A2111B">
              <w:rPr>
                <w:rFonts w:eastAsia="Times New Roman" w:cs="Calibri"/>
                <w:color w:val="000000"/>
                <w:lang w:eastAsia="en-IE"/>
              </w:rPr>
              <w:t>Homelessness</w:t>
            </w:r>
          </w:p>
        </w:tc>
        <w:tc>
          <w:tcPr>
            <w:tcW w:w="5382" w:type="dxa"/>
            <w:noWrap/>
            <w:hideMark/>
          </w:tcPr>
          <w:p w14:paraId="5CDCFD25" w14:textId="77777777" w:rsidR="00F204C5" w:rsidRPr="00E0179A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997" w:type="dxa"/>
            <w:noWrap/>
            <w:hideMark/>
          </w:tcPr>
          <w:p w14:paraId="24E8582C" w14:textId="2EB8290B" w:rsidR="00F204C5" w:rsidRPr="00E0179A" w:rsidRDefault="0017089C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758</w:t>
            </w:r>
          </w:p>
        </w:tc>
        <w:tc>
          <w:tcPr>
            <w:tcW w:w="1465" w:type="dxa"/>
            <w:noWrap/>
          </w:tcPr>
          <w:p w14:paraId="008B60C3" w14:textId="119B00D1" w:rsidR="00F204C5" w:rsidRPr="00E0179A" w:rsidRDefault="00F204C5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F204C5" w:rsidRPr="000F1F54" w14:paraId="21E3ABB8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4905DC6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16A47BA" w14:textId="77777777" w:rsidR="00F204C5" w:rsidRPr="000F1F54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754E7964" w14:textId="77777777" w:rsidR="00F204C5" w:rsidRPr="000F1F54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5E93F4D3" w14:textId="0CB17597" w:rsidR="00F204C5" w:rsidRPr="000F1F54" w:rsidRDefault="0017089C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758</w:t>
            </w:r>
          </w:p>
        </w:tc>
        <w:tc>
          <w:tcPr>
            <w:tcW w:w="1465" w:type="dxa"/>
            <w:noWrap/>
            <w:hideMark/>
          </w:tcPr>
          <w:p w14:paraId="6D243A76" w14:textId="20906795" w:rsidR="00F204C5" w:rsidRPr="000F1F54" w:rsidRDefault="007751F0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9818F9" w:rsidRPr="000F1F54" w14:paraId="4CF0FC69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74CBE3D9" w14:textId="20EBF44E" w:rsidR="009818F9" w:rsidRPr="000F1F54" w:rsidRDefault="009818F9" w:rsidP="00707E0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Home Energy Grants (SEAI)</w:t>
            </w:r>
          </w:p>
        </w:tc>
      </w:tr>
      <w:tr w:rsidR="009818F9" w:rsidRPr="000F1F54" w14:paraId="0037B5E7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410164B" w14:textId="77777777" w:rsidR="009818F9" w:rsidRPr="000F1F54" w:rsidRDefault="009818F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8342666" w14:textId="1334417A" w:rsidR="009818F9" w:rsidRPr="00A2111B" w:rsidRDefault="009818F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  <w:r w:rsidRPr="00A2111B">
              <w:rPr>
                <w:rFonts w:eastAsia="Times New Roman" w:cs="Calibri"/>
                <w:color w:val="000000"/>
                <w:lang w:eastAsia="en-IE"/>
              </w:rPr>
              <w:t>Home Energy Grants</w:t>
            </w:r>
          </w:p>
        </w:tc>
        <w:tc>
          <w:tcPr>
            <w:tcW w:w="5382" w:type="dxa"/>
            <w:noWrap/>
            <w:hideMark/>
          </w:tcPr>
          <w:p w14:paraId="53B1C0CA" w14:textId="463B5F4A" w:rsidR="009818F9" w:rsidRPr="00E0179A" w:rsidRDefault="009818F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Home Energy Grants</w:t>
            </w:r>
          </w:p>
        </w:tc>
        <w:tc>
          <w:tcPr>
            <w:tcW w:w="997" w:type="dxa"/>
            <w:noWrap/>
            <w:hideMark/>
          </w:tcPr>
          <w:p w14:paraId="653DE5E3" w14:textId="3BB4346B" w:rsidR="009818F9" w:rsidRPr="00E0179A" w:rsidRDefault="0017089C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487</w:t>
            </w:r>
          </w:p>
        </w:tc>
        <w:tc>
          <w:tcPr>
            <w:tcW w:w="1465" w:type="dxa"/>
            <w:noWrap/>
            <w:hideMark/>
          </w:tcPr>
          <w:p w14:paraId="12A933DF" w14:textId="47B2CDC0" w:rsidR="009818F9" w:rsidRPr="00A2111B" w:rsidRDefault="009818F9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</w:p>
        </w:tc>
      </w:tr>
      <w:tr w:rsidR="009818F9" w:rsidRPr="000F1F54" w14:paraId="41A54A36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44A01C2" w14:textId="77777777" w:rsidR="009818F9" w:rsidRPr="000F1F54" w:rsidRDefault="009818F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6325B13" w14:textId="77777777" w:rsidR="009818F9" w:rsidRPr="000F1F54" w:rsidRDefault="009818F9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64DCC9D5" w14:textId="77777777" w:rsidR="009818F9" w:rsidRPr="000F1F54" w:rsidRDefault="009818F9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0537D9BB" w14:textId="78260370" w:rsidR="009818F9" w:rsidRPr="000F1F54" w:rsidRDefault="0017089C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487</w:t>
            </w:r>
          </w:p>
        </w:tc>
        <w:tc>
          <w:tcPr>
            <w:tcW w:w="1465" w:type="dxa"/>
            <w:noWrap/>
            <w:hideMark/>
          </w:tcPr>
          <w:p w14:paraId="4AA89D3F" w14:textId="5EE28FFA" w:rsidR="009818F9" w:rsidRPr="000F1F54" w:rsidRDefault="007751F0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204C5" w:rsidRPr="000F1F54" w14:paraId="39414AE9" w14:textId="77777777" w:rsidTr="00EA54C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363F6638" w14:textId="77777777" w:rsidR="00F204C5" w:rsidRPr="000F1F54" w:rsidRDefault="00F204C5" w:rsidP="00F204C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Buying a Home</w:t>
            </w:r>
          </w:p>
        </w:tc>
      </w:tr>
      <w:tr w:rsidR="00F204C5" w:rsidRPr="000F1F54" w14:paraId="1B6A501A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8E39AF3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6EBC08A2" w14:textId="77777777" w:rsidR="00F204C5" w:rsidRPr="00A2111B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  <w:r w:rsidRPr="00A2111B">
              <w:rPr>
                <w:rFonts w:eastAsia="Times New Roman" w:cs="Calibri"/>
                <w:color w:val="000000"/>
                <w:lang w:eastAsia="en-IE"/>
              </w:rPr>
              <w:t>Buying a Home</w:t>
            </w:r>
          </w:p>
        </w:tc>
        <w:tc>
          <w:tcPr>
            <w:tcW w:w="5382" w:type="dxa"/>
            <w:noWrap/>
            <w:hideMark/>
          </w:tcPr>
          <w:p w14:paraId="3EA41D12" w14:textId="77777777" w:rsidR="00F204C5" w:rsidRPr="00E0179A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997" w:type="dxa"/>
            <w:noWrap/>
            <w:hideMark/>
          </w:tcPr>
          <w:p w14:paraId="38FC1CDF" w14:textId="1DEC68BD" w:rsidR="00F204C5" w:rsidRPr="00E0179A" w:rsidRDefault="0017089C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435</w:t>
            </w:r>
          </w:p>
        </w:tc>
        <w:tc>
          <w:tcPr>
            <w:tcW w:w="1465" w:type="dxa"/>
            <w:noWrap/>
            <w:hideMark/>
          </w:tcPr>
          <w:p w14:paraId="3AEC6EFA" w14:textId="6575EE97" w:rsidR="00F204C5" w:rsidRPr="00E0179A" w:rsidRDefault="00F204C5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F204C5" w:rsidRPr="000F1F54" w14:paraId="28A0D236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588FC2C5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1E2FEACB" w14:textId="77777777" w:rsidR="00F204C5" w:rsidRPr="000F1F54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F4F1E73" w14:textId="77777777" w:rsidR="00F204C5" w:rsidRPr="000F1F54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094FFE2B" w14:textId="1A303843" w:rsidR="00F204C5" w:rsidRPr="000F1F54" w:rsidRDefault="0017089C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435</w:t>
            </w:r>
          </w:p>
        </w:tc>
        <w:tc>
          <w:tcPr>
            <w:tcW w:w="1465" w:type="dxa"/>
            <w:noWrap/>
            <w:hideMark/>
          </w:tcPr>
          <w:p w14:paraId="5CD669AC" w14:textId="34BA4349" w:rsidR="00F204C5" w:rsidRPr="000F1F54" w:rsidRDefault="007751F0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204C5" w:rsidRPr="000F1F54" w14:paraId="5CF9E73C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3CAD3C95" w14:textId="77777777" w:rsidR="00F204C5" w:rsidRPr="000F1F54" w:rsidRDefault="00F204C5" w:rsidP="00F204C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Planning Permission</w:t>
            </w:r>
          </w:p>
        </w:tc>
      </w:tr>
      <w:tr w:rsidR="00F204C5" w:rsidRPr="000F1F54" w14:paraId="2A369B0E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7A28D118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0AEA7FEE" w14:textId="77777777" w:rsidR="00F204C5" w:rsidRPr="00A2111B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  <w:r w:rsidRPr="00A2111B">
              <w:rPr>
                <w:rFonts w:eastAsia="Times New Roman" w:cs="Calibri"/>
                <w:color w:val="000000"/>
                <w:lang w:eastAsia="en-IE"/>
              </w:rPr>
              <w:t>Planning Permission</w:t>
            </w:r>
          </w:p>
        </w:tc>
        <w:tc>
          <w:tcPr>
            <w:tcW w:w="5382" w:type="dxa"/>
            <w:noWrap/>
            <w:hideMark/>
          </w:tcPr>
          <w:p w14:paraId="613A8AD3" w14:textId="77777777" w:rsidR="00F204C5" w:rsidRPr="00E0179A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997" w:type="dxa"/>
            <w:noWrap/>
            <w:hideMark/>
          </w:tcPr>
          <w:p w14:paraId="1DECB7CA" w14:textId="23A53C08" w:rsidR="00F204C5" w:rsidRPr="00E0179A" w:rsidRDefault="0017089C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148</w:t>
            </w:r>
          </w:p>
        </w:tc>
        <w:tc>
          <w:tcPr>
            <w:tcW w:w="1465" w:type="dxa"/>
            <w:noWrap/>
          </w:tcPr>
          <w:p w14:paraId="1D5392E2" w14:textId="0AEA0682" w:rsidR="00F204C5" w:rsidRPr="000F1F54" w:rsidRDefault="00F204C5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F204C5" w:rsidRPr="000F1F54" w14:paraId="0FE338B2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BE72F59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3F1012D8" w14:textId="77777777" w:rsidR="00F204C5" w:rsidRPr="000F1F54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66AFB412" w14:textId="77777777" w:rsidR="00F204C5" w:rsidRPr="000F1F54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7D9BFAF1" w14:textId="21804C6B" w:rsidR="00F204C5" w:rsidRPr="000F1F54" w:rsidRDefault="0017089C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148</w:t>
            </w:r>
          </w:p>
        </w:tc>
        <w:tc>
          <w:tcPr>
            <w:tcW w:w="1465" w:type="dxa"/>
            <w:noWrap/>
          </w:tcPr>
          <w:p w14:paraId="63F6D8AC" w14:textId="68B41CB6" w:rsidR="00F204C5" w:rsidRPr="000F1F54" w:rsidRDefault="007751F0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090AFF" w:rsidRPr="000F1F54" w14:paraId="0E6AE475" w14:textId="77777777" w:rsidTr="00EA54C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29070C2D" w14:textId="6E9E45C6" w:rsidR="00090AFF" w:rsidRPr="000F1F54" w:rsidRDefault="00090AFF" w:rsidP="00707E0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Losing your home</w:t>
            </w:r>
          </w:p>
        </w:tc>
      </w:tr>
      <w:tr w:rsidR="00090AFF" w:rsidRPr="000F1F54" w14:paraId="2099205F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35CB0245" w14:textId="77777777" w:rsidR="00090AFF" w:rsidRPr="000F1F54" w:rsidRDefault="00090AFF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395" w:type="dxa"/>
            <w:noWrap/>
            <w:hideMark/>
          </w:tcPr>
          <w:p w14:paraId="4822D986" w14:textId="07ED642D" w:rsidR="00090AFF" w:rsidRPr="00A2111B" w:rsidRDefault="00090AFF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n-IE"/>
              </w:rPr>
            </w:pPr>
            <w:r w:rsidRPr="00A2111B">
              <w:rPr>
                <w:rFonts w:eastAsia="Times New Roman" w:cs="Calibri"/>
                <w:color w:val="000000"/>
                <w:lang w:eastAsia="en-IE"/>
              </w:rPr>
              <w:t>Losing your home</w:t>
            </w:r>
          </w:p>
        </w:tc>
        <w:tc>
          <w:tcPr>
            <w:tcW w:w="5382" w:type="dxa"/>
            <w:noWrap/>
            <w:hideMark/>
          </w:tcPr>
          <w:p w14:paraId="7BFFB5F4" w14:textId="79C8174B" w:rsidR="00090AFF" w:rsidRPr="00E0179A" w:rsidRDefault="00090AFF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997" w:type="dxa"/>
            <w:noWrap/>
            <w:hideMark/>
          </w:tcPr>
          <w:p w14:paraId="1BF44E66" w14:textId="4DDBFD86" w:rsidR="00090AFF" w:rsidRPr="00E0179A" w:rsidRDefault="0017089C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111</w:t>
            </w:r>
          </w:p>
        </w:tc>
        <w:tc>
          <w:tcPr>
            <w:tcW w:w="1465" w:type="dxa"/>
            <w:noWrap/>
            <w:hideMark/>
          </w:tcPr>
          <w:p w14:paraId="0670632B" w14:textId="0E4F3D46" w:rsidR="00090AFF" w:rsidRPr="00E0179A" w:rsidRDefault="00090AFF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090AFF" w:rsidRPr="000F1F54" w14:paraId="1C7D4962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2D7B9562" w14:textId="77777777" w:rsidR="00090AFF" w:rsidRPr="000F1F54" w:rsidRDefault="00090AFF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791EA544" w14:textId="77777777" w:rsidR="00090AFF" w:rsidRPr="000F1F54" w:rsidRDefault="00090AFF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7B72BA6" w14:textId="77777777" w:rsidR="00090AFF" w:rsidRPr="000F1F54" w:rsidRDefault="00090AFF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39124237" w14:textId="1E61E8A1" w:rsidR="00090AFF" w:rsidRPr="000F1F54" w:rsidRDefault="0017089C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111</w:t>
            </w:r>
          </w:p>
        </w:tc>
        <w:tc>
          <w:tcPr>
            <w:tcW w:w="1465" w:type="dxa"/>
            <w:noWrap/>
          </w:tcPr>
          <w:p w14:paraId="0C8319B1" w14:textId="60BE601C" w:rsidR="00090AFF" w:rsidRPr="000F1F54" w:rsidRDefault="007751F0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204C5" w:rsidRPr="000F1F54" w14:paraId="53D79DCF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4" w:type="dxa"/>
            <w:gridSpan w:val="5"/>
            <w:noWrap/>
            <w:hideMark/>
          </w:tcPr>
          <w:p w14:paraId="1B02C1F5" w14:textId="77777777" w:rsidR="00F204C5" w:rsidRPr="000F1F54" w:rsidRDefault="00F204C5" w:rsidP="00F204C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All other sub-categories (&lt;100 </w:t>
            </w:r>
            <w:proofErr w:type="gramStart"/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queries)*</w:t>
            </w:r>
            <w:proofErr w:type="gramEnd"/>
          </w:p>
        </w:tc>
      </w:tr>
      <w:tr w:rsidR="00F204C5" w:rsidRPr="000F1F54" w14:paraId="2701E14A" w14:textId="77777777" w:rsidTr="00EA54C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11CDE4D2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22CFFEDE" w14:textId="77777777" w:rsidR="00F204C5" w:rsidRPr="000F1F54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071556E" w14:textId="77777777" w:rsidR="00F204C5" w:rsidRPr="00E0179A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997" w:type="dxa"/>
            <w:noWrap/>
          </w:tcPr>
          <w:p w14:paraId="36E71B14" w14:textId="490E9966" w:rsidR="00F204C5" w:rsidRPr="00E0179A" w:rsidRDefault="0017089C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E0179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203</w:t>
            </w:r>
          </w:p>
        </w:tc>
        <w:tc>
          <w:tcPr>
            <w:tcW w:w="1465" w:type="dxa"/>
            <w:noWrap/>
          </w:tcPr>
          <w:p w14:paraId="5B0697FE" w14:textId="23D0A163" w:rsidR="00F204C5" w:rsidRPr="000F1F54" w:rsidRDefault="00F204C5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F204C5" w:rsidRPr="000F1F54" w14:paraId="35B21228" w14:textId="77777777" w:rsidTr="00EA5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E2C8A95" w14:textId="77777777" w:rsidR="00F204C5" w:rsidRPr="000F1F54" w:rsidRDefault="00F204C5" w:rsidP="00F204C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5DCD4088" w14:textId="77777777" w:rsidR="00F204C5" w:rsidRPr="000F1F54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6318969" w14:textId="77777777" w:rsidR="00F204C5" w:rsidRPr="00A2111B" w:rsidRDefault="00F204C5" w:rsidP="00F204C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  <w:r w:rsidRPr="00A2111B">
              <w:rPr>
                <w:rFonts w:eastAsia="Times New Roman" w:cs="Calibri"/>
                <w:b/>
                <w:bCs/>
                <w:color w:val="000000"/>
                <w:lang w:eastAsia="en-IE"/>
              </w:rPr>
              <w:t>Total</w:t>
            </w:r>
          </w:p>
        </w:tc>
        <w:tc>
          <w:tcPr>
            <w:tcW w:w="997" w:type="dxa"/>
            <w:noWrap/>
            <w:hideMark/>
          </w:tcPr>
          <w:p w14:paraId="5571391D" w14:textId="0CDE84C1" w:rsidR="00F204C5" w:rsidRPr="00A2111B" w:rsidRDefault="0017089C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n-IE"/>
              </w:rPr>
            </w:pPr>
            <w:r w:rsidRPr="00A2111B">
              <w:rPr>
                <w:rFonts w:eastAsia="Times New Roman" w:cs="Calibri"/>
                <w:b/>
                <w:bCs/>
                <w:color w:val="000000"/>
                <w:lang w:eastAsia="en-IE"/>
              </w:rPr>
              <w:t>203</w:t>
            </w:r>
          </w:p>
        </w:tc>
        <w:tc>
          <w:tcPr>
            <w:tcW w:w="1465" w:type="dxa"/>
            <w:noWrap/>
            <w:hideMark/>
          </w:tcPr>
          <w:p w14:paraId="73A901AC" w14:textId="027A04E4" w:rsidR="00F204C5" w:rsidRPr="000F1F54" w:rsidRDefault="007751F0" w:rsidP="00F204C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F204C5" w:rsidRPr="000F1F54" w14:paraId="39162333" w14:textId="77777777" w:rsidTr="00EA54C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noWrap/>
            <w:hideMark/>
          </w:tcPr>
          <w:p w14:paraId="0B6F46F3" w14:textId="77777777" w:rsidR="00F204C5" w:rsidRPr="000F1F54" w:rsidRDefault="00F204C5" w:rsidP="00F204C5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395" w:type="dxa"/>
            <w:noWrap/>
            <w:hideMark/>
          </w:tcPr>
          <w:p w14:paraId="47019784" w14:textId="77777777" w:rsidR="00F204C5" w:rsidRPr="000F1F54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31E887C" w14:textId="77777777" w:rsidR="00F204C5" w:rsidRPr="000F1F54" w:rsidRDefault="00F204C5" w:rsidP="00F204C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997" w:type="dxa"/>
            <w:noWrap/>
            <w:hideMark/>
          </w:tcPr>
          <w:p w14:paraId="6566B53E" w14:textId="425B00A0" w:rsidR="00F204C5" w:rsidRPr="000F1F54" w:rsidRDefault="0017089C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18,480</w:t>
            </w:r>
          </w:p>
        </w:tc>
        <w:tc>
          <w:tcPr>
            <w:tcW w:w="1465" w:type="dxa"/>
            <w:noWrap/>
          </w:tcPr>
          <w:p w14:paraId="3043EE35" w14:textId="1E1A55D4" w:rsidR="00F204C5" w:rsidRPr="000F1F54" w:rsidRDefault="00F204C5" w:rsidP="00F204C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615AB928" w14:textId="5D2EA840" w:rsidR="005A3512" w:rsidRDefault="000F1F54" w:rsidP="005A3512">
      <w:pPr>
        <w:rPr>
          <w:rFonts w:cs="Calibri"/>
          <w:sz w:val="20"/>
          <w:szCs w:val="20"/>
          <w:lang w:val="en-US"/>
        </w:rPr>
      </w:pPr>
      <w:r w:rsidRPr="0038793B">
        <w:rPr>
          <w:b/>
          <w:lang w:val="en-US"/>
        </w:rPr>
        <w:t>*</w:t>
      </w:r>
      <w:r w:rsidRPr="0038793B">
        <w:rPr>
          <w:rFonts w:cs="Calibri"/>
          <w:sz w:val="20"/>
          <w:szCs w:val="20"/>
          <w:lang w:val="en-US"/>
        </w:rPr>
        <w:t xml:space="preserve">All other sub-categories include the following query areas: Emergency Accommodation; Building or Altering a Home; </w:t>
      </w:r>
      <w:r w:rsidR="005A3512" w:rsidRPr="0038793B">
        <w:rPr>
          <w:rFonts w:cs="Calibri"/>
          <w:sz w:val="20"/>
          <w:szCs w:val="20"/>
          <w:lang w:val="en-US"/>
        </w:rPr>
        <w:t xml:space="preserve">and </w:t>
      </w:r>
      <w:r w:rsidRPr="0038793B">
        <w:rPr>
          <w:rFonts w:cs="Calibri"/>
          <w:sz w:val="20"/>
          <w:szCs w:val="20"/>
          <w:lang w:val="en-US"/>
        </w:rPr>
        <w:t>Equality/Housing Discrimination.</w:t>
      </w:r>
    </w:p>
    <w:p w14:paraId="6FB1474E" w14:textId="7AF2D194" w:rsidR="006A5AE5" w:rsidRDefault="006A5AE5" w:rsidP="006A5AE5">
      <w:pPr>
        <w:rPr>
          <w:rFonts w:cs="Calibri"/>
          <w:lang w:val="en-US"/>
        </w:rPr>
      </w:pPr>
      <w:r w:rsidRPr="00A941B3">
        <w:rPr>
          <w:rFonts w:cs="Calibri"/>
          <w:b/>
          <w:lang w:val="en-US"/>
        </w:rPr>
        <w:t xml:space="preserve">Table </w:t>
      </w:r>
      <w:r>
        <w:rPr>
          <w:rFonts w:cs="Calibri"/>
          <w:b/>
          <w:lang w:val="en-US"/>
        </w:rPr>
        <w:t>8</w:t>
      </w:r>
      <w:r w:rsidRPr="00A941B3">
        <w:rPr>
          <w:rFonts w:cs="Calibri"/>
          <w:lang w:val="en-US"/>
        </w:rPr>
        <w:t xml:space="preserve"> sets out the </w:t>
      </w:r>
      <w:r>
        <w:rPr>
          <w:rFonts w:cs="Calibri"/>
          <w:b/>
          <w:lang w:val="en-US"/>
        </w:rPr>
        <w:t xml:space="preserve">Moving Country </w:t>
      </w:r>
      <w:r w:rsidRPr="00A941B3">
        <w:rPr>
          <w:rFonts w:cs="Calibri"/>
          <w:lang w:val="en-US"/>
        </w:rPr>
        <w:t xml:space="preserve">query dataset for Quarter </w:t>
      </w:r>
      <w:r>
        <w:rPr>
          <w:rFonts w:cs="Calibri"/>
          <w:lang w:val="en-US"/>
        </w:rPr>
        <w:t>2</w:t>
      </w:r>
      <w:r w:rsidRPr="00A941B3">
        <w:rPr>
          <w:rFonts w:cs="Calibri"/>
          <w:lang w:val="en-US"/>
        </w:rPr>
        <w:t>, 2022.</w:t>
      </w:r>
      <w:r>
        <w:rPr>
          <w:rFonts w:cs="Calibri"/>
          <w:lang w:val="en-US"/>
        </w:rPr>
        <w:t xml:space="preserve"> </w:t>
      </w:r>
      <w:r w:rsidR="00407D61">
        <w:rPr>
          <w:rFonts w:cs="Calibri"/>
          <w:lang w:val="en-US"/>
        </w:rPr>
        <w:t xml:space="preserve">As with </w:t>
      </w:r>
      <w:r w:rsidR="00B92D4A">
        <w:rPr>
          <w:rFonts w:cs="Calibri"/>
          <w:lang w:val="en-US"/>
        </w:rPr>
        <w:t xml:space="preserve">the </w:t>
      </w:r>
      <w:r w:rsidR="00407D61">
        <w:rPr>
          <w:rFonts w:cs="Calibri"/>
          <w:lang w:val="en-US"/>
        </w:rPr>
        <w:t>previous tables, the q</w:t>
      </w:r>
      <w:r w:rsidRPr="00A941B3">
        <w:rPr>
          <w:rFonts w:cs="Calibri"/>
          <w:lang w:val="en-US"/>
        </w:rPr>
        <w:t>uery sub-categories are presented in thematic</w:t>
      </w:r>
      <w:r>
        <w:rPr>
          <w:rFonts w:cs="Calibri"/>
          <w:lang w:val="en-US"/>
        </w:rPr>
        <w:t xml:space="preserve"> categories</w:t>
      </w:r>
      <w:r w:rsidRPr="00A941B3">
        <w:rPr>
          <w:rFonts w:cs="Calibri"/>
          <w:lang w:val="en-US"/>
        </w:rPr>
        <w:t>, as recorded by CISs. The percentages in the right</w:t>
      </w:r>
      <w:r w:rsidR="000B2FEF">
        <w:rPr>
          <w:rFonts w:cs="Calibri"/>
          <w:lang w:val="en-US"/>
        </w:rPr>
        <w:t>-</w:t>
      </w:r>
      <w:r w:rsidRPr="00A941B3">
        <w:rPr>
          <w:rFonts w:cs="Calibri"/>
          <w:lang w:val="en-US"/>
        </w:rPr>
        <w:t xml:space="preserve">hand column represent the percentage of queries for that </w:t>
      </w:r>
      <w:r>
        <w:rPr>
          <w:rFonts w:cs="Calibri"/>
          <w:lang w:val="en-US"/>
        </w:rPr>
        <w:t xml:space="preserve">data </w:t>
      </w:r>
      <w:r w:rsidRPr="00A941B3">
        <w:rPr>
          <w:rFonts w:cs="Calibri"/>
          <w:lang w:val="en-US"/>
        </w:rPr>
        <w:t>sub-category i.e.</w:t>
      </w:r>
      <w:r w:rsidR="008437AE">
        <w:rPr>
          <w:rFonts w:cs="Calibri"/>
          <w:lang w:val="en-US"/>
        </w:rPr>
        <w:t xml:space="preserve">, </w:t>
      </w:r>
      <w:r w:rsidRPr="00A941B3">
        <w:rPr>
          <w:rFonts w:cs="Calibri"/>
          <w:lang w:val="en-US"/>
        </w:rPr>
        <w:t xml:space="preserve">the </w:t>
      </w:r>
      <w:r>
        <w:rPr>
          <w:rFonts w:cs="Calibri"/>
          <w:i/>
          <w:lang w:val="en-US"/>
        </w:rPr>
        <w:t>Social Welfare</w:t>
      </w:r>
      <w:r w:rsidRPr="00A941B3">
        <w:rPr>
          <w:rFonts w:cs="Calibri"/>
          <w:lang w:val="en-US"/>
        </w:rPr>
        <w:t xml:space="preserve"> percentage represents the queries recorded as a percentage of the </w:t>
      </w:r>
      <w:r>
        <w:rPr>
          <w:rFonts w:cs="Calibri"/>
          <w:b/>
          <w:i/>
          <w:lang w:val="en-US"/>
        </w:rPr>
        <w:t>Asylum Seekers/Refugees</w:t>
      </w:r>
      <w:r w:rsidRPr="00A941B3">
        <w:rPr>
          <w:rFonts w:cs="Calibri"/>
          <w:lang w:val="en-US"/>
        </w:rPr>
        <w:t xml:space="preserve"> sub-category. </w:t>
      </w:r>
    </w:p>
    <w:p w14:paraId="2454EE8C" w14:textId="3776AD99" w:rsidR="001E2A82" w:rsidRDefault="001E2A82" w:rsidP="006A5AE5">
      <w:pPr>
        <w:rPr>
          <w:rFonts w:cs="Calibri"/>
          <w:lang w:val="en-US"/>
        </w:rPr>
      </w:pPr>
      <w:r w:rsidRPr="001E2A82">
        <w:rPr>
          <w:rFonts w:cs="Calibri"/>
          <w:b/>
          <w:lang w:val="en-US"/>
        </w:rPr>
        <w:t>Moving Country trends in Q2, 2022</w:t>
      </w:r>
      <w:r>
        <w:rPr>
          <w:rFonts w:cs="Calibri"/>
          <w:lang w:val="en-US"/>
        </w:rPr>
        <w:t xml:space="preserve">: </w:t>
      </w:r>
    </w:p>
    <w:p w14:paraId="0E210553" w14:textId="136FA3B3" w:rsidR="001E2A82" w:rsidRPr="005D1769" w:rsidRDefault="001E2A82" w:rsidP="00CB3850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>
        <w:rPr>
          <w:rFonts w:cs="Calibri"/>
        </w:rPr>
        <w:t xml:space="preserve">A new category was introduced in March, </w:t>
      </w:r>
      <w:r w:rsidRPr="001E2A82">
        <w:rPr>
          <w:rFonts w:cs="Calibri"/>
          <w:b/>
        </w:rPr>
        <w:t>Asylum Seekers/Refugees – Ukrainian</w:t>
      </w:r>
      <w:r>
        <w:rPr>
          <w:rFonts w:cs="Calibri"/>
        </w:rPr>
        <w:t xml:space="preserve"> to the </w:t>
      </w:r>
      <w:r w:rsidRPr="001E2A82">
        <w:rPr>
          <w:rFonts w:cs="Calibri"/>
        </w:rPr>
        <w:t>data collection system to refl</w:t>
      </w:r>
      <w:r w:rsidR="005D1769">
        <w:rPr>
          <w:rFonts w:cs="Calibri"/>
        </w:rPr>
        <w:t xml:space="preserve">ect Ukrainian-specific queries on a </w:t>
      </w:r>
      <w:r w:rsidRPr="001E2A82">
        <w:rPr>
          <w:rFonts w:cs="Calibri"/>
        </w:rPr>
        <w:t xml:space="preserve">range of </w:t>
      </w:r>
      <w:r w:rsidR="00B92D4A">
        <w:rPr>
          <w:rFonts w:cs="Calibri"/>
        </w:rPr>
        <w:t xml:space="preserve">social </w:t>
      </w:r>
      <w:r w:rsidRPr="001E2A82">
        <w:rPr>
          <w:rFonts w:cs="Calibri"/>
        </w:rPr>
        <w:t>supports</w:t>
      </w:r>
      <w:r w:rsidR="005D1769">
        <w:rPr>
          <w:rFonts w:cs="Calibri"/>
        </w:rPr>
        <w:t xml:space="preserve">. This was the reason for more than double the number of </w:t>
      </w:r>
      <w:r w:rsidR="005D1769" w:rsidRPr="00CF1A73">
        <w:rPr>
          <w:rFonts w:cs="Calibri"/>
          <w:b/>
        </w:rPr>
        <w:t>Moving Country</w:t>
      </w:r>
      <w:r w:rsidR="005D1769">
        <w:rPr>
          <w:rFonts w:cs="Calibri"/>
        </w:rPr>
        <w:t xml:space="preserve"> queries </w:t>
      </w:r>
      <w:r w:rsidR="003D7012">
        <w:rPr>
          <w:rFonts w:cs="Calibri"/>
        </w:rPr>
        <w:t xml:space="preserve">this year, </w:t>
      </w:r>
      <w:r w:rsidR="0002749D">
        <w:rPr>
          <w:rFonts w:cs="Calibri"/>
        </w:rPr>
        <w:t xml:space="preserve">from 5,971 queries </w:t>
      </w:r>
      <w:r w:rsidR="003D7012">
        <w:rPr>
          <w:rFonts w:cs="Calibri"/>
        </w:rPr>
        <w:t>last year</w:t>
      </w:r>
      <w:r w:rsidR="0002749D">
        <w:rPr>
          <w:rFonts w:cs="Calibri"/>
        </w:rPr>
        <w:t xml:space="preserve"> to</w:t>
      </w:r>
      <w:r w:rsidR="0019259D">
        <w:rPr>
          <w:rFonts w:cs="Calibri"/>
        </w:rPr>
        <w:t xml:space="preserve"> 14</w:t>
      </w:r>
      <w:r w:rsidR="00CB3850">
        <w:rPr>
          <w:rFonts w:cs="Calibri"/>
        </w:rPr>
        <w:t>,</w:t>
      </w:r>
      <w:r w:rsidR="0019259D">
        <w:rPr>
          <w:rFonts w:cs="Calibri"/>
        </w:rPr>
        <w:t>319 for this current quarter.</w:t>
      </w:r>
      <w:r w:rsidR="00F369AC">
        <w:rPr>
          <w:rFonts w:cs="Calibri"/>
        </w:rPr>
        <w:t xml:space="preserve"> </w:t>
      </w:r>
      <w:r w:rsidR="00F369AC" w:rsidRPr="00387D92">
        <w:rPr>
          <w:rFonts w:cs="Calibri"/>
          <w:b/>
          <w:bCs/>
        </w:rPr>
        <w:t>Asylum Seekers/Refugees – Ukrainian</w:t>
      </w:r>
      <w:r w:rsidR="00F369AC">
        <w:rPr>
          <w:rFonts w:cs="Calibri"/>
        </w:rPr>
        <w:t xml:space="preserve"> had 6,758 queries</w:t>
      </w:r>
      <w:r w:rsidR="00B92D4A">
        <w:rPr>
          <w:rFonts w:cs="Calibri"/>
        </w:rPr>
        <w:t xml:space="preserve"> in Quarter 2</w:t>
      </w:r>
      <w:r w:rsidR="00F369AC">
        <w:rPr>
          <w:rFonts w:cs="Calibri"/>
        </w:rPr>
        <w:t xml:space="preserve"> representing 47% of queries for Moving Country.</w:t>
      </w:r>
    </w:p>
    <w:p w14:paraId="2110995B" w14:textId="77777777" w:rsidR="00B92D4A" w:rsidRPr="00B92D4A" w:rsidRDefault="00CF1A73" w:rsidP="00B92D4A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6D015A">
        <w:rPr>
          <w:rFonts w:cs="Calibri"/>
          <w:b/>
        </w:rPr>
        <w:t>Social Welfare</w:t>
      </w:r>
      <w:r>
        <w:rPr>
          <w:rFonts w:cs="Calibri"/>
        </w:rPr>
        <w:t xml:space="preserve"> queries accounted for the highest query area under </w:t>
      </w:r>
      <w:r w:rsidRPr="00CF1A73">
        <w:rPr>
          <w:rFonts w:cs="Calibri"/>
          <w:b/>
        </w:rPr>
        <w:t xml:space="preserve">Asylum Seekers/Refugees </w:t>
      </w:r>
      <w:r>
        <w:rPr>
          <w:rFonts w:cs="Calibri"/>
          <w:b/>
        </w:rPr>
        <w:t>–</w:t>
      </w:r>
      <w:r w:rsidRPr="00CF1A73">
        <w:rPr>
          <w:rFonts w:cs="Calibri"/>
          <w:b/>
        </w:rPr>
        <w:t xml:space="preserve"> Ukrainian</w:t>
      </w:r>
      <w:r>
        <w:rPr>
          <w:rFonts w:cs="Calibri"/>
          <w:b/>
        </w:rPr>
        <w:t xml:space="preserve">, </w:t>
      </w:r>
      <w:r w:rsidRPr="00CF1A73">
        <w:rPr>
          <w:rFonts w:cs="Calibri"/>
        </w:rPr>
        <w:t>38</w:t>
      </w:r>
      <w:r w:rsidR="0019259D">
        <w:rPr>
          <w:rFonts w:cs="Calibri"/>
        </w:rPr>
        <w:t>.6</w:t>
      </w:r>
      <w:r w:rsidRPr="00CF1A73">
        <w:rPr>
          <w:rFonts w:cs="Calibri"/>
        </w:rPr>
        <w:t>%</w:t>
      </w:r>
      <w:r>
        <w:rPr>
          <w:rFonts w:cs="Calibri"/>
        </w:rPr>
        <w:t xml:space="preserve"> of a</w:t>
      </w:r>
      <w:r w:rsidR="006D015A">
        <w:rPr>
          <w:rFonts w:cs="Calibri"/>
        </w:rPr>
        <w:t xml:space="preserve">ll queries under this category, followed by </w:t>
      </w:r>
      <w:r w:rsidR="006D015A" w:rsidRPr="006D015A">
        <w:rPr>
          <w:rFonts w:cs="Calibri"/>
          <w:b/>
        </w:rPr>
        <w:t xml:space="preserve">Healthcare </w:t>
      </w:r>
      <w:r w:rsidR="006D015A">
        <w:rPr>
          <w:rFonts w:cs="Calibri"/>
        </w:rPr>
        <w:t>(1</w:t>
      </w:r>
      <w:r w:rsidR="0019259D">
        <w:rPr>
          <w:rFonts w:cs="Calibri"/>
        </w:rPr>
        <w:t>3.5</w:t>
      </w:r>
      <w:r w:rsidR="006D015A">
        <w:rPr>
          <w:rFonts w:cs="Calibri"/>
        </w:rPr>
        <w:t xml:space="preserve">%), </w:t>
      </w:r>
      <w:r w:rsidR="006D015A" w:rsidRPr="0019259D">
        <w:rPr>
          <w:rFonts w:cs="Calibri"/>
          <w:b/>
          <w:bCs/>
        </w:rPr>
        <w:t>Othe</w:t>
      </w:r>
      <w:r w:rsidR="006D015A">
        <w:rPr>
          <w:rFonts w:cs="Calibri"/>
        </w:rPr>
        <w:t>r (1</w:t>
      </w:r>
      <w:r w:rsidR="0019259D">
        <w:rPr>
          <w:rFonts w:cs="Calibri"/>
        </w:rPr>
        <w:t>3.5</w:t>
      </w:r>
      <w:r w:rsidR="006D015A">
        <w:rPr>
          <w:rFonts w:cs="Calibri"/>
        </w:rPr>
        <w:t xml:space="preserve">%), </w:t>
      </w:r>
      <w:r w:rsidR="00387D92">
        <w:rPr>
          <w:rFonts w:cs="Calibri"/>
        </w:rPr>
        <w:t xml:space="preserve">and </w:t>
      </w:r>
      <w:r w:rsidR="006D015A" w:rsidRPr="006D015A">
        <w:rPr>
          <w:rFonts w:cs="Calibri"/>
          <w:b/>
        </w:rPr>
        <w:t>Housing and Accommodation</w:t>
      </w:r>
      <w:r w:rsidR="006D015A">
        <w:rPr>
          <w:rFonts w:cs="Calibri"/>
        </w:rPr>
        <w:t xml:space="preserve"> (</w:t>
      </w:r>
      <w:r w:rsidR="0019259D">
        <w:rPr>
          <w:rFonts w:cs="Calibri"/>
        </w:rPr>
        <w:t>9.8</w:t>
      </w:r>
      <w:r w:rsidR="006D015A">
        <w:rPr>
          <w:rFonts w:cs="Calibri"/>
        </w:rPr>
        <w:t>%)</w:t>
      </w:r>
      <w:r w:rsidR="00387D92">
        <w:rPr>
          <w:rFonts w:cs="Calibri"/>
        </w:rPr>
        <w:t>.</w:t>
      </w:r>
      <w:r w:rsidR="003D7012">
        <w:rPr>
          <w:rFonts w:cs="Calibri"/>
        </w:rPr>
        <w:t xml:space="preserve"> </w:t>
      </w:r>
      <w:r w:rsidR="003D7012" w:rsidRPr="003D7012">
        <w:rPr>
          <w:rFonts w:cs="Calibri"/>
        </w:rPr>
        <w:t>Education and Training, the Immigration Process, and Employment made up the remaining query areas, accounting for a quarter of queries relating to Ukrainian refugees.</w:t>
      </w:r>
    </w:p>
    <w:p w14:paraId="0F9AFCB7" w14:textId="580DB61F" w:rsidR="0095123C" w:rsidRPr="00B92D4A" w:rsidRDefault="00A55909" w:rsidP="00B92D4A">
      <w:pPr>
        <w:pStyle w:val="ListParagraph"/>
        <w:numPr>
          <w:ilvl w:val="0"/>
          <w:numId w:val="8"/>
        </w:numPr>
        <w:rPr>
          <w:rFonts w:cs="Calibri"/>
          <w:lang w:val="en-US"/>
        </w:rPr>
      </w:pPr>
      <w:r w:rsidRPr="00B92D4A">
        <w:rPr>
          <w:rFonts w:cs="Calibri"/>
        </w:rPr>
        <w:t>Of the other sub-categories,</w:t>
      </w:r>
      <w:r w:rsidRPr="00B92D4A">
        <w:rPr>
          <w:rFonts w:cs="Calibri"/>
          <w:b/>
        </w:rPr>
        <w:t xml:space="preserve"> </w:t>
      </w:r>
      <w:r w:rsidR="005A4322" w:rsidRPr="00B92D4A">
        <w:rPr>
          <w:rFonts w:cs="Calibri"/>
          <w:b/>
        </w:rPr>
        <w:t>Irish Citizenship</w:t>
      </w:r>
      <w:r w:rsidRPr="00B92D4A">
        <w:rPr>
          <w:rFonts w:cs="Calibri"/>
          <w:b/>
        </w:rPr>
        <w:t xml:space="preserve"> </w:t>
      </w:r>
      <w:r w:rsidRPr="00B92D4A">
        <w:rPr>
          <w:rFonts w:cs="Calibri"/>
        </w:rPr>
        <w:t>queries</w:t>
      </w:r>
      <w:r w:rsidR="005A4322" w:rsidRPr="00B92D4A">
        <w:rPr>
          <w:rFonts w:cs="Calibri"/>
        </w:rPr>
        <w:t xml:space="preserve"> increased by </w:t>
      </w:r>
      <w:r w:rsidR="00A361A2" w:rsidRPr="00B92D4A">
        <w:rPr>
          <w:rFonts w:cs="Calibri"/>
        </w:rPr>
        <w:t>26</w:t>
      </w:r>
      <w:r w:rsidR="005A4322" w:rsidRPr="00B92D4A">
        <w:rPr>
          <w:rFonts w:cs="Calibri"/>
        </w:rPr>
        <w:t xml:space="preserve">% </w:t>
      </w:r>
      <w:r w:rsidR="00A97D82" w:rsidRPr="00B92D4A">
        <w:rPr>
          <w:rFonts w:cs="Calibri"/>
        </w:rPr>
        <w:t>in</w:t>
      </w:r>
      <w:r w:rsidR="005A4322" w:rsidRPr="00B92D4A">
        <w:rPr>
          <w:rFonts w:cs="Calibri"/>
        </w:rPr>
        <w:t xml:space="preserve"> </w:t>
      </w:r>
      <w:r w:rsidRPr="00B92D4A">
        <w:rPr>
          <w:rFonts w:cs="Calibri"/>
        </w:rPr>
        <w:t xml:space="preserve">Q2 </w:t>
      </w:r>
      <w:r w:rsidR="00A97D82" w:rsidRPr="00B92D4A">
        <w:rPr>
          <w:rFonts w:cs="Calibri"/>
        </w:rPr>
        <w:t>2022</w:t>
      </w:r>
      <w:r w:rsidR="005A4322" w:rsidRPr="00B92D4A">
        <w:rPr>
          <w:rFonts w:cs="Calibri"/>
        </w:rPr>
        <w:t xml:space="preserve">, </w:t>
      </w:r>
      <w:r w:rsidRPr="00B92D4A">
        <w:rPr>
          <w:rFonts w:cs="Calibri"/>
        </w:rPr>
        <w:t xml:space="preserve">and </w:t>
      </w:r>
      <w:r w:rsidRPr="00B92D4A">
        <w:rPr>
          <w:rFonts w:cs="Calibri"/>
          <w:b/>
        </w:rPr>
        <w:t xml:space="preserve">Visa </w:t>
      </w:r>
      <w:r w:rsidRPr="00B92D4A">
        <w:rPr>
          <w:rFonts w:cs="Calibri"/>
        </w:rPr>
        <w:t xml:space="preserve">queries </w:t>
      </w:r>
      <w:r w:rsidR="00A361A2" w:rsidRPr="00B92D4A">
        <w:rPr>
          <w:rFonts w:cs="Calibri"/>
        </w:rPr>
        <w:t xml:space="preserve">rose </w:t>
      </w:r>
      <w:r w:rsidRPr="00B92D4A">
        <w:rPr>
          <w:rFonts w:cs="Calibri"/>
        </w:rPr>
        <w:t xml:space="preserve">by </w:t>
      </w:r>
      <w:r w:rsidR="00A361A2" w:rsidRPr="00B92D4A">
        <w:rPr>
          <w:rFonts w:cs="Calibri"/>
        </w:rPr>
        <w:t>66%</w:t>
      </w:r>
      <w:r w:rsidR="00A97D82" w:rsidRPr="00B92D4A">
        <w:rPr>
          <w:rFonts w:cs="Calibri"/>
        </w:rPr>
        <w:t>.</w:t>
      </w:r>
      <w:r w:rsidR="00A361A2" w:rsidRPr="00B92D4A">
        <w:rPr>
          <w:rFonts w:cs="Calibri"/>
        </w:rPr>
        <w:t xml:space="preserve"> </w:t>
      </w:r>
    </w:p>
    <w:p w14:paraId="1322AE5C" w14:textId="5907E425" w:rsidR="0095123C" w:rsidRDefault="0095123C" w:rsidP="0095123C">
      <w:pPr>
        <w:pStyle w:val="Heading1"/>
        <w:rPr>
          <w:b/>
          <w:sz w:val="24"/>
          <w:szCs w:val="24"/>
        </w:rPr>
      </w:pPr>
      <w:r w:rsidRPr="00B12326">
        <w:rPr>
          <w:b/>
          <w:sz w:val="24"/>
          <w:szCs w:val="24"/>
        </w:rPr>
        <w:t xml:space="preserve">Table </w:t>
      </w:r>
      <w:r w:rsidR="00D70A63">
        <w:rPr>
          <w:b/>
          <w:sz w:val="24"/>
          <w:szCs w:val="24"/>
        </w:rPr>
        <w:t>8</w:t>
      </w:r>
      <w:r w:rsidRPr="00B12326">
        <w:rPr>
          <w:b/>
          <w:sz w:val="24"/>
          <w:szCs w:val="24"/>
        </w:rPr>
        <w:t xml:space="preserve"> – </w:t>
      </w:r>
      <w:r w:rsidR="00911011">
        <w:rPr>
          <w:b/>
          <w:sz w:val="24"/>
          <w:szCs w:val="24"/>
        </w:rPr>
        <w:t>Moving Country</w:t>
      </w:r>
      <w:r w:rsidRPr="00B12326">
        <w:rPr>
          <w:b/>
          <w:sz w:val="24"/>
          <w:szCs w:val="24"/>
        </w:rPr>
        <w:t xml:space="preserve"> Breakdown, Q</w:t>
      </w:r>
      <w:r w:rsidR="00911011">
        <w:rPr>
          <w:b/>
          <w:sz w:val="24"/>
          <w:szCs w:val="24"/>
        </w:rPr>
        <w:t>2</w:t>
      </w:r>
      <w:r w:rsidRPr="00B12326">
        <w:rPr>
          <w:b/>
          <w:sz w:val="24"/>
          <w:szCs w:val="24"/>
        </w:rPr>
        <w:t xml:space="preserve"> 2022</w:t>
      </w:r>
    </w:p>
    <w:tbl>
      <w:tblPr>
        <w:tblStyle w:val="GridTable5Dark-Accent6"/>
        <w:tblW w:w="13727" w:type="dxa"/>
        <w:tblLook w:val="04A0" w:firstRow="1" w:lastRow="0" w:firstColumn="1" w:lastColumn="0" w:noHBand="0" w:noVBand="1"/>
        <w:tblCaption w:val="Table 7 Housing Query Breakdown Quarter 1 2021"/>
        <w:tblDescription w:val="This table shows the housing query dataset for Qtr 1 2021"/>
      </w:tblPr>
      <w:tblGrid>
        <w:gridCol w:w="1560"/>
        <w:gridCol w:w="4110"/>
        <w:gridCol w:w="5382"/>
        <w:gridCol w:w="927"/>
        <w:gridCol w:w="1748"/>
      </w:tblGrid>
      <w:tr w:rsidR="0095123C" w:rsidRPr="000F1F54" w14:paraId="23817917" w14:textId="77777777" w:rsidTr="00135B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3487B12D" w14:textId="77777777" w:rsidR="0095123C" w:rsidRPr="000F1F54" w:rsidRDefault="0095123C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Category</w:t>
            </w:r>
          </w:p>
        </w:tc>
        <w:tc>
          <w:tcPr>
            <w:tcW w:w="4110" w:type="dxa"/>
            <w:hideMark/>
          </w:tcPr>
          <w:p w14:paraId="54A4D633" w14:textId="77777777" w:rsidR="0095123C" w:rsidRPr="000F1F54" w:rsidRDefault="0095123C" w:rsidP="00707E0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Sub-category</w:t>
            </w:r>
          </w:p>
        </w:tc>
        <w:tc>
          <w:tcPr>
            <w:tcW w:w="5382" w:type="dxa"/>
            <w:hideMark/>
          </w:tcPr>
          <w:p w14:paraId="52BA4DF9" w14:textId="29B3546D" w:rsidR="0095123C" w:rsidRPr="000F1F54" w:rsidRDefault="00460DEB" w:rsidP="00707E0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>
              <w:rPr>
                <w:rFonts w:eastAsia="Times New Roman" w:cs="Calibri"/>
                <w:color w:val="000000"/>
                <w:sz w:val="28"/>
                <w:szCs w:val="28"/>
                <w:lang w:eastAsia="en-IE"/>
              </w:rPr>
              <w:t>Q2</w:t>
            </w:r>
            <w:r w:rsidR="0095123C" w:rsidRPr="000F1F54">
              <w:rPr>
                <w:rFonts w:eastAsia="Times New Roman" w:cs="Calibri"/>
                <w:color w:val="000000"/>
                <w:sz w:val="28"/>
                <w:szCs w:val="28"/>
                <w:lang w:eastAsia="en-IE"/>
              </w:rPr>
              <w:t>, 2022 Sub-category Breakdown</w:t>
            </w:r>
          </w:p>
        </w:tc>
        <w:tc>
          <w:tcPr>
            <w:tcW w:w="927" w:type="dxa"/>
            <w:hideMark/>
          </w:tcPr>
          <w:p w14:paraId="504E356E" w14:textId="77777777" w:rsidR="0095123C" w:rsidRPr="000F1F54" w:rsidRDefault="0095123C" w:rsidP="00707E0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# of Queries</w:t>
            </w:r>
          </w:p>
        </w:tc>
        <w:tc>
          <w:tcPr>
            <w:tcW w:w="1748" w:type="dxa"/>
            <w:hideMark/>
          </w:tcPr>
          <w:p w14:paraId="49A7A8BE" w14:textId="77777777" w:rsidR="00360148" w:rsidRDefault="0095123C" w:rsidP="00707E0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 xml:space="preserve">% of </w:t>
            </w:r>
            <w:r w:rsidR="00360148">
              <w:rPr>
                <w:rFonts w:eastAsia="Times New Roman" w:cs="Calibri"/>
                <w:color w:val="000000"/>
                <w:lang w:eastAsia="en-IE"/>
              </w:rPr>
              <w:t>Moving Country</w:t>
            </w:r>
          </w:p>
          <w:p w14:paraId="63648CFC" w14:textId="510BB83C" w:rsidR="0095123C" w:rsidRPr="000F1F54" w:rsidRDefault="0095123C" w:rsidP="00707E05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Sub-category</w:t>
            </w:r>
          </w:p>
        </w:tc>
      </w:tr>
      <w:tr w:rsidR="0095123C" w:rsidRPr="000F1F54" w14:paraId="13DE4B0B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390F1D28" w14:textId="61EE0A12" w:rsidR="0095123C" w:rsidRPr="000F1F54" w:rsidRDefault="00360148" w:rsidP="00707E05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Asylum Seekers/Refugees - Ukrainian</w:t>
            </w:r>
          </w:p>
        </w:tc>
      </w:tr>
      <w:tr w:rsidR="00DA5824" w:rsidRPr="000F1F54" w14:paraId="4FDB0C7E" w14:textId="77777777" w:rsidTr="00135BB2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1F1B1B9" w14:textId="204D91CC" w:rsidR="00DA5824" w:rsidRPr="000F1F54" w:rsidRDefault="00DA5824" w:rsidP="00DA582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</w:tcPr>
          <w:p w14:paraId="403BE00C" w14:textId="7FF76F3B" w:rsidR="00DA5824" w:rsidRPr="00962C2E" w:rsidRDefault="00DA5824" w:rsidP="00DA58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Asylum Seekers/Refugees - Ukrainian</w:t>
            </w:r>
          </w:p>
        </w:tc>
        <w:tc>
          <w:tcPr>
            <w:tcW w:w="5382" w:type="dxa"/>
            <w:noWrap/>
          </w:tcPr>
          <w:p w14:paraId="540EFE08" w14:textId="10D0DF67" w:rsidR="00DA5824" w:rsidRPr="00962C2E" w:rsidRDefault="00DA5824" w:rsidP="00DA58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b/>
                <w:bCs/>
                <w:sz w:val="20"/>
                <w:szCs w:val="20"/>
              </w:rPr>
              <w:t>Social Welfare</w:t>
            </w:r>
          </w:p>
        </w:tc>
        <w:tc>
          <w:tcPr>
            <w:tcW w:w="927" w:type="dxa"/>
            <w:noWrap/>
            <w:hideMark/>
          </w:tcPr>
          <w:p w14:paraId="5E34524B" w14:textId="6E6E2D52" w:rsidR="00DA5824" w:rsidRPr="00962C2E" w:rsidRDefault="00DA5824" w:rsidP="00DA58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 xml:space="preserve"> 2,610 </w:t>
            </w:r>
          </w:p>
        </w:tc>
        <w:tc>
          <w:tcPr>
            <w:tcW w:w="1748" w:type="dxa"/>
            <w:noWrap/>
          </w:tcPr>
          <w:p w14:paraId="1845FBD6" w14:textId="52D03D92" w:rsidR="00DA5824" w:rsidRPr="00962C2E" w:rsidRDefault="00DA5824" w:rsidP="00DA58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>38.6%</w:t>
            </w:r>
          </w:p>
        </w:tc>
      </w:tr>
      <w:tr w:rsidR="00DA5824" w:rsidRPr="000F1F54" w14:paraId="25FD93C3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217B301E" w14:textId="168EB0D0" w:rsidR="00DA5824" w:rsidRPr="000F1F54" w:rsidRDefault="00DA5824" w:rsidP="00DA582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0DF1A96C" w14:textId="3441663C" w:rsidR="00DA5824" w:rsidRPr="00962C2E" w:rsidRDefault="00DA5824" w:rsidP="00DA582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Asylum Seekers/Refugees - Ukrainian</w:t>
            </w:r>
          </w:p>
        </w:tc>
        <w:tc>
          <w:tcPr>
            <w:tcW w:w="5382" w:type="dxa"/>
            <w:noWrap/>
          </w:tcPr>
          <w:p w14:paraId="0AFD4265" w14:textId="66948204" w:rsidR="00DA5824" w:rsidRPr="00962C2E" w:rsidRDefault="00DA5824" w:rsidP="00DA582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b/>
                <w:bCs/>
                <w:sz w:val="20"/>
                <w:szCs w:val="20"/>
              </w:rPr>
              <w:t>Healthcare</w:t>
            </w:r>
          </w:p>
        </w:tc>
        <w:tc>
          <w:tcPr>
            <w:tcW w:w="927" w:type="dxa"/>
            <w:noWrap/>
            <w:hideMark/>
          </w:tcPr>
          <w:p w14:paraId="30E8CBF9" w14:textId="1EE816A6" w:rsidR="00DA5824" w:rsidRPr="00962C2E" w:rsidRDefault="00DA5824" w:rsidP="00DA582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 xml:space="preserve"> 911 </w:t>
            </w:r>
          </w:p>
        </w:tc>
        <w:tc>
          <w:tcPr>
            <w:tcW w:w="1748" w:type="dxa"/>
            <w:noWrap/>
          </w:tcPr>
          <w:p w14:paraId="6DE5DA88" w14:textId="12739352" w:rsidR="00DA5824" w:rsidRPr="00962C2E" w:rsidRDefault="00DA5824" w:rsidP="00DA582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>13.5%</w:t>
            </w:r>
          </w:p>
        </w:tc>
      </w:tr>
      <w:tr w:rsidR="00DA5824" w:rsidRPr="000F1F54" w14:paraId="2820F5B2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C1A592A" w14:textId="3D43DE61" w:rsidR="00DA5824" w:rsidRPr="000F1F54" w:rsidRDefault="00DA5824" w:rsidP="00DA582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69DB5202" w14:textId="4BFBCF02" w:rsidR="00DA5824" w:rsidRPr="00962C2E" w:rsidRDefault="00DA5824" w:rsidP="00DA58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Asylum Seekers/Refugees - Ukrainian</w:t>
            </w:r>
          </w:p>
        </w:tc>
        <w:tc>
          <w:tcPr>
            <w:tcW w:w="5382" w:type="dxa"/>
            <w:noWrap/>
          </w:tcPr>
          <w:p w14:paraId="1DE607F2" w14:textId="29C70ACB" w:rsidR="00DA5824" w:rsidRPr="00962C2E" w:rsidRDefault="00DA5824" w:rsidP="00DA58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927" w:type="dxa"/>
            <w:noWrap/>
            <w:hideMark/>
          </w:tcPr>
          <w:p w14:paraId="1CCB9400" w14:textId="1A8BC522" w:rsidR="00DA5824" w:rsidRPr="00962C2E" w:rsidRDefault="00DA5824" w:rsidP="00DA58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 xml:space="preserve"> 909 </w:t>
            </w:r>
          </w:p>
        </w:tc>
        <w:tc>
          <w:tcPr>
            <w:tcW w:w="1748" w:type="dxa"/>
            <w:noWrap/>
          </w:tcPr>
          <w:p w14:paraId="48F9899C" w14:textId="1B581BA2" w:rsidR="00DA5824" w:rsidRPr="00962C2E" w:rsidRDefault="00DA5824" w:rsidP="00DA58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>13.5%</w:t>
            </w:r>
          </w:p>
        </w:tc>
      </w:tr>
      <w:tr w:rsidR="00DA5824" w:rsidRPr="000F1F54" w14:paraId="7C606190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137E8735" w14:textId="22FDAF53" w:rsidR="00DA5824" w:rsidRPr="000F1F54" w:rsidRDefault="00DA5824" w:rsidP="00DA582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7815B20D" w14:textId="164156F2" w:rsidR="00DA5824" w:rsidRPr="00962C2E" w:rsidRDefault="00DA5824" w:rsidP="00DA582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Asylum Seekers/Refugees - Ukrainian</w:t>
            </w:r>
          </w:p>
        </w:tc>
        <w:tc>
          <w:tcPr>
            <w:tcW w:w="5382" w:type="dxa"/>
            <w:noWrap/>
          </w:tcPr>
          <w:p w14:paraId="735C8698" w14:textId="20E548FA" w:rsidR="00DA5824" w:rsidRPr="00962C2E" w:rsidRDefault="00DA5824" w:rsidP="00DA582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b/>
                <w:bCs/>
                <w:sz w:val="20"/>
                <w:szCs w:val="20"/>
              </w:rPr>
              <w:t>Housing and Accommodation</w:t>
            </w:r>
          </w:p>
        </w:tc>
        <w:tc>
          <w:tcPr>
            <w:tcW w:w="927" w:type="dxa"/>
            <w:noWrap/>
            <w:hideMark/>
          </w:tcPr>
          <w:p w14:paraId="3FA46862" w14:textId="45F68304" w:rsidR="00DA5824" w:rsidRPr="00962C2E" w:rsidRDefault="00DA5824" w:rsidP="00DA582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 xml:space="preserve"> 660 </w:t>
            </w:r>
          </w:p>
        </w:tc>
        <w:tc>
          <w:tcPr>
            <w:tcW w:w="1748" w:type="dxa"/>
            <w:noWrap/>
          </w:tcPr>
          <w:p w14:paraId="2145587C" w14:textId="17E93594" w:rsidR="00DA5824" w:rsidRPr="00962C2E" w:rsidRDefault="00DA5824" w:rsidP="00DA582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>9.8%</w:t>
            </w:r>
          </w:p>
        </w:tc>
      </w:tr>
      <w:tr w:rsidR="00DA5824" w:rsidRPr="000F1F54" w14:paraId="60A410D0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188BCD52" w14:textId="50912584" w:rsidR="00DA5824" w:rsidRPr="000F1F54" w:rsidRDefault="00DA5824" w:rsidP="00DA582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46508DF1" w14:textId="63B145DF" w:rsidR="00DA5824" w:rsidRPr="00962C2E" w:rsidRDefault="00DA5824" w:rsidP="00DA58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Asylum Seekers/Refugees - Ukrainian</w:t>
            </w:r>
          </w:p>
        </w:tc>
        <w:tc>
          <w:tcPr>
            <w:tcW w:w="5382" w:type="dxa"/>
            <w:noWrap/>
          </w:tcPr>
          <w:p w14:paraId="1B623783" w14:textId="208EBFC5" w:rsidR="00DA5824" w:rsidRPr="00962C2E" w:rsidRDefault="00DA5824" w:rsidP="00DA58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b/>
                <w:bCs/>
                <w:sz w:val="20"/>
                <w:szCs w:val="20"/>
              </w:rPr>
              <w:t>Education and Training</w:t>
            </w:r>
          </w:p>
        </w:tc>
        <w:tc>
          <w:tcPr>
            <w:tcW w:w="927" w:type="dxa"/>
            <w:noWrap/>
            <w:hideMark/>
          </w:tcPr>
          <w:p w14:paraId="21F851B7" w14:textId="319627CF" w:rsidR="00DA5824" w:rsidRPr="00962C2E" w:rsidRDefault="00DA5824" w:rsidP="00DA58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 xml:space="preserve"> 630 </w:t>
            </w:r>
          </w:p>
        </w:tc>
        <w:tc>
          <w:tcPr>
            <w:tcW w:w="1748" w:type="dxa"/>
            <w:noWrap/>
          </w:tcPr>
          <w:p w14:paraId="4E63AB00" w14:textId="5C7AD953" w:rsidR="00DA5824" w:rsidRPr="00962C2E" w:rsidRDefault="00DA5824" w:rsidP="00DA58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>9.3%</w:t>
            </w:r>
          </w:p>
        </w:tc>
      </w:tr>
      <w:tr w:rsidR="00DA5824" w:rsidRPr="000F1F54" w14:paraId="4BA836D1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1125F865" w14:textId="7B3C1BD3" w:rsidR="00DA5824" w:rsidRPr="000F1F54" w:rsidRDefault="00DA5824" w:rsidP="00DA582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78B705B1" w14:textId="22D2728D" w:rsidR="00DA5824" w:rsidRPr="00962C2E" w:rsidRDefault="00DA5824" w:rsidP="00DA582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Asylum Seekers/Refugees - Ukrainian</w:t>
            </w:r>
          </w:p>
        </w:tc>
        <w:tc>
          <w:tcPr>
            <w:tcW w:w="5382" w:type="dxa"/>
            <w:noWrap/>
          </w:tcPr>
          <w:p w14:paraId="206250B0" w14:textId="6D29222E" w:rsidR="00DA5824" w:rsidRPr="00962C2E" w:rsidRDefault="00DA5824" w:rsidP="00DA5824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b/>
                <w:bCs/>
                <w:sz w:val="20"/>
                <w:szCs w:val="20"/>
              </w:rPr>
              <w:t>Immigration Process</w:t>
            </w:r>
          </w:p>
        </w:tc>
        <w:tc>
          <w:tcPr>
            <w:tcW w:w="927" w:type="dxa"/>
            <w:noWrap/>
            <w:hideMark/>
          </w:tcPr>
          <w:p w14:paraId="76BE2D4D" w14:textId="547F8196" w:rsidR="00DA5824" w:rsidRPr="00962C2E" w:rsidRDefault="00DA5824" w:rsidP="00DA582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 xml:space="preserve"> 534 </w:t>
            </w:r>
          </w:p>
        </w:tc>
        <w:tc>
          <w:tcPr>
            <w:tcW w:w="1748" w:type="dxa"/>
            <w:noWrap/>
          </w:tcPr>
          <w:p w14:paraId="78DCDA1B" w14:textId="6D928921" w:rsidR="00DA5824" w:rsidRPr="00962C2E" w:rsidRDefault="00DA5824" w:rsidP="00DA582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>7.9%</w:t>
            </w:r>
          </w:p>
        </w:tc>
      </w:tr>
      <w:tr w:rsidR="00DA5824" w:rsidRPr="000F1F54" w14:paraId="6C172481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F4BD741" w14:textId="4AC7F007" w:rsidR="00DA5824" w:rsidRPr="000F1F54" w:rsidRDefault="00DA5824" w:rsidP="00DA5824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6B8D9E98" w14:textId="7E814C55" w:rsidR="00DA5824" w:rsidRPr="00962C2E" w:rsidRDefault="00DA5824" w:rsidP="00DA58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Asylum Seekers/Refugees - Ukrainian</w:t>
            </w:r>
          </w:p>
        </w:tc>
        <w:tc>
          <w:tcPr>
            <w:tcW w:w="5382" w:type="dxa"/>
            <w:noWrap/>
          </w:tcPr>
          <w:p w14:paraId="330A2016" w14:textId="0481B4F9" w:rsidR="00DA5824" w:rsidRPr="00962C2E" w:rsidRDefault="00DA5824" w:rsidP="00DA58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b/>
                <w:bCs/>
                <w:sz w:val="20"/>
                <w:szCs w:val="20"/>
              </w:rPr>
              <w:t>Employment</w:t>
            </w:r>
          </w:p>
        </w:tc>
        <w:tc>
          <w:tcPr>
            <w:tcW w:w="927" w:type="dxa"/>
            <w:noWrap/>
            <w:hideMark/>
          </w:tcPr>
          <w:p w14:paraId="267DB101" w14:textId="02179B86" w:rsidR="00DA5824" w:rsidRPr="00962C2E" w:rsidRDefault="00DA5824" w:rsidP="00DA58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 xml:space="preserve"> 504 </w:t>
            </w:r>
          </w:p>
        </w:tc>
        <w:tc>
          <w:tcPr>
            <w:tcW w:w="1748" w:type="dxa"/>
            <w:noWrap/>
          </w:tcPr>
          <w:p w14:paraId="3EFC3201" w14:textId="0AF96754" w:rsidR="00DA5824" w:rsidRPr="00962C2E" w:rsidRDefault="00DA5824" w:rsidP="00DA582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sz w:val="20"/>
                <w:szCs w:val="20"/>
              </w:rPr>
              <w:t>7.5%</w:t>
            </w:r>
          </w:p>
        </w:tc>
      </w:tr>
      <w:tr w:rsidR="0095123C" w:rsidRPr="000F1F54" w14:paraId="516B9308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88C83CC" w14:textId="77777777" w:rsidR="0095123C" w:rsidRPr="000F1F54" w:rsidRDefault="0095123C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31A8E787" w14:textId="77777777" w:rsidR="0095123C" w:rsidRPr="000F1F54" w:rsidRDefault="0095123C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7C6E549" w14:textId="77777777" w:rsidR="0095123C" w:rsidRPr="000F1F54" w:rsidRDefault="0095123C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6456E0AF" w14:textId="7C6485DF" w:rsidR="0095123C" w:rsidRPr="000F1F54" w:rsidRDefault="00DA5824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6,758</w:t>
            </w:r>
          </w:p>
        </w:tc>
        <w:tc>
          <w:tcPr>
            <w:tcW w:w="1748" w:type="dxa"/>
            <w:noWrap/>
            <w:hideMark/>
          </w:tcPr>
          <w:p w14:paraId="73F67822" w14:textId="735B65EE" w:rsidR="0095123C" w:rsidRPr="000F1F54" w:rsidRDefault="007751F0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31519" w:rsidRPr="000F1F54" w14:paraId="0DEE2517" w14:textId="77777777" w:rsidTr="00135BB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167126E7" w14:textId="319DAAFA" w:rsidR="00A31519" w:rsidRPr="00135BB2" w:rsidRDefault="00FF1A1C" w:rsidP="00707E0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135BB2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Irish Citizenship</w:t>
            </w:r>
          </w:p>
        </w:tc>
      </w:tr>
      <w:tr w:rsidR="00A31519" w:rsidRPr="000F1F54" w14:paraId="573834D9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411AD8A" w14:textId="77777777" w:rsidR="00A31519" w:rsidRPr="000F1F54" w:rsidRDefault="00A3151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</w:tcPr>
          <w:p w14:paraId="353B33DE" w14:textId="4AC751D5" w:rsidR="00A31519" w:rsidRPr="000F1F54" w:rsidRDefault="00FF1A1C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FF1A1C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Irish Citizenship</w:t>
            </w:r>
          </w:p>
        </w:tc>
        <w:tc>
          <w:tcPr>
            <w:tcW w:w="5382" w:type="dxa"/>
            <w:noWrap/>
          </w:tcPr>
          <w:p w14:paraId="3B418FFC" w14:textId="57F50A78" w:rsidR="00A31519" w:rsidRPr="00962C2E" w:rsidRDefault="00FF1A1C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Irish Citizenship</w:t>
            </w:r>
          </w:p>
        </w:tc>
        <w:tc>
          <w:tcPr>
            <w:tcW w:w="927" w:type="dxa"/>
            <w:noWrap/>
          </w:tcPr>
          <w:p w14:paraId="5D3D8332" w14:textId="3AADBE8D" w:rsidR="00A31519" w:rsidRPr="000F1F54" w:rsidRDefault="00DA5824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DA582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,</w:t>
            </w:r>
            <w:r w:rsidRPr="00DA582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409</w:t>
            </w:r>
          </w:p>
        </w:tc>
        <w:tc>
          <w:tcPr>
            <w:tcW w:w="1748" w:type="dxa"/>
            <w:noWrap/>
          </w:tcPr>
          <w:p w14:paraId="1BDF0E67" w14:textId="34964E69" w:rsidR="00A31519" w:rsidRPr="000F1F54" w:rsidRDefault="00A31519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31519" w:rsidRPr="000F1F54" w14:paraId="4FAFF20D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25041D9" w14:textId="77777777" w:rsidR="00A31519" w:rsidRPr="000F1F54" w:rsidRDefault="00A3151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7BFAF393" w14:textId="77777777" w:rsidR="00A31519" w:rsidRPr="000F1F54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  <w:hideMark/>
          </w:tcPr>
          <w:p w14:paraId="655F551F" w14:textId="77777777" w:rsidR="00A31519" w:rsidRPr="000F1F54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155176E2" w14:textId="2011AFF0" w:rsidR="00A31519" w:rsidRPr="00DA5824" w:rsidRDefault="00DA5824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DA582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3,409</w:t>
            </w:r>
          </w:p>
        </w:tc>
        <w:tc>
          <w:tcPr>
            <w:tcW w:w="1748" w:type="dxa"/>
            <w:noWrap/>
            <w:hideMark/>
          </w:tcPr>
          <w:p w14:paraId="714A6FCD" w14:textId="146249FC" w:rsidR="00A31519" w:rsidRPr="000F1F54" w:rsidRDefault="007751F0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47173B" w:rsidRPr="000F1F54" w14:paraId="1C6C0285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3FB26C2D" w14:textId="77777777" w:rsidR="0047173B" w:rsidRPr="000F1F54" w:rsidRDefault="0047173B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3AECD41D" w14:textId="77777777" w:rsidR="0047173B" w:rsidRPr="000F1F54" w:rsidRDefault="0047173B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</w:tcPr>
          <w:p w14:paraId="2A92273E" w14:textId="77777777" w:rsidR="0047173B" w:rsidRDefault="0047173B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27" w:type="dxa"/>
            <w:noWrap/>
          </w:tcPr>
          <w:p w14:paraId="43F82CAC" w14:textId="77777777" w:rsidR="0047173B" w:rsidRPr="00DA5824" w:rsidRDefault="0047173B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48" w:type="dxa"/>
            <w:noWrap/>
          </w:tcPr>
          <w:p w14:paraId="22D69056" w14:textId="77777777" w:rsidR="0047173B" w:rsidRDefault="0047173B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A31519" w:rsidRPr="000F1F54" w14:paraId="450F4A39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2BE5A9D3" w14:textId="77777777" w:rsidR="00A31519" w:rsidRPr="000F1F54" w:rsidRDefault="00A3151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shd w:val="clear" w:color="auto" w:fill="62A39F" w:themeFill="accent6"/>
            <w:noWrap/>
          </w:tcPr>
          <w:p w14:paraId="24B0D9F9" w14:textId="77777777" w:rsidR="00A31519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shd w:val="clear" w:color="auto" w:fill="62A39F" w:themeFill="accent6"/>
            <w:noWrap/>
          </w:tcPr>
          <w:p w14:paraId="2FA6E286" w14:textId="7652CF7E" w:rsidR="00A31519" w:rsidRPr="00FF1A1C" w:rsidRDefault="00FF1A1C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FF1A1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Visa</w:t>
            </w:r>
          </w:p>
        </w:tc>
        <w:tc>
          <w:tcPr>
            <w:tcW w:w="927" w:type="dxa"/>
            <w:shd w:val="clear" w:color="auto" w:fill="62A39F" w:themeFill="accent6"/>
            <w:noWrap/>
          </w:tcPr>
          <w:p w14:paraId="304D09F2" w14:textId="77777777" w:rsidR="00A31519" w:rsidRPr="000F1F54" w:rsidRDefault="00A31519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48" w:type="dxa"/>
            <w:shd w:val="clear" w:color="auto" w:fill="62A39F" w:themeFill="accent6"/>
            <w:noWrap/>
          </w:tcPr>
          <w:p w14:paraId="16834589" w14:textId="77777777" w:rsidR="00A31519" w:rsidRPr="000F1F54" w:rsidRDefault="00A31519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31519" w:rsidRPr="000F1F54" w14:paraId="346806A2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69F420C" w14:textId="25201460" w:rsidR="00A31519" w:rsidRPr="000F1F54" w:rsidRDefault="00135BB2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56B5C24A" w14:textId="546779FD" w:rsidR="00A31519" w:rsidRPr="000F1F54" w:rsidRDefault="005210C8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Visa</w:t>
            </w:r>
          </w:p>
        </w:tc>
        <w:tc>
          <w:tcPr>
            <w:tcW w:w="5382" w:type="dxa"/>
            <w:noWrap/>
          </w:tcPr>
          <w:p w14:paraId="15EB7B82" w14:textId="2103B140" w:rsidR="00A31519" w:rsidRPr="00962C2E" w:rsidRDefault="005210C8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Visa</w:t>
            </w:r>
          </w:p>
        </w:tc>
        <w:tc>
          <w:tcPr>
            <w:tcW w:w="927" w:type="dxa"/>
            <w:noWrap/>
            <w:hideMark/>
          </w:tcPr>
          <w:p w14:paraId="05EDEFEA" w14:textId="12268CF5" w:rsidR="00A31519" w:rsidRPr="000F1F54" w:rsidRDefault="00DA5824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699</w:t>
            </w:r>
          </w:p>
        </w:tc>
        <w:tc>
          <w:tcPr>
            <w:tcW w:w="1748" w:type="dxa"/>
            <w:noWrap/>
            <w:hideMark/>
          </w:tcPr>
          <w:p w14:paraId="141994A4" w14:textId="144F7C5F" w:rsidR="00A31519" w:rsidRPr="000F1F54" w:rsidRDefault="00A31519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31519" w:rsidRPr="000F1F54" w14:paraId="5B753393" w14:textId="77777777" w:rsidTr="009876E6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5D35164" w14:textId="77777777" w:rsidR="00A31519" w:rsidRPr="000F1F54" w:rsidRDefault="00A3151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66E62951" w14:textId="77777777" w:rsidR="00A31519" w:rsidRPr="000F1F54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6CBE6EA" w14:textId="77777777" w:rsidR="00A31519" w:rsidRPr="000F1F54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7766545B" w14:textId="31B50070" w:rsidR="00A31519" w:rsidRPr="000F1F54" w:rsidRDefault="00DA5824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699</w:t>
            </w:r>
          </w:p>
        </w:tc>
        <w:tc>
          <w:tcPr>
            <w:tcW w:w="1748" w:type="dxa"/>
            <w:noWrap/>
          </w:tcPr>
          <w:p w14:paraId="2BBF0D7D" w14:textId="19BCF907" w:rsidR="00A31519" w:rsidRPr="000F1F54" w:rsidRDefault="007751F0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31519" w:rsidRPr="000F1F54" w14:paraId="0788FC0D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3A486CF6" w14:textId="478517EA" w:rsidR="00A31519" w:rsidRPr="006A60C6" w:rsidRDefault="005210C8" w:rsidP="00707E0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Irish Residence Permit (IRP) Application and Renewals</w:t>
            </w:r>
          </w:p>
        </w:tc>
      </w:tr>
      <w:tr w:rsidR="00A31519" w:rsidRPr="000F1F54" w14:paraId="7FEA4A84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D3A3AAB" w14:textId="3F506502" w:rsidR="00A31519" w:rsidRPr="000F1F54" w:rsidRDefault="00135BB2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2DE97196" w14:textId="51D498D4" w:rsidR="00A31519" w:rsidRPr="005210C8" w:rsidRDefault="005210C8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5210C8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Irish Residence Permit (IRP) Application and Renewals</w:t>
            </w:r>
          </w:p>
        </w:tc>
        <w:tc>
          <w:tcPr>
            <w:tcW w:w="5382" w:type="dxa"/>
            <w:noWrap/>
            <w:hideMark/>
          </w:tcPr>
          <w:p w14:paraId="6FB75B8F" w14:textId="46E838F9" w:rsidR="00A31519" w:rsidRPr="00962C2E" w:rsidRDefault="005210C8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Irish Residence Permit (IRP) Application and Renewals</w:t>
            </w:r>
          </w:p>
        </w:tc>
        <w:tc>
          <w:tcPr>
            <w:tcW w:w="927" w:type="dxa"/>
            <w:noWrap/>
            <w:hideMark/>
          </w:tcPr>
          <w:p w14:paraId="68407582" w14:textId="3BBD48BD" w:rsidR="00A31519" w:rsidRPr="000F1F54" w:rsidRDefault="00DA5824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560</w:t>
            </w:r>
          </w:p>
        </w:tc>
        <w:tc>
          <w:tcPr>
            <w:tcW w:w="1748" w:type="dxa"/>
            <w:noWrap/>
            <w:hideMark/>
          </w:tcPr>
          <w:p w14:paraId="0BE8E01C" w14:textId="1C551D73" w:rsidR="00A31519" w:rsidRPr="000F1F54" w:rsidRDefault="00A31519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31519" w:rsidRPr="000F1F54" w14:paraId="1CFB2AA6" w14:textId="77777777" w:rsidTr="00987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A399A92" w14:textId="77777777" w:rsidR="00A31519" w:rsidRPr="000F1F54" w:rsidRDefault="00A3151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6EEBAD2D" w14:textId="77777777" w:rsidR="00A31519" w:rsidRPr="000F1F54" w:rsidRDefault="00A31519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625F84E4" w14:textId="77777777" w:rsidR="00A31519" w:rsidRPr="000F1F54" w:rsidRDefault="00A31519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057A0E40" w14:textId="311B5BA7" w:rsidR="00A31519" w:rsidRPr="000F1F54" w:rsidRDefault="00DA5824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560</w:t>
            </w:r>
          </w:p>
        </w:tc>
        <w:tc>
          <w:tcPr>
            <w:tcW w:w="1748" w:type="dxa"/>
            <w:noWrap/>
          </w:tcPr>
          <w:p w14:paraId="3681648C" w14:textId="01AA4907" w:rsidR="00A31519" w:rsidRPr="000F1F54" w:rsidRDefault="007751F0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31519" w:rsidRPr="000F1F54" w14:paraId="13C76994" w14:textId="77777777" w:rsidTr="00135BB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6A9FE956" w14:textId="57188748" w:rsidR="00A31519" w:rsidRPr="006A60C6" w:rsidRDefault="005210C8" w:rsidP="00707E0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Moving to Ireland</w:t>
            </w:r>
          </w:p>
        </w:tc>
      </w:tr>
      <w:tr w:rsidR="00A31519" w:rsidRPr="000F1F54" w14:paraId="5F00BBBE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42A045E" w14:textId="4C691C6D" w:rsidR="00A31519" w:rsidRPr="000F1F54" w:rsidRDefault="00135BB2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3AF66D6E" w14:textId="6DE2506B" w:rsidR="00A31519" w:rsidRPr="005210C8" w:rsidRDefault="005210C8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5210C8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to Ireland</w:t>
            </w:r>
          </w:p>
        </w:tc>
        <w:tc>
          <w:tcPr>
            <w:tcW w:w="5382" w:type="dxa"/>
            <w:noWrap/>
            <w:hideMark/>
          </w:tcPr>
          <w:p w14:paraId="1AD0E24A" w14:textId="5EF742DF" w:rsidR="00A31519" w:rsidRPr="00962C2E" w:rsidRDefault="005210C8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Moving to Ireland</w:t>
            </w:r>
          </w:p>
        </w:tc>
        <w:tc>
          <w:tcPr>
            <w:tcW w:w="927" w:type="dxa"/>
            <w:noWrap/>
          </w:tcPr>
          <w:p w14:paraId="5A85F5BE" w14:textId="28D5275A" w:rsidR="00A31519" w:rsidRPr="000F1F54" w:rsidRDefault="00DA5824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473</w:t>
            </w:r>
          </w:p>
        </w:tc>
        <w:tc>
          <w:tcPr>
            <w:tcW w:w="1748" w:type="dxa"/>
            <w:noWrap/>
            <w:hideMark/>
          </w:tcPr>
          <w:p w14:paraId="60315117" w14:textId="218A264F" w:rsidR="00A31519" w:rsidRPr="000F1F54" w:rsidRDefault="00A31519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31519" w:rsidRPr="000F1F54" w14:paraId="71194361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A2F4071" w14:textId="77777777" w:rsidR="00A31519" w:rsidRPr="000F1F54" w:rsidRDefault="00A3151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41C7EF6A" w14:textId="77777777" w:rsidR="00A31519" w:rsidRPr="000F1F54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E389079" w14:textId="77777777" w:rsidR="00A31519" w:rsidRPr="000F1F54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</w:tcPr>
          <w:p w14:paraId="4B0B3910" w14:textId="311C4CD3" w:rsidR="00A31519" w:rsidRPr="000F1F54" w:rsidRDefault="00DA5824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473</w:t>
            </w:r>
          </w:p>
        </w:tc>
        <w:tc>
          <w:tcPr>
            <w:tcW w:w="1748" w:type="dxa"/>
            <w:noWrap/>
            <w:hideMark/>
          </w:tcPr>
          <w:p w14:paraId="0899031E" w14:textId="7CC04FF4" w:rsidR="00A31519" w:rsidRPr="000F1F54" w:rsidRDefault="007751F0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31519" w:rsidRPr="000F1F54" w14:paraId="7679F225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713AC3E4" w14:textId="4C70A15A" w:rsidR="00A31519" w:rsidRPr="006A60C6" w:rsidRDefault="005210C8" w:rsidP="00707E0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Other</w:t>
            </w:r>
          </w:p>
        </w:tc>
      </w:tr>
      <w:tr w:rsidR="00A31519" w:rsidRPr="000F1F54" w14:paraId="2F63B48F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F4B5A12" w14:textId="48C1A862" w:rsidR="00A31519" w:rsidRPr="000F1F54" w:rsidRDefault="00135BB2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48CB3C48" w14:textId="7D8D3B11" w:rsidR="00A31519" w:rsidRPr="000F1F54" w:rsidRDefault="005210C8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382" w:type="dxa"/>
            <w:noWrap/>
            <w:hideMark/>
          </w:tcPr>
          <w:p w14:paraId="37D46488" w14:textId="20A51D3C" w:rsidR="00A31519" w:rsidRPr="00962C2E" w:rsidRDefault="005210C8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27" w:type="dxa"/>
            <w:noWrap/>
            <w:hideMark/>
          </w:tcPr>
          <w:p w14:paraId="6A218F18" w14:textId="30670854" w:rsidR="00A31519" w:rsidRPr="000F1F54" w:rsidRDefault="00DA5824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326</w:t>
            </w:r>
          </w:p>
        </w:tc>
        <w:tc>
          <w:tcPr>
            <w:tcW w:w="1748" w:type="dxa"/>
            <w:noWrap/>
            <w:hideMark/>
          </w:tcPr>
          <w:p w14:paraId="247B75D2" w14:textId="0DFF59E5" w:rsidR="00A31519" w:rsidRPr="000F1F54" w:rsidRDefault="00A31519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31519" w:rsidRPr="000F1F54" w14:paraId="3B30379A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F129F6D" w14:textId="77777777" w:rsidR="00A31519" w:rsidRPr="000F1F54" w:rsidRDefault="00A3151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287AEB65" w14:textId="77777777" w:rsidR="00A31519" w:rsidRPr="000F1F54" w:rsidRDefault="00A31519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0EA55085" w14:textId="77777777" w:rsidR="00A31519" w:rsidRPr="000F1F54" w:rsidRDefault="00A31519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770EB516" w14:textId="56C6112C" w:rsidR="00A31519" w:rsidRPr="000F1F54" w:rsidRDefault="00DA5824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326</w:t>
            </w:r>
          </w:p>
        </w:tc>
        <w:tc>
          <w:tcPr>
            <w:tcW w:w="1748" w:type="dxa"/>
            <w:noWrap/>
            <w:hideMark/>
          </w:tcPr>
          <w:p w14:paraId="0A4604BB" w14:textId="78C84F9B" w:rsidR="00A31519" w:rsidRPr="000F1F54" w:rsidRDefault="007751F0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31519" w:rsidRPr="000F1F54" w14:paraId="63EDFA72" w14:textId="77777777" w:rsidTr="00135BB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43D1D53A" w14:textId="462ADAED" w:rsidR="00A31519" w:rsidRPr="006A60C6" w:rsidRDefault="005210C8" w:rsidP="00707E0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Travel Documents</w:t>
            </w:r>
          </w:p>
        </w:tc>
      </w:tr>
      <w:tr w:rsidR="00A31519" w:rsidRPr="000F1F54" w14:paraId="3F82FFF7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BADC23A" w14:textId="13AAABE3" w:rsidR="00A31519" w:rsidRPr="000F1F54" w:rsidRDefault="00135BB2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14010A9B" w14:textId="1B85C196" w:rsidR="00A31519" w:rsidRPr="000F1F54" w:rsidRDefault="005210C8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Travel Documents</w:t>
            </w:r>
          </w:p>
        </w:tc>
        <w:tc>
          <w:tcPr>
            <w:tcW w:w="5382" w:type="dxa"/>
            <w:noWrap/>
            <w:hideMark/>
          </w:tcPr>
          <w:p w14:paraId="0700A67E" w14:textId="48859928" w:rsidR="00A31519" w:rsidRPr="00962C2E" w:rsidRDefault="005210C8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Travel Documents</w:t>
            </w:r>
          </w:p>
        </w:tc>
        <w:tc>
          <w:tcPr>
            <w:tcW w:w="927" w:type="dxa"/>
            <w:noWrap/>
            <w:hideMark/>
          </w:tcPr>
          <w:p w14:paraId="3EFFDC82" w14:textId="42C48A25" w:rsidR="00A31519" w:rsidRPr="000F1F54" w:rsidRDefault="00DA5824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271</w:t>
            </w:r>
          </w:p>
        </w:tc>
        <w:tc>
          <w:tcPr>
            <w:tcW w:w="1748" w:type="dxa"/>
            <w:noWrap/>
            <w:hideMark/>
          </w:tcPr>
          <w:p w14:paraId="78BB2B8F" w14:textId="5DF3B314" w:rsidR="00A31519" w:rsidRPr="000F1F54" w:rsidRDefault="00A31519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31519" w:rsidRPr="000F1F54" w14:paraId="6DB428C6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FA279AE" w14:textId="77777777" w:rsidR="00A31519" w:rsidRPr="000F1F54" w:rsidRDefault="00A3151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3722BE9C" w14:textId="77777777" w:rsidR="00A31519" w:rsidRPr="000F1F54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4AF73B91" w14:textId="77777777" w:rsidR="00A31519" w:rsidRPr="000F1F54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09B4FBCD" w14:textId="41509CCD" w:rsidR="00A31519" w:rsidRPr="000F1F54" w:rsidRDefault="00DA5824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271</w:t>
            </w:r>
          </w:p>
        </w:tc>
        <w:tc>
          <w:tcPr>
            <w:tcW w:w="1748" w:type="dxa"/>
            <w:noWrap/>
            <w:hideMark/>
          </w:tcPr>
          <w:p w14:paraId="7F2C9DF1" w14:textId="37A2DE60" w:rsidR="00A31519" w:rsidRPr="000F1F54" w:rsidRDefault="007751F0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31519" w:rsidRPr="000F1F54" w14:paraId="49556246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338D2872" w14:textId="587F8AFB" w:rsidR="00A31519" w:rsidRPr="006A60C6" w:rsidRDefault="009F7580" w:rsidP="00707E0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Immigration Office</w:t>
            </w:r>
          </w:p>
        </w:tc>
      </w:tr>
      <w:tr w:rsidR="00A31519" w:rsidRPr="000F1F54" w14:paraId="6B6FA28C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BA7EE7E" w14:textId="2529FD87" w:rsidR="00A31519" w:rsidRPr="000F1F54" w:rsidRDefault="00135BB2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24755A86" w14:textId="5A569F63" w:rsidR="00A31519" w:rsidRPr="009F7580" w:rsidRDefault="00A31519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  <w:r w:rsidR="009F7580" w:rsidRPr="009F758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Immigration Office</w:t>
            </w:r>
          </w:p>
        </w:tc>
        <w:tc>
          <w:tcPr>
            <w:tcW w:w="5382" w:type="dxa"/>
            <w:noWrap/>
            <w:hideMark/>
          </w:tcPr>
          <w:p w14:paraId="451E9F2C" w14:textId="4830F653" w:rsidR="00A31519" w:rsidRPr="00962C2E" w:rsidRDefault="009F7580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Immigration Office</w:t>
            </w:r>
          </w:p>
        </w:tc>
        <w:tc>
          <w:tcPr>
            <w:tcW w:w="927" w:type="dxa"/>
            <w:noWrap/>
          </w:tcPr>
          <w:p w14:paraId="42CD2251" w14:textId="5A706964" w:rsidR="00A31519" w:rsidRPr="000F1F54" w:rsidRDefault="00DA5824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219</w:t>
            </w:r>
          </w:p>
        </w:tc>
        <w:tc>
          <w:tcPr>
            <w:tcW w:w="1748" w:type="dxa"/>
            <w:noWrap/>
            <w:hideMark/>
          </w:tcPr>
          <w:p w14:paraId="52AA5444" w14:textId="07A3D0AE" w:rsidR="00A31519" w:rsidRPr="000F1F54" w:rsidRDefault="00A31519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A31519" w:rsidRPr="000F1F54" w14:paraId="0505246F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4BBB9A4" w14:textId="77777777" w:rsidR="00A31519" w:rsidRPr="000F1F54" w:rsidRDefault="00A31519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20CD87E5" w14:textId="77777777" w:rsidR="00A31519" w:rsidRPr="000F1F54" w:rsidRDefault="00A31519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07E32254" w14:textId="77777777" w:rsidR="00A31519" w:rsidRPr="000F1F54" w:rsidRDefault="00A31519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</w:tcPr>
          <w:p w14:paraId="2FA8A498" w14:textId="75C4FBBA" w:rsidR="00A31519" w:rsidRPr="000F1F54" w:rsidRDefault="00F3283F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219</w:t>
            </w:r>
          </w:p>
        </w:tc>
        <w:tc>
          <w:tcPr>
            <w:tcW w:w="1748" w:type="dxa"/>
            <w:noWrap/>
            <w:hideMark/>
          </w:tcPr>
          <w:p w14:paraId="73BF17E8" w14:textId="7E39E675" w:rsidR="00A31519" w:rsidRPr="000F1F54" w:rsidRDefault="007751F0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31519" w:rsidRPr="000F1F54" w14:paraId="0C50E952" w14:textId="77777777" w:rsidTr="00135BB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26F47C4A" w14:textId="7194D8D7" w:rsidR="00A31519" w:rsidRPr="006A60C6" w:rsidRDefault="009F7580" w:rsidP="00A3151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Residence Rights of Family Members</w:t>
            </w:r>
          </w:p>
        </w:tc>
      </w:tr>
      <w:tr w:rsidR="0095123C" w:rsidRPr="000F1F54" w14:paraId="5F309E4E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7139861" w14:textId="557CE6C5" w:rsidR="0095123C" w:rsidRPr="000F1F54" w:rsidRDefault="006B4122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65C96D72" w14:textId="37387495" w:rsidR="0095123C" w:rsidRPr="009F7580" w:rsidRDefault="009F7580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F758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Residence Rights of Family Members</w:t>
            </w:r>
          </w:p>
        </w:tc>
        <w:tc>
          <w:tcPr>
            <w:tcW w:w="5382" w:type="dxa"/>
            <w:noWrap/>
            <w:hideMark/>
          </w:tcPr>
          <w:p w14:paraId="7B788EB2" w14:textId="03026900" w:rsidR="0095123C" w:rsidRPr="00962C2E" w:rsidRDefault="009F7580" w:rsidP="00707E0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Residence Rights of Family Members</w:t>
            </w:r>
          </w:p>
        </w:tc>
        <w:tc>
          <w:tcPr>
            <w:tcW w:w="927" w:type="dxa"/>
            <w:noWrap/>
          </w:tcPr>
          <w:p w14:paraId="5B072C29" w14:textId="3E5A0384" w:rsidR="0095123C" w:rsidRPr="00BC73A2" w:rsidRDefault="00F3283F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216</w:t>
            </w:r>
          </w:p>
        </w:tc>
        <w:tc>
          <w:tcPr>
            <w:tcW w:w="1748" w:type="dxa"/>
            <w:noWrap/>
            <w:hideMark/>
          </w:tcPr>
          <w:p w14:paraId="3D361782" w14:textId="0E4B11B0" w:rsidR="0095123C" w:rsidRPr="00BC73A2" w:rsidRDefault="0095123C" w:rsidP="00707E05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95123C" w:rsidRPr="000F1F54" w14:paraId="19412561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7360C7F" w14:textId="77777777" w:rsidR="0095123C" w:rsidRPr="000F1F54" w:rsidRDefault="0095123C" w:rsidP="00707E05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1F8A4F23" w14:textId="77777777" w:rsidR="0095123C" w:rsidRPr="000F1F54" w:rsidRDefault="0095123C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180AB3E1" w14:textId="77777777" w:rsidR="0095123C" w:rsidRPr="000F1F54" w:rsidRDefault="0095123C" w:rsidP="00707E05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</w:tcPr>
          <w:p w14:paraId="6DA3811F" w14:textId="14F1FD7D" w:rsidR="0095123C" w:rsidRPr="006B4122" w:rsidRDefault="00F3283F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216</w:t>
            </w:r>
          </w:p>
        </w:tc>
        <w:tc>
          <w:tcPr>
            <w:tcW w:w="1748" w:type="dxa"/>
            <w:noWrap/>
            <w:hideMark/>
          </w:tcPr>
          <w:p w14:paraId="349D7FEB" w14:textId="23A16CEC" w:rsidR="0095123C" w:rsidRPr="006B4122" w:rsidRDefault="0095123C" w:rsidP="00707E05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B41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175054" w:rsidRPr="000F1F54" w14:paraId="056682ED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7343A6E5" w14:textId="14C74C80" w:rsidR="00175054" w:rsidRPr="006A60C6" w:rsidRDefault="009F7580" w:rsidP="00175054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EU Treaty Rights</w:t>
            </w:r>
          </w:p>
        </w:tc>
      </w:tr>
      <w:tr w:rsidR="00E070EC" w:rsidRPr="000F1F54" w14:paraId="756CB152" w14:textId="77777777" w:rsidTr="00135BB2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8B96895" w14:textId="502DE1C0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</w:tcPr>
          <w:p w14:paraId="0BEDF599" w14:textId="49C58BE6" w:rsidR="00E070EC" w:rsidRPr="009F7580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F758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EU Treaty Rights</w:t>
            </w:r>
          </w:p>
        </w:tc>
        <w:tc>
          <w:tcPr>
            <w:tcW w:w="5382" w:type="dxa"/>
            <w:noWrap/>
          </w:tcPr>
          <w:p w14:paraId="42F39D6A" w14:textId="045B46A1" w:rsidR="00E070EC" w:rsidRPr="00962C2E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EU Treaty Rights</w:t>
            </w:r>
          </w:p>
        </w:tc>
        <w:tc>
          <w:tcPr>
            <w:tcW w:w="927" w:type="dxa"/>
            <w:noWrap/>
          </w:tcPr>
          <w:p w14:paraId="16EAB324" w14:textId="15C43BA5" w:rsidR="00E070EC" w:rsidRPr="000F1F54" w:rsidRDefault="00F3283F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212</w:t>
            </w:r>
          </w:p>
        </w:tc>
        <w:tc>
          <w:tcPr>
            <w:tcW w:w="1748" w:type="dxa"/>
            <w:noWrap/>
          </w:tcPr>
          <w:p w14:paraId="44E7386E" w14:textId="70F25817" w:rsidR="00E070EC" w:rsidRPr="000F1F54" w:rsidRDefault="00E070EC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E070EC" w:rsidRPr="000F1F54" w14:paraId="20162D8E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34EDCFA" w14:textId="0B3A57A6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1380431B" w14:textId="5A0D5B91" w:rsidR="00E070EC" w:rsidRPr="000F1F54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  <w:hideMark/>
          </w:tcPr>
          <w:p w14:paraId="3A9B25F2" w14:textId="3F366834" w:rsidR="00E070EC" w:rsidRPr="000F1F54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6D0B8529" w14:textId="431376CC" w:rsidR="00E070EC" w:rsidRPr="009F7580" w:rsidRDefault="00F3283F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212</w:t>
            </w:r>
          </w:p>
        </w:tc>
        <w:tc>
          <w:tcPr>
            <w:tcW w:w="1748" w:type="dxa"/>
            <w:noWrap/>
            <w:hideMark/>
          </w:tcPr>
          <w:p w14:paraId="6E006456" w14:textId="7013B95B" w:rsidR="00E070EC" w:rsidRPr="000F1F54" w:rsidRDefault="00E070EC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6B41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E070EC" w:rsidRPr="000F1F54" w14:paraId="31790D57" w14:textId="77777777" w:rsidTr="00135B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137D38A8" w14:textId="77777777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shd w:val="clear" w:color="auto" w:fill="62A39F" w:themeFill="accent6"/>
            <w:noWrap/>
          </w:tcPr>
          <w:p w14:paraId="45F35162" w14:textId="77777777" w:rsidR="00E070EC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shd w:val="clear" w:color="auto" w:fill="62A39F" w:themeFill="accent6"/>
            <w:noWrap/>
          </w:tcPr>
          <w:p w14:paraId="2285F9F7" w14:textId="18783608" w:rsidR="00E070EC" w:rsidRPr="009F7580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9F758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Asylum Seekers and Refugees</w:t>
            </w:r>
          </w:p>
        </w:tc>
        <w:tc>
          <w:tcPr>
            <w:tcW w:w="927" w:type="dxa"/>
            <w:shd w:val="clear" w:color="auto" w:fill="62A39F" w:themeFill="accent6"/>
            <w:noWrap/>
          </w:tcPr>
          <w:p w14:paraId="08D338A6" w14:textId="77777777" w:rsidR="00E070EC" w:rsidRPr="000F1F54" w:rsidRDefault="00E070EC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48" w:type="dxa"/>
            <w:shd w:val="clear" w:color="auto" w:fill="62A39F" w:themeFill="accent6"/>
            <w:noWrap/>
          </w:tcPr>
          <w:p w14:paraId="2A30E976" w14:textId="77777777" w:rsidR="00E070EC" w:rsidRPr="000F1F54" w:rsidRDefault="00E070EC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E070EC" w:rsidRPr="000F1F54" w14:paraId="3CED8C7C" w14:textId="77777777" w:rsidTr="00E07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41B445E" w14:textId="4BBB7766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751A8D0E" w14:textId="361B55E3" w:rsidR="00E070EC" w:rsidRPr="009F7580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F7580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Asylum Seekers and Refugees</w:t>
            </w:r>
          </w:p>
        </w:tc>
        <w:tc>
          <w:tcPr>
            <w:tcW w:w="5382" w:type="dxa"/>
            <w:noWrap/>
            <w:hideMark/>
          </w:tcPr>
          <w:p w14:paraId="16A25A29" w14:textId="27F2F0F2" w:rsidR="00E070EC" w:rsidRPr="00962C2E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Asylum Seekers and Refugees</w:t>
            </w:r>
          </w:p>
        </w:tc>
        <w:tc>
          <w:tcPr>
            <w:tcW w:w="927" w:type="dxa"/>
            <w:noWrap/>
            <w:hideMark/>
          </w:tcPr>
          <w:p w14:paraId="6D6984F9" w14:textId="66ABE41C" w:rsidR="00E070EC" w:rsidRPr="000F1F54" w:rsidRDefault="00F3283F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198</w:t>
            </w:r>
          </w:p>
        </w:tc>
        <w:tc>
          <w:tcPr>
            <w:tcW w:w="1748" w:type="dxa"/>
            <w:noWrap/>
          </w:tcPr>
          <w:p w14:paraId="041F3980" w14:textId="1C2A4B51" w:rsidR="00E070EC" w:rsidRPr="000F1F54" w:rsidRDefault="00E070EC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E070EC" w:rsidRPr="000F1F54" w14:paraId="370D1BEA" w14:textId="77777777" w:rsidTr="00E070E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033589A" w14:textId="77777777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4CDAC078" w14:textId="77777777" w:rsidR="00E070EC" w:rsidRPr="000F1F54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7F16A218" w14:textId="77777777" w:rsidR="00E070EC" w:rsidRPr="000F1F54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22556D87" w14:textId="13EBB0C0" w:rsidR="00E070EC" w:rsidRPr="000F1F54" w:rsidRDefault="00F3283F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198</w:t>
            </w:r>
          </w:p>
        </w:tc>
        <w:tc>
          <w:tcPr>
            <w:tcW w:w="1748" w:type="dxa"/>
            <w:noWrap/>
          </w:tcPr>
          <w:p w14:paraId="4257A2CB" w14:textId="46F3231A" w:rsidR="00E070EC" w:rsidRPr="000F1F54" w:rsidRDefault="00E070EC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B41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E070EC" w:rsidRPr="000F1F54" w14:paraId="22E3D302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0CF4B581" w14:textId="113ED7B2" w:rsidR="00E070EC" w:rsidRPr="006A60C6" w:rsidRDefault="00E070EC" w:rsidP="00E070EC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Family Reunification (Refugee/Subsidiary Protection)</w:t>
            </w:r>
          </w:p>
        </w:tc>
      </w:tr>
      <w:tr w:rsidR="00E070EC" w:rsidRPr="000F1F54" w14:paraId="1B5035AB" w14:textId="77777777" w:rsidTr="00E070E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922AF99" w14:textId="471A5064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62B73914" w14:textId="414702F8" w:rsidR="00E070EC" w:rsidRPr="00CB0EEC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B0EEC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Family Reunification (Refugee/Subsidiary Protection)</w:t>
            </w:r>
          </w:p>
        </w:tc>
        <w:tc>
          <w:tcPr>
            <w:tcW w:w="5382" w:type="dxa"/>
            <w:noWrap/>
            <w:hideMark/>
          </w:tcPr>
          <w:p w14:paraId="2A158C75" w14:textId="367DFF0D" w:rsidR="00E070EC" w:rsidRPr="00962C2E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Family Reunification (Refugee/Subsidiary Protection)</w:t>
            </w:r>
          </w:p>
        </w:tc>
        <w:tc>
          <w:tcPr>
            <w:tcW w:w="927" w:type="dxa"/>
            <w:noWrap/>
          </w:tcPr>
          <w:p w14:paraId="17BA3654" w14:textId="5B135F69" w:rsidR="00E070EC" w:rsidRPr="000F1F54" w:rsidRDefault="00F3283F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192</w:t>
            </w:r>
          </w:p>
        </w:tc>
        <w:tc>
          <w:tcPr>
            <w:tcW w:w="1748" w:type="dxa"/>
            <w:noWrap/>
          </w:tcPr>
          <w:p w14:paraId="5DC2F57A" w14:textId="1D9817B4" w:rsidR="00E070EC" w:rsidRPr="000F1F54" w:rsidRDefault="00E070EC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E070EC" w:rsidRPr="000F1F54" w14:paraId="248A2D67" w14:textId="77777777" w:rsidTr="00E07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F27AD9F" w14:textId="77777777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603C980F" w14:textId="77777777" w:rsidR="00E070EC" w:rsidRPr="000F1F54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0FA2557D" w14:textId="77777777" w:rsidR="00E070EC" w:rsidRPr="000F1F54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</w:tcPr>
          <w:p w14:paraId="61B64E50" w14:textId="7945E847" w:rsidR="00E070EC" w:rsidRPr="000F1F54" w:rsidRDefault="00F3283F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192</w:t>
            </w:r>
          </w:p>
        </w:tc>
        <w:tc>
          <w:tcPr>
            <w:tcW w:w="1748" w:type="dxa"/>
            <w:noWrap/>
          </w:tcPr>
          <w:p w14:paraId="29E72BDB" w14:textId="5A191CC7" w:rsidR="00E070EC" w:rsidRPr="000F1F54" w:rsidRDefault="00E070EC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B41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B92D4A" w:rsidRPr="000F1F54" w14:paraId="3E7FAEB4" w14:textId="77777777" w:rsidTr="00E070E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9989A97" w14:textId="77777777" w:rsidR="00B92D4A" w:rsidRPr="000F1F54" w:rsidRDefault="00B92D4A" w:rsidP="00E070EC">
            <w:pPr>
              <w:spacing w:line="240" w:lineRule="auto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110" w:type="dxa"/>
            <w:noWrap/>
          </w:tcPr>
          <w:p w14:paraId="7E6F73F6" w14:textId="77777777" w:rsidR="00B92D4A" w:rsidRPr="000F1F54" w:rsidRDefault="00B92D4A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5382" w:type="dxa"/>
            <w:noWrap/>
          </w:tcPr>
          <w:p w14:paraId="14C08DCB" w14:textId="77777777" w:rsidR="00B92D4A" w:rsidRPr="000F1F54" w:rsidRDefault="00B92D4A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927" w:type="dxa"/>
            <w:noWrap/>
          </w:tcPr>
          <w:p w14:paraId="3A0C6E1A" w14:textId="77777777" w:rsidR="00B92D4A" w:rsidRDefault="00B92D4A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748" w:type="dxa"/>
            <w:noWrap/>
          </w:tcPr>
          <w:p w14:paraId="09E8AE9F" w14:textId="77777777" w:rsidR="00B92D4A" w:rsidRPr="006B4122" w:rsidRDefault="00B92D4A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</w:p>
        </w:tc>
      </w:tr>
      <w:tr w:rsidR="00F3283F" w:rsidRPr="000F1F54" w14:paraId="6D613FA6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4F0AD384" w14:textId="77777777" w:rsidR="00F3283F" w:rsidRPr="006A60C6" w:rsidRDefault="00F3283F" w:rsidP="00575157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Rights of Residence in Ireland</w:t>
            </w:r>
          </w:p>
        </w:tc>
      </w:tr>
      <w:tr w:rsidR="00F3283F" w:rsidRPr="000F1F54" w14:paraId="530E612C" w14:textId="77777777" w:rsidTr="0057515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6D3B532" w14:textId="77777777" w:rsidR="00F3283F" w:rsidRPr="000F1F54" w:rsidRDefault="00F3283F" w:rsidP="00575157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42DB1C9A" w14:textId="77777777" w:rsidR="00F3283F" w:rsidRPr="00CB0EEC" w:rsidRDefault="00F3283F" w:rsidP="005751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B0EEC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Rights of Residence in Ireland</w:t>
            </w:r>
          </w:p>
        </w:tc>
        <w:tc>
          <w:tcPr>
            <w:tcW w:w="5382" w:type="dxa"/>
            <w:noWrap/>
            <w:hideMark/>
          </w:tcPr>
          <w:p w14:paraId="6AE506D3" w14:textId="77777777" w:rsidR="00F3283F" w:rsidRPr="00962C2E" w:rsidRDefault="00F3283F" w:rsidP="0057515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Rights of Residence in Ireland</w:t>
            </w:r>
          </w:p>
        </w:tc>
        <w:tc>
          <w:tcPr>
            <w:tcW w:w="927" w:type="dxa"/>
            <w:noWrap/>
          </w:tcPr>
          <w:p w14:paraId="6F43C669" w14:textId="1576917E" w:rsidR="00F3283F" w:rsidRPr="000F1F54" w:rsidRDefault="00F3283F" w:rsidP="0057515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127</w:t>
            </w:r>
          </w:p>
        </w:tc>
        <w:tc>
          <w:tcPr>
            <w:tcW w:w="1748" w:type="dxa"/>
            <w:noWrap/>
          </w:tcPr>
          <w:p w14:paraId="161F8A6E" w14:textId="77777777" w:rsidR="00F3283F" w:rsidRPr="000F1F54" w:rsidRDefault="00F3283F" w:rsidP="00575157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F3283F" w:rsidRPr="000F1F54" w14:paraId="70999C9E" w14:textId="77777777" w:rsidTr="00575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9B2AC33" w14:textId="77777777" w:rsidR="00F3283F" w:rsidRPr="000F1F54" w:rsidRDefault="00F3283F" w:rsidP="00575157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06850ADB" w14:textId="77777777" w:rsidR="00F3283F" w:rsidRPr="000F1F54" w:rsidRDefault="00F3283F" w:rsidP="005751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8FE1D5F" w14:textId="77777777" w:rsidR="00F3283F" w:rsidRPr="000F1F54" w:rsidRDefault="00F3283F" w:rsidP="00575157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</w:tcPr>
          <w:p w14:paraId="07B986A1" w14:textId="5272D0B6" w:rsidR="00F3283F" w:rsidRPr="000F1F54" w:rsidRDefault="00F3283F" w:rsidP="0057515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127</w:t>
            </w:r>
          </w:p>
        </w:tc>
        <w:tc>
          <w:tcPr>
            <w:tcW w:w="1748" w:type="dxa"/>
            <w:noWrap/>
          </w:tcPr>
          <w:p w14:paraId="736E7C0B" w14:textId="77777777" w:rsidR="00F3283F" w:rsidRPr="000F1F54" w:rsidRDefault="00F3283F" w:rsidP="00575157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B41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E070EC" w:rsidRPr="000F1F54" w14:paraId="6AFE3145" w14:textId="77777777" w:rsidTr="00135BB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63FC8EC6" w14:textId="7963A4FC" w:rsidR="00E070EC" w:rsidRPr="006A60C6" w:rsidRDefault="00E070EC" w:rsidP="00E070EC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</w:pPr>
            <w:r w:rsidRPr="006A60C6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Moving Abroad</w:t>
            </w:r>
          </w:p>
        </w:tc>
      </w:tr>
      <w:tr w:rsidR="00E070EC" w:rsidRPr="000F1F54" w14:paraId="01711230" w14:textId="77777777" w:rsidTr="00E07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4B5211F" w14:textId="053CE1DA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23C4823F" w14:textId="1D7A8C7F" w:rsidR="00E070EC" w:rsidRPr="00CB0EEC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CB0EEC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Abroad</w:t>
            </w:r>
          </w:p>
        </w:tc>
        <w:tc>
          <w:tcPr>
            <w:tcW w:w="5382" w:type="dxa"/>
            <w:noWrap/>
            <w:hideMark/>
          </w:tcPr>
          <w:p w14:paraId="44C57883" w14:textId="556F3360" w:rsidR="00E070EC" w:rsidRPr="00962C2E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2C2E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Moving Abroad</w:t>
            </w:r>
          </w:p>
        </w:tc>
        <w:tc>
          <w:tcPr>
            <w:tcW w:w="927" w:type="dxa"/>
            <w:noWrap/>
            <w:hideMark/>
          </w:tcPr>
          <w:p w14:paraId="66AD1A52" w14:textId="1180FAFA" w:rsidR="00E070EC" w:rsidRPr="000F1F54" w:rsidRDefault="004B70E4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127</w:t>
            </w:r>
          </w:p>
        </w:tc>
        <w:tc>
          <w:tcPr>
            <w:tcW w:w="1748" w:type="dxa"/>
            <w:noWrap/>
          </w:tcPr>
          <w:p w14:paraId="19D7A8BD" w14:textId="6ED20D7C" w:rsidR="00E070EC" w:rsidRPr="000F1F54" w:rsidRDefault="00E070EC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E070EC" w:rsidRPr="000F1F54" w14:paraId="44CBBAEB" w14:textId="77777777" w:rsidTr="00E070E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9D35F67" w14:textId="77777777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6CFFD373" w14:textId="77777777" w:rsidR="00E070EC" w:rsidRPr="000F1F54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D5FD0B3" w14:textId="77777777" w:rsidR="00E070EC" w:rsidRPr="000F1F54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4FD6287C" w14:textId="08596EEB" w:rsidR="00E070EC" w:rsidRPr="000F1F54" w:rsidRDefault="004B70E4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127</w:t>
            </w:r>
          </w:p>
        </w:tc>
        <w:tc>
          <w:tcPr>
            <w:tcW w:w="1748" w:type="dxa"/>
            <w:noWrap/>
          </w:tcPr>
          <w:p w14:paraId="65DC057F" w14:textId="6EE4C160" w:rsidR="00E070EC" w:rsidRPr="000F1F54" w:rsidRDefault="00E070EC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B41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E070EC" w:rsidRPr="000F1F54" w14:paraId="0296A0CE" w14:textId="77777777" w:rsidTr="00135B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7" w:type="dxa"/>
            <w:gridSpan w:val="5"/>
            <w:noWrap/>
            <w:hideMark/>
          </w:tcPr>
          <w:p w14:paraId="795D125E" w14:textId="4BF02A54" w:rsidR="00E070EC" w:rsidRPr="000F1F54" w:rsidRDefault="00E070EC" w:rsidP="00E070EC">
            <w:pPr>
              <w:spacing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All other sub-categories (&lt;</w:t>
            </w:r>
            <w:r w:rsidR="004B70E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125</w:t>
            </w:r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 xml:space="preserve"> </w:t>
            </w:r>
            <w:proofErr w:type="gramStart"/>
            <w:r w:rsidRPr="000F1F54">
              <w:rPr>
                <w:rFonts w:eastAsia="Times New Roman" w:cs="Calibri"/>
                <w:color w:val="000000"/>
                <w:sz w:val="24"/>
                <w:szCs w:val="24"/>
                <w:lang w:eastAsia="en-IE"/>
              </w:rPr>
              <w:t>queries)*</w:t>
            </w:r>
            <w:proofErr w:type="gramEnd"/>
          </w:p>
        </w:tc>
      </w:tr>
      <w:tr w:rsidR="00E070EC" w:rsidRPr="000F1F54" w14:paraId="74FDA2FC" w14:textId="77777777" w:rsidTr="00E070EC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7A3ADAA" w14:textId="045DEFF6" w:rsidR="00E070EC" w:rsidRPr="00460DEB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460DEB"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110" w:type="dxa"/>
            <w:noWrap/>
            <w:hideMark/>
          </w:tcPr>
          <w:p w14:paraId="0D4A40C2" w14:textId="14F92A1A" w:rsidR="00E070EC" w:rsidRPr="00460DEB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460DE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  <w:r w:rsidR="00460DEB" w:rsidRPr="00460DEB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5382" w:type="dxa"/>
            <w:noWrap/>
            <w:hideMark/>
          </w:tcPr>
          <w:p w14:paraId="74A30F77" w14:textId="77777777" w:rsidR="00E070EC" w:rsidRPr="000F1F54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All other sub-categories</w:t>
            </w:r>
          </w:p>
        </w:tc>
        <w:tc>
          <w:tcPr>
            <w:tcW w:w="927" w:type="dxa"/>
            <w:noWrap/>
            <w:hideMark/>
          </w:tcPr>
          <w:p w14:paraId="2E9542E4" w14:textId="04711857" w:rsidR="00E070EC" w:rsidRPr="000F1F54" w:rsidRDefault="004B70E4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532</w:t>
            </w:r>
          </w:p>
        </w:tc>
        <w:tc>
          <w:tcPr>
            <w:tcW w:w="1748" w:type="dxa"/>
            <w:noWrap/>
          </w:tcPr>
          <w:p w14:paraId="2F33E5A4" w14:textId="6BCEA60D" w:rsidR="00E070EC" w:rsidRPr="000F1F54" w:rsidRDefault="00E070EC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</w:tr>
      <w:tr w:rsidR="00E070EC" w:rsidRPr="000F1F54" w14:paraId="7204E544" w14:textId="77777777" w:rsidTr="00E070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16298A8" w14:textId="77777777" w:rsidR="00E070EC" w:rsidRPr="000F1F54" w:rsidRDefault="00E070EC" w:rsidP="00E070EC">
            <w:pPr>
              <w:spacing w:line="240" w:lineRule="auto"/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7E87294A" w14:textId="77777777" w:rsidR="00E070EC" w:rsidRPr="000F1F54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2247E7EE" w14:textId="77777777" w:rsidR="00E070EC" w:rsidRPr="000F1F54" w:rsidRDefault="00E070EC" w:rsidP="00E070EC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927" w:type="dxa"/>
            <w:noWrap/>
            <w:hideMark/>
          </w:tcPr>
          <w:p w14:paraId="3B996C9A" w14:textId="4652D102" w:rsidR="00E070EC" w:rsidRPr="000F1F54" w:rsidRDefault="004B70E4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532</w:t>
            </w:r>
          </w:p>
        </w:tc>
        <w:tc>
          <w:tcPr>
            <w:tcW w:w="1748" w:type="dxa"/>
            <w:noWrap/>
          </w:tcPr>
          <w:p w14:paraId="07E8334E" w14:textId="18B0FE73" w:rsidR="00E070EC" w:rsidRPr="000F1F54" w:rsidRDefault="00E070EC" w:rsidP="00E070EC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6B412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E070EC" w:rsidRPr="000F1F54" w14:paraId="77276B20" w14:textId="77777777" w:rsidTr="007751F0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0DC48CE" w14:textId="77777777" w:rsidR="00E070EC" w:rsidRPr="000F1F54" w:rsidRDefault="00E070EC" w:rsidP="00E070EC">
            <w:pPr>
              <w:spacing w:line="240" w:lineRule="auto"/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110" w:type="dxa"/>
            <w:noWrap/>
            <w:hideMark/>
          </w:tcPr>
          <w:p w14:paraId="5DE1DE47" w14:textId="77777777" w:rsidR="00E070EC" w:rsidRPr="000F1F54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382" w:type="dxa"/>
            <w:noWrap/>
            <w:hideMark/>
          </w:tcPr>
          <w:p w14:paraId="3D1922A9" w14:textId="3971C3DD" w:rsidR="00E070EC" w:rsidRPr="000F1F54" w:rsidRDefault="00E070EC" w:rsidP="00E070EC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Moving Country </w:t>
            </w:r>
            <w:r w:rsidRPr="000F1F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Queries</w:t>
            </w:r>
          </w:p>
        </w:tc>
        <w:tc>
          <w:tcPr>
            <w:tcW w:w="927" w:type="dxa"/>
            <w:noWrap/>
            <w:hideMark/>
          </w:tcPr>
          <w:p w14:paraId="08537135" w14:textId="4EE754A9" w:rsidR="00E070EC" w:rsidRPr="000F1F54" w:rsidRDefault="004B70E4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14,319</w:t>
            </w:r>
          </w:p>
        </w:tc>
        <w:tc>
          <w:tcPr>
            <w:tcW w:w="1748" w:type="dxa"/>
            <w:noWrap/>
          </w:tcPr>
          <w:p w14:paraId="042AC07F" w14:textId="71C53203" w:rsidR="00E070EC" w:rsidRPr="000F1F54" w:rsidRDefault="00E070EC" w:rsidP="00E070EC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09FA8900" w14:textId="2A3E8FB6" w:rsidR="00D70A63" w:rsidRPr="0038793B" w:rsidRDefault="00D70A63" w:rsidP="00D70A63">
      <w:pPr>
        <w:spacing w:line="240" w:lineRule="auto"/>
        <w:rPr>
          <w:rFonts w:cs="Calibri"/>
          <w:sz w:val="20"/>
          <w:szCs w:val="20"/>
          <w:lang w:val="en-US"/>
        </w:rPr>
      </w:pPr>
      <w:r w:rsidRPr="00966547">
        <w:rPr>
          <w:b/>
          <w:lang w:val="en-US"/>
        </w:rPr>
        <w:t>*</w:t>
      </w:r>
      <w:r>
        <w:rPr>
          <w:b/>
          <w:lang w:val="en-US"/>
        </w:rPr>
        <w:t xml:space="preserve"> </w:t>
      </w:r>
      <w:r w:rsidRPr="0038793B">
        <w:rPr>
          <w:rFonts w:cs="Calibri"/>
          <w:sz w:val="20"/>
          <w:szCs w:val="20"/>
          <w:lang w:val="en-US"/>
        </w:rPr>
        <w:t>All other sub-categories include the following query areas</w:t>
      </w:r>
      <w:r>
        <w:rPr>
          <w:rFonts w:cs="Calibri"/>
          <w:sz w:val="20"/>
          <w:szCs w:val="20"/>
          <w:lang w:val="en-US"/>
        </w:rPr>
        <w:t>: Returning to Ireland, Leave to Remain, Employment Permits, Change of Immigration Status, Undocumented Migrants Scheme, Cross Border/Frontier Worker(s)</w:t>
      </w:r>
      <w:r w:rsidR="004B70E4">
        <w:rPr>
          <w:rFonts w:cs="Calibri"/>
          <w:sz w:val="20"/>
          <w:szCs w:val="20"/>
          <w:lang w:val="en-US"/>
        </w:rPr>
        <w:t xml:space="preserve"> and Brexit.</w:t>
      </w:r>
    </w:p>
    <w:sectPr w:rsidR="00D70A63" w:rsidRPr="0038793B" w:rsidSect="003269F0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46B6" w14:textId="77777777" w:rsidR="00F5547F" w:rsidRDefault="00F5547F" w:rsidP="00B60276">
      <w:pPr>
        <w:spacing w:after="0" w:line="240" w:lineRule="auto"/>
      </w:pPr>
      <w:r>
        <w:separator/>
      </w:r>
    </w:p>
  </w:endnote>
  <w:endnote w:type="continuationSeparator" w:id="0">
    <w:p w14:paraId="384C1692" w14:textId="77777777" w:rsidR="00F5547F" w:rsidRDefault="00F5547F" w:rsidP="00B60276">
      <w:pPr>
        <w:spacing w:after="0" w:line="240" w:lineRule="auto"/>
      </w:pPr>
      <w:r>
        <w:continuationSeparator/>
      </w:r>
    </w:p>
  </w:endnote>
  <w:endnote w:type="continuationNotice" w:id="1">
    <w:p w14:paraId="67F34674" w14:textId="77777777" w:rsidR="00F5547F" w:rsidRDefault="00F554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90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BD61" w14:textId="264997A7" w:rsidR="00321F98" w:rsidRDefault="00321F98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1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3BEEA1" w14:textId="77777777" w:rsidR="00321F98" w:rsidRDefault="00321F9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8A07" w14:textId="77777777" w:rsidR="00F5547F" w:rsidRDefault="00F5547F" w:rsidP="00B60276">
      <w:pPr>
        <w:spacing w:after="0" w:line="240" w:lineRule="auto"/>
      </w:pPr>
      <w:r>
        <w:separator/>
      </w:r>
    </w:p>
  </w:footnote>
  <w:footnote w:type="continuationSeparator" w:id="0">
    <w:p w14:paraId="58ACD72B" w14:textId="77777777" w:rsidR="00F5547F" w:rsidRDefault="00F5547F" w:rsidP="00B60276">
      <w:pPr>
        <w:spacing w:after="0" w:line="240" w:lineRule="auto"/>
      </w:pPr>
      <w:r>
        <w:continuationSeparator/>
      </w:r>
    </w:p>
  </w:footnote>
  <w:footnote w:type="continuationNotice" w:id="1">
    <w:p w14:paraId="7167D1E6" w14:textId="77777777" w:rsidR="00F5547F" w:rsidRDefault="00F5547F">
      <w:pPr>
        <w:spacing w:after="0" w:line="240" w:lineRule="auto"/>
      </w:pPr>
    </w:p>
  </w:footnote>
  <w:footnote w:id="2">
    <w:p w14:paraId="09530520" w14:textId="092267CD" w:rsidR="00321F98" w:rsidRDefault="00321F98">
      <w:pPr>
        <w:pStyle w:val="FootnoteText"/>
      </w:pPr>
      <w:r>
        <w:rPr>
          <w:rStyle w:val="FootnoteReference"/>
        </w:rPr>
        <w:footnoteRef/>
      </w:r>
      <w:r>
        <w:t xml:space="preserve"> Of the in-person callers</w:t>
      </w:r>
      <w:r w:rsidRPr="009502A6">
        <w:t>, 87% were drop in, and 13% were</w:t>
      </w:r>
      <w:r>
        <w:t xml:space="preserve"> appointments. </w:t>
      </w:r>
    </w:p>
  </w:footnote>
  <w:footnote w:id="3">
    <w:p w14:paraId="1C637788" w14:textId="0EDB0BDC" w:rsidR="00321F98" w:rsidRDefault="00321F98">
      <w:pPr>
        <w:pStyle w:val="FootnoteText"/>
      </w:pPr>
      <w:r>
        <w:rPr>
          <w:rStyle w:val="FootnoteReference"/>
        </w:rPr>
        <w:footnoteRef/>
      </w:r>
      <w:r>
        <w:t xml:space="preserve"> Note: Quarterly trends are </w:t>
      </w:r>
      <w:r w:rsidRPr="00F81FD2">
        <w:rPr>
          <w:u w:val="single"/>
        </w:rPr>
        <w:t>not</w:t>
      </w:r>
      <w:r>
        <w:t xml:space="preserve"> indicative of trends for a full year’s dataset – changes and patterns reflected from quarter to quarter may balance out over a year.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AAD"/>
    <w:multiLevelType w:val="hybridMultilevel"/>
    <w:tmpl w:val="D812C6C6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5199"/>
    <w:multiLevelType w:val="hybridMultilevel"/>
    <w:tmpl w:val="2752CA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4992"/>
    <w:multiLevelType w:val="hybridMultilevel"/>
    <w:tmpl w:val="326A6E5A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74D44"/>
    <w:multiLevelType w:val="hybridMultilevel"/>
    <w:tmpl w:val="2E9A3F76"/>
    <w:lvl w:ilvl="0" w:tplc="CE4256C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56C51574"/>
    <w:multiLevelType w:val="hybridMultilevel"/>
    <w:tmpl w:val="A2284A9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7606E"/>
    <w:multiLevelType w:val="hybridMultilevel"/>
    <w:tmpl w:val="21E23934"/>
    <w:lvl w:ilvl="0" w:tplc="9AA64902">
      <w:start w:val="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F976975"/>
    <w:multiLevelType w:val="hybridMultilevel"/>
    <w:tmpl w:val="A7BA21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A2D90"/>
    <w:multiLevelType w:val="hybridMultilevel"/>
    <w:tmpl w:val="512C97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6016804">
    <w:abstractNumId w:val="5"/>
  </w:num>
  <w:num w:numId="2" w16cid:durableId="756633274">
    <w:abstractNumId w:val="3"/>
  </w:num>
  <w:num w:numId="3" w16cid:durableId="834339657">
    <w:abstractNumId w:val="0"/>
  </w:num>
  <w:num w:numId="4" w16cid:durableId="610742114">
    <w:abstractNumId w:val="2"/>
  </w:num>
  <w:num w:numId="5" w16cid:durableId="1181512222">
    <w:abstractNumId w:val="4"/>
  </w:num>
  <w:num w:numId="6" w16cid:durableId="1034814554">
    <w:abstractNumId w:val="6"/>
  </w:num>
  <w:num w:numId="7" w16cid:durableId="1330325179">
    <w:abstractNumId w:val="7"/>
  </w:num>
  <w:num w:numId="8" w16cid:durableId="843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D85"/>
    <w:rsid w:val="000047DA"/>
    <w:rsid w:val="00004B7C"/>
    <w:rsid w:val="0000675C"/>
    <w:rsid w:val="00006942"/>
    <w:rsid w:val="000128E0"/>
    <w:rsid w:val="000155CD"/>
    <w:rsid w:val="00016EC0"/>
    <w:rsid w:val="00020C40"/>
    <w:rsid w:val="00023160"/>
    <w:rsid w:val="0002749D"/>
    <w:rsid w:val="000341B4"/>
    <w:rsid w:val="00035507"/>
    <w:rsid w:val="00037313"/>
    <w:rsid w:val="0004153F"/>
    <w:rsid w:val="00041720"/>
    <w:rsid w:val="00041B52"/>
    <w:rsid w:val="0004374B"/>
    <w:rsid w:val="000459EB"/>
    <w:rsid w:val="00045E4D"/>
    <w:rsid w:val="0005417C"/>
    <w:rsid w:val="00054DC5"/>
    <w:rsid w:val="00057387"/>
    <w:rsid w:val="00067F38"/>
    <w:rsid w:val="000736EB"/>
    <w:rsid w:val="000831D6"/>
    <w:rsid w:val="00086782"/>
    <w:rsid w:val="00090AFF"/>
    <w:rsid w:val="00091DB7"/>
    <w:rsid w:val="00093507"/>
    <w:rsid w:val="000A0320"/>
    <w:rsid w:val="000A2F57"/>
    <w:rsid w:val="000A6598"/>
    <w:rsid w:val="000A6757"/>
    <w:rsid w:val="000B2FEF"/>
    <w:rsid w:val="000B6021"/>
    <w:rsid w:val="000C6851"/>
    <w:rsid w:val="000D4E45"/>
    <w:rsid w:val="000E2961"/>
    <w:rsid w:val="000E4D40"/>
    <w:rsid w:val="000F1F54"/>
    <w:rsid w:val="000F2A48"/>
    <w:rsid w:val="000F3F7D"/>
    <w:rsid w:val="000F6E79"/>
    <w:rsid w:val="000F7EA3"/>
    <w:rsid w:val="001076BD"/>
    <w:rsid w:val="00114BD3"/>
    <w:rsid w:val="00115404"/>
    <w:rsid w:val="0011608C"/>
    <w:rsid w:val="001210D2"/>
    <w:rsid w:val="00121F3A"/>
    <w:rsid w:val="00126AD3"/>
    <w:rsid w:val="00134449"/>
    <w:rsid w:val="00135BB2"/>
    <w:rsid w:val="00135E99"/>
    <w:rsid w:val="00137A94"/>
    <w:rsid w:val="00151717"/>
    <w:rsid w:val="001561BC"/>
    <w:rsid w:val="0015758C"/>
    <w:rsid w:val="00157C1C"/>
    <w:rsid w:val="0016241B"/>
    <w:rsid w:val="00163F56"/>
    <w:rsid w:val="00165434"/>
    <w:rsid w:val="001673A7"/>
    <w:rsid w:val="0017089C"/>
    <w:rsid w:val="00171D94"/>
    <w:rsid w:val="001734D9"/>
    <w:rsid w:val="00175054"/>
    <w:rsid w:val="00177DF7"/>
    <w:rsid w:val="00180F64"/>
    <w:rsid w:val="00187ECE"/>
    <w:rsid w:val="00190C20"/>
    <w:rsid w:val="00191334"/>
    <w:rsid w:val="0019259D"/>
    <w:rsid w:val="001A137A"/>
    <w:rsid w:val="001A1A4D"/>
    <w:rsid w:val="001A3475"/>
    <w:rsid w:val="001A7653"/>
    <w:rsid w:val="001C3ED6"/>
    <w:rsid w:val="001D1D44"/>
    <w:rsid w:val="001D27AB"/>
    <w:rsid w:val="001D3346"/>
    <w:rsid w:val="001E0A9B"/>
    <w:rsid w:val="001E1896"/>
    <w:rsid w:val="001E2A82"/>
    <w:rsid w:val="001F107B"/>
    <w:rsid w:val="001F306B"/>
    <w:rsid w:val="001F62CB"/>
    <w:rsid w:val="00203E25"/>
    <w:rsid w:val="00206DBF"/>
    <w:rsid w:val="0021176D"/>
    <w:rsid w:val="00212807"/>
    <w:rsid w:val="002150C5"/>
    <w:rsid w:val="00217C5B"/>
    <w:rsid w:val="00221033"/>
    <w:rsid w:val="00221E6E"/>
    <w:rsid w:val="00236DD9"/>
    <w:rsid w:val="002467D2"/>
    <w:rsid w:val="00250B00"/>
    <w:rsid w:val="002523EE"/>
    <w:rsid w:val="00253048"/>
    <w:rsid w:val="00255AE4"/>
    <w:rsid w:val="00256F46"/>
    <w:rsid w:val="00260316"/>
    <w:rsid w:val="002608C0"/>
    <w:rsid w:val="00261A00"/>
    <w:rsid w:val="00265925"/>
    <w:rsid w:val="002757B0"/>
    <w:rsid w:val="0028312E"/>
    <w:rsid w:val="002924E2"/>
    <w:rsid w:val="0029379B"/>
    <w:rsid w:val="002A24B9"/>
    <w:rsid w:val="002B4B59"/>
    <w:rsid w:val="002C4C50"/>
    <w:rsid w:val="002C5B47"/>
    <w:rsid w:val="002C5D42"/>
    <w:rsid w:val="002D0DEB"/>
    <w:rsid w:val="002D18F3"/>
    <w:rsid w:val="002E2253"/>
    <w:rsid w:val="002E7533"/>
    <w:rsid w:val="002F20E6"/>
    <w:rsid w:val="002F75DD"/>
    <w:rsid w:val="00300967"/>
    <w:rsid w:val="003033D5"/>
    <w:rsid w:val="003079C8"/>
    <w:rsid w:val="00311090"/>
    <w:rsid w:val="0031307D"/>
    <w:rsid w:val="00321F98"/>
    <w:rsid w:val="00322823"/>
    <w:rsid w:val="00325F7E"/>
    <w:rsid w:val="003269F0"/>
    <w:rsid w:val="00341D47"/>
    <w:rsid w:val="003433AB"/>
    <w:rsid w:val="00352026"/>
    <w:rsid w:val="00352248"/>
    <w:rsid w:val="00353DC5"/>
    <w:rsid w:val="00354D73"/>
    <w:rsid w:val="00360148"/>
    <w:rsid w:val="00361EF3"/>
    <w:rsid w:val="003676D3"/>
    <w:rsid w:val="00371D4E"/>
    <w:rsid w:val="00386236"/>
    <w:rsid w:val="0038756F"/>
    <w:rsid w:val="0038793B"/>
    <w:rsid w:val="00387D92"/>
    <w:rsid w:val="00390433"/>
    <w:rsid w:val="003962BF"/>
    <w:rsid w:val="003A2BB2"/>
    <w:rsid w:val="003A71C0"/>
    <w:rsid w:val="003B31B5"/>
    <w:rsid w:val="003C36C5"/>
    <w:rsid w:val="003D7012"/>
    <w:rsid w:val="003E3754"/>
    <w:rsid w:val="003F12D1"/>
    <w:rsid w:val="00407D61"/>
    <w:rsid w:val="00417D86"/>
    <w:rsid w:val="00422446"/>
    <w:rsid w:val="00423437"/>
    <w:rsid w:val="004272D5"/>
    <w:rsid w:val="004364F6"/>
    <w:rsid w:val="00436564"/>
    <w:rsid w:val="00437111"/>
    <w:rsid w:val="004372D0"/>
    <w:rsid w:val="00437FA4"/>
    <w:rsid w:val="0044140F"/>
    <w:rsid w:val="00444966"/>
    <w:rsid w:val="004473E3"/>
    <w:rsid w:val="0045556A"/>
    <w:rsid w:val="00460DEB"/>
    <w:rsid w:val="0046309A"/>
    <w:rsid w:val="00463499"/>
    <w:rsid w:val="00471317"/>
    <w:rsid w:val="0047173B"/>
    <w:rsid w:val="00475106"/>
    <w:rsid w:val="0047782C"/>
    <w:rsid w:val="00480671"/>
    <w:rsid w:val="00483C52"/>
    <w:rsid w:val="0048567D"/>
    <w:rsid w:val="00486201"/>
    <w:rsid w:val="00491CD9"/>
    <w:rsid w:val="004974FE"/>
    <w:rsid w:val="00497F74"/>
    <w:rsid w:val="004A0CD5"/>
    <w:rsid w:val="004B24B7"/>
    <w:rsid w:val="004B70E4"/>
    <w:rsid w:val="004C1DC4"/>
    <w:rsid w:val="004C6FFA"/>
    <w:rsid w:val="004D0A2C"/>
    <w:rsid w:val="004D2275"/>
    <w:rsid w:val="004D5540"/>
    <w:rsid w:val="004D7D29"/>
    <w:rsid w:val="004E4194"/>
    <w:rsid w:val="004F1830"/>
    <w:rsid w:val="004F7018"/>
    <w:rsid w:val="00500590"/>
    <w:rsid w:val="00505FE9"/>
    <w:rsid w:val="00512CE3"/>
    <w:rsid w:val="0051423B"/>
    <w:rsid w:val="00514855"/>
    <w:rsid w:val="005210C8"/>
    <w:rsid w:val="005234B9"/>
    <w:rsid w:val="00524A0E"/>
    <w:rsid w:val="00527B60"/>
    <w:rsid w:val="00533048"/>
    <w:rsid w:val="005467C3"/>
    <w:rsid w:val="005476B0"/>
    <w:rsid w:val="00553B12"/>
    <w:rsid w:val="005600C1"/>
    <w:rsid w:val="0056157B"/>
    <w:rsid w:val="005654D8"/>
    <w:rsid w:val="005674F0"/>
    <w:rsid w:val="00567AE3"/>
    <w:rsid w:val="00575157"/>
    <w:rsid w:val="005840C1"/>
    <w:rsid w:val="005854F7"/>
    <w:rsid w:val="005866A6"/>
    <w:rsid w:val="00593B45"/>
    <w:rsid w:val="005A043C"/>
    <w:rsid w:val="005A3512"/>
    <w:rsid w:val="005A376D"/>
    <w:rsid w:val="005A4322"/>
    <w:rsid w:val="005A640A"/>
    <w:rsid w:val="005B02B9"/>
    <w:rsid w:val="005B6E91"/>
    <w:rsid w:val="005C4189"/>
    <w:rsid w:val="005D1769"/>
    <w:rsid w:val="005D1AFC"/>
    <w:rsid w:val="005D5240"/>
    <w:rsid w:val="005E4E2D"/>
    <w:rsid w:val="005E597E"/>
    <w:rsid w:val="005F385E"/>
    <w:rsid w:val="005F453B"/>
    <w:rsid w:val="005F46D4"/>
    <w:rsid w:val="00602E26"/>
    <w:rsid w:val="00604C75"/>
    <w:rsid w:val="006114C3"/>
    <w:rsid w:val="00611B33"/>
    <w:rsid w:val="0062330D"/>
    <w:rsid w:val="006254B5"/>
    <w:rsid w:val="006311CA"/>
    <w:rsid w:val="0063600B"/>
    <w:rsid w:val="00641441"/>
    <w:rsid w:val="00652130"/>
    <w:rsid w:val="0065642F"/>
    <w:rsid w:val="00661F8B"/>
    <w:rsid w:val="0067000B"/>
    <w:rsid w:val="00675757"/>
    <w:rsid w:val="00677146"/>
    <w:rsid w:val="00690F3B"/>
    <w:rsid w:val="006919EE"/>
    <w:rsid w:val="00691DD1"/>
    <w:rsid w:val="00694B1D"/>
    <w:rsid w:val="006A5AE5"/>
    <w:rsid w:val="006A60C6"/>
    <w:rsid w:val="006A6154"/>
    <w:rsid w:val="006B087E"/>
    <w:rsid w:val="006B1390"/>
    <w:rsid w:val="006B4122"/>
    <w:rsid w:val="006B4FE6"/>
    <w:rsid w:val="006C40C8"/>
    <w:rsid w:val="006C424B"/>
    <w:rsid w:val="006C69AB"/>
    <w:rsid w:val="006D015A"/>
    <w:rsid w:val="006D3BA1"/>
    <w:rsid w:val="006D3CE6"/>
    <w:rsid w:val="006D528A"/>
    <w:rsid w:val="006F4173"/>
    <w:rsid w:val="00705729"/>
    <w:rsid w:val="007078D3"/>
    <w:rsid w:val="00707E05"/>
    <w:rsid w:val="00711361"/>
    <w:rsid w:val="00725B40"/>
    <w:rsid w:val="007364D7"/>
    <w:rsid w:val="00737795"/>
    <w:rsid w:val="00744482"/>
    <w:rsid w:val="007646F8"/>
    <w:rsid w:val="0077438A"/>
    <w:rsid w:val="007751F0"/>
    <w:rsid w:val="00780469"/>
    <w:rsid w:val="00785494"/>
    <w:rsid w:val="00790DA9"/>
    <w:rsid w:val="00793EFC"/>
    <w:rsid w:val="00796F7A"/>
    <w:rsid w:val="007A48ED"/>
    <w:rsid w:val="007A65D0"/>
    <w:rsid w:val="007B67A3"/>
    <w:rsid w:val="007B6FE3"/>
    <w:rsid w:val="007C229B"/>
    <w:rsid w:val="007C4292"/>
    <w:rsid w:val="007C73CB"/>
    <w:rsid w:val="007D35E1"/>
    <w:rsid w:val="007D66D2"/>
    <w:rsid w:val="007E1D36"/>
    <w:rsid w:val="007E5A35"/>
    <w:rsid w:val="007F00CC"/>
    <w:rsid w:val="007F225E"/>
    <w:rsid w:val="007F2654"/>
    <w:rsid w:val="007F7354"/>
    <w:rsid w:val="0080231C"/>
    <w:rsid w:val="0080342E"/>
    <w:rsid w:val="0082075B"/>
    <w:rsid w:val="00831A1B"/>
    <w:rsid w:val="00831F83"/>
    <w:rsid w:val="00831FD4"/>
    <w:rsid w:val="008437AE"/>
    <w:rsid w:val="00853B85"/>
    <w:rsid w:val="00863F32"/>
    <w:rsid w:val="00865AB3"/>
    <w:rsid w:val="00865EC0"/>
    <w:rsid w:val="008708AB"/>
    <w:rsid w:val="00874CA6"/>
    <w:rsid w:val="00874F43"/>
    <w:rsid w:val="00876C5D"/>
    <w:rsid w:val="00877436"/>
    <w:rsid w:val="00881015"/>
    <w:rsid w:val="008826E9"/>
    <w:rsid w:val="00883233"/>
    <w:rsid w:val="008839F4"/>
    <w:rsid w:val="008944F2"/>
    <w:rsid w:val="00895F68"/>
    <w:rsid w:val="008A3B04"/>
    <w:rsid w:val="008A5345"/>
    <w:rsid w:val="008A5795"/>
    <w:rsid w:val="008B2863"/>
    <w:rsid w:val="008B3C99"/>
    <w:rsid w:val="008B3FD3"/>
    <w:rsid w:val="008B6A43"/>
    <w:rsid w:val="008C2567"/>
    <w:rsid w:val="008C46B1"/>
    <w:rsid w:val="008D3958"/>
    <w:rsid w:val="008D592E"/>
    <w:rsid w:val="008F04DB"/>
    <w:rsid w:val="008F7092"/>
    <w:rsid w:val="008F77BD"/>
    <w:rsid w:val="00903876"/>
    <w:rsid w:val="00903E46"/>
    <w:rsid w:val="00911011"/>
    <w:rsid w:val="00913103"/>
    <w:rsid w:val="00917306"/>
    <w:rsid w:val="009310B6"/>
    <w:rsid w:val="0093158B"/>
    <w:rsid w:val="009455DF"/>
    <w:rsid w:val="009502A6"/>
    <w:rsid w:val="0095123C"/>
    <w:rsid w:val="00954C6C"/>
    <w:rsid w:val="00955F89"/>
    <w:rsid w:val="00960ADB"/>
    <w:rsid w:val="009627F6"/>
    <w:rsid w:val="00962C2E"/>
    <w:rsid w:val="00966547"/>
    <w:rsid w:val="00966578"/>
    <w:rsid w:val="009818F9"/>
    <w:rsid w:val="00984280"/>
    <w:rsid w:val="009858A2"/>
    <w:rsid w:val="00987571"/>
    <w:rsid w:val="009876E6"/>
    <w:rsid w:val="00990363"/>
    <w:rsid w:val="00991ED5"/>
    <w:rsid w:val="009A586F"/>
    <w:rsid w:val="009A5AC1"/>
    <w:rsid w:val="009A5BAF"/>
    <w:rsid w:val="009A6F84"/>
    <w:rsid w:val="009B1D82"/>
    <w:rsid w:val="009B29AB"/>
    <w:rsid w:val="009B2AA6"/>
    <w:rsid w:val="009C0662"/>
    <w:rsid w:val="009C1D1B"/>
    <w:rsid w:val="009D4C2E"/>
    <w:rsid w:val="009E3622"/>
    <w:rsid w:val="009F073C"/>
    <w:rsid w:val="009F1135"/>
    <w:rsid w:val="009F4808"/>
    <w:rsid w:val="009F7580"/>
    <w:rsid w:val="00A007ED"/>
    <w:rsid w:val="00A03C11"/>
    <w:rsid w:val="00A14853"/>
    <w:rsid w:val="00A14E17"/>
    <w:rsid w:val="00A2111B"/>
    <w:rsid w:val="00A31519"/>
    <w:rsid w:val="00A339E6"/>
    <w:rsid w:val="00A361A2"/>
    <w:rsid w:val="00A40E17"/>
    <w:rsid w:val="00A42EBC"/>
    <w:rsid w:val="00A4430D"/>
    <w:rsid w:val="00A51866"/>
    <w:rsid w:val="00A556AB"/>
    <w:rsid w:val="00A55909"/>
    <w:rsid w:val="00A64368"/>
    <w:rsid w:val="00A7362F"/>
    <w:rsid w:val="00A90598"/>
    <w:rsid w:val="00A941B3"/>
    <w:rsid w:val="00A97D82"/>
    <w:rsid w:val="00AA1AFD"/>
    <w:rsid w:val="00AA4D85"/>
    <w:rsid w:val="00AB2EAB"/>
    <w:rsid w:val="00AB3CD3"/>
    <w:rsid w:val="00AC04BD"/>
    <w:rsid w:val="00AD0A56"/>
    <w:rsid w:val="00AD338F"/>
    <w:rsid w:val="00AD6491"/>
    <w:rsid w:val="00AE14B5"/>
    <w:rsid w:val="00AE267B"/>
    <w:rsid w:val="00AE3E93"/>
    <w:rsid w:val="00AE5901"/>
    <w:rsid w:val="00AF5AD9"/>
    <w:rsid w:val="00AF5BBD"/>
    <w:rsid w:val="00B12326"/>
    <w:rsid w:val="00B172BC"/>
    <w:rsid w:val="00B17480"/>
    <w:rsid w:val="00B20D3F"/>
    <w:rsid w:val="00B3294A"/>
    <w:rsid w:val="00B346CE"/>
    <w:rsid w:val="00B428A2"/>
    <w:rsid w:val="00B452B4"/>
    <w:rsid w:val="00B4617B"/>
    <w:rsid w:val="00B50688"/>
    <w:rsid w:val="00B51BD8"/>
    <w:rsid w:val="00B55E70"/>
    <w:rsid w:val="00B60276"/>
    <w:rsid w:val="00B62F1E"/>
    <w:rsid w:val="00B72276"/>
    <w:rsid w:val="00B73528"/>
    <w:rsid w:val="00B74229"/>
    <w:rsid w:val="00B744E5"/>
    <w:rsid w:val="00B8071D"/>
    <w:rsid w:val="00B84298"/>
    <w:rsid w:val="00B847DF"/>
    <w:rsid w:val="00B86719"/>
    <w:rsid w:val="00B90F28"/>
    <w:rsid w:val="00B92D4A"/>
    <w:rsid w:val="00BA1496"/>
    <w:rsid w:val="00BA258B"/>
    <w:rsid w:val="00BA2635"/>
    <w:rsid w:val="00BA3651"/>
    <w:rsid w:val="00BA55E6"/>
    <w:rsid w:val="00BB0833"/>
    <w:rsid w:val="00BB2C34"/>
    <w:rsid w:val="00BB3D00"/>
    <w:rsid w:val="00BB6A6F"/>
    <w:rsid w:val="00BC1A18"/>
    <w:rsid w:val="00BC73A2"/>
    <w:rsid w:val="00BD1444"/>
    <w:rsid w:val="00BE4102"/>
    <w:rsid w:val="00BF25B8"/>
    <w:rsid w:val="00BF5CBE"/>
    <w:rsid w:val="00C04A02"/>
    <w:rsid w:val="00C0783D"/>
    <w:rsid w:val="00C07D6C"/>
    <w:rsid w:val="00C1356E"/>
    <w:rsid w:val="00C228BC"/>
    <w:rsid w:val="00C22B32"/>
    <w:rsid w:val="00C32FB0"/>
    <w:rsid w:val="00C430E3"/>
    <w:rsid w:val="00C46741"/>
    <w:rsid w:val="00C4798E"/>
    <w:rsid w:val="00C503B8"/>
    <w:rsid w:val="00C542C4"/>
    <w:rsid w:val="00C63E75"/>
    <w:rsid w:val="00C67FAB"/>
    <w:rsid w:val="00C871EA"/>
    <w:rsid w:val="00C94637"/>
    <w:rsid w:val="00CA5216"/>
    <w:rsid w:val="00CB0EEC"/>
    <w:rsid w:val="00CB303B"/>
    <w:rsid w:val="00CB3850"/>
    <w:rsid w:val="00CB524F"/>
    <w:rsid w:val="00CC037F"/>
    <w:rsid w:val="00CD1EE4"/>
    <w:rsid w:val="00CE32BB"/>
    <w:rsid w:val="00CE6B6D"/>
    <w:rsid w:val="00CE6D4C"/>
    <w:rsid w:val="00CF0CE4"/>
    <w:rsid w:val="00CF1A73"/>
    <w:rsid w:val="00CF2862"/>
    <w:rsid w:val="00CF2890"/>
    <w:rsid w:val="00CF3442"/>
    <w:rsid w:val="00CF38C2"/>
    <w:rsid w:val="00CF4BCC"/>
    <w:rsid w:val="00CF6427"/>
    <w:rsid w:val="00CF746B"/>
    <w:rsid w:val="00CF7BF5"/>
    <w:rsid w:val="00D134D9"/>
    <w:rsid w:val="00D20874"/>
    <w:rsid w:val="00D23717"/>
    <w:rsid w:val="00D25740"/>
    <w:rsid w:val="00D27869"/>
    <w:rsid w:val="00D30C8B"/>
    <w:rsid w:val="00D33D8F"/>
    <w:rsid w:val="00D34DB2"/>
    <w:rsid w:val="00D57F00"/>
    <w:rsid w:val="00D57FC8"/>
    <w:rsid w:val="00D60090"/>
    <w:rsid w:val="00D67230"/>
    <w:rsid w:val="00D70A63"/>
    <w:rsid w:val="00D72C18"/>
    <w:rsid w:val="00D80AA5"/>
    <w:rsid w:val="00D82C65"/>
    <w:rsid w:val="00D86757"/>
    <w:rsid w:val="00D93AC6"/>
    <w:rsid w:val="00D93AD8"/>
    <w:rsid w:val="00D94AFA"/>
    <w:rsid w:val="00DA5824"/>
    <w:rsid w:val="00DA7612"/>
    <w:rsid w:val="00DD067F"/>
    <w:rsid w:val="00DE2B7F"/>
    <w:rsid w:val="00DE397A"/>
    <w:rsid w:val="00DF02C3"/>
    <w:rsid w:val="00DF1704"/>
    <w:rsid w:val="00DF5236"/>
    <w:rsid w:val="00E011A8"/>
    <w:rsid w:val="00E0179A"/>
    <w:rsid w:val="00E0206E"/>
    <w:rsid w:val="00E070EC"/>
    <w:rsid w:val="00E13826"/>
    <w:rsid w:val="00E20436"/>
    <w:rsid w:val="00E23A75"/>
    <w:rsid w:val="00E26CC4"/>
    <w:rsid w:val="00E3061A"/>
    <w:rsid w:val="00E35B72"/>
    <w:rsid w:val="00E41486"/>
    <w:rsid w:val="00E43831"/>
    <w:rsid w:val="00E4492D"/>
    <w:rsid w:val="00E554E5"/>
    <w:rsid w:val="00E57055"/>
    <w:rsid w:val="00E57D2F"/>
    <w:rsid w:val="00E64426"/>
    <w:rsid w:val="00E65392"/>
    <w:rsid w:val="00E65C63"/>
    <w:rsid w:val="00E72AB1"/>
    <w:rsid w:val="00E900E8"/>
    <w:rsid w:val="00E91770"/>
    <w:rsid w:val="00E91B04"/>
    <w:rsid w:val="00E93509"/>
    <w:rsid w:val="00E954B1"/>
    <w:rsid w:val="00EA0304"/>
    <w:rsid w:val="00EA481C"/>
    <w:rsid w:val="00EA54C7"/>
    <w:rsid w:val="00EA5C23"/>
    <w:rsid w:val="00EB2E88"/>
    <w:rsid w:val="00EB435F"/>
    <w:rsid w:val="00EB6797"/>
    <w:rsid w:val="00EB73F2"/>
    <w:rsid w:val="00EC24A6"/>
    <w:rsid w:val="00EC3D7A"/>
    <w:rsid w:val="00EC5A09"/>
    <w:rsid w:val="00EC5F94"/>
    <w:rsid w:val="00ED086C"/>
    <w:rsid w:val="00ED2792"/>
    <w:rsid w:val="00EE647B"/>
    <w:rsid w:val="00EF1E21"/>
    <w:rsid w:val="00EF687B"/>
    <w:rsid w:val="00F07001"/>
    <w:rsid w:val="00F07836"/>
    <w:rsid w:val="00F108D4"/>
    <w:rsid w:val="00F14F7A"/>
    <w:rsid w:val="00F1584B"/>
    <w:rsid w:val="00F1726B"/>
    <w:rsid w:val="00F204C5"/>
    <w:rsid w:val="00F20612"/>
    <w:rsid w:val="00F21355"/>
    <w:rsid w:val="00F24CAA"/>
    <w:rsid w:val="00F3283F"/>
    <w:rsid w:val="00F35454"/>
    <w:rsid w:val="00F369AC"/>
    <w:rsid w:val="00F54B00"/>
    <w:rsid w:val="00F5547F"/>
    <w:rsid w:val="00F574C0"/>
    <w:rsid w:val="00F64339"/>
    <w:rsid w:val="00F65814"/>
    <w:rsid w:val="00F65B6E"/>
    <w:rsid w:val="00F70957"/>
    <w:rsid w:val="00F7625F"/>
    <w:rsid w:val="00F77EAB"/>
    <w:rsid w:val="00F81FD2"/>
    <w:rsid w:val="00F8329F"/>
    <w:rsid w:val="00F91A5B"/>
    <w:rsid w:val="00F91BF2"/>
    <w:rsid w:val="00F923F1"/>
    <w:rsid w:val="00F96538"/>
    <w:rsid w:val="00FB164D"/>
    <w:rsid w:val="00FB54F8"/>
    <w:rsid w:val="00FB621B"/>
    <w:rsid w:val="00FC3DD1"/>
    <w:rsid w:val="00FC66EE"/>
    <w:rsid w:val="00FD51DC"/>
    <w:rsid w:val="00FD5C58"/>
    <w:rsid w:val="00FD7261"/>
    <w:rsid w:val="00FD7CB1"/>
    <w:rsid w:val="00FE1D1C"/>
    <w:rsid w:val="00FF1A1C"/>
    <w:rsid w:val="00FF5BEC"/>
    <w:rsid w:val="4EE30786"/>
    <w:rsid w:val="657B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DF31"/>
  <w15:chartTrackingRefBased/>
  <w15:docId w15:val="{88A303FA-2669-4514-8831-6578E4001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AE5"/>
    <w:pPr>
      <w:spacing w:line="256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2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02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02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481A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60276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B60276"/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B60276"/>
    <w:rPr>
      <w:rFonts w:asciiTheme="majorHAnsi" w:eastAsiaTheme="majorEastAsia" w:hAnsiTheme="majorHAnsi" w:cstheme="majorBidi"/>
      <w:color w:val="1481AB" w:themeColor="accent1" w:themeShade="BF"/>
    </w:rPr>
  </w:style>
  <w:style w:type="table" w:styleId="GridTable6Colorful-Accent5">
    <w:name w:val="Grid Table 6 Colorful Accent 5"/>
    <w:basedOn w:val="TableNormal"/>
    <w:uiPriority w:val="51"/>
    <w:rsid w:val="00B60276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C0DAD8" w:themeColor="accent6" w:themeTint="66"/>
        <w:left w:val="single" w:sz="4" w:space="0" w:color="C0DAD8" w:themeColor="accent6" w:themeTint="66"/>
        <w:bottom w:val="single" w:sz="4" w:space="0" w:color="C0DAD8" w:themeColor="accent6" w:themeTint="66"/>
        <w:right w:val="single" w:sz="4" w:space="0" w:color="C0DAD8" w:themeColor="accent6" w:themeTint="66"/>
        <w:insideH w:val="single" w:sz="4" w:space="0" w:color="C0DAD8" w:themeColor="accent6" w:themeTint="66"/>
        <w:insideV w:val="single" w:sz="4" w:space="0" w:color="C0DAD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0C7C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rsid w:val="00B602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B60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276"/>
  </w:style>
  <w:style w:type="paragraph" w:styleId="Footer">
    <w:name w:val="footer"/>
    <w:basedOn w:val="Normal"/>
    <w:link w:val="FooterChar"/>
    <w:uiPriority w:val="99"/>
    <w:unhideWhenUsed/>
    <w:rsid w:val="00B60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276"/>
  </w:style>
  <w:style w:type="paragraph" w:styleId="BalloonText">
    <w:name w:val="Balloon Text"/>
    <w:basedOn w:val="Normal"/>
    <w:link w:val="BalloonTextChar"/>
    <w:uiPriority w:val="99"/>
    <w:semiHidden/>
    <w:unhideWhenUsed/>
    <w:rsid w:val="00B6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2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60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0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0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0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0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0276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602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02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60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  <_dlc_ExpireDateSaved xmlns="http://schemas.microsoft.com/sharepoint/v3" xsi:nil="true"/>
    <_dlc_ExpireDate xmlns="http://schemas.microsoft.com/sharepoint/v3">2022-09-30T10:10:31+00:00</_dlc_ExpireDate>
  </documentManagement>
</p:properties>
</file>

<file path=customXml/itemProps1.xml><?xml version="1.0" encoding="utf-8"?>
<ds:datastoreItem xmlns:ds="http://schemas.openxmlformats.org/officeDocument/2006/customXml" ds:itemID="{13EFD787-EC91-4ED9-A76F-BF211C433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7BC5E-BBFB-4EB8-831A-706D3043F64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7C2545-ACBB-403D-98E8-139C1F2490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03E2D-9B43-4899-B97D-BDC43BCE511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9395F7-A478-4B77-A514-7F12E3100864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EC2E89BA-E7B6-4F83-BF3B-61A980DF1DFE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3774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 1 2022 Statistical Summary Report with datasets for the three main categories with the highest query numbers.</vt:lpstr>
    </vt:vector>
  </TitlesOfParts>
  <Company/>
  <LinksUpToDate>false</LinksUpToDate>
  <CharactersWithSpaces>25236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 1 2022 Statistical Summary Report with datasets for the three main categories with the highest query numbers.</dc:title>
  <dc:subject>Statistical summary of caller and query data for quarter 1 2022</dc:subject>
  <dc:creator>Sarah Togher</dc:creator>
  <cp:keywords>Statistical Summary Report</cp:keywords>
  <dc:description/>
  <cp:lastModifiedBy>Margaret Zheng</cp:lastModifiedBy>
  <cp:revision>2</cp:revision>
  <cp:lastPrinted>2022-07-07T15:13:00Z</cp:lastPrinted>
  <dcterms:created xsi:type="dcterms:W3CDTF">2022-07-27T12:23:00Z</dcterms:created>
  <dcterms:modified xsi:type="dcterms:W3CDTF">2022-07-27T12:23:00Z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3;#2021|0e846ee2-68d6-4f7d-bff6-25a86a327e82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