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1EAF" w14:textId="71E023A6" w:rsidR="00B60276" w:rsidRDefault="00B60276" w:rsidP="00B60276">
      <w:pPr>
        <w:pStyle w:val="Heading1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Citizens Information Services (CIS</w:t>
      </w:r>
      <w:r w:rsidR="00352248">
        <w:rPr>
          <w:sz w:val="44"/>
          <w:szCs w:val="44"/>
        </w:rPr>
        <w:t>s</w:t>
      </w:r>
      <w:r>
        <w:rPr>
          <w:sz w:val="44"/>
          <w:szCs w:val="44"/>
        </w:rPr>
        <w:t>) – Caller/Query Data</w:t>
      </w:r>
    </w:p>
    <w:p w14:paraId="6F86E003" w14:textId="5192DF37" w:rsidR="00B60276" w:rsidRPr="00B86165" w:rsidRDefault="00B60276" w:rsidP="00B60276">
      <w:pPr>
        <w:pStyle w:val="Heading1"/>
        <w:rPr>
          <w:sz w:val="44"/>
          <w:szCs w:val="44"/>
        </w:rPr>
      </w:pPr>
      <w:r w:rsidRPr="00D82C65">
        <w:rPr>
          <w:sz w:val="44"/>
          <w:szCs w:val="44"/>
        </w:rPr>
        <w:t>St</w:t>
      </w:r>
      <w:r w:rsidR="00874F43">
        <w:rPr>
          <w:sz w:val="44"/>
          <w:szCs w:val="44"/>
        </w:rPr>
        <w:t>atistical Summary Quarter 1 2022</w:t>
      </w:r>
      <w:r w:rsidRPr="00B86165">
        <w:rPr>
          <w:sz w:val="44"/>
          <w:szCs w:val="44"/>
        </w:rPr>
        <w:t xml:space="preserve"> </w:t>
      </w:r>
    </w:p>
    <w:p w14:paraId="244CB506" w14:textId="00103188" w:rsidR="00B60276" w:rsidRPr="00B12326" w:rsidRDefault="00B60276" w:rsidP="00B60276">
      <w:pPr>
        <w:rPr>
          <w:rFonts w:ascii="Calibri" w:eastAsia="Times New Roman" w:hAnsi="Calibri" w:cs="Calibri"/>
          <w:vertAlign w:val="superscript"/>
          <w:lang w:eastAsia="en-IE"/>
        </w:rPr>
      </w:pPr>
      <w:r w:rsidRPr="00B12326">
        <w:rPr>
          <w:rFonts w:ascii="Calibri" w:eastAsia="Times New Roman" w:hAnsi="Calibri" w:cs="Calibri"/>
          <w:lang w:eastAsia="en-IE"/>
        </w:rPr>
        <w:t>The following is a statistical summary of CIS</w:t>
      </w:r>
      <w:r w:rsidR="00352248">
        <w:rPr>
          <w:rFonts w:ascii="Calibri" w:eastAsia="Times New Roman" w:hAnsi="Calibri" w:cs="Calibri"/>
          <w:lang w:eastAsia="en-IE"/>
        </w:rPr>
        <w:t>s</w:t>
      </w:r>
      <w:r w:rsidRPr="00B12326">
        <w:rPr>
          <w:rFonts w:ascii="Calibri" w:eastAsia="Times New Roman" w:hAnsi="Calibri" w:cs="Calibri"/>
          <w:lang w:eastAsia="en-IE"/>
        </w:rPr>
        <w:t xml:space="preserve"> caller and query </w:t>
      </w:r>
      <w:r w:rsidR="003269F0" w:rsidRPr="00B12326">
        <w:rPr>
          <w:rFonts w:ascii="Calibri" w:eastAsia="Times New Roman" w:hAnsi="Calibri" w:cs="Calibri"/>
          <w:lang w:eastAsia="en-IE"/>
        </w:rPr>
        <w:t>data for Quarter 1</w:t>
      </w:r>
      <w:r w:rsidRPr="00B12326">
        <w:rPr>
          <w:rFonts w:ascii="Calibri" w:eastAsia="Times New Roman" w:hAnsi="Calibri" w:cs="Calibri"/>
          <w:lang w:eastAsia="en-IE"/>
        </w:rPr>
        <w:t xml:space="preserve">, </w:t>
      </w:r>
      <w:r w:rsidR="003269F0" w:rsidRPr="00B12326">
        <w:rPr>
          <w:rFonts w:ascii="Calibri" w:eastAsia="Times New Roman" w:hAnsi="Calibri" w:cs="Calibri"/>
          <w:lang w:eastAsia="en-IE"/>
        </w:rPr>
        <w:t>1</w:t>
      </w:r>
      <w:r w:rsidR="003269F0" w:rsidRPr="00B12326">
        <w:rPr>
          <w:rFonts w:ascii="Calibri" w:eastAsia="Times New Roman" w:hAnsi="Calibri" w:cs="Calibri"/>
          <w:vertAlign w:val="superscript"/>
          <w:lang w:eastAsia="en-IE"/>
        </w:rPr>
        <w:t>st</w:t>
      </w:r>
      <w:r w:rsidR="003269F0" w:rsidRPr="00B12326">
        <w:rPr>
          <w:rFonts w:ascii="Calibri" w:eastAsia="Times New Roman" w:hAnsi="Calibri" w:cs="Calibri"/>
          <w:lang w:eastAsia="en-IE"/>
        </w:rPr>
        <w:t xml:space="preserve"> January</w:t>
      </w:r>
      <w:r w:rsidRPr="00B12326">
        <w:rPr>
          <w:rFonts w:ascii="Calibri" w:eastAsia="Times New Roman" w:hAnsi="Calibri" w:cs="Calibri"/>
          <w:lang w:eastAsia="en-IE"/>
        </w:rPr>
        <w:t xml:space="preserve"> </w:t>
      </w:r>
      <w:r w:rsidR="005C4189">
        <w:rPr>
          <w:rFonts w:ascii="Calibri" w:eastAsia="Times New Roman" w:hAnsi="Calibri" w:cs="Calibri"/>
          <w:lang w:eastAsia="en-IE"/>
        </w:rPr>
        <w:t>–</w:t>
      </w:r>
      <w:r w:rsidRPr="00B12326">
        <w:rPr>
          <w:rFonts w:ascii="Calibri" w:eastAsia="Times New Roman" w:hAnsi="Calibri" w:cs="Calibri"/>
          <w:lang w:eastAsia="en-IE"/>
        </w:rPr>
        <w:t xml:space="preserve"> </w:t>
      </w:r>
      <w:r w:rsidR="003269F0" w:rsidRPr="00B12326">
        <w:rPr>
          <w:rFonts w:ascii="Calibri" w:eastAsia="Times New Roman" w:hAnsi="Calibri" w:cs="Calibri"/>
          <w:lang w:eastAsia="en-IE"/>
        </w:rPr>
        <w:t>31</w:t>
      </w:r>
      <w:r w:rsidR="005C4189">
        <w:rPr>
          <w:rFonts w:ascii="Calibri" w:eastAsia="Times New Roman" w:hAnsi="Calibri" w:cs="Calibri"/>
          <w:vertAlign w:val="superscript"/>
          <w:lang w:eastAsia="en-IE"/>
        </w:rPr>
        <w:t>st</w:t>
      </w:r>
      <w:r w:rsidRPr="00B12326">
        <w:rPr>
          <w:rFonts w:ascii="Calibri" w:eastAsia="Times New Roman" w:hAnsi="Calibri" w:cs="Calibri"/>
          <w:lang w:eastAsia="en-IE"/>
        </w:rPr>
        <w:t xml:space="preserve"> </w:t>
      </w:r>
      <w:r w:rsidR="003269F0" w:rsidRPr="00B12326">
        <w:rPr>
          <w:rFonts w:ascii="Calibri" w:eastAsia="Times New Roman" w:hAnsi="Calibri" w:cs="Calibri"/>
          <w:lang w:eastAsia="en-IE"/>
        </w:rPr>
        <w:t xml:space="preserve">March </w:t>
      </w:r>
      <w:r w:rsidR="00874F43" w:rsidRPr="00B12326">
        <w:rPr>
          <w:rFonts w:ascii="Calibri" w:eastAsia="Times New Roman" w:hAnsi="Calibri" w:cs="Calibri"/>
          <w:lang w:eastAsia="en-IE"/>
        </w:rPr>
        <w:t>2022</w:t>
      </w:r>
      <w:r w:rsidRPr="00B12326">
        <w:rPr>
          <w:rFonts w:ascii="Calibri" w:eastAsia="Times New Roman" w:hAnsi="Calibri" w:cs="Calibri"/>
          <w:lang w:eastAsia="en-IE"/>
        </w:rPr>
        <w:t>.</w:t>
      </w:r>
      <w:r w:rsidRPr="00B12326">
        <w:rPr>
          <w:rFonts w:ascii="Calibri" w:eastAsia="Times New Roman" w:hAnsi="Calibri" w:cs="Calibri"/>
          <w:vertAlign w:val="superscript"/>
          <w:lang w:eastAsia="en-IE"/>
        </w:rPr>
        <w:t xml:space="preserve">  </w:t>
      </w:r>
    </w:p>
    <w:p w14:paraId="22FD95CE" w14:textId="77777777" w:rsidR="00B60276" w:rsidRPr="00B12326" w:rsidRDefault="00B60276" w:rsidP="00B60276">
      <w:pPr>
        <w:pStyle w:val="Heading1"/>
        <w:rPr>
          <w:sz w:val="28"/>
          <w:szCs w:val="28"/>
        </w:rPr>
      </w:pPr>
      <w:r w:rsidRPr="00B12326">
        <w:rPr>
          <w:sz w:val="28"/>
          <w:szCs w:val="28"/>
        </w:rPr>
        <w:t>Caller Summary</w:t>
      </w:r>
    </w:p>
    <w:p w14:paraId="7334BFAD" w14:textId="0848CFE7" w:rsidR="00955F89" w:rsidRPr="00B12326" w:rsidRDefault="00955F89" w:rsidP="00B60276">
      <w:pPr>
        <w:pStyle w:val="Heading3"/>
        <w:rPr>
          <w:rFonts w:ascii="Calibri" w:hAnsi="Calibri" w:cs="Calibri"/>
          <w:color w:val="auto"/>
          <w:sz w:val="22"/>
          <w:szCs w:val="22"/>
        </w:rPr>
      </w:pPr>
      <w:r w:rsidRPr="00B12326">
        <w:rPr>
          <w:rFonts w:ascii="Calibri" w:hAnsi="Calibri" w:cs="Calibri"/>
          <w:color w:val="auto"/>
          <w:sz w:val="22"/>
          <w:szCs w:val="22"/>
        </w:rPr>
        <w:t xml:space="preserve">There were </w:t>
      </w:r>
      <w:r w:rsidRPr="00203E25">
        <w:rPr>
          <w:rFonts w:ascii="Calibri" w:hAnsi="Calibri" w:cs="Calibri"/>
          <w:b/>
          <w:color w:val="auto"/>
          <w:sz w:val="22"/>
          <w:szCs w:val="22"/>
        </w:rPr>
        <w:t>95,</w:t>
      </w:r>
      <w:r w:rsidR="00874F43" w:rsidRPr="00203E25">
        <w:rPr>
          <w:rFonts w:ascii="Calibri" w:hAnsi="Calibri" w:cs="Calibri"/>
          <w:b/>
          <w:color w:val="auto"/>
          <w:sz w:val="22"/>
          <w:szCs w:val="22"/>
        </w:rPr>
        <w:t>226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callers to CISs nationally during Q1, 2022, a </w:t>
      </w:r>
      <w:r w:rsidR="00874F43" w:rsidRPr="00203E25">
        <w:rPr>
          <w:rFonts w:ascii="Calibri" w:hAnsi="Calibri" w:cs="Calibri"/>
          <w:b/>
          <w:color w:val="auto"/>
          <w:sz w:val="22"/>
          <w:szCs w:val="22"/>
        </w:rPr>
        <w:t>21.7%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increase on the same period in 2021 when there were </w:t>
      </w:r>
      <w:r w:rsidR="003269F0" w:rsidRPr="00B12326">
        <w:rPr>
          <w:rFonts w:ascii="Calibri" w:hAnsi="Calibri" w:cs="Calibri"/>
          <w:color w:val="auto"/>
          <w:sz w:val="22"/>
          <w:szCs w:val="22"/>
        </w:rPr>
        <w:t>78,225</w:t>
      </w:r>
      <w:r w:rsidR="00B60276" w:rsidRPr="00B12326">
        <w:rPr>
          <w:rFonts w:ascii="Calibri" w:hAnsi="Calibri" w:cs="Calibri"/>
          <w:color w:val="auto"/>
          <w:sz w:val="22"/>
          <w:szCs w:val="22"/>
        </w:rPr>
        <w:t xml:space="preserve"> call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>ers</w:t>
      </w:r>
      <w:r w:rsidR="003433AB" w:rsidRPr="00B12326">
        <w:rPr>
          <w:rFonts w:ascii="Calibri" w:hAnsi="Calibri" w:cs="Calibri"/>
          <w:color w:val="auto"/>
          <w:sz w:val="22"/>
          <w:szCs w:val="22"/>
        </w:rPr>
        <w:t>.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Most callers</w:t>
      </w:r>
      <w:r w:rsidR="0035224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3048">
        <w:rPr>
          <w:rFonts w:ascii="Calibri" w:hAnsi="Calibri" w:cs="Calibri"/>
          <w:color w:val="auto"/>
          <w:sz w:val="22"/>
          <w:szCs w:val="22"/>
        </w:rPr>
        <w:t xml:space="preserve">in Q1 2022 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>were female (61.5</w:t>
      </w:r>
      <w:r w:rsidR="00B60276" w:rsidRPr="00B12326">
        <w:rPr>
          <w:rFonts w:ascii="Calibri" w:hAnsi="Calibri" w:cs="Calibri"/>
          <w:color w:val="auto"/>
          <w:sz w:val="22"/>
          <w:szCs w:val="22"/>
        </w:rPr>
        <w:t xml:space="preserve">%). </w:t>
      </w:r>
    </w:p>
    <w:p w14:paraId="0D4784C1" w14:textId="2A0BF5B0" w:rsidR="00E23A75" w:rsidRPr="00B12326" w:rsidRDefault="00B60276" w:rsidP="00E23A75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 xml:space="preserve">Table 1 – Caller Gender Profile – </w:t>
      </w:r>
      <w:r w:rsidR="003433AB" w:rsidRPr="00B12326">
        <w:rPr>
          <w:rFonts w:eastAsia="Times New Roman"/>
          <w:b/>
          <w:sz w:val="24"/>
          <w:szCs w:val="24"/>
          <w:lang w:eastAsia="en-IE"/>
        </w:rPr>
        <w:t>Q1</w:t>
      </w:r>
      <w:r w:rsidR="00352248">
        <w:rPr>
          <w:rFonts w:eastAsia="Times New Roman"/>
          <w:b/>
          <w:sz w:val="24"/>
          <w:szCs w:val="24"/>
          <w:lang w:eastAsia="en-IE"/>
        </w:rPr>
        <w:t>/2022</w:t>
      </w:r>
      <w:r w:rsidRPr="00B12326">
        <w:rPr>
          <w:rFonts w:eastAsia="Times New Roman"/>
          <w:b/>
          <w:sz w:val="24"/>
          <w:szCs w:val="24"/>
          <w:lang w:eastAsia="en-IE"/>
        </w:rPr>
        <w:t xml:space="preserve"> Summary</w:t>
      </w:r>
    </w:p>
    <w:tbl>
      <w:tblPr>
        <w:tblW w:w="7119" w:type="dxa"/>
        <w:tblInd w:w="-10" w:type="dxa"/>
        <w:tblLook w:val="04A0" w:firstRow="1" w:lastRow="0" w:firstColumn="1" w:lastColumn="0" w:noHBand="0" w:noVBand="1"/>
        <w:tblCaption w:val="Caller Gender Profile - Quarter 1"/>
        <w:tblDescription w:val="A table setting out the gender profile data for Q1 2021.  &#10;"/>
      </w:tblPr>
      <w:tblGrid>
        <w:gridCol w:w="1939"/>
        <w:gridCol w:w="2720"/>
        <w:gridCol w:w="2460"/>
      </w:tblGrid>
      <w:tr w:rsidR="00E23A75" w:rsidRPr="00B12326" w14:paraId="4416EB4D" w14:textId="77777777" w:rsidTr="00853B85">
        <w:trPr>
          <w:trHeight w:val="323"/>
        </w:trPr>
        <w:tc>
          <w:tcPr>
            <w:tcW w:w="1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1EBA8F58" w14:textId="77777777" w:rsidR="00E23A75" w:rsidRPr="00B12326" w:rsidRDefault="00E23A75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Caller Profile</w:t>
            </w:r>
          </w:p>
        </w:tc>
        <w:tc>
          <w:tcPr>
            <w:tcW w:w="27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7619F563" w14:textId="77777777" w:rsidR="00E23A75" w:rsidRPr="00B12326" w:rsidRDefault="00E23A75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CE7CFAC" w14:textId="77777777" w:rsidR="00E23A75" w:rsidRPr="00B12326" w:rsidRDefault="00E23A75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E23A75" w:rsidRPr="00B12326" w14:paraId="0AEA708B" w14:textId="77777777" w:rsidTr="00853B85">
        <w:trPr>
          <w:trHeight w:val="308"/>
        </w:trPr>
        <w:tc>
          <w:tcPr>
            <w:tcW w:w="1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E4DBF71" w14:textId="77777777" w:rsidR="00E23A75" w:rsidRPr="00B12326" w:rsidRDefault="00E23A75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Female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7B61D0E" w14:textId="77777777" w:rsidR="00E23A75" w:rsidRPr="00B12326" w:rsidRDefault="00E23A75" w:rsidP="00E2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58,536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085751C" w14:textId="77777777" w:rsidR="00E23A75" w:rsidRPr="00B12326" w:rsidRDefault="00E23A75" w:rsidP="00E2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61.47%</w:t>
            </w:r>
          </w:p>
        </w:tc>
      </w:tr>
      <w:tr w:rsidR="00E23A75" w:rsidRPr="00B12326" w14:paraId="7BADF2ED" w14:textId="77777777" w:rsidTr="00853B85">
        <w:trPr>
          <w:trHeight w:val="308"/>
        </w:trPr>
        <w:tc>
          <w:tcPr>
            <w:tcW w:w="1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EEC2EE7" w14:textId="77777777" w:rsidR="00E23A75" w:rsidRPr="00B12326" w:rsidRDefault="00E23A75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5D04CC7" w14:textId="77777777" w:rsidR="00E23A75" w:rsidRPr="00B12326" w:rsidRDefault="00E23A75" w:rsidP="00E2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33,843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31E479C" w14:textId="77777777" w:rsidR="00E23A75" w:rsidRPr="00B12326" w:rsidRDefault="00E23A75" w:rsidP="00E2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35.54%</w:t>
            </w:r>
          </w:p>
        </w:tc>
      </w:tr>
      <w:tr w:rsidR="00E23A75" w:rsidRPr="00B12326" w14:paraId="483AB3EB" w14:textId="77777777" w:rsidTr="00853B85">
        <w:trPr>
          <w:trHeight w:val="308"/>
        </w:trPr>
        <w:tc>
          <w:tcPr>
            <w:tcW w:w="1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4D6455" w14:textId="77777777" w:rsidR="00E23A75" w:rsidRPr="00B12326" w:rsidRDefault="00E23A75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Couples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30F02FF" w14:textId="77777777" w:rsidR="00E23A75" w:rsidRPr="00B12326" w:rsidRDefault="00E23A75" w:rsidP="00E2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2093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1F2BC9D" w14:textId="77777777" w:rsidR="00E23A75" w:rsidRPr="00B12326" w:rsidRDefault="00E23A75" w:rsidP="00E2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2.20%</w:t>
            </w:r>
          </w:p>
        </w:tc>
      </w:tr>
      <w:tr w:rsidR="00E23A75" w:rsidRPr="00B12326" w14:paraId="2ED8A643" w14:textId="77777777" w:rsidTr="00853B85">
        <w:trPr>
          <w:trHeight w:val="308"/>
        </w:trPr>
        <w:tc>
          <w:tcPr>
            <w:tcW w:w="1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1512E5" w14:textId="77777777" w:rsidR="00E23A75" w:rsidRPr="00B12326" w:rsidRDefault="00E23A75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Unknown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828A79" w14:textId="77777777" w:rsidR="00E23A75" w:rsidRPr="00B12326" w:rsidRDefault="00E23A75" w:rsidP="00E2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754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9070F09" w14:textId="77777777" w:rsidR="00E23A75" w:rsidRPr="00B12326" w:rsidRDefault="00E23A75" w:rsidP="00E23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0.79%</w:t>
            </w:r>
          </w:p>
        </w:tc>
      </w:tr>
    </w:tbl>
    <w:p w14:paraId="46FBA7F8" w14:textId="6218F3F2" w:rsidR="003433AB" w:rsidRDefault="003433AB" w:rsidP="003433AB">
      <w:pPr>
        <w:rPr>
          <w:lang w:eastAsia="en-IE"/>
        </w:rPr>
      </w:pPr>
    </w:p>
    <w:p w14:paraId="725369D8" w14:textId="2BEEC483" w:rsidR="00A51866" w:rsidRPr="00A51866" w:rsidRDefault="00F21355" w:rsidP="00A51866">
      <w:pPr>
        <w:pStyle w:val="Heading3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Where age was recorded (n=63</w:t>
      </w:r>
      <w:r w:rsidR="00A51866" w:rsidRPr="00B12326">
        <w:rPr>
          <w:rFonts w:ascii="Calibri" w:hAnsi="Calibri" w:cs="Calibri"/>
          <w:color w:val="auto"/>
          <w:sz w:val="22"/>
          <w:szCs w:val="22"/>
        </w:rPr>
        <w:t>%), the highest number</w:t>
      </w:r>
      <w:r w:rsidR="0004172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8567D">
        <w:rPr>
          <w:rFonts w:ascii="Calibri" w:hAnsi="Calibri" w:cs="Calibri"/>
          <w:color w:val="auto"/>
          <w:sz w:val="22"/>
          <w:szCs w:val="22"/>
        </w:rPr>
        <w:t>of callers</w:t>
      </w:r>
      <w:r w:rsidR="00A51866" w:rsidRPr="00B12326">
        <w:rPr>
          <w:rFonts w:ascii="Calibri" w:hAnsi="Calibri" w:cs="Calibri"/>
          <w:color w:val="auto"/>
          <w:sz w:val="22"/>
          <w:szCs w:val="22"/>
        </w:rPr>
        <w:t xml:space="preserve"> were in the 26</w:t>
      </w:r>
      <w:r w:rsidR="00C94637">
        <w:rPr>
          <w:rFonts w:ascii="Calibri" w:hAnsi="Calibri" w:cs="Calibri"/>
          <w:color w:val="auto"/>
          <w:sz w:val="22"/>
          <w:szCs w:val="22"/>
        </w:rPr>
        <w:t>-45 age bracket representing 44%</w:t>
      </w:r>
      <w:r w:rsidR="00A51866" w:rsidRPr="00B12326">
        <w:rPr>
          <w:rFonts w:ascii="Calibri" w:hAnsi="Calibri" w:cs="Calibri"/>
          <w:color w:val="auto"/>
          <w:sz w:val="22"/>
          <w:szCs w:val="22"/>
        </w:rPr>
        <w:t xml:space="preserve"> of callers and down from 48% in the same period in 2021. The n</w:t>
      </w:r>
      <w:r w:rsidR="00A51866">
        <w:rPr>
          <w:rFonts w:ascii="Calibri" w:hAnsi="Calibri" w:cs="Calibri"/>
          <w:color w:val="auto"/>
          <w:sz w:val="22"/>
          <w:szCs w:val="22"/>
        </w:rPr>
        <w:t>umber of callers in the ‘66 and o</w:t>
      </w:r>
      <w:r w:rsidR="00A51866" w:rsidRPr="00B12326">
        <w:rPr>
          <w:rFonts w:ascii="Calibri" w:hAnsi="Calibri" w:cs="Calibri"/>
          <w:color w:val="auto"/>
          <w:sz w:val="22"/>
          <w:szCs w:val="22"/>
        </w:rPr>
        <w:t>ver</w:t>
      </w:r>
      <w:r w:rsidR="00A51866">
        <w:rPr>
          <w:rFonts w:ascii="Calibri" w:hAnsi="Calibri" w:cs="Calibri"/>
          <w:color w:val="auto"/>
          <w:sz w:val="22"/>
          <w:szCs w:val="22"/>
        </w:rPr>
        <w:t xml:space="preserve">’ age bracket rose by </w:t>
      </w:r>
      <w:r w:rsidR="000155CD">
        <w:rPr>
          <w:rFonts w:ascii="Calibri" w:hAnsi="Calibri" w:cs="Calibri"/>
          <w:color w:val="auto"/>
          <w:sz w:val="22"/>
          <w:szCs w:val="22"/>
        </w:rPr>
        <w:t>over 5</w:t>
      </w:r>
      <w:r w:rsidR="00A51866">
        <w:rPr>
          <w:rFonts w:ascii="Calibri" w:hAnsi="Calibri" w:cs="Calibri"/>
          <w:color w:val="auto"/>
          <w:sz w:val="22"/>
          <w:szCs w:val="22"/>
        </w:rPr>
        <w:t>%,</w:t>
      </w:r>
      <w:r w:rsidR="00A51866" w:rsidRPr="00B12326">
        <w:rPr>
          <w:rFonts w:ascii="Calibri" w:hAnsi="Calibri" w:cs="Calibri"/>
          <w:color w:val="auto"/>
          <w:sz w:val="22"/>
          <w:szCs w:val="22"/>
        </w:rPr>
        <w:t xml:space="preserve"> as a percentage of </w:t>
      </w:r>
      <w:r w:rsidR="00A51866">
        <w:rPr>
          <w:rFonts w:ascii="Calibri" w:hAnsi="Calibri" w:cs="Calibri"/>
          <w:color w:val="auto"/>
          <w:sz w:val="22"/>
          <w:szCs w:val="22"/>
        </w:rPr>
        <w:t xml:space="preserve">all </w:t>
      </w:r>
      <w:r w:rsidR="00A51866" w:rsidRPr="00B12326">
        <w:rPr>
          <w:rFonts w:ascii="Calibri" w:hAnsi="Calibri" w:cs="Calibri"/>
          <w:color w:val="auto"/>
          <w:sz w:val="22"/>
          <w:szCs w:val="22"/>
        </w:rPr>
        <w:t>callers</w:t>
      </w:r>
      <w:r w:rsidR="00A51866">
        <w:rPr>
          <w:rFonts w:ascii="Calibri" w:hAnsi="Calibri" w:cs="Calibri"/>
          <w:color w:val="auto"/>
          <w:sz w:val="22"/>
          <w:szCs w:val="22"/>
        </w:rPr>
        <w:t>,</w:t>
      </w:r>
      <w:r w:rsidR="00A51866" w:rsidRPr="00B12326">
        <w:rPr>
          <w:rFonts w:ascii="Calibri" w:hAnsi="Calibri" w:cs="Calibri"/>
          <w:color w:val="auto"/>
          <w:sz w:val="22"/>
          <w:szCs w:val="22"/>
        </w:rPr>
        <w:t xml:space="preserve"> where age was recorded</w:t>
      </w:r>
      <w:r w:rsidR="000155CD">
        <w:rPr>
          <w:rFonts w:ascii="Calibri" w:hAnsi="Calibri" w:cs="Calibri"/>
          <w:color w:val="auto"/>
          <w:sz w:val="22"/>
          <w:szCs w:val="22"/>
        </w:rPr>
        <w:t xml:space="preserve"> – callers in the 26-45 range rose by over 4%</w:t>
      </w:r>
      <w:r w:rsidR="005E597E">
        <w:rPr>
          <w:rFonts w:ascii="Calibri" w:hAnsi="Calibri" w:cs="Calibri"/>
          <w:color w:val="auto"/>
          <w:sz w:val="22"/>
          <w:szCs w:val="22"/>
        </w:rPr>
        <w:t>.</w:t>
      </w:r>
    </w:p>
    <w:p w14:paraId="3F67A15F" w14:textId="142B0264" w:rsidR="00B60276" w:rsidRPr="00B12326" w:rsidRDefault="00B60276" w:rsidP="00B60276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 xml:space="preserve">Table 2 – Caller Age Profile – </w:t>
      </w:r>
      <w:r w:rsidR="005467C3" w:rsidRPr="00B12326">
        <w:rPr>
          <w:rFonts w:eastAsia="Times New Roman"/>
          <w:b/>
          <w:sz w:val="24"/>
          <w:szCs w:val="24"/>
          <w:lang w:eastAsia="en-IE"/>
        </w:rPr>
        <w:t>Q1</w:t>
      </w:r>
      <w:r w:rsidR="00352248">
        <w:rPr>
          <w:rFonts w:eastAsia="Times New Roman"/>
          <w:b/>
          <w:sz w:val="24"/>
          <w:szCs w:val="24"/>
          <w:lang w:eastAsia="en-IE"/>
        </w:rPr>
        <w:t xml:space="preserve"> 2022</w:t>
      </w:r>
      <w:r w:rsidRPr="00B12326">
        <w:rPr>
          <w:rFonts w:eastAsia="Times New Roman"/>
          <w:b/>
          <w:sz w:val="24"/>
          <w:szCs w:val="24"/>
          <w:lang w:eastAsia="en-IE"/>
        </w:rPr>
        <w:t xml:space="preserve"> Summary </w:t>
      </w:r>
    </w:p>
    <w:tbl>
      <w:tblPr>
        <w:tblW w:w="7125" w:type="dxa"/>
        <w:tblInd w:w="-10" w:type="dxa"/>
        <w:tblLook w:val="04A0" w:firstRow="1" w:lastRow="0" w:firstColumn="1" w:lastColumn="0" w:noHBand="0" w:noVBand="1"/>
        <w:tblCaption w:val="Caller Age Profile - Quarter 1"/>
        <w:tblDescription w:val="A table setting out the caller age profile for quarter 1 2021."/>
      </w:tblPr>
      <w:tblGrid>
        <w:gridCol w:w="2427"/>
        <w:gridCol w:w="2228"/>
        <w:gridCol w:w="2470"/>
      </w:tblGrid>
      <w:tr w:rsidR="008C2567" w:rsidRPr="00B12326" w14:paraId="1E46E313" w14:textId="77777777" w:rsidTr="00853B85">
        <w:trPr>
          <w:trHeight w:val="274"/>
        </w:trPr>
        <w:tc>
          <w:tcPr>
            <w:tcW w:w="24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0442C416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Caller Age Range</w:t>
            </w:r>
          </w:p>
        </w:tc>
        <w:tc>
          <w:tcPr>
            <w:tcW w:w="22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62A39F"/>
            <w:noWrap/>
            <w:vAlign w:val="center"/>
            <w:hideMark/>
          </w:tcPr>
          <w:p w14:paraId="10692935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Number of Callers </w:t>
            </w:r>
          </w:p>
        </w:tc>
        <w:tc>
          <w:tcPr>
            <w:tcW w:w="247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D5E85FC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8C2567" w:rsidRPr="00B12326" w14:paraId="3F27B9CE" w14:textId="77777777" w:rsidTr="00853B85">
        <w:trPr>
          <w:trHeight w:val="288"/>
        </w:trPr>
        <w:tc>
          <w:tcPr>
            <w:tcW w:w="24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vAlign w:val="center"/>
            <w:hideMark/>
          </w:tcPr>
          <w:p w14:paraId="2082112B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38D95A1D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(n= 63.1%)</w:t>
            </w:r>
          </w:p>
        </w:tc>
        <w:tc>
          <w:tcPr>
            <w:tcW w:w="2470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562ECEB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8C2567" w:rsidRPr="00B12326" w14:paraId="506F6CF4" w14:textId="77777777" w:rsidTr="00853B85">
        <w:trPr>
          <w:trHeight w:val="274"/>
        </w:trPr>
        <w:tc>
          <w:tcPr>
            <w:tcW w:w="24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20FE3C8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26 - 45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A26897" w14:textId="77777777" w:rsidR="008C2567" w:rsidRPr="00B12326" w:rsidRDefault="008C2567" w:rsidP="008C2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26,579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934949" w14:textId="77777777" w:rsidR="008C2567" w:rsidRPr="00B12326" w:rsidRDefault="008C2567" w:rsidP="008C2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44.20%</w:t>
            </w:r>
          </w:p>
        </w:tc>
      </w:tr>
      <w:tr w:rsidR="008C2567" w:rsidRPr="00B12326" w14:paraId="0E670BF8" w14:textId="77777777" w:rsidTr="00853B85">
        <w:trPr>
          <w:trHeight w:val="274"/>
        </w:trPr>
        <w:tc>
          <w:tcPr>
            <w:tcW w:w="24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DB3BB29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46 - 65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31FEAA9" w14:textId="77777777" w:rsidR="008C2567" w:rsidRPr="00B12326" w:rsidRDefault="008C2567" w:rsidP="008C2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21,953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7A3C46" w14:textId="77777777" w:rsidR="008C2567" w:rsidRPr="00B12326" w:rsidRDefault="008C2567" w:rsidP="008C2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36.51%</w:t>
            </w:r>
          </w:p>
        </w:tc>
      </w:tr>
      <w:tr w:rsidR="008C2567" w:rsidRPr="00B12326" w14:paraId="57733959" w14:textId="77777777" w:rsidTr="00853B85">
        <w:trPr>
          <w:trHeight w:val="274"/>
        </w:trPr>
        <w:tc>
          <w:tcPr>
            <w:tcW w:w="24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242E7F6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66 and Over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BC98B0D" w14:textId="77777777" w:rsidR="008C2567" w:rsidRPr="00B12326" w:rsidRDefault="008C2567" w:rsidP="008C2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9,761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E864E2" w14:textId="77777777" w:rsidR="008C2567" w:rsidRPr="00B12326" w:rsidRDefault="008C2567" w:rsidP="008C2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16.23%</w:t>
            </w:r>
          </w:p>
        </w:tc>
      </w:tr>
      <w:tr w:rsidR="008C2567" w:rsidRPr="00B12326" w14:paraId="11B92745" w14:textId="77777777" w:rsidTr="00853B85">
        <w:trPr>
          <w:trHeight w:val="261"/>
        </w:trPr>
        <w:tc>
          <w:tcPr>
            <w:tcW w:w="242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6BDFEC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25 and Under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77A63B6" w14:textId="77777777" w:rsidR="008C2567" w:rsidRPr="00B12326" w:rsidRDefault="008C2567" w:rsidP="008C2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1,834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500413" w14:textId="77777777" w:rsidR="008C2567" w:rsidRPr="00B12326" w:rsidRDefault="008C2567" w:rsidP="008C2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3.05%</w:t>
            </w:r>
          </w:p>
        </w:tc>
      </w:tr>
    </w:tbl>
    <w:p w14:paraId="320CC961" w14:textId="3FCDB18E" w:rsidR="008C2567" w:rsidRPr="00B12326" w:rsidRDefault="008C2567" w:rsidP="00B60276">
      <w:pPr>
        <w:sectPr w:rsidR="008C2567" w:rsidRPr="00B12326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D6371D" w14:textId="469CA961" w:rsidR="003C36C5" w:rsidRPr="009F073C" w:rsidRDefault="00041720" w:rsidP="00B602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Of the 95,226 callers </w:t>
      </w:r>
      <w:r w:rsidR="003C36C5" w:rsidRPr="00B12326">
        <w:rPr>
          <w:rFonts w:ascii="Calibri" w:hAnsi="Calibri" w:cs="Calibri"/>
        </w:rPr>
        <w:t>that contacted CISs in Q1 2022</w:t>
      </w:r>
      <w:r>
        <w:rPr>
          <w:rFonts w:ascii="Calibri" w:hAnsi="Calibri" w:cs="Calibri"/>
        </w:rPr>
        <w:t xml:space="preserve">, </w:t>
      </w:r>
      <w:r w:rsidRPr="00B12326">
        <w:rPr>
          <w:rFonts w:ascii="Calibri" w:hAnsi="Calibri" w:cs="Calibri"/>
        </w:rPr>
        <w:t>68.2% of people</w:t>
      </w:r>
      <w:r w:rsidR="003C36C5" w:rsidRPr="00B12326">
        <w:rPr>
          <w:rFonts w:ascii="Calibri" w:hAnsi="Calibri" w:cs="Calibri"/>
        </w:rPr>
        <w:t xml:space="preserve"> did so by telephone, compared to </w:t>
      </w:r>
      <w:r w:rsidR="005467C3" w:rsidRPr="00B12326">
        <w:rPr>
          <w:rFonts w:ascii="Calibri" w:hAnsi="Calibri" w:cs="Calibri"/>
        </w:rPr>
        <w:t>88</w:t>
      </w:r>
      <w:r w:rsidR="003C36C5" w:rsidRPr="00B12326">
        <w:rPr>
          <w:rFonts w:ascii="Calibri" w:hAnsi="Calibri" w:cs="Calibri"/>
        </w:rPr>
        <w:t>%</w:t>
      </w:r>
      <w:r w:rsidR="00B60276" w:rsidRPr="00B12326">
        <w:rPr>
          <w:rFonts w:ascii="Calibri" w:hAnsi="Calibri" w:cs="Calibri"/>
        </w:rPr>
        <w:t xml:space="preserve"> in </w:t>
      </w:r>
      <w:r w:rsidR="005467C3" w:rsidRPr="00B12326">
        <w:rPr>
          <w:rFonts w:ascii="Calibri" w:hAnsi="Calibri" w:cs="Calibri"/>
        </w:rPr>
        <w:t>Q1</w:t>
      </w:r>
      <w:r w:rsidR="00B60276" w:rsidRPr="00B12326">
        <w:rPr>
          <w:rFonts w:ascii="Calibri" w:hAnsi="Calibri" w:cs="Calibri"/>
        </w:rPr>
        <w:t xml:space="preserve"> 2021</w:t>
      </w:r>
      <w:r w:rsidR="003C36C5" w:rsidRPr="00B12326">
        <w:rPr>
          <w:rFonts w:ascii="Calibri" w:hAnsi="Calibri" w:cs="Calibri"/>
        </w:rPr>
        <w:t xml:space="preserve"> when face-to-face services were closed.</w:t>
      </w:r>
      <w:r w:rsidR="003C36C5" w:rsidRPr="00B12326">
        <w:rPr>
          <w:rStyle w:val="FootnoteReference"/>
          <w:rFonts w:ascii="Calibri" w:hAnsi="Calibri" w:cs="Calibri"/>
        </w:rPr>
        <w:footnoteReference w:id="2"/>
      </w:r>
      <w:r w:rsidR="00B60276" w:rsidRPr="00B12326">
        <w:rPr>
          <w:rFonts w:ascii="Calibri" w:hAnsi="Calibri" w:cs="Calibri"/>
        </w:rPr>
        <w:t xml:space="preserve"> </w:t>
      </w:r>
      <w:r w:rsidR="009F073C" w:rsidRPr="00203E25">
        <w:rPr>
          <w:rFonts w:ascii="Calibri" w:hAnsi="Calibri"/>
        </w:rPr>
        <w:t xml:space="preserve">Face-to-face </w:t>
      </w:r>
      <w:r w:rsidR="00212807">
        <w:rPr>
          <w:rFonts w:ascii="Calibri" w:hAnsi="Calibri"/>
        </w:rPr>
        <w:t>services</w:t>
      </w:r>
      <w:r w:rsidR="00F21355">
        <w:rPr>
          <w:rFonts w:ascii="Calibri" w:hAnsi="Calibri"/>
        </w:rPr>
        <w:t xml:space="preserve"> </w:t>
      </w:r>
      <w:r w:rsidR="00E41486">
        <w:rPr>
          <w:rFonts w:ascii="Calibri" w:hAnsi="Calibri"/>
        </w:rPr>
        <w:t>(drop-in and appointment)</w:t>
      </w:r>
      <w:r w:rsidR="00E41486" w:rsidRPr="00203E25">
        <w:rPr>
          <w:rFonts w:ascii="Calibri" w:hAnsi="Calibri"/>
        </w:rPr>
        <w:t xml:space="preserve"> </w:t>
      </w:r>
      <w:r w:rsidR="00212807">
        <w:rPr>
          <w:rFonts w:ascii="Calibri" w:hAnsi="Calibri"/>
        </w:rPr>
        <w:t xml:space="preserve">resumed on a phased basis in Q1, </w:t>
      </w:r>
      <w:r w:rsidR="009F073C" w:rsidRPr="00203E25">
        <w:rPr>
          <w:rFonts w:ascii="Calibri" w:hAnsi="Calibri"/>
        </w:rPr>
        <w:t>2022.</w:t>
      </w:r>
    </w:p>
    <w:p w14:paraId="32DA03CE" w14:textId="25FA4FBF" w:rsidR="00B60276" w:rsidRPr="00B12326" w:rsidRDefault="00B60276" w:rsidP="005467C3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>Table 3 – Caller Mode of Contact</w:t>
      </w:r>
      <w:r w:rsidR="005467C3" w:rsidRPr="00B12326">
        <w:rPr>
          <w:rFonts w:eastAsia="Times New Roman"/>
          <w:b/>
          <w:sz w:val="24"/>
          <w:szCs w:val="24"/>
          <w:lang w:eastAsia="en-IE"/>
        </w:rPr>
        <w:t xml:space="preserve"> – Q1</w:t>
      </w:r>
      <w:r w:rsidRPr="00B12326">
        <w:rPr>
          <w:rFonts w:eastAsia="Times New Roman"/>
          <w:b/>
          <w:sz w:val="24"/>
          <w:szCs w:val="24"/>
          <w:lang w:eastAsia="en-IE"/>
        </w:rPr>
        <w:t xml:space="preserve"> Summary</w:t>
      </w:r>
    </w:p>
    <w:tbl>
      <w:tblPr>
        <w:tblW w:w="7150" w:type="dxa"/>
        <w:tblInd w:w="-10" w:type="dxa"/>
        <w:tblLook w:val="04A0" w:firstRow="1" w:lastRow="0" w:firstColumn="1" w:lastColumn="0" w:noHBand="0" w:noVBand="1"/>
        <w:tblCaption w:val="Caller Mode of Contact - Quarter 1 2021"/>
        <w:tblDescription w:val="A table setting out the caller contact type by telephone, personal and letter/email for quarter 1 2021."/>
      </w:tblPr>
      <w:tblGrid>
        <w:gridCol w:w="2029"/>
        <w:gridCol w:w="2640"/>
        <w:gridCol w:w="2481"/>
      </w:tblGrid>
      <w:tr w:rsidR="003C36C5" w:rsidRPr="00B12326" w14:paraId="7EA4B4D3" w14:textId="77777777" w:rsidTr="00853B85">
        <w:trPr>
          <w:trHeight w:val="398"/>
        </w:trPr>
        <w:tc>
          <w:tcPr>
            <w:tcW w:w="2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7A2B7CEA" w14:textId="77777777" w:rsidR="003C36C5" w:rsidRPr="00B12326" w:rsidRDefault="003C36C5" w:rsidP="003C3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26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716424ED" w14:textId="77777777" w:rsidR="003C36C5" w:rsidRPr="00B12326" w:rsidRDefault="003C36C5" w:rsidP="003C3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8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9E9851F" w14:textId="77777777" w:rsidR="003C36C5" w:rsidRPr="00B12326" w:rsidRDefault="003C36C5" w:rsidP="003C3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3C36C5" w:rsidRPr="00B12326" w14:paraId="44B7438B" w14:textId="77777777" w:rsidTr="00853B85">
        <w:trPr>
          <w:trHeight w:val="380"/>
        </w:trPr>
        <w:tc>
          <w:tcPr>
            <w:tcW w:w="20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B9F632" w14:textId="77777777" w:rsidR="003C36C5" w:rsidRPr="00B12326" w:rsidRDefault="003C36C5" w:rsidP="003C3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Telephone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26933C" w14:textId="77777777" w:rsidR="003C36C5" w:rsidRPr="00B12326" w:rsidRDefault="003C36C5" w:rsidP="003C3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64,946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EEB520B" w14:textId="77777777" w:rsidR="003C36C5" w:rsidRPr="00B12326" w:rsidRDefault="003C36C5" w:rsidP="003C3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68.20%</w:t>
            </w:r>
          </w:p>
        </w:tc>
      </w:tr>
      <w:tr w:rsidR="003C36C5" w:rsidRPr="00B12326" w14:paraId="01A6056B" w14:textId="77777777" w:rsidTr="00853B85">
        <w:trPr>
          <w:trHeight w:val="380"/>
        </w:trPr>
        <w:tc>
          <w:tcPr>
            <w:tcW w:w="20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5A6F347" w14:textId="77777777" w:rsidR="003C36C5" w:rsidRPr="00B12326" w:rsidRDefault="003C36C5" w:rsidP="003C3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Personal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0CFC515" w14:textId="77777777" w:rsidR="003C36C5" w:rsidRPr="00B12326" w:rsidRDefault="003C36C5" w:rsidP="003C3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25,997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DC88BC0" w14:textId="77777777" w:rsidR="003C36C5" w:rsidRPr="00B12326" w:rsidRDefault="003C36C5" w:rsidP="003C3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27.30%</w:t>
            </w:r>
          </w:p>
        </w:tc>
      </w:tr>
      <w:tr w:rsidR="003C36C5" w:rsidRPr="003C36C5" w14:paraId="643F2934" w14:textId="77777777" w:rsidTr="00853B85">
        <w:trPr>
          <w:trHeight w:val="380"/>
        </w:trPr>
        <w:tc>
          <w:tcPr>
            <w:tcW w:w="20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92A83FB" w14:textId="77777777" w:rsidR="003C36C5" w:rsidRPr="00B12326" w:rsidRDefault="003C36C5" w:rsidP="003C3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Letter/Email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F16112C" w14:textId="77777777" w:rsidR="003C36C5" w:rsidRPr="00B12326" w:rsidRDefault="003C36C5" w:rsidP="003C3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4,283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C9D93E3" w14:textId="77777777" w:rsidR="003C36C5" w:rsidRPr="003C36C5" w:rsidRDefault="003C36C5" w:rsidP="003C36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4.50%</w:t>
            </w:r>
          </w:p>
        </w:tc>
      </w:tr>
    </w:tbl>
    <w:p w14:paraId="39A63158" w14:textId="285997E7" w:rsidR="005A640A" w:rsidRPr="00135533" w:rsidRDefault="005A640A" w:rsidP="00B60276">
      <w:pPr>
        <w:sectPr w:rsidR="005A640A" w:rsidRPr="00135533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795667" w14:textId="77777777" w:rsidR="00B60276" w:rsidRPr="00135533" w:rsidRDefault="00B60276" w:rsidP="00B60276">
      <w:pPr>
        <w:sectPr w:rsidR="00B60276" w:rsidRPr="00135533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F468AF" w14:textId="77777777" w:rsidR="00B60276" w:rsidRPr="00135533" w:rsidRDefault="00B60276" w:rsidP="00B60276">
      <w:pPr>
        <w:sectPr w:rsidR="00B60276" w:rsidRPr="00135533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60F56A" w14:textId="77777777" w:rsidR="00B60276" w:rsidRDefault="00B60276" w:rsidP="00B60276">
      <w:pPr>
        <w:rPr>
          <w:lang w:val="en-US"/>
        </w:rPr>
        <w:sectPr w:rsidR="00B60276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B3B673" w14:textId="77777777" w:rsidR="00B60276" w:rsidRPr="000C2E61" w:rsidRDefault="00B60276" w:rsidP="00B60276">
      <w:pPr>
        <w:pStyle w:val="Heading1"/>
        <w:rPr>
          <w:b/>
          <w:sz w:val="28"/>
          <w:szCs w:val="28"/>
        </w:rPr>
      </w:pPr>
      <w:r w:rsidRPr="005D5240">
        <w:rPr>
          <w:b/>
          <w:sz w:val="28"/>
          <w:szCs w:val="28"/>
        </w:rPr>
        <w:lastRenderedPageBreak/>
        <w:t>Query Summary</w:t>
      </w:r>
      <w:r w:rsidRPr="000C2E61">
        <w:rPr>
          <w:b/>
          <w:sz w:val="28"/>
          <w:szCs w:val="28"/>
        </w:rPr>
        <w:t xml:space="preserve"> </w:t>
      </w:r>
    </w:p>
    <w:p w14:paraId="0590B721" w14:textId="6AD8B9D1" w:rsidR="000A6757" w:rsidRPr="00B12326" w:rsidRDefault="00B60276" w:rsidP="00853B85">
      <w:pPr>
        <w:jc w:val="both"/>
        <w:rPr>
          <w:rFonts w:ascii="Calibri" w:hAnsi="Calibri" w:cs="Calibri"/>
        </w:rPr>
        <w:sectPr w:rsidR="000A6757" w:rsidRPr="00B12326" w:rsidSect="003269F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B12326">
        <w:rPr>
          <w:rFonts w:ascii="Calibri" w:hAnsi="Calibri" w:cs="Calibri"/>
        </w:rPr>
        <w:t xml:space="preserve">Services dealt with </w:t>
      </w:r>
      <w:r w:rsidR="000A6757" w:rsidRPr="00260316">
        <w:rPr>
          <w:rFonts w:ascii="Calibri" w:hAnsi="Calibri" w:cs="Calibri"/>
          <w:b/>
        </w:rPr>
        <w:t>191,206</w:t>
      </w:r>
      <w:r w:rsidR="000A6757" w:rsidRPr="00B12326">
        <w:rPr>
          <w:rFonts w:ascii="Calibri" w:hAnsi="Calibri" w:cs="Calibri"/>
        </w:rPr>
        <w:t xml:space="preserve"> queries during Q1 2022</w:t>
      </w:r>
      <w:r w:rsidR="00C0783D" w:rsidRPr="00B12326">
        <w:rPr>
          <w:rFonts w:ascii="Calibri" w:hAnsi="Calibri" w:cs="Calibri"/>
        </w:rPr>
        <w:t xml:space="preserve">, an increase of </w:t>
      </w:r>
      <w:r w:rsidR="00041720">
        <w:rPr>
          <w:rFonts w:ascii="Calibri" w:hAnsi="Calibri" w:cs="Calibri"/>
        </w:rPr>
        <w:t>almost 12</w:t>
      </w:r>
      <w:r w:rsidR="00C0783D" w:rsidRPr="00B12326">
        <w:rPr>
          <w:rFonts w:ascii="Calibri" w:hAnsi="Calibri" w:cs="Calibri"/>
        </w:rPr>
        <w:t xml:space="preserve">% on the same period in </w:t>
      </w:r>
      <w:r w:rsidRPr="00B12326">
        <w:rPr>
          <w:rFonts w:ascii="Calibri" w:hAnsi="Calibri" w:cs="Calibri"/>
        </w:rPr>
        <w:t>2021. There</w:t>
      </w:r>
      <w:r w:rsidR="00041720">
        <w:rPr>
          <w:rFonts w:ascii="Calibri" w:hAnsi="Calibri" w:cs="Calibri"/>
        </w:rPr>
        <w:t xml:space="preserve"> was a slight drop in the ratio of queries to callers</w:t>
      </w:r>
      <w:r w:rsidR="00853B85">
        <w:rPr>
          <w:rFonts w:ascii="Calibri" w:hAnsi="Calibri" w:cs="Calibri"/>
        </w:rPr>
        <w:t>,</w:t>
      </w:r>
      <w:r w:rsidR="00041720">
        <w:rPr>
          <w:rFonts w:ascii="Calibri" w:hAnsi="Calibri" w:cs="Calibri"/>
        </w:rPr>
        <w:t xml:space="preserve"> at</w:t>
      </w:r>
      <w:r w:rsidR="005E597E">
        <w:rPr>
          <w:rFonts w:ascii="Calibri" w:hAnsi="Calibri" w:cs="Calibri"/>
        </w:rPr>
        <w:t xml:space="preserve"> </w:t>
      </w:r>
      <w:r w:rsidR="00C0783D" w:rsidRPr="00203E25">
        <w:rPr>
          <w:rFonts w:ascii="Calibri" w:hAnsi="Calibri" w:cs="Calibri"/>
          <w:b/>
        </w:rPr>
        <w:t>2.01 queries per caller</w:t>
      </w:r>
      <w:r w:rsidR="00C0783D" w:rsidRPr="00B12326">
        <w:rPr>
          <w:rFonts w:ascii="Calibri" w:hAnsi="Calibri" w:cs="Calibri"/>
        </w:rPr>
        <w:t xml:space="preserve"> compared with </w:t>
      </w:r>
      <w:r w:rsidR="003269F0" w:rsidRPr="00B12326">
        <w:rPr>
          <w:rFonts w:ascii="Calibri" w:hAnsi="Calibri" w:cs="Calibri"/>
          <w:lang w:val="en-US"/>
        </w:rPr>
        <w:t>2.18</w:t>
      </w:r>
      <w:r w:rsidRPr="00B12326">
        <w:rPr>
          <w:rFonts w:ascii="Calibri" w:hAnsi="Calibri" w:cs="Calibri"/>
          <w:lang w:val="en-US"/>
        </w:rPr>
        <w:t xml:space="preserve"> </w:t>
      </w:r>
      <w:r w:rsidR="00C0783D" w:rsidRPr="00B12326">
        <w:rPr>
          <w:rFonts w:ascii="Calibri" w:hAnsi="Calibri" w:cs="Calibri"/>
        </w:rPr>
        <w:t>in Q1 2021</w:t>
      </w:r>
      <w:r w:rsidRPr="00B12326">
        <w:rPr>
          <w:rFonts w:ascii="Calibri" w:hAnsi="Calibri" w:cs="Calibri"/>
        </w:rPr>
        <w:t>. Of the</w:t>
      </w:r>
      <w:r w:rsidR="003269F0" w:rsidRPr="00B12326">
        <w:rPr>
          <w:rFonts w:ascii="Calibri" w:hAnsi="Calibri" w:cs="Calibri"/>
        </w:rPr>
        <w:t xml:space="preserve"> </w:t>
      </w:r>
      <w:r w:rsidR="00C0783D" w:rsidRPr="00B12326">
        <w:rPr>
          <w:rFonts w:ascii="Calibri" w:hAnsi="Calibri" w:cs="Calibri"/>
        </w:rPr>
        <w:t>191,206</w:t>
      </w:r>
      <w:r w:rsidRPr="00B12326">
        <w:rPr>
          <w:rFonts w:ascii="Calibri" w:hAnsi="Calibri" w:cs="Calibri"/>
        </w:rPr>
        <w:t xml:space="preserve"> queries recorded by CISs, </w:t>
      </w:r>
      <w:r w:rsidR="00041720">
        <w:rPr>
          <w:rFonts w:ascii="Calibri" w:hAnsi="Calibri" w:cs="Calibri"/>
        </w:rPr>
        <w:t xml:space="preserve">45% </w:t>
      </w:r>
      <w:r w:rsidRPr="00B12326">
        <w:rPr>
          <w:rFonts w:ascii="Calibri" w:hAnsi="Calibri" w:cs="Calibri"/>
        </w:rPr>
        <w:t>were about Social Welfare rights and entitlements (</w:t>
      </w:r>
      <w:r w:rsidR="00151717" w:rsidRPr="00B12326">
        <w:rPr>
          <w:rFonts w:ascii="Calibri" w:eastAsia="Times New Roman" w:hAnsi="Calibri" w:cs="Calibri"/>
          <w:color w:val="000000"/>
          <w:lang w:eastAsia="en-IE"/>
        </w:rPr>
        <w:t>86,489</w:t>
      </w:r>
      <w:r w:rsidR="003269F0" w:rsidRPr="00B12326">
        <w:rPr>
          <w:rFonts w:ascii="Calibri" w:eastAsia="Times New Roman" w:hAnsi="Calibri" w:cs="Calibri"/>
          <w:color w:val="000000"/>
          <w:lang w:eastAsia="en-IE"/>
        </w:rPr>
        <w:t xml:space="preserve"> </w:t>
      </w:r>
      <w:r w:rsidRPr="00B12326">
        <w:rPr>
          <w:rFonts w:ascii="Calibri" w:hAnsi="Calibri" w:cs="Calibri"/>
        </w:rPr>
        <w:t xml:space="preserve">queries) followed </w:t>
      </w:r>
      <w:r w:rsidR="00151717" w:rsidRPr="00B12326">
        <w:rPr>
          <w:rFonts w:ascii="Calibri" w:hAnsi="Calibri" w:cs="Calibri"/>
        </w:rPr>
        <w:t>by Housing</w:t>
      </w:r>
      <w:r w:rsidR="000155CD">
        <w:rPr>
          <w:rFonts w:ascii="Calibri" w:hAnsi="Calibri" w:cs="Calibri"/>
        </w:rPr>
        <w:t xml:space="preserve"> 9.6%</w:t>
      </w:r>
      <w:r w:rsidR="00151717" w:rsidRPr="00B12326">
        <w:rPr>
          <w:rFonts w:ascii="Calibri" w:hAnsi="Calibri" w:cs="Calibri"/>
        </w:rPr>
        <w:t xml:space="preserve"> (18,355</w:t>
      </w:r>
      <w:r w:rsidR="00853B85">
        <w:rPr>
          <w:rFonts w:ascii="Calibri" w:hAnsi="Calibri" w:cs="Calibri"/>
        </w:rPr>
        <w:t xml:space="preserve">) </w:t>
      </w:r>
      <w:r w:rsidR="00151717" w:rsidRPr="00B12326">
        <w:rPr>
          <w:rFonts w:ascii="Calibri" w:hAnsi="Calibri" w:cs="Calibri"/>
        </w:rPr>
        <w:t>and Health</w:t>
      </w:r>
      <w:r w:rsidR="000155CD">
        <w:rPr>
          <w:rFonts w:ascii="Calibri" w:hAnsi="Calibri" w:cs="Calibri"/>
        </w:rPr>
        <w:t xml:space="preserve"> 7.5%</w:t>
      </w:r>
      <w:r w:rsidR="00151717" w:rsidRPr="00B12326">
        <w:rPr>
          <w:rFonts w:ascii="Calibri" w:hAnsi="Calibri" w:cs="Calibri"/>
        </w:rPr>
        <w:t xml:space="preserve"> (14,340</w:t>
      </w:r>
      <w:r w:rsidR="005854F7" w:rsidRPr="00B12326">
        <w:rPr>
          <w:rFonts w:ascii="Calibri" w:hAnsi="Calibri" w:cs="Calibri"/>
        </w:rPr>
        <w:t xml:space="preserve">). </w:t>
      </w:r>
      <w:r w:rsidRPr="00B12326">
        <w:rPr>
          <w:rFonts w:ascii="Calibri" w:hAnsi="Calibri" w:cs="Calibri"/>
        </w:rPr>
        <w:t xml:space="preserve">The following tables set out the data in relation to the range of queries received from the public. Table 4, below, sets out the number of queries received across high-level </w:t>
      </w:r>
      <w:r w:rsidR="007078D3">
        <w:rPr>
          <w:rFonts w:ascii="Calibri" w:hAnsi="Calibri" w:cs="Calibri"/>
        </w:rPr>
        <w:t xml:space="preserve">parent </w:t>
      </w:r>
      <w:r w:rsidRPr="00B12326">
        <w:rPr>
          <w:rFonts w:ascii="Calibri" w:hAnsi="Calibri" w:cs="Calibri"/>
        </w:rPr>
        <w:t>category areas.  Table 5, provides a break</w:t>
      </w:r>
      <w:r w:rsidR="007078D3">
        <w:rPr>
          <w:rFonts w:ascii="Calibri" w:hAnsi="Calibri" w:cs="Calibri"/>
        </w:rPr>
        <w:t xml:space="preserve">down on the single payments, </w:t>
      </w:r>
      <w:r w:rsidRPr="00B12326">
        <w:rPr>
          <w:rFonts w:ascii="Calibri" w:hAnsi="Calibri" w:cs="Calibri"/>
        </w:rPr>
        <w:t xml:space="preserve">schemes </w:t>
      </w:r>
      <w:r w:rsidR="007078D3">
        <w:rPr>
          <w:rFonts w:ascii="Calibri" w:hAnsi="Calibri" w:cs="Calibri"/>
        </w:rPr>
        <w:t xml:space="preserve">or entitlements </w:t>
      </w:r>
      <w:r w:rsidRPr="00B12326">
        <w:rPr>
          <w:rFonts w:ascii="Calibri" w:hAnsi="Calibri" w:cs="Calibri"/>
        </w:rPr>
        <w:t>emerging with the highest number of queries</w:t>
      </w:r>
      <w:r w:rsidR="000A6757" w:rsidRPr="00B12326">
        <w:rPr>
          <w:rFonts w:ascii="Calibri" w:hAnsi="Calibri" w:cs="Calibri"/>
        </w:rPr>
        <w:t xml:space="preserve"> overal</w:t>
      </w:r>
      <w:r w:rsidR="00151717" w:rsidRPr="00B12326">
        <w:rPr>
          <w:rFonts w:ascii="Calibri" w:hAnsi="Calibri" w:cs="Calibri"/>
        </w:rPr>
        <w:t>l.</w:t>
      </w:r>
    </w:p>
    <w:p w14:paraId="1B03AE70" w14:textId="60AEEFF5" w:rsidR="000A6757" w:rsidRPr="00B12326" w:rsidRDefault="000A6757" w:rsidP="000A6757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>Table 4 - Query Profile Q1 2022 High-level</w:t>
      </w:r>
    </w:p>
    <w:tbl>
      <w:tblPr>
        <w:tblW w:w="5922" w:type="dxa"/>
        <w:tblInd w:w="-10" w:type="dxa"/>
        <w:tblLook w:val="04A0" w:firstRow="1" w:lastRow="0" w:firstColumn="1" w:lastColumn="0" w:noHBand="0" w:noVBand="1"/>
        <w:tblCaption w:val="Table 4 Query Profile Quarter 1 2021"/>
        <w:tblDescription w:val="Table shows the number and percentage of all the high-level query categories recorded by CISs."/>
      </w:tblPr>
      <w:tblGrid>
        <w:gridCol w:w="2622"/>
        <w:gridCol w:w="1650"/>
        <w:gridCol w:w="1650"/>
      </w:tblGrid>
      <w:tr w:rsidR="000A6757" w:rsidRPr="00B12326" w14:paraId="20FF6E48" w14:textId="77777777" w:rsidTr="00B12326">
        <w:trPr>
          <w:trHeight w:val="616"/>
        </w:trPr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63989890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Query Category</w:t>
            </w:r>
          </w:p>
        </w:tc>
        <w:tc>
          <w:tcPr>
            <w:tcW w:w="165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7021B150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# of Queries</w:t>
            </w:r>
          </w:p>
        </w:tc>
        <w:tc>
          <w:tcPr>
            <w:tcW w:w="16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579C4492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 of all Queries</w:t>
            </w:r>
          </w:p>
        </w:tc>
      </w:tr>
      <w:tr w:rsidR="000A6757" w:rsidRPr="00B12326" w14:paraId="0613B785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2368073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EA6968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86,489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EDAAC60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45.23%</w:t>
            </w:r>
          </w:p>
        </w:tc>
      </w:tr>
      <w:tr w:rsidR="000A6757" w:rsidRPr="00B12326" w14:paraId="36124732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D741839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Housing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D2114F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18,355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AEECBED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9.60%</w:t>
            </w:r>
          </w:p>
        </w:tc>
      </w:tr>
      <w:tr w:rsidR="000A6757" w:rsidRPr="00B12326" w14:paraId="426F0AB1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6422BFE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Health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9E9F84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14,340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75A68B0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7.50%</w:t>
            </w:r>
          </w:p>
        </w:tc>
      </w:tr>
      <w:tr w:rsidR="000A6757" w:rsidRPr="00B12326" w14:paraId="5FCFF025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8FA1193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Employment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C81161B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13,967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F3A049E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7.30%</w:t>
            </w:r>
          </w:p>
        </w:tc>
      </w:tr>
      <w:tr w:rsidR="000A6757" w:rsidRPr="00B12326" w14:paraId="705973E2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73CB7F9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Money and Tax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6AA0F2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10,264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8AD6DC8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5.37%</w:t>
            </w:r>
          </w:p>
        </w:tc>
      </w:tr>
      <w:tr w:rsidR="000A6757" w:rsidRPr="00B12326" w14:paraId="2DE037A4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2BFAA53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Local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DF60A7D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9,624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2FD6388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5.03%</w:t>
            </w:r>
          </w:p>
        </w:tc>
      </w:tr>
      <w:tr w:rsidR="000A6757" w:rsidRPr="00B12326" w14:paraId="75313FB2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DC36340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Moving Country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BC34B78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8,657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E32FD6E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4.53%</w:t>
            </w:r>
          </w:p>
        </w:tc>
      </w:tr>
      <w:tr w:rsidR="000A6757" w:rsidRPr="00B12326" w14:paraId="4206DB24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D658E97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Travel and Recreation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C1C2BAB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6,266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FC41FDB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3.28%</w:t>
            </w:r>
          </w:p>
        </w:tc>
      </w:tr>
      <w:tr w:rsidR="000A6757" w:rsidRPr="00B12326" w14:paraId="3A2FC437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C11D1F7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Birth, Family &amp; Relationships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2B0BB0E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5,078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1050F7C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2.66%</w:t>
            </w:r>
          </w:p>
        </w:tc>
      </w:tr>
      <w:tr w:rsidR="000A6757" w:rsidRPr="00B12326" w14:paraId="0276312D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587465A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Covid-19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1A2BDDE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4,903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B5AB8F4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2.56%</w:t>
            </w:r>
          </w:p>
        </w:tc>
      </w:tr>
      <w:tr w:rsidR="000A6757" w:rsidRPr="00B12326" w14:paraId="54CFD833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B49383C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Justice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FF01B6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4,799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BF15828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2.51%</w:t>
            </w:r>
          </w:p>
        </w:tc>
      </w:tr>
      <w:tr w:rsidR="000A6757" w:rsidRPr="00B12326" w14:paraId="11356738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4A600A2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Consumer Affairs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F73141B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2,919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D70DB2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1.53%</w:t>
            </w:r>
          </w:p>
        </w:tc>
      </w:tr>
      <w:tr w:rsidR="000A6757" w:rsidRPr="00B12326" w14:paraId="1E443FC9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8C58511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Education and Training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8EC014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2,652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6BB679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1.39%</w:t>
            </w:r>
          </w:p>
        </w:tc>
      </w:tr>
      <w:tr w:rsidR="000A6757" w:rsidRPr="00B12326" w14:paraId="22F19ABC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4FD75D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Death and Bereavement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105E05C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1,399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97CC72B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0.73%</w:t>
            </w:r>
          </w:p>
        </w:tc>
      </w:tr>
      <w:tr w:rsidR="000A6757" w:rsidRPr="00B12326" w14:paraId="67458216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9C9E2A2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Government in Ireland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1082D81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1,114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C680BB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0.58%</w:t>
            </w:r>
          </w:p>
        </w:tc>
      </w:tr>
      <w:tr w:rsidR="000A6757" w:rsidRPr="00B12326" w14:paraId="244DC88D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09C8571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Environment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FB83F21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5AB13A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0.20%</w:t>
            </w:r>
          </w:p>
        </w:tc>
      </w:tr>
      <w:tr w:rsidR="000A6757" w:rsidRPr="00B12326" w14:paraId="1093DC48" w14:textId="77777777" w:rsidTr="00B12326">
        <w:trPr>
          <w:trHeight w:val="302"/>
        </w:trPr>
        <w:tc>
          <w:tcPr>
            <w:tcW w:w="26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71391D4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4CE4C3B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191,206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94F4196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</w:tbl>
    <w:p w14:paraId="64675BD9" w14:textId="79053299" w:rsidR="000A6757" w:rsidRPr="00B12326" w:rsidRDefault="000A6757" w:rsidP="000A6757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>Table 5 - Top-Ten Single Payments or Schemes, Q1 2022</w:t>
      </w:r>
    </w:p>
    <w:tbl>
      <w:tblPr>
        <w:tblW w:w="5810" w:type="dxa"/>
        <w:tblInd w:w="-10" w:type="dxa"/>
        <w:tblLook w:val="04A0" w:firstRow="1" w:lastRow="0" w:firstColumn="1" w:lastColumn="0" w:noHBand="0" w:noVBand="1"/>
        <w:tblCaption w:val="Table 5 - Top ten single payments or schemes for quarter 1 2021"/>
        <w:tblDescription w:val="This table shows the top 10 Single Payment or Schemes with the percentage of total queries shown also."/>
      </w:tblPr>
      <w:tblGrid>
        <w:gridCol w:w="11"/>
        <w:gridCol w:w="426"/>
        <w:gridCol w:w="11"/>
        <w:gridCol w:w="1583"/>
        <w:gridCol w:w="11"/>
        <w:gridCol w:w="1863"/>
        <w:gridCol w:w="20"/>
        <w:gridCol w:w="923"/>
        <w:gridCol w:w="19"/>
        <w:gridCol w:w="933"/>
        <w:gridCol w:w="10"/>
      </w:tblGrid>
      <w:tr w:rsidR="000A6757" w:rsidRPr="00B12326" w14:paraId="617CC38F" w14:textId="77777777" w:rsidTr="00B12326">
        <w:trPr>
          <w:gridAfter w:val="1"/>
          <w:wAfter w:w="8" w:type="dxa"/>
          <w:trHeight w:val="22"/>
        </w:trPr>
        <w:tc>
          <w:tcPr>
            <w:tcW w:w="5802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250F92BB" w14:textId="77777777" w:rsidR="000A6757" w:rsidRPr="00B12326" w:rsidRDefault="000A6757" w:rsidP="00883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Top Ten Single Payment or Schemes Q1, 2022</w:t>
            </w:r>
          </w:p>
        </w:tc>
      </w:tr>
      <w:tr w:rsidR="000A6757" w:rsidRPr="00B12326" w14:paraId="377DEDCF" w14:textId="77777777" w:rsidTr="00B12326">
        <w:trPr>
          <w:gridAfter w:val="1"/>
          <w:wAfter w:w="10" w:type="dxa"/>
          <w:trHeight w:val="75"/>
        </w:trPr>
        <w:tc>
          <w:tcPr>
            <w:tcW w:w="43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A672490" w14:textId="0596CCB5" w:rsidR="000A6757" w:rsidRPr="00B12326" w:rsidRDefault="000A6757" w:rsidP="008839F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1F25319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Category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86AB50F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Single Payment or Scheme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0B0C528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# of Queries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48887F06" w14:textId="0BB0B52C" w:rsidR="000A6757" w:rsidRPr="00B12326" w:rsidRDefault="000A6757" w:rsidP="008C4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% of </w:t>
            </w:r>
            <w:r w:rsidR="008C4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Top Ten </w:t>
            </w: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Queries</w:t>
            </w:r>
          </w:p>
        </w:tc>
      </w:tr>
      <w:tr w:rsidR="000A6757" w:rsidRPr="00B12326" w14:paraId="0C23AA2F" w14:textId="77777777" w:rsidTr="00B12326">
        <w:trPr>
          <w:gridAfter w:val="1"/>
          <w:wAfter w:w="10" w:type="dxa"/>
          <w:trHeight w:val="59"/>
        </w:trPr>
        <w:tc>
          <w:tcPr>
            <w:tcW w:w="43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518F5DD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599D0D0E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Health - Medical Card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790AAFF8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Medical Card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A0DADCA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9,289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9D0D90D" w14:textId="4E02114D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16.78%</w:t>
            </w:r>
          </w:p>
        </w:tc>
      </w:tr>
      <w:tr w:rsidR="000A6757" w:rsidRPr="00B12326" w14:paraId="48B52112" w14:textId="77777777" w:rsidTr="00B12326">
        <w:trPr>
          <w:gridAfter w:val="1"/>
          <w:wAfter w:w="10" w:type="dxa"/>
          <w:trHeight w:val="52"/>
        </w:trPr>
        <w:tc>
          <w:tcPr>
            <w:tcW w:w="43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F44741C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1027485E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Older and Retired People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4E0FEABB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State Pension/ Contributory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3ACE4B2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6,564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CE558F" w14:textId="73B19858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11.86%</w:t>
            </w:r>
          </w:p>
        </w:tc>
      </w:tr>
      <w:tr w:rsidR="000A6757" w:rsidRPr="00B12326" w14:paraId="1A40D411" w14:textId="77777777" w:rsidTr="00B12326">
        <w:trPr>
          <w:gridAfter w:val="1"/>
          <w:wAfter w:w="10" w:type="dxa"/>
          <w:trHeight w:val="36"/>
        </w:trPr>
        <w:tc>
          <w:tcPr>
            <w:tcW w:w="43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7C28C60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2D901ABD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 Carers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C5E92AA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Carer's Allowance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32D3A9B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6,548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92E24A7" w14:textId="0CCCFFE4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11.83%</w:t>
            </w:r>
          </w:p>
        </w:tc>
      </w:tr>
      <w:tr w:rsidR="000A6757" w:rsidRPr="00B12326" w14:paraId="74458622" w14:textId="77777777" w:rsidTr="00B12326">
        <w:trPr>
          <w:gridAfter w:val="1"/>
          <w:wAfter w:w="10" w:type="dxa"/>
          <w:trHeight w:val="40"/>
        </w:trPr>
        <w:tc>
          <w:tcPr>
            <w:tcW w:w="43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41448E6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93D6649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Disability &amp; Illness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2389EA58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Disability Allowance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CEFF40D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6,221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C729EDF" w14:textId="57ECD570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11.24%</w:t>
            </w:r>
          </w:p>
        </w:tc>
      </w:tr>
      <w:tr w:rsidR="000A6757" w:rsidRPr="00B12326" w14:paraId="77C3E8A6" w14:textId="77777777" w:rsidTr="00B12326">
        <w:trPr>
          <w:gridBefore w:val="1"/>
          <w:wBefore w:w="11" w:type="dxa"/>
          <w:trHeight w:val="40"/>
        </w:trPr>
        <w:tc>
          <w:tcPr>
            <w:tcW w:w="43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E8D91B9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81C1D5B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Extra Social Welfare Benefits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299EF9E9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Fuel Allowance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E62EEB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5,049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A2CDF4" w14:textId="19303499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9.12%</w:t>
            </w:r>
          </w:p>
        </w:tc>
      </w:tr>
      <w:tr w:rsidR="000A6757" w:rsidRPr="00B12326" w14:paraId="6CE7D148" w14:textId="77777777" w:rsidTr="00B12326">
        <w:trPr>
          <w:gridBefore w:val="1"/>
          <w:wBefore w:w="11" w:type="dxa"/>
          <w:trHeight w:val="40"/>
        </w:trPr>
        <w:tc>
          <w:tcPr>
            <w:tcW w:w="43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1C10E6F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65381FA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Housing - Local Authority and Social Housing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CAE42DD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Applying for Local Authority/Social Housing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447F978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4,841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83A3A9F" w14:textId="3F5958C4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8.75%</w:t>
            </w:r>
          </w:p>
        </w:tc>
      </w:tr>
      <w:tr w:rsidR="000A6757" w:rsidRPr="00B12326" w14:paraId="234C1D04" w14:textId="77777777" w:rsidTr="00B12326">
        <w:trPr>
          <w:gridBefore w:val="1"/>
          <w:wBefore w:w="11" w:type="dxa"/>
          <w:trHeight w:val="40"/>
        </w:trPr>
        <w:tc>
          <w:tcPr>
            <w:tcW w:w="43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454AA2D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F112CEF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Extra Social Welfare Benefits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20F58339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Household Benefits Package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5B7F69B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4,592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7C4410" w14:textId="50A35FA6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8.30%</w:t>
            </w:r>
          </w:p>
        </w:tc>
      </w:tr>
      <w:tr w:rsidR="000A6757" w:rsidRPr="00B12326" w14:paraId="1963859D" w14:textId="77777777" w:rsidTr="00B12326">
        <w:trPr>
          <w:gridBefore w:val="1"/>
          <w:wBefore w:w="11" w:type="dxa"/>
          <w:trHeight w:val="40"/>
        </w:trPr>
        <w:tc>
          <w:tcPr>
            <w:tcW w:w="43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A01D807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3C95982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Disability &amp; Illness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E7BCFAF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Illness Benefit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EDB1F00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4,443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412634" w14:textId="58215D82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8.03%</w:t>
            </w:r>
          </w:p>
        </w:tc>
      </w:tr>
      <w:tr w:rsidR="000A6757" w:rsidRPr="00B12326" w14:paraId="7202003A" w14:textId="77777777" w:rsidTr="00B12326">
        <w:trPr>
          <w:gridBefore w:val="1"/>
          <w:wBefore w:w="11" w:type="dxa"/>
          <w:trHeight w:val="40"/>
        </w:trPr>
        <w:tc>
          <w:tcPr>
            <w:tcW w:w="43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A09A118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E75CD03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Unemployed People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846EE3E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Jobseeker's Allowance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42E87A2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4,198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1613CA" w14:textId="2CE63F0B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7.59%</w:t>
            </w:r>
          </w:p>
        </w:tc>
      </w:tr>
      <w:tr w:rsidR="000A6757" w:rsidRPr="000A6757" w14:paraId="31769632" w14:textId="77777777" w:rsidTr="00B12326">
        <w:trPr>
          <w:gridBefore w:val="1"/>
          <w:wBefore w:w="11" w:type="dxa"/>
          <w:trHeight w:val="40"/>
        </w:trPr>
        <w:tc>
          <w:tcPr>
            <w:tcW w:w="43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1CF94B9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23896D87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Moving Country - Irish Citizenship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A3B923B" w14:textId="77777777" w:rsidR="000A6757" w:rsidRPr="00B12326" w:rsidRDefault="000A6757" w:rsidP="0088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Irish Citizenship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65D880" w14:textId="77777777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3,599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2F4BAB" w14:textId="4696C8D8" w:rsidR="000A6757" w:rsidRPr="00B12326" w:rsidRDefault="000A6757" w:rsidP="00883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6.50%</w:t>
            </w:r>
          </w:p>
        </w:tc>
      </w:tr>
    </w:tbl>
    <w:p w14:paraId="2F66D8B9" w14:textId="77777777" w:rsidR="000A6757" w:rsidRDefault="000A6757" w:rsidP="00B60276">
      <w:pPr>
        <w:rPr>
          <w:rFonts w:ascii="Calibri" w:hAnsi="Calibri" w:cs="Calibri"/>
        </w:rPr>
        <w:sectPr w:rsidR="000A6757" w:rsidSect="000A6757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7F8306" w14:textId="5C549CD5" w:rsidR="005A640A" w:rsidRPr="00061A6D" w:rsidRDefault="005A640A" w:rsidP="00B60276">
      <w:pPr>
        <w:rPr>
          <w:rFonts w:ascii="Calibri" w:hAnsi="Calibri" w:cs="Calibri"/>
        </w:rPr>
        <w:sectPr w:rsidR="005A640A" w:rsidRPr="00061A6D" w:rsidSect="00004B7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011B73B" w14:textId="65BB5BF2" w:rsidR="00004B7C" w:rsidRPr="000A6757" w:rsidRDefault="00004B7C" w:rsidP="000A6757">
      <w:pPr>
        <w:pStyle w:val="Heading1"/>
        <w:rPr>
          <w:rFonts w:eastAsia="Times New Roman"/>
          <w:b/>
          <w:sz w:val="24"/>
          <w:szCs w:val="24"/>
          <w:highlight w:val="green"/>
          <w:lang w:eastAsia="en-IE"/>
        </w:rPr>
        <w:sectPr w:rsidR="00004B7C" w:rsidRPr="000A6757" w:rsidSect="005A640A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1C9A77" w14:textId="0B386B78" w:rsidR="00E65C63" w:rsidRPr="00EC7C6C" w:rsidRDefault="00E65C63" w:rsidP="00B60276">
      <w:pPr>
        <w:rPr>
          <w:lang w:val="en-US"/>
        </w:rPr>
        <w:sectPr w:rsidR="00E65C63" w:rsidRPr="00EC7C6C" w:rsidSect="00004B7C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67F028" w14:textId="77777777" w:rsidR="0080231C" w:rsidRDefault="0080231C" w:rsidP="00B60276">
      <w:pPr>
        <w:pStyle w:val="Heading1"/>
        <w:rPr>
          <w:rFonts w:ascii="Calibri" w:hAnsi="Calibri" w:cs="Calibri"/>
          <w:b/>
          <w:color w:val="auto"/>
          <w:sz w:val="22"/>
          <w:szCs w:val="22"/>
          <w:lang w:val="en-US"/>
        </w:rPr>
        <w:sectPr w:rsidR="0080231C" w:rsidSect="00004B7C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BCBE820" w14:textId="77777777" w:rsidR="00004B7C" w:rsidRDefault="00004B7C" w:rsidP="00B60276">
      <w:pPr>
        <w:pStyle w:val="Heading1"/>
        <w:rPr>
          <w:rFonts w:ascii="Calibri" w:hAnsi="Calibri" w:cs="Calibri"/>
          <w:b/>
          <w:color w:val="auto"/>
          <w:sz w:val="22"/>
          <w:szCs w:val="22"/>
          <w:highlight w:val="green"/>
          <w:lang w:val="en-US"/>
        </w:rPr>
        <w:sectPr w:rsidR="00004B7C" w:rsidSect="003269F0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73D8A53" w14:textId="028AA834" w:rsidR="00261A00" w:rsidRPr="000831D6" w:rsidRDefault="00261A00" w:rsidP="000831D6">
      <w:pPr>
        <w:pStyle w:val="Heading1"/>
        <w:rPr>
          <w:b/>
          <w:sz w:val="28"/>
          <w:szCs w:val="28"/>
        </w:rPr>
      </w:pPr>
      <w:r w:rsidRPr="000831D6">
        <w:rPr>
          <w:b/>
          <w:sz w:val="28"/>
          <w:szCs w:val="28"/>
        </w:rPr>
        <w:lastRenderedPageBreak/>
        <w:t>Quarter-on-Quarter Comparison</w:t>
      </w:r>
      <w:r w:rsidR="000A6757">
        <w:rPr>
          <w:b/>
          <w:sz w:val="28"/>
          <w:szCs w:val="28"/>
        </w:rPr>
        <w:t>: what’</w:t>
      </w:r>
      <w:r w:rsidR="000F3F7D">
        <w:rPr>
          <w:b/>
          <w:sz w:val="28"/>
          <w:szCs w:val="28"/>
        </w:rPr>
        <w:t>s new?</w:t>
      </w:r>
      <w:r w:rsidR="00F81FD2">
        <w:rPr>
          <w:rStyle w:val="FootnoteReference"/>
          <w:b/>
          <w:sz w:val="28"/>
          <w:szCs w:val="28"/>
        </w:rPr>
        <w:footnoteReference w:id="3"/>
      </w:r>
    </w:p>
    <w:p w14:paraId="1EFD0E45" w14:textId="6BE97FFD" w:rsidR="00261A00" w:rsidRPr="00FD7261" w:rsidRDefault="00261A00" w:rsidP="00261A00">
      <w:pPr>
        <w:spacing w:line="240" w:lineRule="auto"/>
        <w:rPr>
          <w:rFonts w:ascii="Calibri" w:eastAsia="Times New Roman" w:hAnsi="Calibri" w:cs="Calibri"/>
          <w:color w:val="000000"/>
          <w:lang w:eastAsia="en-IE"/>
        </w:rPr>
      </w:pPr>
      <w:r w:rsidRPr="00A941B3">
        <w:rPr>
          <w:rFonts w:ascii="Calibri" w:hAnsi="Calibri" w:cs="Calibri"/>
          <w:lang w:val="en-US"/>
        </w:rPr>
        <w:t xml:space="preserve">Q1 2022 showed a number of changes in </w:t>
      </w:r>
      <w:r w:rsidR="007078D3">
        <w:rPr>
          <w:rFonts w:ascii="Calibri" w:hAnsi="Calibri" w:cs="Calibri"/>
          <w:lang w:val="en-US"/>
        </w:rPr>
        <w:t>the</w:t>
      </w:r>
      <w:r w:rsidR="000F3F7D">
        <w:rPr>
          <w:rFonts w:ascii="Calibri" w:hAnsi="Calibri" w:cs="Calibri"/>
          <w:lang w:val="en-US"/>
        </w:rPr>
        <w:t xml:space="preserve"> type of </w:t>
      </w:r>
      <w:r w:rsidR="007078D3">
        <w:rPr>
          <w:rFonts w:ascii="Calibri" w:hAnsi="Calibri" w:cs="Calibri"/>
          <w:lang w:val="en-US"/>
        </w:rPr>
        <w:t xml:space="preserve">queries </w:t>
      </w:r>
      <w:r w:rsidRPr="00A941B3">
        <w:rPr>
          <w:rFonts w:ascii="Calibri" w:hAnsi="Calibri" w:cs="Calibri"/>
          <w:lang w:val="en-US"/>
        </w:rPr>
        <w:t>received from the public</w:t>
      </w:r>
      <w:r w:rsidR="008B6A43">
        <w:rPr>
          <w:rFonts w:ascii="Calibri" w:hAnsi="Calibri" w:cs="Calibri"/>
          <w:lang w:val="en-US"/>
        </w:rPr>
        <w:t xml:space="preserve"> </w:t>
      </w:r>
      <w:r w:rsidR="00853B85">
        <w:rPr>
          <w:rFonts w:ascii="Calibri" w:hAnsi="Calibri" w:cs="Calibri"/>
          <w:lang w:val="en-US"/>
        </w:rPr>
        <w:t>compared with</w:t>
      </w:r>
      <w:r w:rsidR="008C46B1">
        <w:rPr>
          <w:rFonts w:ascii="Calibri" w:hAnsi="Calibri" w:cs="Calibri"/>
          <w:lang w:val="en-US"/>
        </w:rPr>
        <w:t xml:space="preserve"> the same period last year</w:t>
      </w:r>
      <w:r w:rsidR="00F81FD2">
        <w:rPr>
          <w:rFonts w:ascii="Calibri" w:hAnsi="Calibri" w:cs="Calibri"/>
          <w:lang w:val="en-US"/>
        </w:rPr>
        <w:t>.</w:t>
      </w:r>
    </w:p>
    <w:p w14:paraId="7F523C7C" w14:textId="1D9AE5BB" w:rsidR="00261A00" w:rsidRPr="007078D3" w:rsidRDefault="00261A00" w:rsidP="007078D3">
      <w:pPr>
        <w:rPr>
          <w:rFonts w:ascii="Calibri" w:hAnsi="Calibri" w:cs="Calibri"/>
        </w:rPr>
      </w:pPr>
      <w:r w:rsidRPr="007078D3">
        <w:rPr>
          <w:rFonts w:ascii="Calibri" w:hAnsi="Calibri" w:cs="Calibri"/>
        </w:rPr>
        <w:t xml:space="preserve">Of note: </w:t>
      </w:r>
    </w:p>
    <w:p w14:paraId="248F5298" w14:textId="6D640AB0" w:rsidR="00212807" w:rsidRPr="00853B85" w:rsidRDefault="005D1AFC" w:rsidP="00853B85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Enqui</w:t>
      </w:r>
      <w:r w:rsidR="00853B85">
        <w:rPr>
          <w:rFonts w:ascii="Calibri" w:hAnsi="Calibri" w:cs="Calibri"/>
        </w:rPr>
        <w:t>ries on energy/heating related Social Welfare support</w:t>
      </w:r>
      <w:r w:rsidR="00E57055">
        <w:rPr>
          <w:rFonts w:ascii="Calibri" w:hAnsi="Calibri" w:cs="Calibri"/>
        </w:rPr>
        <w:t>s/</w:t>
      </w:r>
      <w:r>
        <w:rPr>
          <w:rFonts w:ascii="Calibri" w:hAnsi="Calibri" w:cs="Calibri"/>
        </w:rPr>
        <w:t xml:space="preserve">schemes </w:t>
      </w:r>
      <w:r w:rsidR="008A5345">
        <w:rPr>
          <w:rFonts w:ascii="Calibri" w:hAnsi="Calibri" w:cs="Calibri"/>
        </w:rPr>
        <w:t xml:space="preserve">to CISs </w:t>
      </w:r>
      <w:r>
        <w:rPr>
          <w:rFonts w:ascii="Calibri" w:hAnsi="Calibri" w:cs="Calibri"/>
        </w:rPr>
        <w:t>saw s</w:t>
      </w:r>
      <w:r w:rsidR="00853B85">
        <w:rPr>
          <w:rFonts w:ascii="Calibri" w:hAnsi="Calibri" w:cs="Calibri"/>
        </w:rPr>
        <w:t>ignificant increases:</w:t>
      </w:r>
      <w:r>
        <w:rPr>
          <w:rFonts w:ascii="Calibri" w:hAnsi="Calibri" w:cs="Calibri"/>
        </w:rPr>
        <w:t xml:space="preserve"> </w:t>
      </w:r>
      <w:r w:rsidR="00711361">
        <w:rPr>
          <w:rFonts w:ascii="Calibri" w:hAnsi="Calibri" w:cs="Calibri"/>
        </w:rPr>
        <w:t>F</w:t>
      </w:r>
      <w:r w:rsidR="00261A00" w:rsidRPr="007078D3">
        <w:rPr>
          <w:rFonts w:ascii="Calibri" w:hAnsi="Calibri" w:cs="Calibri"/>
        </w:rPr>
        <w:t xml:space="preserve">uel Allowance queries </w:t>
      </w:r>
      <w:r>
        <w:rPr>
          <w:rFonts w:ascii="Calibri" w:hAnsi="Calibri" w:cs="Calibri"/>
        </w:rPr>
        <w:t xml:space="preserve">almost </w:t>
      </w:r>
      <w:r w:rsidR="00261A00" w:rsidRPr="007078D3">
        <w:rPr>
          <w:rFonts w:ascii="Calibri" w:hAnsi="Calibri" w:cs="Calibri"/>
        </w:rPr>
        <w:t>doubled</w:t>
      </w:r>
      <w:r w:rsidR="00F81FD2">
        <w:rPr>
          <w:rFonts w:ascii="Calibri" w:hAnsi="Calibri" w:cs="Calibri"/>
          <w:b/>
        </w:rPr>
        <w:t xml:space="preserve"> </w:t>
      </w:r>
      <w:r w:rsidR="00853B85" w:rsidRPr="00527B60">
        <w:rPr>
          <w:rFonts w:ascii="Calibri" w:hAnsi="Calibri" w:cs="Calibri"/>
        </w:rPr>
        <w:t>and</w:t>
      </w:r>
      <w:r w:rsidR="00853B85">
        <w:rPr>
          <w:rFonts w:ascii="Calibri" w:hAnsi="Calibri" w:cs="Calibri"/>
          <w:b/>
        </w:rPr>
        <w:t xml:space="preserve"> </w:t>
      </w:r>
      <w:r w:rsidR="00853B85">
        <w:rPr>
          <w:rFonts w:ascii="Calibri" w:hAnsi="Calibri" w:cs="Calibri"/>
        </w:rPr>
        <w:t>q</w:t>
      </w:r>
      <w:r w:rsidR="00261A00" w:rsidRPr="00853B85">
        <w:rPr>
          <w:rFonts w:ascii="Calibri" w:hAnsi="Calibri" w:cs="Calibri"/>
        </w:rPr>
        <w:t xml:space="preserve">ueries </w:t>
      </w:r>
      <w:r w:rsidR="008A5345" w:rsidRPr="00853B85">
        <w:rPr>
          <w:rFonts w:ascii="Calibri" w:hAnsi="Calibri" w:cs="Calibri"/>
        </w:rPr>
        <w:t xml:space="preserve">on </w:t>
      </w:r>
      <w:r w:rsidR="00261A00" w:rsidRPr="00853B85">
        <w:rPr>
          <w:rFonts w:ascii="Calibri" w:hAnsi="Calibri" w:cs="Calibri"/>
        </w:rPr>
        <w:t>the House</w:t>
      </w:r>
      <w:r w:rsidR="00353DC5" w:rsidRPr="00853B85">
        <w:rPr>
          <w:rFonts w:ascii="Calibri" w:hAnsi="Calibri" w:cs="Calibri"/>
        </w:rPr>
        <w:t>hold</w:t>
      </w:r>
      <w:r w:rsidR="00261A00" w:rsidRPr="00853B85">
        <w:rPr>
          <w:rFonts w:ascii="Calibri" w:hAnsi="Calibri" w:cs="Calibri"/>
        </w:rPr>
        <w:t xml:space="preserve"> Benefits Package</w:t>
      </w:r>
      <w:r w:rsidRPr="00853B85">
        <w:rPr>
          <w:rFonts w:ascii="Calibri" w:hAnsi="Calibri" w:cs="Calibri"/>
        </w:rPr>
        <w:t xml:space="preserve"> (which includes free electricity and gas allowance)</w:t>
      </w:r>
      <w:r w:rsidR="008A5345" w:rsidRPr="00853B85">
        <w:rPr>
          <w:rFonts w:ascii="Calibri" w:hAnsi="Calibri" w:cs="Calibri"/>
        </w:rPr>
        <w:t xml:space="preserve"> also </w:t>
      </w:r>
      <w:r w:rsidR="00115404" w:rsidRPr="00853B85">
        <w:rPr>
          <w:rFonts w:ascii="Calibri" w:hAnsi="Calibri" w:cs="Calibri"/>
        </w:rPr>
        <w:t>increase</w:t>
      </w:r>
      <w:r w:rsidR="009F073C" w:rsidRPr="00853B85">
        <w:rPr>
          <w:rFonts w:ascii="Calibri" w:hAnsi="Calibri" w:cs="Calibri"/>
        </w:rPr>
        <w:t>d</w:t>
      </w:r>
      <w:r w:rsidR="00115404" w:rsidRPr="00853B85">
        <w:rPr>
          <w:rFonts w:ascii="Calibri" w:hAnsi="Calibri" w:cs="Calibri"/>
        </w:rPr>
        <w:t xml:space="preserve"> by almost 50%</w:t>
      </w:r>
    </w:p>
    <w:p w14:paraId="5725F564" w14:textId="0F14141B" w:rsidR="008B2863" w:rsidRDefault="00CE32BB" w:rsidP="007078D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Disability Allowance queries increased by 42% and </w:t>
      </w:r>
      <w:r w:rsidR="008B2863">
        <w:rPr>
          <w:rFonts w:ascii="Calibri" w:hAnsi="Calibri" w:cs="Calibri"/>
        </w:rPr>
        <w:t xml:space="preserve">Carer’s Allowance payment queries increased by 29% in this period  </w:t>
      </w:r>
    </w:p>
    <w:p w14:paraId="4298466F" w14:textId="6EBF1A21" w:rsidR="007078D3" w:rsidRDefault="009C1D1B" w:rsidP="007078D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7078D3">
        <w:rPr>
          <w:rFonts w:ascii="Calibri" w:hAnsi="Calibri" w:cs="Calibri"/>
        </w:rPr>
        <w:t>Jobseeker</w:t>
      </w:r>
      <w:r w:rsidR="005C4189">
        <w:rPr>
          <w:rFonts w:ascii="Calibri" w:hAnsi="Calibri" w:cs="Calibri"/>
        </w:rPr>
        <w:t>’</w:t>
      </w:r>
      <w:r w:rsidRPr="007078D3">
        <w:rPr>
          <w:rFonts w:ascii="Calibri" w:hAnsi="Calibri" w:cs="Calibri"/>
        </w:rPr>
        <w:t>s Benefit queries</w:t>
      </w:r>
      <w:r w:rsidR="0063600B">
        <w:rPr>
          <w:rFonts w:ascii="Calibri" w:hAnsi="Calibri" w:cs="Calibri"/>
        </w:rPr>
        <w:t xml:space="preserve"> reduced by almost a quarter </w:t>
      </w:r>
      <w:r w:rsidR="0004374B">
        <w:rPr>
          <w:rFonts w:ascii="Calibri" w:hAnsi="Calibri" w:cs="Calibri"/>
        </w:rPr>
        <w:t>while means tested Jobseekers Allowance increased by 6%</w:t>
      </w:r>
    </w:p>
    <w:p w14:paraId="7EDF398A" w14:textId="58EFD11E" w:rsidR="00865EC0" w:rsidRPr="00865EC0" w:rsidRDefault="00865EC0" w:rsidP="00865EC0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7078D3">
        <w:rPr>
          <w:rFonts w:ascii="Calibri" w:hAnsi="Calibri" w:cs="Calibri"/>
        </w:rPr>
        <w:t xml:space="preserve">Queries to do with the </w:t>
      </w:r>
      <w:r w:rsidRPr="00F81FD2">
        <w:rPr>
          <w:rFonts w:ascii="Calibri" w:hAnsi="Calibri" w:cs="Calibri"/>
        </w:rPr>
        <w:t>State Pension/Contributory</w:t>
      </w:r>
      <w:r w:rsidRPr="007078D3">
        <w:rPr>
          <w:rFonts w:ascii="Calibri" w:hAnsi="Calibri" w:cs="Calibri"/>
        </w:rPr>
        <w:t xml:space="preserve"> rose </w:t>
      </w:r>
      <w:r>
        <w:rPr>
          <w:rFonts w:ascii="Calibri" w:hAnsi="Calibri" w:cs="Calibri"/>
        </w:rPr>
        <w:t xml:space="preserve">by 8% </w:t>
      </w:r>
    </w:p>
    <w:p w14:paraId="58DC68CF" w14:textId="503ABE22" w:rsidR="00E64426" w:rsidRPr="00E57055" w:rsidRDefault="00E64426" w:rsidP="007078D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Housing queries rose overall by </w:t>
      </w:r>
      <w:r w:rsidRPr="00F81FD2">
        <w:rPr>
          <w:rFonts w:ascii="Calibri" w:eastAsia="Times New Roman" w:hAnsi="Calibri" w:cs="Calibri"/>
          <w:color w:val="000000"/>
          <w:lang w:eastAsia="en-IE"/>
        </w:rPr>
        <w:t xml:space="preserve">19% </w:t>
      </w:r>
      <w:r>
        <w:rPr>
          <w:rFonts w:ascii="Calibri" w:eastAsia="Times New Roman" w:hAnsi="Calibri" w:cs="Calibri"/>
          <w:color w:val="000000"/>
          <w:lang w:eastAsia="en-IE"/>
        </w:rPr>
        <w:t xml:space="preserve">in this quarter compared to the same quarter the previous year </w:t>
      </w:r>
    </w:p>
    <w:p w14:paraId="4C631FA0" w14:textId="54525C80" w:rsidR="008F7092" w:rsidRDefault="008F7092" w:rsidP="007078D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Queries related to </w:t>
      </w:r>
      <w:r w:rsidR="00E57055">
        <w:rPr>
          <w:rFonts w:ascii="Calibri" w:eastAsia="Times New Roman" w:hAnsi="Calibri" w:cs="Calibri"/>
          <w:color w:val="000000"/>
          <w:lang w:eastAsia="en-IE"/>
        </w:rPr>
        <w:t>h</w:t>
      </w:r>
      <w:r>
        <w:rPr>
          <w:rFonts w:ascii="Calibri" w:eastAsia="Times New Roman" w:hAnsi="Calibri" w:cs="Calibri"/>
          <w:color w:val="000000"/>
          <w:lang w:eastAsia="en-IE"/>
        </w:rPr>
        <w:t>ousing grants increased by over 50%</w:t>
      </w:r>
    </w:p>
    <w:p w14:paraId="03C63923" w14:textId="77777777" w:rsidR="00212807" w:rsidRDefault="009C1D1B" w:rsidP="00874CA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874CA6">
        <w:rPr>
          <w:rFonts w:ascii="Calibri" w:hAnsi="Calibri" w:cs="Calibri"/>
        </w:rPr>
        <w:t xml:space="preserve">Rent Supplement queries decreased by more than a third </w:t>
      </w:r>
      <w:r w:rsidR="00265925" w:rsidRPr="00874CA6">
        <w:rPr>
          <w:rFonts w:ascii="Calibri" w:hAnsi="Calibri" w:cs="Calibri"/>
        </w:rPr>
        <w:t>this quarter</w:t>
      </w:r>
      <w:r w:rsidRPr="00874CA6">
        <w:rPr>
          <w:rFonts w:ascii="Calibri" w:hAnsi="Calibri" w:cs="Calibri"/>
        </w:rPr>
        <w:t xml:space="preserve"> compared with </w:t>
      </w:r>
      <w:r w:rsidR="00F65814" w:rsidRPr="00874CA6">
        <w:rPr>
          <w:rFonts w:ascii="Calibri" w:hAnsi="Calibri" w:cs="Calibri"/>
        </w:rPr>
        <w:t>the same period in previous year</w:t>
      </w:r>
    </w:p>
    <w:p w14:paraId="18F9D0A2" w14:textId="5AF7091B" w:rsidR="007078D3" w:rsidRDefault="00261A00" w:rsidP="007078D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E57055">
        <w:rPr>
          <w:rFonts w:ascii="Calibri" w:hAnsi="Calibri" w:cs="Calibri"/>
        </w:rPr>
        <w:t>Homelessness</w:t>
      </w:r>
      <w:r w:rsidRPr="007078D3">
        <w:rPr>
          <w:rFonts w:ascii="Calibri" w:hAnsi="Calibri" w:cs="Calibri"/>
          <w:b/>
        </w:rPr>
        <w:t xml:space="preserve"> </w:t>
      </w:r>
      <w:r w:rsidRPr="007078D3">
        <w:rPr>
          <w:rFonts w:ascii="Calibri" w:hAnsi="Calibri" w:cs="Calibri"/>
        </w:rPr>
        <w:t xml:space="preserve">queries </w:t>
      </w:r>
      <w:r w:rsidR="006C40C8">
        <w:rPr>
          <w:rFonts w:ascii="Calibri" w:hAnsi="Calibri" w:cs="Calibri"/>
        </w:rPr>
        <w:t xml:space="preserve">almost </w:t>
      </w:r>
      <w:r w:rsidRPr="007078D3">
        <w:rPr>
          <w:rFonts w:ascii="Calibri" w:hAnsi="Calibri" w:cs="Calibri"/>
        </w:rPr>
        <w:t xml:space="preserve">doubled </w:t>
      </w:r>
      <w:r w:rsidR="00212807">
        <w:rPr>
          <w:rFonts w:ascii="Calibri" w:hAnsi="Calibri" w:cs="Calibri"/>
        </w:rPr>
        <w:t>in Q1 2022 compared to Q1 2021</w:t>
      </w:r>
    </w:p>
    <w:p w14:paraId="377BB79C" w14:textId="1E593ED3" w:rsidR="00261A00" w:rsidRPr="00203E25" w:rsidRDefault="0063600B" w:rsidP="00203E25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Q</w:t>
      </w:r>
      <w:r w:rsidR="00261A00" w:rsidRPr="00203E25">
        <w:rPr>
          <w:rFonts w:ascii="Calibri" w:hAnsi="Calibri" w:cs="Calibri"/>
        </w:rPr>
        <w:t xml:space="preserve">uery numbers </w:t>
      </w:r>
      <w:r w:rsidR="00853B85">
        <w:rPr>
          <w:rFonts w:ascii="Calibri" w:hAnsi="Calibri" w:cs="Calibri"/>
        </w:rPr>
        <w:t>about</w:t>
      </w:r>
      <w:r>
        <w:rPr>
          <w:rFonts w:ascii="Calibri" w:hAnsi="Calibri" w:cs="Calibri"/>
        </w:rPr>
        <w:t xml:space="preserve"> </w:t>
      </w:r>
      <w:r w:rsidR="00261A00" w:rsidRPr="00E57055">
        <w:rPr>
          <w:rFonts w:ascii="Calibri" w:hAnsi="Calibri" w:cs="Calibri"/>
        </w:rPr>
        <w:t>Renting A Home</w:t>
      </w:r>
      <w:r w:rsidR="00261A00" w:rsidRPr="00203E25">
        <w:rPr>
          <w:rFonts w:ascii="Calibri" w:hAnsi="Calibri" w:cs="Calibri"/>
        </w:rPr>
        <w:t xml:space="preserve"> remained similar to Q1 2021 with some changes in the type of queries received in this area: Notice/Eviction/Disputes queries rose by </w:t>
      </w:r>
      <w:r w:rsidR="005C4189">
        <w:rPr>
          <w:rFonts w:ascii="Calibri" w:hAnsi="Calibri" w:cs="Calibri"/>
        </w:rPr>
        <w:t>5</w:t>
      </w:r>
      <w:r w:rsidR="00261A00" w:rsidRPr="00203E25">
        <w:rPr>
          <w:rFonts w:ascii="Calibri" w:hAnsi="Calibri" w:cs="Calibri"/>
        </w:rPr>
        <w:t xml:space="preserve">% as a percentage of all Renting a Home queries; Rent Review queries rose by 3%; and queries to do with Landlords Rights &amp; Obligations dropped by </w:t>
      </w:r>
      <w:r w:rsidR="005C4189">
        <w:rPr>
          <w:rFonts w:ascii="Calibri" w:hAnsi="Calibri" w:cs="Calibri"/>
        </w:rPr>
        <w:t>4</w:t>
      </w:r>
      <w:r w:rsidR="00261A00" w:rsidRPr="00203E25">
        <w:rPr>
          <w:rFonts w:ascii="Calibri" w:hAnsi="Calibri" w:cs="Calibri"/>
        </w:rPr>
        <w:t>%, as a percentage of all Renting a Home queries.</w:t>
      </w:r>
    </w:p>
    <w:p w14:paraId="72E7F8C3" w14:textId="77777777" w:rsidR="004F7018" w:rsidRDefault="007078D3" w:rsidP="004F7018">
      <w:pPr>
        <w:rPr>
          <w:rFonts w:ascii="Calibri" w:hAnsi="Calibri" w:cs="Calibri"/>
          <w:lang w:val="en-US"/>
        </w:rPr>
      </w:pPr>
      <w:r w:rsidRPr="00261A00">
        <w:rPr>
          <w:rFonts w:ascii="Calibri" w:hAnsi="Calibri" w:cs="Calibri"/>
          <w:lang w:val="en-US"/>
        </w:rPr>
        <w:t xml:space="preserve">Further detail </w:t>
      </w:r>
      <w:r>
        <w:rPr>
          <w:rFonts w:ascii="Calibri" w:hAnsi="Calibri" w:cs="Calibri"/>
          <w:lang w:val="en-US"/>
        </w:rPr>
        <w:t>on</w:t>
      </w:r>
      <w:r w:rsidRPr="00261A00">
        <w:rPr>
          <w:rFonts w:ascii="Calibri" w:hAnsi="Calibri" w:cs="Calibri"/>
          <w:lang w:val="en-US"/>
        </w:rPr>
        <w:t xml:space="preserve"> the </w:t>
      </w:r>
      <w:r w:rsidR="00A42EBC" w:rsidRPr="0038793B">
        <w:rPr>
          <w:rFonts w:ascii="Calibri" w:hAnsi="Calibri" w:cs="Calibri"/>
          <w:b/>
          <w:lang w:val="en-US"/>
        </w:rPr>
        <w:t>top three main</w:t>
      </w:r>
      <w:r w:rsidR="00A42EBC" w:rsidRPr="00853B85">
        <w:rPr>
          <w:rFonts w:ascii="Calibri" w:hAnsi="Calibri" w:cs="Calibri"/>
          <w:lang w:val="en-US"/>
        </w:rPr>
        <w:t xml:space="preserve"> </w:t>
      </w:r>
      <w:r w:rsidR="00A42EBC" w:rsidRPr="00BA2635">
        <w:rPr>
          <w:rFonts w:ascii="Calibri" w:hAnsi="Calibri" w:cs="Calibri"/>
          <w:b/>
          <w:lang w:val="en-US"/>
        </w:rPr>
        <w:t>cat</w:t>
      </w:r>
      <w:r w:rsidR="00A42EBC" w:rsidRPr="00203E25">
        <w:rPr>
          <w:rFonts w:ascii="Calibri" w:hAnsi="Calibri" w:cs="Calibri"/>
          <w:b/>
          <w:lang w:val="en-US"/>
        </w:rPr>
        <w:t>egories</w:t>
      </w:r>
      <w:r w:rsidR="00853B85">
        <w:rPr>
          <w:rFonts w:ascii="Calibri" w:hAnsi="Calibri" w:cs="Calibri"/>
          <w:lang w:val="en-US"/>
        </w:rPr>
        <w:t xml:space="preserve"> of</w:t>
      </w:r>
      <w:r>
        <w:rPr>
          <w:rFonts w:ascii="Calibri" w:hAnsi="Calibri" w:cs="Calibri"/>
          <w:lang w:val="en-US"/>
        </w:rPr>
        <w:t xml:space="preserve"> </w:t>
      </w:r>
      <w:r w:rsidR="00853B85">
        <w:rPr>
          <w:rFonts w:ascii="Calibri" w:hAnsi="Calibri" w:cs="Calibri"/>
          <w:lang w:val="en-US"/>
        </w:rPr>
        <w:t>queries</w:t>
      </w:r>
      <w:r w:rsidR="00212807">
        <w:rPr>
          <w:rFonts w:ascii="Calibri" w:hAnsi="Calibri" w:cs="Calibri"/>
          <w:lang w:val="en-US"/>
        </w:rPr>
        <w:t xml:space="preserve"> </w:t>
      </w:r>
      <w:r w:rsidRPr="00261A00">
        <w:rPr>
          <w:rFonts w:ascii="Calibri" w:hAnsi="Calibri" w:cs="Calibri"/>
          <w:lang w:val="en-US"/>
        </w:rPr>
        <w:t>received in this first quarter of 2022</w:t>
      </w:r>
      <w:r>
        <w:rPr>
          <w:rFonts w:ascii="Calibri" w:hAnsi="Calibri" w:cs="Calibri"/>
          <w:lang w:val="en-US"/>
        </w:rPr>
        <w:t>,</w:t>
      </w:r>
      <w:r w:rsidRPr="00261A00">
        <w:rPr>
          <w:rFonts w:ascii="Calibri" w:hAnsi="Calibri" w:cs="Calibri"/>
          <w:lang w:val="en-US"/>
        </w:rPr>
        <w:t xml:space="preserve"> compared with the first quarter of 2021</w:t>
      </w:r>
      <w:r>
        <w:rPr>
          <w:rFonts w:ascii="Calibri" w:hAnsi="Calibri" w:cs="Calibri"/>
          <w:lang w:val="en-US"/>
        </w:rPr>
        <w:t>,</w:t>
      </w:r>
      <w:r w:rsidRPr="00261A00">
        <w:rPr>
          <w:rFonts w:ascii="Calibri" w:hAnsi="Calibri" w:cs="Calibri"/>
          <w:lang w:val="en-US"/>
        </w:rPr>
        <w:t xml:space="preserve"> are </w:t>
      </w:r>
      <w:r w:rsidR="00C228BC">
        <w:rPr>
          <w:rFonts w:ascii="Calibri" w:hAnsi="Calibri" w:cs="Calibri"/>
          <w:lang w:val="en-US"/>
        </w:rPr>
        <w:t xml:space="preserve">also </w:t>
      </w:r>
      <w:r w:rsidRPr="00261A00">
        <w:rPr>
          <w:rFonts w:ascii="Calibri" w:hAnsi="Calibri" w:cs="Calibri"/>
          <w:lang w:val="en-US"/>
        </w:rPr>
        <w:t xml:space="preserve">set out </w:t>
      </w:r>
      <w:r>
        <w:rPr>
          <w:rFonts w:ascii="Calibri" w:hAnsi="Calibri" w:cs="Calibri"/>
          <w:lang w:val="en-US"/>
        </w:rPr>
        <w:t>in the narrative below.</w:t>
      </w:r>
      <w:r w:rsidR="004F7018">
        <w:rPr>
          <w:rFonts w:ascii="Calibri" w:hAnsi="Calibri" w:cs="Calibri"/>
          <w:lang w:val="en-US"/>
        </w:rPr>
        <w:t xml:space="preserve"> </w:t>
      </w:r>
    </w:p>
    <w:p w14:paraId="03C34B17" w14:textId="37B0EED2" w:rsidR="004F7018" w:rsidRDefault="004F7018" w:rsidP="001D27AB">
      <w:pPr>
        <w:pStyle w:val="CommentText"/>
        <w:rPr>
          <w:rFonts w:ascii="Calibri" w:hAnsi="Calibri" w:cs="Calibri"/>
          <w:lang w:val="en-US"/>
        </w:rPr>
      </w:pPr>
      <w:r w:rsidRPr="004F7018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Chart 1, below, shows the comparison between Q1 2022 and Q1 2021 data in relation to </w:t>
      </w:r>
      <w:r w:rsidR="00F81FD2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the </w:t>
      </w:r>
      <w:r w:rsidRPr="004F7018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>third tier subcategories</w:t>
      </w:r>
      <w:r w:rsidR="00D93AD8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 (i.e. individual payments</w:t>
      </w:r>
      <w:r w:rsidR="00CE6B6D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 and </w:t>
      </w:r>
      <w:r w:rsidR="00D93AD8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>schemes)</w:t>
      </w:r>
      <w:r w:rsidRPr="004F7018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 of Social Welfare q</w:t>
      </w:r>
      <w:r w:rsidR="001D27AB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ueries received from the public. </w:t>
      </w:r>
    </w:p>
    <w:p w14:paraId="30EC2A57" w14:textId="1E7168FE" w:rsidR="007078D3" w:rsidRDefault="007078D3" w:rsidP="007078D3">
      <w:pPr>
        <w:rPr>
          <w:rFonts w:ascii="Calibri" w:hAnsi="Calibri" w:cs="Calibri"/>
          <w:lang w:val="en-US"/>
        </w:rPr>
      </w:pPr>
    </w:p>
    <w:p w14:paraId="70CD201D" w14:textId="57D910F3" w:rsidR="009C1D1B" w:rsidRPr="004F7018" w:rsidRDefault="004F7018" w:rsidP="004F7018">
      <w:pPr>
        <w:pStyle w:val="Heading1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Chart 1</w:t>
      </w:r>
      <w:r w:rsidRPr="000C2E61">
        <w:rPr>
          <w:b/>
          <w:sz w:val="24"/>
          <w:szCs w:val="24"/>
          <w:lang w:val="en-US"/>
        </w:rPr>
        <w:t xml:space="preserve"> – Social Welfare </w:t>
      </w:r>
      <w:r>
        <w:rPr>
          <w:b/>
          <w:sz w:val="24"/>
          <w:szCs w:val="24"/>
          <w:lang w:val="en-US"/>
        </w:rPr>
        <w:t>Sub-category</w:t>
      </w:r>
      <w:r w:rsidRPr="000C2E61">
        <w:rPr>
          <w:b/>
          <w:sz w:val="24"/>
          <w:szCs w:val="24"/>
          <w:lang w:val="en-US"/>
        </w:rPr>
        <w:t xml:space="preserve"> Breakdown</w:t>
      </w:r>
      <w:r>
        <w:rPr>
          <w:b/>
          <w:sz w:val="24"/>
          <w:szCs w:val="24"/>
          <w:lang w:val="en-US"/>
        </w:rPr>
        <w:t>, Q1 2022</w:t>
      </w:r>
    </w:p>
    <w:p w14:paraId="345AA66F" w14:textId="42C70B1D" w:rsidR="005A640A" w:rsidRDefault="005A640A" w:rsidP="00261A00">
      <w:pPr>
        <w:rPr>
          <w:rFonts w:ascii="Calibri" w:hAnsi="Calibri" w:cs="Calibri"/>
          <w:lang w:val="en-US"/>
        </w:rPr>
      </w:pPr>
      <w:r>
        <w:rPr>
          <w:noProof/>
          <w:lang w:eastAsia="en-IE"/>
        </w:rPr>
        <w:drawing>
          <wp:inline distT="0" distB="0" distL="0" distR="0" wp14:anchorId="71350A43" wp14:editId="56AF914C">
            <wp:extent cx="8218714" cy="4191000"/>
            <wp:effectExtent l="0" t="0" r="1143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3A73AB2" w14:textId="77777777" w:rsidR="00B12326" w:rsidRPr="00B12326" w:rsidRDefault="00BB0833" w:rsidP="00B12326">
      <w:pPr>
        <w:rPr>
          <w:rFonts w:ascii="Calibri" w:hAnsi="Calibri" w:cs="Calibri"/>
          <w:sz w:val="18"/>
          <w:szCs w:val="18"/>
          <w:lang w:val="en-US"/>
        </w:rPr>
      </w:pPr>
      <w:r w:rsidRPr="00B12326">
        <w:rPr>
          <w:rFonts w:ascii="Calibri" w:hAnsi="Calibri" w:cs="Calibri"/>
          <w:sz w:val="18"/>
          <w:szCs w:val="18"/>
          <w:lang w:val="en-US"/>
        </w:rPr>
        <w:t xml:space="preserve">* </w:t>
      </w:r>
      <w:r w:rsidRPr="00B12326">
        <w:rPr>
          <w:rFonts w:ascii="Calibri" w:hAnsi="Calibri" w:cs="Calibri"/>
          <w:b/>
          <w:sz w:val="18"/>
          <w:szCs w:val="18"/>
          <w:lang w:val="en-US"/>
        </w:rPr>
        <w:t>Social Welfare - Payments and Work</w:t>
      </w:r>
      <w:r w:rsidR="00B12326" w:rsidRPr="00B12326"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B12326">
        <w:rPr>
          <w:rFonts w:ascii="Calibri" w:hAnsi="Calibri" w:cs="Calibri"/>
          <w:sz w:val="18"/>
          <w:szCs w:val="18"/>
          <w:lang w:val="en-US"/>
        </w:rPr>
        <w:t>was added to the CIS</w:t>
      </w:r>
      <w:r w:rsidR="00B12326" w:rsidRPr="00B12326">
        <w:rPr>
          <w:rFonts w:ascii="Calibri" w:hAnsi="Calibri" w:cs="Calibri"/>
          <w:sz w:val="18"/>
          <w:szCs w:val="18"/>
          <w:lang w:val="en-US"/>
        </w:rPr>
        <w:t xml:space="preserve"> data collection system in October</w:t>
      </w:r>
      <w:r w:rsidRPr="00B12326">
        <w:rPr>
          <w:rFonts w:ascii="Calibri" w:hAnsi="Calibri" w:cs="Calibri"/>
          <w:sz w:val="18"/>
          <w:szCs w:val="18"/>
          <w:lang w:val="en-US"/>
        </w:rPr>
        <w:t xml:space="preserve"> 2021</w:t>
      </w:r>
      <w:r w:rsidR="00B12326" w:rsidRPr="00B12326">
        <w:rPr>
          <w:rFonts w:ascii="Calibri" w:hAnsi="Calibri" w:cs="Calibri"/>
          <w:sz w:val="18"/>
          <w:szCs w:val="18"/>
          <w:lang w:val="en-US"/>
        </w:rPr>
        <w:t xml:space="preserve">  </w:t>
      </w:r>
    </w:p>
    <w:p w14:paraId="49F9C5B9" w14:textId="36BA499F" w:rsidR="00B12326" w:rsidRPr="00B12326" w:rsidRDefault="00BB0833" w:rsidP="00B12326">
      <w:pPr>
        <w:rPr>
          <w:rFonts w:ascii="Calibri" w:hAnsi="Calibri" w:cs="Calibri"/>
          <w:sz w:val="18"/>
          <w:szCs w:val="18"/>
          <w:lang w:val="en-US"/>
        </w:rPr>
      </w:pPr>
      <w:r w:rsidRPr="00B12326">
        <w:rPr>
          <w:rFonts w:ascii="Calibri" w:hAnsi="Calibri" w:cs="Calibri"/>
          <w:sz w:val="18"/>
          <w:szCs w:val="18"/>
          <w:lang w:val="en-US"/>
        </w:rPr>
        <w:t>**</w:t>
      </w:r>
      <w:r w:rsidR="00B12326" w:rsidRPr="00B12326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B12326" w:rsidRPr="00B12326">
        <w:rPr>
          <w:rFonts w:ascii="Calibri" w:hAnsi="Calibri" w:cs="Calibri"/>
          <w:b/>
          <w:sz w:val="18"/>
          <w:szCs w:val="18"/>
          <w:lang w:val="en-US"/>
        </w:rPr>
        <w:t xml:space="preserve">Social Welfare - Benefits Check </w:t>
      </w:r>
      <w:r w:rsidR="00B12326" w:rsidRPr="00B12326">
        <w:rPr>
          <w:rFonts w:ascii="Calibri" w:hAnsi="Calibri" w:cs="Calibri"/>
          <w:sz w:val="18"/>
          <w:szCs w:val="18"/>
          <w:lang w:val="en-US"/>
        </w:rPr>
        <w:t>was added to the CIS data collection system late 2021</w:t>
      </w:r>
    </w:p>
    <w:p w14:paraId="05E1929C" w14:textId="24F96540" w:rsidR="005854F7" w:rsidRPr="00A941B3" w:rsidRDefault="00B60276" w:rsidP="00B12326">
      <w:pPr>
        <w:rPr>
          <w:rFonts w:ascii="Calibri" w:hAnsi="Calibri" w:cs="Calibri"/>
          <w:lang w:val="en-US"/>
        </w:rPr>
      </w:pPr>
      <w:r w:rsidRPr="00A941B3">
        <w:rPr>
          <w:rFonts w:ascii="Calibri" w:hAnsi="Calibri" w:cs="Calibri"/>
          <w:b/>
          <w:lang w:val="en-US"/>
        </w:rPr>
        <w:t>Table 6</w:t>
      </w:r>
      <w:r w:rsidRPr="00A941B3">
        <w:rPr>
          <w:rFonts w:ascii="Calibri" w:hAnsi="Calibri" w:cs="Calibri"/>
          <w:lang w:val="en-US"/>
        </w:rPr>
        <w:t xml:space="preserve"> sets out the </w:t>
      </w:r>
      <w:r w:rsidRPr="00B12326">
        <w:rPr>
          <w:rFonts w:ascii="Calibri" w:hAnsi="Calibri" w:cs="Calibri"/>
          <w:b/>
          <w:lang w:val="en-US"/>
        </w:rPr>
        <w:t>Social Welfare</w:t>
      </w:r>
      <w:r w:rsidRPr="00A941B3">
        <w:rPr>
          <w:rFonts w:ascii="Calibri" w:hAnsi="Calibri" w:cs="Calibri"/>
          <w:lang w:val="en-US"/>
        </w:rPr>
        <w:t xml:space="preserve"> query dataset for </w:t>
      </w:r>
      <w:r w:rsidR="00593B45" w:rsidRPr="00A941B3">
        <w:rPr>
          <w:rFonts w:ascii="Calibri" w:hAnsi="Calibri" w:cs="Calibri"/>
          <w:lang w:val="en-US"/>
        </w:rPr>
        <w:t>Quarter 1</w:t>
      </w:r>
      <w:r w:rsidR="00361EF3" w:rsidRPr="00A941B3">
        <w:rPr>
          <w:rFonts w:ascii="Calibri" w:hAnsi="Calibri" w:cs="Calibri"/>
          <w:lang w:val="en-US"/>
        </w:rPr>
        <w:t>, 2022</w:t>
      </w:r>
      <w:r w:rsidRPr="00A941B3">
        <w:rPr>
          <w:rFonts w:ascii="Calibri" w:hAnsi="Calibri" w:cs="Calibri"/>
          <w:lang w:val="en-US"/>
        </w:rPr>
        <w:t>.</w:t>
      </w:r>
      <w:r w:rsidR="00BB0833">
        <w:rPr>
          <w:rFonts w:ascii="Calibri" w:hAnsi="Calibri" w:cs="Calibri"/>
          <w:lang w:val="en-US"/>
        </w:rPr>
        <w:t xml:space="preserve"> </w:t>
      </w:r>
      <w:r w:rsidRPr="00A941B3">
        <w:rPr>
          <w:rFonts w:ascii="Calibri" w:hAnsi="Calibri" w:cs="Calibri"/>
          <w:lang w:val="en-US"/>
        </w:rPr>
        <w:t>Query sub-categories are presented in thematic</w:t>
      </w:r>
      <w:r w:rsidR="00212807">
        <w:rPr>
          <w:rFonts w:ascii="Calibri" w:hAnsi="Calibri" w:cs="Calibri"/>
          <w:lang w:val="en-US"/>
        </w:rPr>
        <w:t xml:space="preserve"> categories</w:t>
      </w:r>
      <w:r w:rsidRPr="00A941B3">
        <w:rPr>
          <w:rFonts w:ascii="Calibri" w:hAnsi="Calibri" w:cs="Calibri"/>
          <w:lang w:val="en-US"/>
        </w:rPr>
        <w:t xml:space="preserve">, as recorded by CISs. The percentages in the right hand column represent the percentage of queries for that </w:t>
      </w:r>
      <w:r w:rsidR="000155CD">
        <w:rPr>
          <w:rFonts w:ascii="Calibri" w:hAnsi="Calibri" w:cs="Calibri"/>
          <w:lang w:val="en-US"/>
        </w:rPr>
        <w:t xml:space="preserve">data </w:t>
      </w:r>
      <w:r w:rsidRPr="00A941B3">
        <w:rPr>
          <w:rFonts w:ascii="Calibri" w:hAnsi="Calibri" w:cs="Calibri"/>
          <w:lang w:val="en-US"/>
        </w:rPr>
        <w:t xml:space="preserve">sub-category i.e. the </w:t>
      </w:r>
      <w:r w:rsidRPr="00212807">
        <w:rPr>
          <w:rFonts w:ascii="Calibri" w:hAnsi="Calibri" w:cs="Calibri"/>
          <w:i/>
          <w:lang w:val="en-US"/>
        </w:rPr>
        <w:t>Disability Allowance</w:t>
      </w:r>
      <w:r w:rsidRPr="00A941B3">
        <w:rPr>
          <w:rFonts w:ascii="Calibri" w:hAnsi="Calibri" w:cs="Calibri"/>
          <w:lang w:val="en-US"/>
        </w:rPr>
        <w:t xml:space="preserve"> percentage represents the queries recorded as a percentage of the </w:t>
      </w:r>
      <w:r w:rsidRPr="00A941B3">
        <w:rPr>
          <w:rFonts w:ascii="Calibri" w:hAnsi="Calibri" w:cs="Calibri"/>
          <w:b/>
          <w:i/>
          <w:lang w:val="en-US"/>
        </w:rPr>
        <w:t>Disability and Illness</w:t>
      </w:r>
      <w:r w:rsidRPr="00A941B3">
        <w:rPr>
          <w:rFonts w:ascii="Calibri" w:hAnsi="Calibri" w:cs="Calibri"/>
          <w:lang w:val="en-US"/>
        </w:rPr>
        <w:t xml:space="preserve"> sub-category. </w:t>
      </w:r>
    </w:p>
    <w:p w14:paraId="0BE3DD06" w14:textId="5A47829A" w:rsidR="008B2863" w:rsidRDefault="008B2863" w:rsidP="00361EF3">
      <w:pPr>
        <w:spacing w:line="240" w:lineRule="auto"/>
        <w:rPr>
          <w:rFonts w:ascii="Calibri" w:hAnsi="Calibri" w:cs="Calibri"/>
          <w:lang w:val="en-US"/>
        </w:rPr>
      </w:pPr>
      <w:r w:rsidRPr="00F81FD2">
        <w:rPr>
          <w:rFonts w:ascii="Calibri" w:hAnsi="Calibri" w:cs="Calibri"/>
          <w:b/>
          <w:lang w:val="en-US"/>
        </w:rPr>
        <w:lastRenderedPageBreak/>
        <w:t>S</w:t>
      </w:r>
      <w:r w:rsidR="00853B85" w:rsidRPr="00F81FD2">
        <w:rPr>
          <w:rFonts w:ascii="Calibri" w:hAnsi="Calibri" w:cs="Calibri"/>
          <w:b/>
          <w:lang w:val="en-US"/>
        </w:rPr>
        <w:t xml:space="preserve">ocial Welfare payment trends Q1, </w:t>
      </w:r>
      <w:r w:rsidR="001D27AB" w:rsidRPr="00F81FD2">
        <w:rPr>
          <w:rFonts w:ascii="Calibri" w:hAnsi="Calibri" w:cs="Calibri"/>
          <w:b/>
          <w:lang w:val="en-US"/>
        </w:rPr>
        <w:t>2022</w:t>
      </w:r>
      <w:r w:rsidR="001D27AB">
        <w:rPr>
          <w:rFonts w:ascii="Calibri" w:hAnsi="Calibri" w:cs="Calibri"/>
          <w:lang w:val="en-US"/>
        </w:rPr>
        <w:t>:</w:t>
      </w:r>
    </w:p>
    <w:p w14:paraId="79CCC71E" w14:textId="60DFF87D" w:rsidR="00D93AD8" w:rsidRPr="00BA2635" w:rsidRDefault="00D93AD8" w:rsidP="00853B85">
      <w:pPr>
        <w:pStyle w:val="CommentTex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BA263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The top four sub-categories, with queries exceeding 10k+ respectively were </w:t>
      </w:r>
      <w:r w:rsidRPr="00BA2635">
        <w:rPr>
          <w:rFonts w:ascii="Calibri" w:eastAsia="Times New Roman" w:hAnsi="Calibri" w:cs="Calibri"/>
          <w:b/>
          <w:color w:val="000000"/>
          <w:sz w:val="22"/>
          <w:szCs w:val="22"/>
          <w:lang w:eastAsia="en-IE"/>
        </w:rPr>
        <w:t>Disability and Illness</w:t>
      </w:r>
      <w:r w:rsidRPr="00BA263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; </w:t>
      </w:r>
      <w:r w:rsidRPr="00BA2635">
        <w:rPr>
          <w:rFonts w:ascii="Calibri" w:eastAsia="Times New Roman" w:hAnsi="Calibri" w:cs="Calibri"/>
          <w:b/>
          <w:color w:val="000000"/>
          <w:sz w:val="22"/>
          <w:szCs w:val="22"/>
          <w:lang w:eastAsia="en-IE"/>
        </w:rPr>
        <w:t>Extra Social Welfare Benefits</w:t>
      </w:r>
      <w:r w:rsidRPr="00BA263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; </w:t>
      </w:r>
      <w:r w:rsidRPr="00BA2635">
        <w:rPr>
          <w:rFonts w:ascii="Calibri" w:eastAsia="Times New Roman" w:hAnsi="Calibri" w:cs="Calibri"/>
          <w:b/>
          <w:color w:val="000000"/>
          <w:sz w:val="22"/>
          <w:szCs w:val="22"/>
          <w:lang w:eastAsia="en-IE"/>
        </w:rPr>
        <w:t>Older and Retired People</w:t>
      </w:r>
      <w:r w:rsidRPr="00BA263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 and </w:t>
      </w:r>
      <w:r w:rsidRPr="00BA2635">
        <w:rPr>
          <w:rFonts w:ascii="Calibri" w:eastAsia="Times New Roman" w:hAnsi="Calibri" w:cs="Calibri"/>
          <w:b/>
          <w:color w:val="000000"/>
          <w:sz w:val="22"/>
          <w:szCs w:val="22"/>
          <w:lang w:eastAsia="en-IE"/>
        </w:rPr>
        <w:t>Carer’s</w:t>
      </w:r>
      <w:r w:rsidRPr="00BA263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. </w:t>
      </w:r>
    </w:p>
    <w:p w14:paraId="62031BCD" w14:textId="3997ECB1" w:rsidR="00212807" w:rsidRPr="00853B85" w:rsidRDefault="008B2863" w:rsidP="00853B85">
      <w:pPr>
        <w:pStyle w:val="CommentTex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53B85">
        <w:rPr>
          <w:rFonts w:ascii="Calibri" w:eastAsia="Times New Roman" w:hAnsi="Calibri" w:cs="Calibri"/>
          <w:b/>
          <w:color w:val="000000"/>
          <w:sz w:val="22"/>
          <w:szCs w:val="22"/>
          <w:lang w:eastAsia="en-IE"/>
        </w:rPr>
        <w:t>State Pension Contributory</w:t>
      </w:r>
      <w:r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 and </w:t>
      </w:r>
      <w:r w:rsidRPr="00853B85">
        <w:rPr>
          <w:rFonts w:ascii="Calibri" w:eastAsia="Times New Roman" w:hAnsi="Calibri" w:cs="Calibri"/>
          <w:b/>
          <w:color w:val="000000"/>
          <w:sz w:val="22"/>
          <w:szCs w:val="22"/>
          <w:lang w:eastAsia="en-IE"/>
        </w:rPr>
        <w:t>Carer’s Allowance</w:t>
      </w:r>
      <w:r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 payments were the highest single </w:t>
      </w:r>
      <w:r w:rsidR="008A5345"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payment </w:t>
      </w:r>
      <w:r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>area</w:t>
      </w:r>
      <w:r w:rsidR="008A5345"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>s</w:t>
      </w:r>
      <w:r w:rsidR="00CD1EE4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>.</w:t>
      </w:r>
      <w:r w:rsid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 </w:t>
      </w:r>
      <w:r w:rsidR="00361EF3" w:rsidRPr="00853B85">
        <w:rPr>
          <w:rFonts w:ascii="Calibri" w:eastAsia="Times New Roman" w:hAnsi="Calibri" w:cs="Calibri"/>
          <w:b/>
          <w:color w:val="000000"/>
          <w:sz w:val="22"/>
          <w:szCs w:val="22"/>
          <w:lang w:eastAsia="en-IE"/>
        </w:rPr>
        <w:t>Carers Allowance</w:t>
      </w:r>
      <w:r w:rsidR="00361EF3"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 increased </w:t>
      </w:r>
      <w:r w:rsidR="00B50688"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>by 29% (</w:t>
      </w:r>
      <w:r w:rsidR="00361EF3"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>6,548 in Q1 2022, compared with 5,074 in Q1 2021</w:t>
      </w:r>
      <w:r w:rsidR="00B50688"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>)</w:t>
      </w:r>
      <w:r w:rsidR="00361EF3"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 </w:t>
      </w:r>
      <w:r w:rsidR="00B50688"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 - </w:t>
      </w:r>
      <w:r w:rsidR="00212807"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and </w:t>
      </w:r>
      <w:r w:rsidR="00B50688"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>represents two t</w:t>
      </w:r>
      <w:r w:rsidR="00853B85"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>hirds of queries in the Carer’s</w:t>
      </w:r>
      <w:r w:rsidR="00B50688" w:rsidRPr="00853B85">
        <w:rPr>
          <w:rFonts w:ascii="Calibri" w:eastAsia="Times New Roman" w:hAnsi="Calibri" w:cs="Calibri"/>
          <w:color w:val="000000"/>
          <w:sz w:val="22"/>
          <w:szCs w:val="22"/>
          <w:lang w:eastAsia="en-IE"/>
        </w:rPr>
        <w:t xml:space="preserve"> sub-category </w:t>
      </w:r>
    </w:p>
    <w:p w14:paraId="23419223" w14:textId="256219FE" w:rsidR="00B50688" w:rsidRDefault="00B50688" w:rsidP="00B50688">
      <w:pPr>
        <w:pStyle w:val="ListParagraph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color w:val="000000"/>
          <w:lang w:eastAsia="en-IE"/>
        </w:rPr>
      </w:pPr>
      <w:r w:rsidRPr="00A941B3">
        <w:rPr>
          <w:rFonts w:ascii="Calibri" w:eastAsia="Times New Roman" w:hAnsi="Calibri" w:cs="Calibri"/>
          <w:b/>
          <w:color w:val="000000"/>
          <w:lang w:eastAsia="en-IE"/>
        </w:rPr>
        <w:t>Disability Allowance</w:t>
      </w:r>
      <w:r w:rsidRPr="00A941B3">
        <w:rPr>
          <w:rFonts w:ascii="Calibri" w:eastAsia="Times New Roman" w:hAnsi="Calibri" w:cs="Calibri"/>
          <w:color w:val="000000"/>
          <w:lang w:eastAsia="en-IE"/>
        </w:rPr>
        <w:t xml:space="preserve"> queries increase</w:t>
      </w:r>
      <w:r>
        <w:rPr>
          <w:rFonts w:ascii="Calibri" w:eastAsia="Times New Roman" w:hAnsi="Calibri" w:cs="Calibri"/>
          <w:color w:val="000000"/>
          <w:lang w:eastAsia="en-IE"/>
        </w:rPr>
        <w:t xml:space="preserve">d </w:t>
      </w:r>
      <w:r w:rsidR="00F574C0">
        <w:rPr>
          <w:rFonts w:ascii="Calibri" w:eastAsia="Times New Roman" w:hAnsi="Calibri" w:cs="Calibri"/>
          <w:color w:val="000000"/>
          <w:lang w:eastAsia="en-IE"/>
        </w:rPr>
        <w:t>significantly - up by 42%</w:t>
      </w:r>
      <w:r w:rsidR="00260316">
        <w:rPr>
          <w:rFonts w:ascii="Calibri" w:eastAsia="Times New Roman" w:hAnsi="Calibri" w:cs="Calibri"/>
          <w:color w:val="000000"/>
          <w:lang w:eastAsia="en-IE"/>
        </w:rPr>
        <w:t xml:space="preserve"> (from 4,369 to 6,221) </w:t>
      </w:r>
      <w:r w:rsidR="00F574C0">
        <w:rPr>
          <w:rFonts w:ascii="Calibri" w:eastAsia="Times New Roman" w:hAnsi="Calibri" w:cs="Calibri"/>
          <w:color w:val="000000"/>
          <w:lang w:eastAsia="en-IE"/>
        </w:rPr>
        <w:t xml:space="preserve">and rose </w:t>
      </w:r>
      <w:r>
        <w:rPr>
          <w:rFonts w:ascii="Calibri" w:eastAsia="Times New Roman" w:hAnsi="Calibri" w:cs="Calibri"/>
          <w:color w:val="000000"/>
          <w:lang w:eastAsia="en-IE"/>
        </w:rPr>
        <w:t xml:space="preserve">slightly </w:t>
      </w:r>
      <w:r w:rsidRPr="00A941B3">
        <w:rPr>
          <w:rFonts w:ascii="Calibri" w:eastAsia="Times New Roman" w:hAnsi="Calibri" w:cs="Calibri"/>
          <w:color w:val="000000"/>
          <w:lang w:eastAsia="en-IE"/>
        </w:rPr>
        <w:t>as a percentage of Disability and Illness</w:t>
      </w:r>
      <w:r>
        <w:rPr>
          <w:rFonts w:ascii="Calibri" w:eastAsia="Times New Roman" w:hAnsi="Calibri" w:cs="Calibri"/>
          <w:color w:val="000000"/>
          <w:lang w:eastAsia="en-IE"/>
        </w:rPr>
        <w:t xml:space="preserve"> queries</w:t>
      </w:r>
      <w:r w:rsidR="00F574C0">
        <w:rPr>
          <w:rFonts w:ascii="Calibri" w:eastAsia="Times New Roman" w:hAnsi="Calibri" w:cs="Calibri"/>
          <w:color w:val="000000"/>
          <w:lang w:eastAsia="en-IE"/>
        </w:rPr>
        <w:t>, continuing to be the top payment in this category</w:t>
      </w:r>
    </w:p>
    <w:p w14:paraId="051051F5" w14:textId="77777777" w:rsidR="00853B85" w:rsidRDefault="00853B85" w:rsidP="00853B85">
      <w:pPr>
        <w:pStyle w:val="ListParagraph"/>
        <w:spacing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4BD197CB" w14:textId="6C607728" w:rsidR="009F073C" w:rsidRDefault="009F073C" w:rsidP="009F073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865EC0">
        <w:rPr>
          <w:rFonts w:ascii="Calibri" w:hAnsi="Calibri" w:cs="Calibri"/>
          <w:b/>
        </w:rPr>
        <w:t>Fuel Allowance</w:t>
      </w:r>
      <w:r w:rsidRPr="007078D3">
        <w:rPr>
          <w:rFonts w:ascii="Calibri" w:hAnsi="Calibri" w:cs="Calibri"/>
        </w:rPr>
        <w:t xml:space="preserve"> queries </w:t>
      </w:r>
      <w:r>
        <w:rPr>
          <w:rFonts w:ascii="Calibri" w:hAnsi="Calibri" w:cs="Calibri"/>
        </w:rPr>
        <w:t xml:space="preserve">almost </w:t>
      </w:r>
      <w:r w:rsidRPr="007078D3">
        <w:rPr>
          <w:rFonts w:ascii="Calibri" w:hAnsi="Calibri" w:cs="Calibri"/>
        </w:rPr>
        <w:t>doubled</w:t>
      </w:r>
      <w:r w:rsidR="00CE32BB">
        <w:rPr>
          <w:rFonts w:ascii="Calibri" w:hAnsi="Calibri" w:cs="Calibri"/>
        </w:rPr>
        <w:t xml:space="preserve"> </w:t>
      </w:r>
      <w:r w:rsidRPr="007078D3">
        <w:rPr>
          <w:rFonts w:ascii="Calibri" w:hAnsi="Calibri" w:cs="Calibri"/>
        </w:rPr>
        <w:t xml:space="preserve">from 2,567 in Q1 2021 to </w:t>
      </w:r>
      <w:r w:rsidRPr="007078D3">
        <w:rPr>
          <w:rFonts w:ascii="Calibri" w:hAnsi="Calibri" w:cs="Calibri"/>
          <w:b/>
        </w:rPr>
        <w:t>5,049 in Q1 2022</w:t>
      </w:r>
      <w:r w:rsidRPr="007078D3">
        <w:rPr>
          <w:rFonts w:ascii="Calibri" w:hAnsi="Calibri" w:cs="Calibri"/>
        </w:rPr>
        <w:t xml:space="preserve"> </w:t>
      </w:r>
    </w:p>
    <w:p w14:paraId="0B476CDC" w14:textId="77777777" w:rsidR="009F073C" w:rsidRPr="00A941B3" w:rsidRDefault="009F073C" w:rsidP="00E64426">
      <w:pPr>
        <w:pStyle w:val="ListParagraph"/>
        <w:spacing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7591573F" w14:textId="149638B6" w:rsidR="00361EF3" w:rsidRDefault="00B60276" w:rsidP="005854F7">
      <w:pPr>
        <w:pStyle w:val="Heading1"/>
        <w:rPr>
          <w:b/>
          <w:sz w:val="24"/>
          <w:szCs w:val="24"/>
          <w:lang w:val="en-US"/>
        </w:rPr>
      </w:pPr>
      <w:r w:rsidRPr="000C2E61">
        <w:rPr>
          <w:b/>
          <w:sz w:val="24"/>
          <w:szCs w:val="24"/>
          <w:lang w:val="en-US"/>
        </w:rPr>
        <w:t>Table 6 – Social Welfare Query Breakdown</w:t>
      </w:r>
      <w:r w:rsidR="00593B45">
        <w:rPr>
          <w:b/>
          <w:sz w:val="24"/>
          <w:szCs w:val="24"/>
          <w:lang w:val="en-US"/>
        </w:rPr>
        <w:t>, Q1</w:t>
      </w:r>
      <w:r w:rsidR="00361EF3">
        <w:rPr>
          <w:b/>
          <w:sz w:val="24"/>
          <w:szCs w:val="24"/>
          <w:lang w:val="en-US"/>
        </w:rPr>
        <w:t xml:space="preserve"> 2022</w:t>
      </w:r>
    </w:p>
    <w:tbl>
      <w:tblPr>
        <w:tblW w:w="13297" w:type="dxa"/>
        <w:tblLook w:val="04A0" w:firstRow="1" w:lastRow="0" w:firstColumn="1" w:lastColumn="0" w:noHBand="0" w:noVBand="1"/>
      </w:tblPr>
      <w:tblGrid>
        <w:gridCol w:w="1870"/>
        <w:gridCol w:w="3790"/>
        <w:gridCol w:w="4888"/>
        <w:gridCol w:w="1590"/>
        <w:gridCol w:w="1159"/>
      </w:tblGrid>
      <w:tr w:rsidR="00086782" w:rsidRPr="00CF2862" w14:paraId="21FBB9F2" w14:textId="77777777" w:rsidTr="00126AD3">
        <w:trPr>
          <w:trHeight w:val="1224"/>
        </w:trPr>
        <w:tc>
          <w:tcPr>
            <w:tcW w:w="1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208322C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379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61D9C33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488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7A232B8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Q1, 2022 Sub-category Breakdown</w:t>
            </w:r>
          </w:p>
        </w:tc>
        <w:tc>
          <w:tcPr>
            <w:tcW w:w="159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3249173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1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390C253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% of Social Welfare Sub-category</w:t>
            </w:r>
          </w:p>
        </w:tc>
      </w:tr>
      <w:tr w:rsidR="00CF2862" w:rsidRPr="00CF2862" w14:paraId="4F60F7A3" w14:textId="77777777" w:rsidTr="00C63E75">
        <w:trPr>
          <w:trHeight w:val="328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1193707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Disability and Illness</w:t>
            </w:r>
          </w:p>
        </w:tc>
      </w:tr>
      <w:tr w:rsidR="00086782" w:rsidRPr="00CF2862" w14:paraId="1E6598B1" w14:textId="77777777" w:rsidTr="00126AD3">
        <w:trPr>
          <w:trHeight w:val="332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608F7D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119B65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2753EB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6F49A4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6221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D033F3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42.72%</w:t>
            </w:r>
          </w:p>
        </w:tc>
      </w:tr>
      <w:tr w:rsidR="00086782" w:rsidRPr="00CF2862" w14:paraId="35D5163A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A9F869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4FBCD0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F4CAB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C1204D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5123BF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30.51%</w:t>
            </w:r>
          </w:p>
        </w:tc>
      </w:tr>
      <w:tr w:rsidR="00086782" w:rsidRPr="00CF2862" w14:paraId="15D56864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AC27F9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A6B45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061C65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204170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2832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1F3822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19.45%</w:t>
            </w:r>
          </w:p>
        </w:tc>
      </w:tr>
      <w:tr w:rsidR="00086782" w:rsidRPr="00CF2862" w14:paraId="1CF7B4D8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71283B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53F6F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C35783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Partial Capacity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A5252D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341C38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3.75%</w:t>
            </w:r>
          </w:p>
        </w:tc>
      </w:tr>
      <w:tr w:rsidR="00086782" w:rsidRPr="00CF2862" w14:paraId="3B66CF92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5E173E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528FA1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00EA6D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Injury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D2323D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823404E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1.56%</w:t>
            </w:r>
          </w:p>
        </w:tc>
      </w:tr>
      <w:tr w:rsidR="00086782" w:rsidRPr="00CF2862" w14:paraId="03A4B20B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235E8B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2D4B5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AFE52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Occupational Injuries Benefit Scheme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BF6EADF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A9D67D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1.03%</w:t>
            </w:r>
          </w:p>
        </w:tc>
      </w:tr>
      <w:tr w:rsidR="00086782" w:rsidRPr="00CF2862" w14:paraId="0F207C85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04EFFE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BB10D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81C12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 Payment (Blind Pension/Other)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DACB3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B371C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0.98%</w:t>
            </w:r>
          </w:p>
        </w:tc>
      </w:tr>
      <w:tr w:rsidR="00086782" w:rsidRPr="00CF2862" w14:paraId="0E8D3F5B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C55A7A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D0D610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54FF53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77F87F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14,562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28EE253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11AC50C6" w14:textId="77777777" w:rsidTr="00C63E75">
        <w:trPr>
          <w:trHeight w:val="328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C4382F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Extra Social Welfare Benefits</w:t>
            </w:r>
          </w:p>
        </w:tc>
      </w:tr>
      <w:tr w:rsidR="00086782" w:rsidRPr="00CF2862" w14:paraId="5D300407" w14:textId="77777777" w:rsidTr="00126AD3">
        <w:trPr>
          <w:trHeight w:val="248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AA36C6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82BFA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FE41E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Fuel Allowance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933208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5049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7373D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37.45%</w:t>
            </w:r>
          </w:p>
        </w:tc>
      </w:tr>
      <w:tr w:rsidR="00086782" w:rsidRPr="00CF2862" w14:paraId="37E5F681" w14:textId="77777777" w:rsidTr="00126AD3">
        <w:trPr>
          <w:trHeight w:val="266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617636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A4C23C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60480B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Household Benefits Package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5CA27D9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4592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677AF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34.06%</w:t>
            </w:r>
          </w:p>
        </w:tc>
      </w:tr>
      <w:tr w:rsidR="00086782" w:rsidRPr="00CF2862" w14:paraId="5130917A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C2E8E5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17E43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C9B03C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Free Travel (Travel Card, Companion Card, etc.)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1ED7FA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F46FBA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13.14%</w:t>
            </w:r>
          </w:p>
        </w:tc>
      </w:tr>
      <w:tr w:rsidR="00086782" w:rsidRPr="00CF2862" w14:paraId="6E6D8816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F49D96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F26F7D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4FF241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Living Alone Increase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B183B2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A32FC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12.10%</w:t>
            </w:r>
          </w:p>
        </w:tc>
      </w:tr>
      <w:tr w:rsidR="00086782" w:rsidRPr="00CF2862" w14:paraId="7E1FDB4B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B0AB23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64F74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06F10E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Telephone Support Allowance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FE8F51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0E640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2.47%</w:t>
            </w:r>
          </w:p>
        </w:tc>
      </w:tr>
      <w:tr w:rsidR="00086782" w:rsidRPr="00CF2862" w14:paraId="6F7008C5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72CD78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E55966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47711D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Treatment Benefits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6F4D9E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A58102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0.69%</w:t>
            </w:r>
          </w:p>
        </w:tc>
      </w:tr>
      <w:tr w:rsidR="00086782" w:rsidRPr="00CF2862" w14:paraId="0DE1B477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80D69A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59AD75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446D9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Christmas Bonus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2C0D7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0CA9F9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0.10%</w:t>
            </w:r>
          </w:p>
        </w:tc>
      </w:tr>
      <w:tr w:rsidR="00086782" w:rsidRPr="00CF2862" w14:paraId="0E5E5630" w14:textId="77777777" w:rsidTr="00126AD3">
        <w:trPr>
          <w:trHeight w:val="328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6D4E83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DD352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4E368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08F76F8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13,482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AD3E75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7E46EBDD" w14:textId="77777777" w:rsidTr="00C63E75">
        <w:trPr>
          <w:trHeight w:val="328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41D2CA7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Older and Retired People</w:t>
            </w:r>
          </w:p>
        </w:tc>
      </w:tr>
      <w:tr w:rsidR="00086782" w:rsidRPr="00CF2862" w14:paraId="1021E47C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1D37E6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A4749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51A339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State Pension/Contributory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399A5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6564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1E3EDA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61.11%</w:t>
            </w:r>
          </w:p>
        </w:tc>
      </w:tr>
      <w:tr w:rsidR="00086782" w:rsidRPr="00CF2862" w14:paraId="03CD3A86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F472C5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87C971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BC271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State Pension/Non Contributory Pension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3474DF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E746ED8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23.54%</w:t>
            </w:r>
          </w:p>
        </w:tc>
      </w:tr>
      <w:tr w:rsidR="00086782" w:rsidRPr="00CF2862" w14:paraId="39233D5B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34AE97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BEA67D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A9DC02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Payment for people who retire at 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0E0677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BEEF46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6.92%</w:t>
            </w:r>
          </w:p>
        </w:tc>
      </w:tr>
      <w:tr w:rsidR="00086782" w:rsidRPr="00CF2862" w14:paraId="71F238E1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7F5A46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5B0BCD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4856A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Qualified Adults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A30E509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0CF761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4.88%</w:t>
            </w:r>
          </w:p>
        </w:tc>
      </w:tr>
      <w:tr w:rsidR="00086782" w:rsidRPr="00CF2862" w14:paraId="0D734E3D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47CF87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55AAD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88462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UK Pensions/Brexit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4F7779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4B2E11F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2.33%</w:t>
            </w:r>
          </w:p>
        </w:tc>
      </w:tr>
      <w:tr w:rsidR="00086782" w:rsidRPr="00CF2862" w14:paraId="3074AED0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8D23E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0A6E8B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E39F31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EU/International Pensions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02EBD6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25C7F3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1.23%</w:t>
            </w:r>
          </w:p>
        </w:tc>
      </w:tr>
      <w:tr w:rsidR="00086782" w:rsidRPr="00CF2862" w14:paraId="40CF5BCF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7632CD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2BD092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15FCF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B96154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10,742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BB203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598BF905" w14:textId="77777777" w:rsidTr="00C63E75">
        <w:trPr>
          <w:trHeight w:val="328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E01E3C5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Carers</w:t>
            </w:r>
          </w:p>
        </w:tc>
      </w:tr>
      <w:tr w:rsidR="00086782" w:rsidRPr="00CF2862" w14:paraId="349082AB" w14:textId="77777777" w:rsidTr="00126AD3">
        <w:trPr>
          <w:trHeight w:val="299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9DD29C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498A5E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F20D33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Carer's Allowance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9532E49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6548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23696E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65.38%</w:t>
            </w:r>
          </w:p>
        </w:tc>
      </w:tr>
      <w:tr w:rsidR="00086782" w:rsidRPr="00CF2862" w14:paraId="55B9667B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6F1AE9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0C2BF5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A33AEE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Carer's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BC960CE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793A1F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11.62%</w:t>
            </w:r>
          </w:p>
        </w:tc>
      </w:tr>
      <w:tr w:rsidR="00086782" w:rsidRPr="00CF2862" w14:paraId="7C40D90F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49D702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E4381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49E0B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93DC19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37944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11.01%</w:t>
            </w:r>
          </w:p>
        </w:tc>
      </w:tr>
      <w:tr w:rsidR="00086782" w:rsidRPr="00CF2862" w14:paraId="6608E097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ED4102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87CA42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0B31D6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Carer's Support Grant (Respite Care Grant)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27CB896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5C23219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9.01%</w:t>
            </w:r>
          </w:p>
        </w:tc>
      </w:tr>
      <w:tr w:rsidR="00086782" w:rsidRPr="00CF2862" w14:paraId="7D0F5EA8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D9CF63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99DA0E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F317A9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Half-rate Carer's Allowance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8386B5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77BA25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2.98%</w:t>
            </w:r>
          </w:p>
        </w:tc>
      </w:tr>
      <w:tr w:rsidR="00086782" w:rsidRPr="00CF2862" w14:paraId="459A7C5C" w14:textId="77777777" w:rsidTr="00126AD3">
        <w:trPr>
          <w:trHeight w:val="328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1AF53A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E2A35C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45D8E3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2506E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10,015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B85C31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1F745306" w14:textId="77777777" w:rsidTr="00C63E75">
        <w:trPr>
          <w:trHeight w:val="328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2A1ACF0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Families and Children</w:t>
            </w:r>
          </w:p>
        </w:tc>
      </w:tr>
      <w:tr w:rsidR="00086782" w:rsidRPr="00CF2862" w14:paraId="4BE34A6F" w14:textId="77777777" w:rsidTr="00126AD3">
        <w:trPr>
          <w:trHeight w:val="414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CA1CCD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63D499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3E44F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Working Family Payment (WFP) formerly FIS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E84FEE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3224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4F510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32.94%</w:t>
            </w:r>
          </w:p>
        </w:tc>
      </w:tr>
      <w:tr w:rsidR="00086782" w:rsidRPr="00CF2862" w14:paraId="742D8A86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9AB719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30C16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6799F8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2EA06F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18F9A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22.27%</w:t>
            </w:r>
          </w:p>
        </w:tc>
      </w:tr>
      <w:tr w:rsidR="00086782" w:rsidRPr="00CF2862" w14:paraId="426B56C2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2282C3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36203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7EA1B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0ECB1E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492E51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11.51%</w:t>
            </w:r>
          </w:p>
        </w:tc>
      </w:tr>
      <w:tr w:rsidR="00086782" w:rsidRPr="00CF2862" w14:paraId="4D3C58B4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AEC1B5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E150F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4EBD95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Maternity/ Adoptive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6FDAEA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D213008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9.29%</w:t>
            </w:r>
          </w:p>
        </w:tc>
      </w:tr>
      <w:tr w:rsidR="00086782" w:rsidRPr="00CF2862" w14:paraId="1D545CAE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F23DB4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D9F8C6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CDB31C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Increase for a Qualified Adult (IQA)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12572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A5FFD6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6.93%</w:t>
            </w:r>
          </w:p>
        </w:tc>
      </w:tr>
      <w:tr w:rsidR="00086782" w:rsidRPr="00CF2862" w14:paraId="585B1DED" w14:textId="77777777" w:rsidTr="00126AD3">
        <w:trPr>
          <w:trHeight w:val="328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87451E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17805A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47EC57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Parent's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E6A5D9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1955143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5.25%</w:t>
            </w:r>
          </w:p>
        </w:tc>
      </w:tr>
      <w:tr w:rsidR="00086782" w:rsidRPr="00CF2862" w14:paraId="5C8F0D6F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A97FBD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3A55E3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1D430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Increase for a Qualified Child (IQC)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FA0F03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C2BEF7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4.88%</w:t>
            </w:r>
          </w:p>
        </w:tc>
      </w:tr>
      <w:tr w:rsidR="00086782" w:rsidRPr="00CF2862" w14:paraId="30D6CB7F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034DA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C753A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DE08F2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Paternity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AE16799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4501F8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2.69%</w:t>
            </w:r>
          </w:p>
        </w:tc>
      </w:tr>
      <w:tr w:rsidR="00086782" w:rsidRPr="00CF2862" w14:paraId="32A56BA5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49A33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307A49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742EBE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Back to Work Family Dividend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60169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A4E8DDE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2.16%</w:t>
            </w:r>
          </w:p>
        </w:tc>
      </w:tr>
      <w:tr w:rsidR="00086782" w:rsidRPr="00CF2862" w14:paraId="59CD0D00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1F654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27DCB9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EF8DF9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Back to School Clothing &amp; Footwear Allowance (BTSCFA)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A6550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4180D8F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1.11%</w:t>
            </w:r>
          </w:p>
        </w:tc>
      </w:tr>
      <w:tr w:rsidR="00086782" w:rsidRPr="00CF2862" w14:paraId="3FB784DA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A78A22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F0796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6DF46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Health and Safety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44FB3E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67306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0.60%</w:t>
            </w:r>
          </w:p>
        </w:tc>
      </w:tr>
      <w:tr w:rsidR="00086782" w:rsidRPr="00CF2862" w14:paraId="6C579425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E707EF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CC335B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7F0E76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Deserted Wife's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FE940A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629E1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0.24%</w:t>
            </w:r>
          </w:p>
        </w:tc>
      </w:tr>
      <w:tr w:rsidR="00086782" w:rsidRPr="00CF2862" w14:paraId="2B9238D7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6DB4DB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640820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3CA053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Deserted Wife's Allowance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836D64F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AC891E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0.13%</w:t>
            </w:r>
          </w:p>
        </w:tc>
      </w:tr>
      <w:tr w:rsidR="00086782" w:rsidRPr="00CF2862" w14:paraId="7DDFAB7D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39B559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92E5DC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CFE3A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C5C262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9,787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3156E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35B9D140" w14:textId="77777777" w:rsidTr="00C63E75">
        <w:trPr>
          <w:trHeight w:val="328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8C2D6DF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Unemployed People</w:t>
            </w:r>
          </w:p>
        </w:tc>
      </w:tr>
      <w:tr w:rsidR="00086782" w:rsidRPr="00CF2862" w14:paraId="78E78948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49D4C7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18BE86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6033A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8A96A66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663ACC3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52.17%</w:t>
            </w:r>
          </w:p>
        </w:tc>
      </w:tr>
      <w:tr w:rsidR="00086782" w:rsidRPr="00CF2862" w14:paraId="5631DACD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58A843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DFE418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E24262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BD80DF6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9CA34F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33.22%</w:t>
            </w:r>
          </w:p>
        </w:tc>
      </w:tr>
      <w:tr w:rsidR="00086782" w:rsidRPr="00CF2862" w14:paraId="29BD2A77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1A3C0C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27E8D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01B4ED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Payments and Work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2ABD7A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57C39A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8.02%</w:t>
            </w:r>
          </w:p>
        </w:tc>
      </w:tr>
      <w:tr w:rsidR="00086782" w:rsidRPr="00CF2862" w14:paraId="0A657501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912ECC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613389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A6E8A3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Jobseeker's Transitional Payment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DBA256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939685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5.52%</w:t>
            </w:r>
          </w:p>
        </w:tc>
      </w:tr>
      <w:tr w:rsidR="00086782" w:rsidRPr="00CF2862" w14:paraId="388B95D0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1466A3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565014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EEE665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Unemployed following self-employment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AD9133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4C3D9E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1.07%</w:t>
            </w:r>
          </w:p>
        </w:tc>
      </w:tr>
      <w:tr w:rsidR="00086782" w:rsidRPr="00CF2862" w14:paraId="1C9CFDCA" w14:textId="77777777" w:rsidTr="00126AD3">
        <w:trPr>
          <w:trHeight w:val="328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DFF220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FCA569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068C11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DC447D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8,046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E054E63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7DAAEF50" w14:textId="77777777" w:rsidTr="00C63E75">
        <w:trPr>
          <w:trHeight w:val="328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DC0EF58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Supplementary Welfare Schemes</w:t>
            </w:r>
          </w:p>
        </w:tc>
      </w:tr>
      <w:tr w:rsidR="00086782" w:rsidRPr="00CF2862" w14:paraId="381C05FB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1ABC2E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561E97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46859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Basic Supplementary Welfare Allowance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48012B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2804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05B42B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54.53%</w:t>
            </w:r>
          </w:p>
        </w:tc>
      </w:tr>
      <w:tr w:rsidR="00086782" w:rsidRPr="00CF2862" w14:paraId="39B9DB7E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61E464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27BC2D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EE041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Exceptional/urgent needs payment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201F3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959EBD9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26.66%</w:t>
            </w:r>
          </w:p>
        </w:tc>
      </w:tr>
      <w:tr w:rsidR="00086782" w:rsidRPr="00CF2862" w14:paraId="2DB10B85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A264DB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7F156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86500A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 Supplement (RS)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5D730F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B7EE20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16.98%</w:t>
            </w:r>
          </w:p>
        </w:tc>
      </w:tr>
      <w:tr w:rsidR="00086782" w:rsidRPr="00CF2862" w14:paraId="5BD60940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C13A7E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91D712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989F6F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Diet/Heating Supplement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D39AB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CE2976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1.59%</w:t>
            </w:r>
          </w:p>
        </w:tc>
      </w:tr>
      <w:tr w:rsidR="00086782" w:rsidRPr="00CF2862" w14:paraId="726E2B4E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D2DD21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1E271A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72F330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Mortgage Interest Supplement (MIS)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8C5EDE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C43DC7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0.23%</w:t>
            </w:r>
          </w:p>
        </w:tc>
      </w:tr>
      <w:tr w:rsidR="00086782" w:rsidRPr="00CF2862" w14:paraId="58898DB3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7803A4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D47D79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827492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62E099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5,142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F3327C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24B333B9" w14:textId="77777777" w:rsidTr="00C63E75">
        <w:trPr>
          <w:trHeight w:val="328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00E03C4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Social Insurance (PRSI)</w:t>
            </w:r>
          </w:p>
        </w:tc>
      </w:tr>
      <w:tr w:rsidR="00086782" w:rsidRPr="00CF2862" w14:paraId="0F720EF1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9D3F88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3F329D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298F72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PRSI Records/Paid Contributions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14F133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A0588E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43.77%</w:t>
            </w:r>
          </w:p>
        </w:tc>
      </w:tr>
      <w:tr w:rsidR="00086782" w:rsidRPr="00CF2862" w14:paraId="584F44B6" w14:textId="77777777" w:rsidTr="00126AD3">
        <w:trPr>
          <w:trHeight w:val="328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5B3D9D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B8DFF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2754F9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PPS Number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7C132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7F68B6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21.32%</w:t>
            </w:r>
          </w:p>
        </w:tc>
      </w:tr>
      <w:tr w:rsidR="00086782" w:rsidRPr="00CF2862" w14:paraId="0CBF97A7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40BE6D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A38F1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8B515D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Credited Contributions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6137A39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444C17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10.97%</w:t>
            </w:r>
          </w:p>
        </w:tc>
      </w:tr>
      <w:tr w:rsidR="00086782" w:rsidRPr="00CF2862" w14:paraId="18D8F9AB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D29A0D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10BE9F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11A7ED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081ECF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36C327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8.01%</w:t>
            </w:r>
          </w:p>
        </w:tc>
      </w:tr>
      <w:tr w:rsidR="00086782" w:rsidRPr="00CF2862" w14:paraId="1CC7E402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6EEC11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072F43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0EA4E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DDA5A5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CC781B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5.40%</w:t>
            </w:r>
          </w:p>
        </w:tc>
      </w:tr>
      <w:tr w:rsidR="00086782" w:rsidRPr="00CF2862" w14:paraId="062CD8BE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82DFB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CE4CA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35F40D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Homemakers Scheme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8483FD8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6C607F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4.95%</w:t>
            </w:r>
          </w:p>
        </w:tc>
      </w:tr>
      <w:tr w:rsidR="00086782" w:rsidRPr="00CF2862" w14:paraId="628B73E0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183991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095A7D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85455F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673DEC8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36774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4.70%</w:t>
            </w:r>
          </w:p>
        </w:tc>
      </w:tr>
      <w:tr w:rsidR="00086782" w:rsidRPr="00CF2862" w14:paraId="048EEA5B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AE94D5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348CAD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9A517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Employer's PRSI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D34981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5BB112E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0.87%</w:t>
            </w:r>
          </w:p>
        </w:tc>
      </w:tr>
      <w:tr w:rsidR="00086782" w:rsidRPr="00CF2862" w14:paraId="4B6BE6BF" w14:textId="77777777" w:rsidTr="00126AD3">
        <w:trPr>
          <w:trHeight w:val="328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9C153F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8BEF95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16FFA3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FDDC1C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4,704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95FCDE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1C48C63E" w14:textId="77777777" w:rsidTr="00C63E75">
        <w:trPr>
          <w:trHeight w:val="305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5800B93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Social Welfare Miscellaneous</w:t>
            </w:r>
          </w:p>
        </w:tc>
      </w:tr>
      <w:tr w:rsidR="00086782" w:rsidRPr="00CF2862" w14:paraId="3838D8B4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EEA091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6ADB7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573567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4C8664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70865DF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28.32%</w:t>
            </w:r>
          </w:p>
        </w:tc>
      </w:tr>
      <w:tr w:rsidR="00086782" w:rsidRPr="00CF2862" w14:paraId="5CDE2E86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DE502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B69F9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71479F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Public Services Card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98792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F6BFD39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24.18%</w:t>
            </w:r>
          </w:p>
        </w:tc>
      </w:tr>
      <w:tr w:rsidR="00086782" w:rsidRPr="00CF2862" w14:paraId="2ABA7AD8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2ABBB1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1348D1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8146B6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Means Tests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268A73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3E45C6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20.21%</w:t>
            </w:r>
          </w:p>
        </w:tc>
      </w:tr>
      <w:tr w:rsidR="00086782" w:rsidRPr="00CF2862" w14:paraId="418B1CE3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F07819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E04595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7E57C9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Habitual Residence Condition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E94FB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A34B4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11.57%</w:t>
            </w:r>
          </w:p>
        </w:tc>
      </w:tr>
      <w:tr w:rsidR="00086782" w:rsidRPr="00CF2862" w14:paraId="2B15CAC4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0DFF84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B43632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408A7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MyWelfare.ie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0CDE4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EB75A7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7.06%</w:t>
            </w:r>
          </w:p>
        </w:tc>
      </w:tr>
      <w:tr w:rsidR="00086782" w:rsidRPr="00CF2862" w14:paraId="64EDBD5D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E1084A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ABD4D5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B4CBA4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Overpayments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9930E0F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98F2E3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4.42%</w:t>
            </w:r>
          </w:p>
        </w:tc>
      </w:tr>
      <w:tr w:rsidR="00086782" w:rsidRPr="00CF2862" w14:paraId="466B6F8D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86858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BC953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BB4E8F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EU Contributions and Entitlements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596BD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F8A445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2.11%</w:t>
            </w:r>
          </w:p>
        </w:tc>
      </w:tr>
      <w:tr w:rsidR="00086782" w:rsidRPr="00CF2862" w14:paraId="1CE2BA52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2A360C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C52D2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762101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UK Entitlements/Brexit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81094A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F24ABE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1.47%</w:t>
            </w:r>
          </w:p>
        </w:tc>
      </w:tr>
      <w:tr w:rsidR="00086782" w:rsidRPr="00CF2862" w14:paraId="5E4E9313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1129EA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25C3AD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74B08D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Late Claims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49F618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6C2ED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0.62%</w:t>
            </w:r>
          </w:p>
        </w:tc>
      </w:tr>
      <w:tr w:rsidR="00086782" w:rsidRPr="00CF2862" w14:paraId="47DD63A3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76D222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C3513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00F5CC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Insolvency Payments Scheme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8684306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2E0099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0.04%</w:t>
            </w:r>
          </w:p>
        </w:tc>
      </w:tr>
      <w:tr w:rsidR="00086782" w:rsidRPr="00CF2862" w14:paraId="70F6B294" w14:textId="77777777" w:rsidTr="00126AD3">
        <w:trPr>
          <w:trHeight w:val="328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344466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D4C826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B3385B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29E286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4,686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7FFC16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4E7B9105" w14:textId="77777777" w:rsidTr="00C63E75">
        <w:trPr>
          <w:trHeight w:val="328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32DC8C2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Activation Schemes, Education and Training</w:t>
            </w:r>
          </w:p>
        </w:tc>
      </w:tr>
      <w:tr w:rsidR="00086782" w:rsidRPr="00CF2862" w14:paraId="227D0775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5773EC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AB09A4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41BA05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Back to Education Allowance (BTEA)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E2D78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37389DF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32.66%</w:t>
            </w:r>
          </w:p>
        </w:tc>
      </w:tr>
      <w:tr w:rsidR="00086782" w:rsidRPr="00CF2862" w14:paraId="15B41998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193C60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D1FFE8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F74B65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Community Employment (CE)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B8523D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DBDCED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24.78%</w:t>
            </w:r>
          </w:p>
        </w:tc>
      </w:tr>
      <w:tr w:rsidR="00086782" w:rsidRPr="00CF2862" w14:paraId="0A712582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946A4C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2B2CF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16A04E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Back to Work Enterprise Allowance (BTWEA)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B4B230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C8CA3B6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23.37%</w:t>
            </w:r>
          </w:p>
        </w:tc>
      </w:tr>
      <w:tr w:rsidR="00086782" w:rsidRPr="00CF2862" w14:paraId="5F553061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1B89C0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246B46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D83908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Tús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B4DA02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06E39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3.70%</w:t>
            </w:r>
          </w:p>
        </w:tc>
      </w:tr>
      <w:tr w:rsidR="00086782" w:rsidRPr="00CF2862" w14:paraId="1457F71D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22DD91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3ED6D9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9222D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JobPath - Seetec/Turas Nua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F4F0B3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6DFB8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3.57%</w:t>
            </w:r>
          </w:p>
        </w:tc>
      </w:tr>
      <w:tr w:rsidR="00086782" w:rsidRPr="00CF2862" w14:paraId="75CDBAC6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DAFD16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D021DC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53D840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Short-Term Enterprise Allowance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FF02D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91CED7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3.30%</w:t>
            </w:r>
          </w:p>
        </w:tc>
      </w:tr>
      <w:tr w:rsidR="00086782" w:rsidRPr="00CF2862" w14:paraId="792E40FA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0833D0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C851F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0FD3B4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Part-time Education Option (PTEO)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DD82F2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99661AE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2.56%</w:t>
            </w:r>
          </w:p>
        </w:tc>
      </w:tr>
      <w:tr w:rsidR="00086782" w:rsidRPr="00CF2862" w14:paraId="5C155F10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E7F9ED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FCBCA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ADD13F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Part-Time Job Incentive Scheme (PTJI)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542D19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E52DDD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2.09%</w:t>
            </w:r>
          </w:p>
        </w:tc>
      </w:tr>
      <w:tr w:rsidR="00086782" w:rsidRPr="00CF2862" w14:paraId="0CFCD261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AECE07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C6C5ED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804D7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Rural Social Scheme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929319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C5F3EE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1.95%</w:t>
            </w:r>
          </w:p>
        </w:tc>
      </w:tr>
      <w:tr w:rsidR="00086782" w:rsidRPr="00CF2862" w14:paraId="0C90D6C4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A1F780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44C858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AA5AF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JobsPlus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716D6E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8006C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1.68%</w:t>
            </w:r>
          </w:p>
        </w:tc>
      </w:tr>
      <w:tr w:rsidR="00086782" w:rsidRPr="00CF2862" w14:paraId="60382E9D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B8BC1D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B984E7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D07F52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 Bridge/ First Steps - Youth Internship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55436D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AC91BB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0.20%</w:t>
            </w:r>
          </w:p>
        </w:tc>
      </w:tr>
      <w:tr w:rsidR="00086782" w:rsidRPr="00CF2862" w14:paraId="07BFA1C2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6612AA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8AE3EE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FB015E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Gateway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44638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AA34F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0.13%</w:t>
            </w:r>
          </w:p>
        </w:tc>
      </w:tr>
      <w:tr w:rsidR="00086782" w:rsidRPr="00CF2862" w14:paraId="561D3D82" w14:textId="77777777" w:rsidTr="00126AD3">
        <w:trPr>
          <w:trHeight w:val="328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DAD4CC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66EB5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360722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60734E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1,485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D86595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7B27844A" w14:textId="77777777" w:rsidTr="005A3512">
        <w:trPr>
          <w:trHeight w:val="405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ACD9059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Death Related Benefits</w:t>
            </w:r>
          </w:p>
        </w:tc>
      </w:tr>
      <w:tr w:rsidR="00086782" w:rsidRPr="00CF2862" w14:paraId="69C46C68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60B028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F6D6B7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3C1377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Widow/Widower/Surviving Civil Partner's Pension (Contributory/Non-Contributory).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67A55CF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3A9DC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74.20%</w:t>
            </w:r>
          </w:p>
        </w:tc>
      </w:tr>
      <w:tr w:rsidR="00086782" w:rsidRPr="00CF2862" w14:paraId="3609525E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F7FAEB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5D9F2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AEA53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Widow/Widower/Surviving Civil Partner Grant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05A60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BEE2A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11.15%</w:t>
            </w:r>
          </w:p>
        </w:tc>
      </w:tr>
      <w:tr w:rsidR="00086782" w:rsidRPr="00CF2862" w14:paraId="4E62E5B0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EA9C11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620FC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A03755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Help with Funeral Costs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B99226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28AC3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10.38%</w:t>
            </w:r>
          </w:p>
        </w:tc>
      </w:tr>
      <w:tr w:rsidR="00086782" w:rsidRPr="00CF2862" w14:paraId="0760B0CD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3125D8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9A5CD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E9177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Guardian's Payment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736559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7EA3D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3.36%</w:t>
            </w:r>
          </w:p>
        </w:tc>
      </w:tr>
      <w:tr w:rsidR="00086782" w:rsidRPr="00CF2862" w14:paraId="3B911DF5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36B4A5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0FC95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6ABF15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Special Funeral Grant (Occ. Injuries Scheme only)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D573FB3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33715E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0.92%</w:t>
            </w:r>
          </w:p>
        </w:tc>
      </w:tr>
      <w:tr w:rsidR="00086782" w:rsidRPr="00CF2862" w14:paraId="61A490E9" w14:textId="77777777" w:rsidTr="00126AD3">
        <w:trPr>
          <w:trHeight w:val="328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9370EA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03AF86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158ADC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0ECE9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D18F61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304F4E95" w14:textId="77777777" w:rsidTr="00C63E75">
        <w:trPr>
          <w:trHeight w:val="328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1583754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Social Welfare Appeals</w:t>
            </w:r>
          </w:p>
        </w:tc>
      </w:tr>
      <w:tr w:rsidR="00086782" w:rsidRPr="00CF2862" w14:paraId="5458D444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D86856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B83BC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2DB5AC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36515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2DA8623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29.62%</w:t>
            </w:r>
          </w:p>
        </w:tc>
      </w:tr>
      <w:tr w:rsidR="00086782" w:rsidRPr="00CF2862" w14:paraId="556D33D7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ED40F9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866FA5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19F617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Carer's Allowance/Benefit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A6B7F2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8F9E258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21.49%</w:t>
            </w:r>
          </w:p>
        </w:tc>
      </w:tr>
      <w:tr w:rsidR="00086782" w:rsidRPr="00CF2862" w14:paraId="7F042C4B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96AB23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D43020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EB0B20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BAADCD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4E5CD5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14.13%</w:t>
            </w:r>
          </w:p>
        </w:tc>
      </w:tr>
      <w:tr w:rsidR="00086782" w:rsidRPr="00CF2862" w14:paraId="6057DBD7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E242C5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CC5B91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85A2C4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6625F5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F14103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9.97%</w:t>
            </w:r>
          </w:p>
        </w:tc>
      </w:tr>
      <w:tr w:rsidR="00086782" w:rsidRPr="00CF2862" w14:paraId="4FE60352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599B97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56C2B4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C5D72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DAE2A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1352C0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5.23%</w:t>
            </w:r>
          </w:p>
        </w:tc>
      </w:tr>
      <w:tr w:rsidR="00086782" w:rsidRPr="00CF2862" w14:paraId="6830A1E3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61A3C4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787415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AE18BE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Domiciliary Care Allowance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9C00D4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CA552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3.68%</w:t>
            </w:r>
          </w:p>
        </w:tc>
      </w:tr>
      <w:tr w:rsidR="00086782" w:rsidRPr="00CF2862" w14:paraId="6D4E9265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CBF659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5A85F4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5C7E2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State Pension (Non-Contributory)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25FDFE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31D7CEF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3.19%</w:t>
            </w:r>
          </w:p>
        </w:tc>
      </w:tr>
      <w:tr w:rsidR="00086782" w:rsidRPr="00CF2862" w14:paraId="0891B31C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53280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33476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147BA99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State Pension (Contributory)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7CE5A8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27473F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1.84%</w:t>
            </w:r>
          </w:p>
        </w:tc>
      </w:tr>
      <w:tr w:rsidR="00086782" w:rsidRPr="00CF2862" w14:paraId="75565877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890ED9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AF8CC4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5C249C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Working Family Payment (WFP)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9959D7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BC73C06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1.84%</w:t>
            </w:r>
          </w:p>
        </w:tc>
      </w:tr>
      <w:tr w:rsidR="00086782" w:rsidRPr="00CF2862" w14:paraId="73210934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C8CC67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FA6992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54F13F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5BCA7B1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7A1268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1.74%</w:t>
            </w:r>
          </w:p>
        </w:tc>
      </w:tr>
      <w:tr w:rsidR="00086782" w:rsidRPr="00CF2862" w14:paraId="685AD32C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56AFF9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4DCD6E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72DC7A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Widow/Widower/surviving Civil Partner Pension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250C95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49555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1.65%</w:t>
            </w:r>
          </w:p>
        </w:tc>
      </w:tr>
      <w:tr w:rsidR="00086782" w:rsidRPr="00CF2862" w14:paraId="35EB363B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F643B8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34C0C7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8654F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777D79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E1565B3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1.55%</w:t>
            </w:r>
          </w:p>
        </w:tc>
      </w:tr>
      <w:tr w:rsidR="00086782" w:rsidRPr="00CF2862" w14:paraId="70CEEB1B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8C43B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F0F560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A63C5A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Supplementary Welfare Allowance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0A338D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0C781E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1.45%</w:t>
            </w:r>
          </w:p>
        </w:tc>
      </w:tr>
      <w:tr w:rsidR="00086782" w:rsidRPr="00CF2862" w14:paraId="5D6F9568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D1E5E7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11C195C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05B57D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C1058C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A2B628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1.36%</w:t>
            </w:r>
          </w:p>
        </w:tc>
      </w:tr>
      <w:tr w:rsidR="00086782" w:rsidRPr="00CF2862" w14:paraId="05AD87CE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CC391B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5BB137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4E7B11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Carer's Support Grant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780F9C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F9F80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0.77%</w:t>
            </w:r>
          </w:p>
        </w:tc>
      </w:tr>
      <w:tr w:rsidR="00086782" w:rsidRPr="00CF2862" w14:paraId="14661DBE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D3F9A2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C0A1D2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0DC14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9BCA5A6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52B97A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0.48%</w:t>
            </w:r>
          </w:p>
        </w:tc>
      </w:tr>
      <w:tr w:rsidR="00086782" w:rsidRPr="00CF2862" w14:paraId="23EA0270" w14:textId="77777777" w:rsidTr="00126AD3">
        <w:trPr>
          <w:trHeight w:val="328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C8FB25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FBA069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E9C2EF7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8C29E96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D4AA6B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4A2A3223" w14:textId="77777777" w:rsidTr="00C63E75">
        <w:trPr>
          <w:trHeight w:val="328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36C3B42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Social Welfare Payments and Work</w:t>
            </w:r>
          </w:p>
        </w:tc>
      </w:tr>
      <w:tr w:rsidR="00086782" w:rsidRPr="00CF2862" w14:paraId="25B183A0" w14:textId="77777777" w:rsidTr="00126AD3">
        <w:trPr>
          <w:trHeight w:val="40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FD2366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4E7E6835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270A214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606B787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BB7CDA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86782" w:rsidRPr="00CF2862" w14:paraId="162C267B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6134F1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DCE078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403047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2CFBEFF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DF0E1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6F42E545" w14:textId="77777777" w:rsidTr="00C63E75">
        <w:trPr>
          <w:trHeight w:val="328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6CCF0E9" w14:textId="77777777" w:rsidR="00CF2862" w:rsidRPr="00CF2862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Social Welfare Benefits Check</w:t>
            </w:r>
          </w:p>
        </w:tc>
      </w:tr>
      <w:tr w:rsidR="00086782" w:rsidRPr="00CF2862" w14:paraId="38588CE3" w14:textId="77777777" w:rsidTr="00126AD3">
        <w:trPr>
          <w:trHeight w:val="384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46284F8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294168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63028C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09A4DC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A71EE2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86782" w:rsidRPr="00CF2862" w14:paraId="070295D8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821B52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2EBCE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C12DFA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B1B3123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38CC4D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CF2862" w:rsidRPr="00CF2862" w14:paraId="4037F2EA" w14:textId="77777777" w:rsidTr="00C63E75">
        <w:trPr>
          <w:trHeight w:val="328"/>
        </w:trPr>
        <w:tc>
          <w:tcPr>
            <w:tcW w:w="1329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93B3A4B" w14:textId="77777777" w:rsidR="00CF2862" w:rsidRPr="00C63E75" w:rsidRDefault="00CF2862" w:rsidP="00CF2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</w:pPr>
            <w:r w:rsidRPr="00C63E7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>Farmers</w:t>
            </w:r>
          </w:p>
        </w:tc>
      </w:tr>
      <w:tr w:rsidR="00086782" w:rsidRPr="00CF2862" w14:paraId="57843BB8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D6EC02B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CEFE3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BFAB66F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C3573E0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AB3105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94.44%</w:t>
            </w:r>
          </w:p>
        </w:tc>
      </w:tr>
      <w:tr w:rsidR="00086782" w:rsidRPr="00CF2862" w14:paraId="02FF763A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6F3F6D0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8502B6E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9EF8B3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B7A76B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F9E9D2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5.56%</w:t>
            </w:r>
          </w:p>
        </w:tc>
      </w:tr>
      <w:tr w:rsidR="00086782" w:rsidRPr="00CF2862" w14:paraId="5F494ECE" w14:textId="77777777" w:rsidTr="00126AD3">
        <w:trPr>
          <w:trHeight w:val="313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D674432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DB003B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48A5966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A944518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52B758C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86782" w:rsidRPr="00CF2862" w14:paraId="7E27C883" w14:textId="77777777" w:rsidTr="00126AD3">
        <w:trPr>
          <w:trHeight w:val="328"/>
        </w:trPr>
        <w:tc>
          <w:tcPr>
            <w:tcW w:w="18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A61119A" w14:textId="77777777" w:rsidR="00CF2862" w:rsidRPr="00CF2862" w:rsidRDefault="00CF2862" w:rsidP="00CF286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Tw Cen MT" w:eastAsia="Times New Roman" w:hAnsi="Tw Cen MT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8ECEF7A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ABED71" w14:textId="77777777" w:rsidR="00CF2862" w:rsidRPr="00CF2862" w:rsidRDefault="00CF2862" w:rsidP="00CF2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2C0E4E3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86,489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D19B454" w14:textId="77777777" w:rsidR="00CF2862" w:rsidRPr="00CF2862" w:rsidRDefault="00CF2862" w:rsidP="00CF2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066409F0" w14:textId="49440083" w:rsidR="00AD338F" w:rsidRPr="00B12326" w:rsidRDefault="00B60276" w:rsidP="00AD338F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B12326">
        <w:rPr>
          <w:rFonts w:ascii="Calibri" w:hAnsi="Calibri" w:cs="Calibri"/>
          <w:b/>
          <w:color w:val="auto"/>
          <w:sz w:val="22"/>
          <w:szCs w:val="22"/>
          <w:lang w:val="en-US"/>
        </w:rPr>
        <w:t>Table 7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 sets out the </w:t>
      </w:r>
      <w:r w:rsidRPr="00B12326">
        <w:rPr>
          <w:rFonts w:ascii="Calibri" w:hAnsi="Calibri" w:cs="Calibri"/>
          <w:b/>
          <w:color w:val="auto"/>
          <w:sz w:val="22"/>
          <w:szCs w:val="22"/>
          <w:lang w:val="en-US"/>
        </w:rPr>
        <w:t>Housing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 query data</w:t>
      </w:r>
      <w:r w:rsidR="00A941B3" w:rsidRPr="00B12326">
        <w:rPr>
          <w:rFonts w:ascii="Calibri" w:hAnsi="Calibri" w:cs="Calibri"/>
          <w:color w:val="auto"/>
          <w:sz w:val="22"/>
          <w:szCs w:val="22"/>
          <w:lang w:val="en-US"/>
        </w:rPr>
        <w:t>set for Quarter 1</w:t>
      </w:r>
      <w:r w:rsidR="00DE397A" w:rsidRPr="00B12326">
        <w:rPr>
          <w:rFonts w:ascii="Calibri" w:hAnsi="Calibri" w:cs="Calibri"/>
          <w:color w:val="auto"/>
          <w:sz w:val="22"/>
          <w:szCs w:val="22"/>
          <w:lang w:val="en-US"/>
        </w:rPr>
        <w:t>, 2022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. Query sub-categories are presented in thematic form, as recorded by CISs. The percentages in the right hand column represent the percentage of queries for </w:t>
      </w:r>
      <w:r w:rsidR="00D93AD8">
        <w:rPr>
          <w:rFonts w:ascii="Calibri" w:hAnsi="Calibri" w:cs="Calibri"/>
          <w:color w:val="auto"/>
          <w:sz w:val="22"/>
          <w:szCs w:val="22"/>
          <w:lang w:val="en-US"/>
        </w:rPr>
        <w:t xml:space="preserve">the </w:t>
      </w:r>
      <w:r w:rsidR="008B6A43">
        <w:rPr>
          <w:rFonts w:ascii="Calibri" w:hAnsi="Calibri" w:cs="Calibri"/>
          <w:color w:val="auto"/>
          <w:sz w:val="22"/>
          <w:szCs w:val="22"/>
          <w:lang w:val="en-US"/>
        </w:rPr>
        <w:t xml:space="preserve">related data 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sub-category i.e. the Housing Assistance Payment (HAP) percentage represents the number of HAP queries recorded as a percentage of the </w:t>
      </w:r>
      <w:r w:rsidRPr="00B12326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 xml:space="preserve">Local Authority and </w:t>
      </w:r>
      <w:r w:rsidR="004D5540" w:rsidRPr="00B12326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 xml:space="preserve">Social </w:t>
      </w:r>
      <w:r w:rsidRPr="00B12326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Housing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sub-category. </w:t>
      </w:r>
    </w:p>
    <w:p w14:paraId="408C28D7" w14:textId="4518DFF5" w:rsidR="000F1F54" w:rsidRPr="000F1F54" w:rsidRDefault="001A1A4D" w:rsidP="000F1F54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255AE4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Housing query trends in </w:t>
      </w:r>
      <w:r w:rsidR="00675757" w:rsidRPr="00255AE4">
        <w:rPr>
          <w:rFonts w:ascii="Calibri" w:hAnsi="Calibri" w:cs="Calibri"/>
          <w:b/>
          <w:color w:val="auto"/>
          <w:sz w:val="22"/>
          <w:szCs w:val="22"/>
          <w:lang w:val="en-US"/>
        </w:rPr>
        <w:t>Q1 2022</w:t>
      </w:r>
      <w:r w:rsidR="00255AE4">
        <w:rPr>
          <w:rFonts w:ascii="Calibri" w:hAnsi="Calibri" w:cs="Calibri"/>
          <w:color w:val="auto"/>
          <w:sz w:val="22"/>
          <w:szCs w:val="22"/>
          <w:lang w:val="en-US"/>
        </w:rPr>
        <w:t>:</w:t>
      </w:r>
    </w:p>
    <w:p w14:paraId="680A7D3A" w14:textId="483A7A21" w:rsidR="00F574C0" w:rsidRDefault="00F574C0" w:rsidP="00F574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>Housing queries rose</w:t>
      </w:r>
      <w:r w:rsidR="00F8329F">
        <w:rPr>
          <w:rFonts w:ascii="Calibri" w:eastAsia="Times New Roman" w:hAnsi="Calibri" w:cs="Calibri"/>
          <w:color w:val="000000"/>
          <w:lang w:eastAsia="en-IE"/>
        </w:rPr>
        <w:t xml:space="preserve"> from 15,382 to 18,355, up </w:t>
      </w:r>
      <w:r>
        <w:rPr>
          <w:rFonts w:ascii="Calibri" w:eastAsia="Times New Roman" w:hAnsi="Calibri" w:cs="Calibri"/>
          <w:color w:val="000000"/>
          <w:lang w:eastAsia="en-IE"/>
        </w:rPr>
        <w:t xml:space="preserve">overall by </w:t>
      </w:r>
      <w:r w:rsidRPr="00203E25">
        <w:rPr>
          <w:rFonts w:ascii="Calibri" w:eastAsia="Times New Roman" w:hAnsi="Calibri" w:cs="Calibri"/>
          <w:b/>
          <w:color w:val="000000"/>
          <w:lang w:eastAsia="en-IE"/>
        </w:rPr>
        <w:t>19%</w:t>
      </w:r>
      <w:r>
        <w:rPr>
          <w:rFonts w:ascii="Calibri" w:eastAsia="Times New Roman" w:hAnsi="Calibri" w:cs="Calibri"/>
          <w:color w:val="000000"/>
          <w:lang w:eastAsia="en-IE"/>
        </w:rPr>
        <w:t xml:space="preserve"> in this quarter compared to the same quarter the previous year </w:t>
      </w:r>
    </w:p>
    <w:p w14:paraId="25A70B89" w14:textId="2213CE31" w:rsidR="00CE6B6D" w:rsidRPr="00BA2635" w:rsidRDefault="00CE6B6D" w:rsidP="00BA263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lastRenderedPageBreak/>
        <w:t>T</w:t>
      </w:r>
      <w:r w:rsidR="00BA2635">
        <w:rPr>
          <w:rFonts w:ascii="Calibri" w:eastAsia="Times New Roman" w:hAnsi="Calibri" w:cs="Calibri"/>
          <w:color w:val="000000"/>
          <w:lang w:eastAsia="en-IE"/>
        </w:rPr>
        <w:t>he highest number of queries received were</w:t>
      </w:r>
      <w:r>
        <w:rPr>
          <w:rFonts w:ascii="Calibri" w:eastAsia="Times New Roman" w:hAnsi="Calibri" w:cs="Calibri"/>
          <w:color w:val="000000"/>
          <w:lang w:eastAsia="en-IE"/>
        </w:rPr>
        <w:t xml:space="preserve"> about </w:t>
      </w:r>
      <w:r w:rsidRPr="00BA2635">
        <w:rPr>
          <w:rFonts w:ascii="Calibri" w:eastAsia="Times New Roman" w:hAnsi="Calibri" w:cs="Calibri"/>
          <w:b/>
          <w:color w:val="000000"/>
          <w:lang w:eastAsia="en-IE"/>
        </w:rPr>
        <w:t xml:space="preserve">Local </w:t>
      </w:r>
      <w:r w:rsidR="00F8329F">
        <w:rPr>
          <w:rFonts w:ascii="Calibri" w:eastAsia="Times New Roman" w:hAnsi="Calibri" w:cs="Calibri"/>
          <w:b/>
          <w:color w:val="000000"/>
          <w:lang w:eastAsia="en-IE"/>
        </w:rPr>
        <w:t>A</w:t>
      </w:r>
      <w:r w:rsidRPr="00BA2635">
        <w:rPr>
          <w:rFonts w:ascii="Calibri" w:eastAsia="Times New Roman" w:hAnsi="Calibri" w:cs="Calibri"/>
          <w:b/>
          <w:color w:val="000000"/>
          <w:lang w:eastAsia="en-IE"/>
        </w:rPr>
        <w:t>uthority and Social Housing</w:t>
      </w:r>
      <w:r>
        <w:rPr>
          <w:rFonts w:ascii="Calibri" w:eastAsia="Times New Roman" w:hAnsi="Calibri" w:cs="Calibri"/>
          <w:color w:val="000000"/>
          <w:lang w:eastAsia="en-IE"/>
        </w:rPr>
        <w:t xml:space="preserve">, which rose by almost </w:t>
      </w:r>
      <w:r w:rsidRPr="00203E25">
        <w:rPr>
          <w:rFonts w:ascii="Calibri" w:eastAsia="Times New Roman" w:hAnsi="Calibri" w:cs="Calibri"/>
          <w:b/>
          <w:color w:val="000000"/>
          <w:lang w:eastAsia="en-IE"/>
        </w:rPr>
        <w:t>20%</w:t>
      </w:r>
      <w:r>
        <w:rPr>
          <w:rFonts w:ascii="Calibri" w:eastAsia="Times New Roman" w:hAnsi="Calibri" w:cs="Calibri"/>
          <w:color w:val="000000"/>
          <w:lang w:eastAsia="en-IE"/>
        </w:rPr>
        <w:t xml:space="preserve"> on the same quarter in 2021 (from 8,260 to 9,902) and </w:t>
      </w:r>
      <w:r w:rsidRPr="001A1A4D">
        <w:rPr>
          <w:rFonts w:ascii="Calibri" w:eastAsia="Times New Roman" w:hAnsi="Calibri" w:cs="Calibri"/>
          <w:color w:val="000000"/>
          <w:lang w:eastAsia="en-IE"/>
        </w:rPr>
        <w:t>continue</w:t>
      </w:r>
      <w:r>
        <w:rPr>
          <w:rFonts w:ascii="Calibri" w:eastAsia="Times New Roman" w:hAnsi="Calibri" w:cs="Calibri"/>
          <w:color w:val="000000"/>
          <w:lang w:eastAsia="en-IE"/>
        </w:rPr>
        <w:t>s</w:t>
      </w:r>
      <w:r w:rsidRPr="00203E25">
        <w:rPr>
          <w:rFonts w:ascii="Calibri" w:eastAsia="Times New Roman" w:hAnsi="Calibri" w:cs="Calibri"/>
          <w:color w:val="000000"/>
          <w:lang w:eastAsia="en-IE"/>
        </w:rPr>
        <w:t xml:space="preserve"> to be the top </w:t>
      </w:r>
      <w:r>
        <w:rPr>
          <w:rFonts w:ascii="Calibri" w:eastAsia="Times New Roman" w:hAnsi="Calibri" w:cs="Calibri"/>
          <w:color w:val="000000"/>
          <w:lang w:eastAsia="en-IE"/>
        </w:rPr>
        <w:t>query area in H</w:t>
      </w:r>
      <w:r w:rsidRPr="001A1A4D">
        <w:rPr>
          <w:rFonts w:ascii="Calibri" w:eastAsia="Times New Roman" w:hAnsi="Calibri" w:cs="Calibri"/>
          <w:color w:val="000000"/>
          <w:lang w:eastAsia="en-IE"/>
        </w:rPr>
        <w:t xml:space="preserve">ousing, </w:t>
      </w:r>
      <w:r w:rsidRPr="00203E25">
        <w:rPr>
          <w:rFonts w:ascii="Calibri" w:eastAsia="Times New Roman" w:hAnsi="Calibri" w:cs="Calibri"/>
          <w:color w:val="000000"/>
          <w:lang w:eastAsia="en-IE"/>
        </w:rPr>
        <w:t>represent</w:t>
      </w:r>
      <w:r>
        <w:rPr>
          <w:rFonts w:ascii="Calibri" w:eastAsia="Times New Roman" w:hAnsi="Calibri" w:cs="Calibri"/>
          <w:color w:val="000000"/>
          <w:lang w:eastAsia="en-IE"/>
        </w:rPr>
        <w:t>ing</w:t>
      </w:r>
      <w:r w:rsidRPr="00203E25">
        <w:rPr>
          <w:rFonts w:ascii="Calibri" w:eastAsia="Times New Roman" w:hAnsi="Calibri" w:cs="Calibri"/>
          <w:color w:val="000000"/>
          <w:lang w:eastAsia="en-IE"/>
        </w:rPr>
        <w:t xml:space="preserve"> over half of all housing queries</w:t>
      </w:r>
    </w:p>
    <w:p w14:paraId="5BA96BC9" w14:textId="2EF5A390" w:rsidR="00AD338F" w:rsidRDefault="00675757" w:rsidP="0067575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  <w:r w:rsidRPr="00B12326">
        <w:rPr>
          <w:rFonts w:ascii="Calibri" w:eastAsia="Times New Roman" w:hAnsi="Calibri" w:cs="Calibri"/>
          <w:b/>
          <w:color w:val="000000"/>
          <w:lang w:eastAsia="en-IE"/>
        </w:rPr>
        <w:t>Housing Grants and Schemes</w:t>
      </w:r>
      <w:r w:rsidRPr="00B12326">
        <w:rPr>
          <w:rFonts w:ascii="Calibri" w:eastAsia="Times New Roman" w:hAnsi="Calibri" w:cs="Calibri"/>
          <w:color w:val="000000"/>
          <w:lang w:eastAsia="en-IE"/>
        </w:rPr>
        <w:t xml:space="preserve"> queries rose</w:t>
      </w:r>
      <w:r w:rsidR="001A1A4D">
        <w:rPr>
          <w:rFonts w:ascii="Calibri" w:eastAsia="Times New Roman" w:hAnsi="Calibri" w:cs="Calibri"/>
          <w:color w:val="000000"/>
          <w:lang w:eastAsia="en-IE"/>
        </w:rPr>
        <w:t xml:space="preserve"> 51%</w:t>
      </w:r>
      <w:r w:rsidRPr="00B12326">
        <w:rPr>
          <w:rFonts w:ascii="Calibri" w:eastAsia="Times New Roman" w:hAnsi="Calibri" w:cs="Calibri"/>
          <w:color w:val="000000"/>
          <w:lang w:eastAsia="en-IE"/>
        </w:rPr>
        <w:t xml:space="preserve"> as a percentag</w:t>
      </w:r>
      <w:r w:rsidR="00AD338F" w:rsidRPr="00B12326">
        <w:rPr>
          <w:rFonts w:ascii="Calibri" w:eastAsia="Times New Roman" w:hAnsi="Calibri" w:cs="Calibri"/>
          <w:color w:val="000000"/>
          <w:lang w:eastAsia="en-IE"/>
        </w:rPr>
        <w:t>e</w:t>
      </w:r>
      <w:r w:rsidRPr="00B12326">
        <w:rPr>
          <w:rFonts w:ascii="Calibri" w:eastAsia="Times New Roman" w:hAnsi="Calibri" w:cs="Calibri"/>
          <w:color w:val="000000"/>
          <w:lang w:eastAsia="en-IE"/>
        </w:rPr>
        <w:t xml:space="preserve"> of Hous</w:t>
      </w:r>
      <w:r w:rsidR="00AD338F" w:rsidRPr="00B12326">
        <w:rPr>
          <w:rFonts w:ascii="Calibri" w:eastAsia="Times New Roman" w:hAnsi="Calibri" w:cs="Calibri"/>
          <w:color w:val="000000"/>
          <w:lang w:eastAsia="en-IE"/>
        </w:rPr>
        <w:t>i</w:t>
      </w:r>
      <w:r w:rsidRPr="00B12326">
        <w:rPr>
          <w:rFonts w:ascii="Calibri" w:eastAsia="Times New Roman" w:hAnsi="Calibri" w:cs="Calibri"/>
          <w:color w:val="000000"/>
          <w:lang w:eastAsia="en-IE"/>
        </w:rPr>
        <w:t xml:space="preserve">ng queries to </w:t>
      </w:r>
      <w:r w:rsidR="00AD338F" w:rsidRPr="00B12326">
        <w:rPr>
          <w:rFonts w:ascii="Calibri" w:eastAsia="Times New Roman" w:hAnsi="Calibri" w:cs="Calibri"/>
          <w:color w:val="000000"/>
          <w:lang w:eastAsia="en-IE"/>
        </w:rPr>
        <w:t xml:space="preserve">the </w:t>
      </w:r>
      <w:r w:rsidRPr="00B12326">
        <w:rPr>
          <w:rFonts w:ascii="Calibri" w:eastAsia="Times New Roman" w:hAnsi="Calibri" w:cs="Calibri"/>
          <w:color w:val="000000"/>
          <w:lang w:eastAsia="en-IE"/>
        </w:rPr>
        <w:t xml:space="preserve">second highest query category in the first quarter of 2022, from 2,244 queries in Q1 2021 to </w:t>
      </w:r>
      <w:r w:rsidRPr="00B12326">
        <w:rPr>
          <w:rFonts w:ascii="Calibri" w:eastAsia="Times New Roman" w:hAnsi="Calibri" w:cs="Calibri"/>
          <w:b/>
          <w:color w:val="000000"/>
          <w:lang w:eastAsia="en-IE"/>
        </w:rPr>
        <w:t>3,4</w:t>
      </w:r>
      <w:r w:rsidR="00AD338F" w:rsidRPr="00B12326">
        <w:rPr>
          <w:rFonts w:ascii="Calibri" w:eastAsia="Times New Roman" w:hAnsi="Calibri" w:cs="Calibri"/>
          <w:b/>
          <w:color w:val="000000"/>
          <w:lang w:eastAsia="en-IE"/>
        </w:rPr>
        <w:t xml:space="preserve">06 </w:t>
      </w:r>
      <w:r w:rsidR="00AD338F" w:rsidRPr="00B12326">
        <w:rPr>
          <w:rFonts w:ascii="Calibri" w:eastAsia="Times New Roman" w:hAnsi="Calibri" w:cs="Calibri"/>
          <w:color w:val="000000"/>
          <w:lang w:eastAsia="en-IE"/>
        </w:rPr>
        <w:t>in the same period this year</w:t>
      </w:r>
    </w:p>
    <w:p w14:paraId="20908D67" w14:textId="4FE37D25" w:rsidR="00505FE9" w:rsidRPr="00505FE9" w:rsidRDefault="00505FE9" w:rsidP="00505FE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  <w:r w:rsidRPr="00B12326">
        <w:rPr>
          <w:rFonts w:ascii="Calibri" w:eastAsia="Times New Roman" w:hAnsi="Calibri" w:cs="Calibri"/>
          <w:b/>
          <w:color w:val="000000"/>
          <w:lang w:eastAsia="en-IE"/>
        </w:rPr>
        <w:t>Homelessness</w:t>
      </w:r>
      <w:r w:rsidRPr="00B12326">
        <w:rPr>
          <w:rFonts w:ascii="Calibri" w:eastAsia="Times New Roman" w:hAnsi="Calibri" w:cs="Calibri"/>
          <w:color w:val="000000"/>
          <w:lang w:eastAsia="en-IE"/>
        </w:rPr>
        <w:t xml:space="preserve"> queries nearly doubled, increasing from 456 in Q1 last year to 770 in Q1 this year, representing 4% of all Housing queries</w:t>
      </w:r>
    </w:p>
    <w:p w14:paraId="70B15A76" w14:textId="7A9BFD7A" w:rsidR="00DE397A" w:rsidRDefault="00675757" w:rsidP="00DE397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  <w:r w:rsidRPr="00B12326">
        <w:rPr>
          <w:rFonts w:ascii="Calibri" w:eastAsia="Times New Roman" w:hAnsi="Calibri" w:cs="Calibri"/>
          <w:color w:val="000000"/>
          <w:lang w:eastAsia="en-IE"/>
        </w:rPr>
        <w:t xml:space="preserve">Overall query numbers to do with </w:t>
      </w:r>
      <w:r w:rsidRPr="00853B85">
        <w:rPr>
          <w:rFonts w:ascii="Calibri" w:eastAsia="Times New Roman" w:hAnsi="Calibri" w:cs="Calibri"/>
          <w:b/>
          <w:color w:val="000000"/>
          <w:lang w:eastAsia="en-IE"/>
        </w:rPr>
        <w:t>Renting A Home</w:t>
      </w:r>
      <w:r w:rsidRPr="00B12326">
        <w:rPr>
          <w:rFonts w:ascii="Calibri" w:eastAsia="Times New Roman" w:hAnsi="Calibri" w:cs="Calibri"/>
          <w:color w:val="000000"/>
          <w:lang w:eastAsia="en-IE"/>
        </w:rPr>
        <w:t xml:space="preserve"> remained similar to Q1 2021 with some changes in the type of queries received: </w:t>
      </w:r>
      <w:r w:rsidRPr="00B12326">
        <w:rPr>
          <w:rFonts w:ascii="Calibri" w:eastAsia="Times New Roman" w:hAnsi="Calibri" w:cs="Calibri"/>
          <w:b/>
          <w:color w:val="000000"/>
          <w:lang w:eastAsia="en-IE"/>
        </w:rPr>
        <w:t xml:space="preserve">Notice/Eviction/Disputes rose by </w:t>
      </w:r>
      <w:r w:rsidR="00991ED5">
        <w:rPr>
          <w:rFonts w:ascii="Calibri" w:eastAsia="Times New Roman" w:hAnsi="Calibri" w:cs="Calibri"/>
          <w:b/>
          <w:color w:val="000000"/>
          <w:lang w:eastAsia="en-IE"/>
        </w:rPr>
        <w:t>5</w:t>
      </w:r>
      <w:r w:rsidRPr="00B12326">
        <w:rPr>
          <w:rFonts w:ascii="Calibri" w:eastAsia="Times New Roman" w:hAnsi="Calibri" w:cs="Calibri"/>
          <w:b/>
          <w:color w:val="000000"/>
          <w:lang w:eastAsia="en-IE"/>
        </w:rPr>
        <w:t>%</w:t>
      </w:r>
      <w:r w:rsidRPr="00B12326">
        <w:rPr>
          <w:rFonts w:ascii="Calibri" w:eastAsia="Times New Roman" w:hAnsi="Calibri" w:cs="Calibri"/>
          <w:color w:val="000000"/>
          <w:lang w:eastAsia="en-IE"/>
        </w:rPr>
        <w:t xml:space="preserve"> as a percentage of </w:t>
      </w:r>
      <w:r w:rsidRPr="00CE6D4C">
        <w:rPr>
          <w:rFonts w:ascii="Calibri" w:eastAsia="Times New Roman" w:hAnsi="Calibri" w:cs="Calibri"/>
          <w:b/>
          <w:color w:val="000000"/>
          <w:lang w:eastAsia="en-IE"/>
        </w:rPr>
        <w:t>Renting a Ho</w:t>
      </w:r>
      <w:r w:rsidR="00AD338F" w:rsidRPr="00CE6D4C">
        <w:rPr>
          <w:rFonts w:ascii="Calibri" w:eastAsia="Times New Roman" w:hAnsi="Calibri" w:cs="Calibri"/>
          <w:b/>
          <w:color w:val="000000"/>
          <w:lang w:eastAsia="en-IE"/>
        </w:rPr>
        <w:t>me</w:t>
      </w:r>
      <w:r w:rsidR="00AD338F" w:rsidRPr="00B12326">
        <w:rPr>
          <w:rFonts w:ascii="Calibri" w:eastAsia="Times New Roman" w:hAnsi="Calibri" w:cs="Calibri"/>
          <w:color w:val="000000"/>
          <w:lang w:eastAsia="en-IE"/>
        </w:rPr>
        <w:t xml:space="preserve"> queries; </w:t>
      </w:r>
      <w:r w:rsidR="00AD338F" w:rsidRPr="00CE6D4C">
        <w:rPr>
          <w:rFonts w:ascii="Calibri" w:eastAsia="Times New Roman" w:hAnsi="Calibri" w:cs="Calibri"/>
          <w:b/>
          <w:color w:val="000000"/>
          <w:lang w:eastAsia="en-IE"/>
        </w:rPr>
        <w:t>Rent Review</w:t>
      </w:r>
      <w:r w:rsidR="00AD338F" w:rsidRPr="00B12326">
        <w:rPr>
          <w:rFonts w:ascii="Calibri" w:eastAsia="Times New Roman" w:hAnsi="Calibri" w:cs="Calibri"/>
          <w:color w:val="000000"/>
          <w:lang w:eastAsia="en-IE"/>
        </w:rPr>
        <w:t xml:space="preserve"> queries </w:t>
      </w:r>
      <w:r w:rsidRPr="00B12326">
        <w:rPr>
          <w:rFonts w:ascii="Calibri" w:eastAsia="Times New Roman" w:hAnsi="Calibri" w:cs="Calibri"/>
          <w:color w:val="000000"/>
          <w:lang w:eastAsia="en-IE"/>
        </w:rPr>
        <w:t xml:space="preserve">rose by 3%; and queries to do with </w:t>
      </w:r>
      <w:r w:rsidRPr="00CE6D4C">
        <w:rPr>
          <w:rFonts w:ascii="Calibri" w:eastAsia="Times New Roman" w:hAnsi="Calibri" w:cs="Calibri"/>
          <w:b/>
          <w:color w:val="000000"/>
          <w:lang w:eastAsia="en-IE"/>
        </w:rPr>
        <w:t>Landlords Righ</w:t>
      </w:r>
      <w:r w:rsidR="00AD338F" w:rsidRPr="00CE6D4C">
        <w:rPr>
          <w:rFonts w:ascii="Calibri" w:eastAsia="Times New Roman" w:hAnsi="Calibri" w:cs="Calibri"/>
          <w:b/>
          <w:color w:val="000000"/>
          <w:lang w:eastAsia="en-IE"/>
        </w:rPr>
        <w:t>ts &amp; Obligations</w:t>
      </w:r>
      <w:r w:rsidR="00AD338F" w:rsidRPr="00B12326">
        <w:rPr>
          <w:rFonts w:ascii="Calibri" w:eastAsia="Times New Roman" w:hAnsi="Calibri" w:cs="Calibri"/>
          <w:color w:val="000000"/>
          <w:lang w:eastAsia="en-IE"/>
        </w:rPr>
        <w:t xml:space="preserve"> dropped by </w:t>
      </w:r>
      <w:r w:rsidR="00991ED5">
        <w:rPr>
          <w:rFonts w:ascii="Calibri" w:eastAsia="Times New Roman" w:hAnsi="Calibri" w:cs="Calibri"/>
          <w:color w:val="000000"/>
          <w:lang w:eastAsia="en-IE"/>
        </w:rPr>
        <w:t>4</w:t>
      </w:r>
      <w:r w:rsidR="00AD338F" w:rsidRPr="00B12326">
        <w:rPr>
          <w:rFonts w:ascii="Calibri" w:eastAsia="Times New Roman" w:hAnsi="Calibri" w:cs="Calibri"/>
          <w:color w:val="000000"/>
          <w:lang w:eastAsia="en-IE"/>
        </w:rPr>
        <w:t xml:space="preserve">%, </w:t>
      </w:r>
      <w:r w:rsidRPr="00B12326">
        <w:rPr>
          <w:rFonts w:ascii="Calibri" w:eastAsia="Times New Roman" w:hAnsi="Calibri" w:cs="Calibri"/>
          <w:color w:val="000000"/>
          <w:lang w:eastAsia="en-IE"/>
        </w:rPr>
        <w:t xml:space="preserve">as a percentage of </w:t>
      </w:r>
      <w:r w:rsidR="00AD338F" w:rsidRPr="00B12326">
        <w:rPr>
          <w:rFonts w:ascii="Calibri" w:eastAsia="Times New Roman" w:hAnsi="Calibri" w:cs="Calibri"/>
          <w:color w:val="000000"/>
          <w:lang w:eastAsia="en-IE"/>
        </w:rPr>
        <w:t xml:space="preserve">all </w:t>
      </w:r>
      <w:r w:rsidRPr="00B12326">
        <w:rPr>
          <w:rFonts w:ascii="Calibri" w:eastAsia="Times New Roman" w:hAnsi="Calibri" w:cs="Calibri"/>
          <w:color w:val="000000"/>
          <w:lang w:eastAsia="en-IE"/>
        </w:rPr>
        <w:t>Renting a Home q</w:t>
      </w:r>
      <w:r w:rsidR="00AD338F" w:rsidRPr="00B12326">
        <w:rPr>
          <w:rFonts w:ascii="Calibri" w:eastAsia="Times New Roman" w:hAnsi="Calibri" w:cs="Calibri"/>
          <w:color w:val="000000"/>
          <w:lang w:eastAsia="en-IE"/>
        </w:rPr>
        <w:t>ueries.</w:t>
      </w:r>
    </w:p>
    <w:p w14:paraId="4D58235C" w14:textId="77777777" w:rsidR="00CF2862" w:rsidRPr="002467D2" w:rsidRDefault="00CF2862" w:rsidP="00CF2862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</w:p>
    <w:p w14:paraId="7C1B95FC" w14:textId="706E1F4C" w:rsidR="00F14F7A" w:rsidRDefault="00B60276" w:rsidP="00E4492D">
      <w:pPr>
        <w:pStyle w:val="Heading1"/>
        <w:rPr>
          <w:b/>
          <w:sz w:val="24"/>
          <w:szCs w:val="24"/>
        </w:rPr>
      </w:pPr>
      <w:r w:rsidRPr="00B12326">
        <w:rPr>
          <w:b/>
          <w:sz w:val="24"/>
          <w:szCs w:val="24"/>
        </w:rPr>
        <w:t>Table 7 – Housing Quer</w:t>
      </w:r>
      <w:r w:rsidR="00115404">
        <w:rPr>
          <w:b/>
          <w:sz w:val="24"/>
          <w:szCs w:val="24"/>
        </w:rPr>
        <w:t>ies</w:t>
      </w:r>
      <w:r w:rsidRPr="00B12326">
        <w:rPr>
          <w:b/>
          <w:sz w:val="24"/>
          <w:szCs w:val="24"/>
        </w:rPr>
        <w:t xml:space="preserve"> Breakdown</w:t>
      </w:r>
      <w:r w:rsidR="00475106" w:rsidRPr="00B12326">
        <w:rPr>
          <w:b/>
          <w:sz w:val="24"/>
          <w:szCs w:val="24"/>
        </w:rPr>
        <w:t>, Q1</w:t>
      </w:r>
      <w:r w:rsidR="00AD338F" w:rsidRPr="00B12326">
        <w:rPr>
          <w:b/>
          <w:sz w:val="24"/>
          <w:szCs w:val="24"/>
        </w:rPr>
        <w:t xml:space="preserve"> 2022</w:t>
      </w:r>
    </w:p>
    <w:tbl>
      <w:tblPr>
        <w:tblW w:w="13514" w:type="dxa"/>
        <w:tblInd w:w="-10" w:type="dxa"/>
        <w:tblLook w:val="04A0" w:firstRow="1" w:lastRow="0" w:firstColumn="1" w:lastColumn="0" w:noHBand="0" w:noVBand="1"/>
        <w:tblCaption w:val="Table 7 Housing Query Breakdown Quarter 1 2021"/>
        <w:tblDescription w:val="This table shows the housing query dataset for Qtr 1 2021"/>
      </w:tblPr>
      <w:tblGrid>
        <w:gridCol w:w="1275"/>
        <w:gridCol w:w="4395"/>
        <w:gridCol w:w="5382"/>
        <w:gridCol w:w="1143"/>
        <w:gridCol w:w="1319"/>
      </w:tblGrid>
      <w:tr w:rsidR="000F1F54" w:rsidRPr="000F1F54" w14:paraId="3AE563E6" w14:textId="77777777" w:rsidTr="00126AD3">
        <w:trPr>
          <w:trHeight w:val="935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14DB2BF8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Category</w:t>
            </w:r>
          </w:p>
        </w:tc>
        <w:tc>
          <w:tcPr>
            <w:tcW w:w="439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37329898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Sub-category</w:t>
            </w:r>
          </w:p>
        </w:tc>
        <w:tc>
          <w:tcPr>
            <w:tcW w:w="538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2B14CE58" w14:textId="77777777" w:rsidR="000F1F54" w:rsidRPr="000F1F54" w:rsidRDefault="000F1F54" w:rsidP="000F1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Q1, 2022 Sub-category Breakdown</w:t>
            </w:r>
          </w:p>
        </w:tc>
        <w:tc>
          <w:tcPr>
            <w:tcW w:w="114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583CD89D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# of Queries</w:t>
            </w:r>
          </w:p>
        </w:tc>
        <w:tc>
          <w:tcPr>
            <w:tcW w:w="13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314EE64A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% of Housing Sub-category</w:t>
            </w:r>
          </w:p>
        </w:tc>
      </w:tr>
      <w:tr w:rsidR="000F1F54" w:rsidRPr="000F1F54" w14:paraId="75228C44" w14:textId="77777777" w:rsidTr="000F1F54">
        <w:trPr>
          <w:trHeight w:val="255"/>
        </w:trPr>
        <w:tc>
          <w:tcPr>
            <w:tcW w:w="135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D363F2E" w14:textId="77777777" w:rsidR="000F1F54" w:rsidRPr="000F1F54" w:rsidRDefault="000F1F54" w:rsidP="000F1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Local Authority and Social Housing</w:t>
            </w:r>
          </w:p>
        </w:tc>
      </w:tr>
      <w:tr w:rsidR="000F1F54" w:rsidRPr="000F1F54" w14:paraId="0BF4E1E4" w14:textId="77777777" w:rsidTr="00126AD3">
        <w:trPr>
          <w:trHeight w:val="290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96C149F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26004C8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A45182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2D7D4CC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4841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D0B7785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48.89%</w:t>
            </w:r>
          </w:p>
        </w:tc>
      </w:tr>
      <w:tr w:rsidR="000F1F54" w:rsidRPr="000F1F54" w14:paraId="751B9292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C8AA0A0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40E7D2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E0A715B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 Assistance Payment (HAP)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1AB7285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553694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31.35%</w:t>
            </w:r>
          </w:p>
        </w:tc>
      </w:tr>
      <w:tr w:rsidR="000F1F54" w:rsidRPr="000F1F54" w14:paraId="01047D28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DD2DDD4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D94F258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21FC20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D22F84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A75B744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7.02%</w:t>
            </w:r>
          </w:p>
        </w:tc>
      </w:tr>
      <w:tr w:rsidR="000F1F54" w:rsidRPr="000F1F54" w14:paraId="782A089B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44205A8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3DFB243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7C6641C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Differential Rent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0FB44FF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292E363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4.54%</w:t>
            </w:r>
          </w:p>
        </w:tc>
      </w:tr>
      <w:tr w:rsidR="000F1F54" w:rsidRPr="000F1F54" w14:paraId="40C0DBB0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F99129F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E6C68C1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FFB8BDC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LA Transfers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0311EEF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7C9084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2.40%</w:t>
            </w:r>
          </w:p>
        </w:tc>
      </w:tr>
      <w:tr w:rsidR="000F1F54" w:rsidRPr="000F1F54" w14:paraId="50AD2781" w14:textId="77777777" w:rsidTr="00126AD3">
        <w:trPr>
          <w:trHeight w:val="255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1B8D092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A263E83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3920BF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2AA3494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6AFC889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1.61%</w:t>
            </w:r>
          </w:p>
        </w:tc>
      </w:tr>
      <w:tr w:rsidR="000F1F54" w:rsidRPr="000F1F54" w14:paraId="58B7BBEC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DD163E5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4F20E7A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5222055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Rental Accommodation Scheme (RAS)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93F37B2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4860D6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1.28%</w:t>
            </w:r>
          </w:p>
        </w:tc>
      </w:tr>
      <w:tr w:rsidR="000F1F54" w:rsidRPr="000F1F54" w14:paraId="1DED8368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B11FD5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51EF2B6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F522322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1AA24C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1D11A60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1.11%</w:t>
            </w:r>
          </w:p>
        </w:tc>
      </w:tr>
      <w:tr w:rsidR="000F1F54" w:rsidRPr="000F1F54" w14:paraId="6A36EED7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D6FEE7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1FDC0C1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D887FA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3E54FD3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F340880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0.99%</w:t>
            </w:r>
          </w:p>
        </w:tc>
      </w:tr>
      <w:tr w:rsidR="000F1F54" w:rsidRPr="000F1F54" w14:paraId="420B2DA7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8758DDD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0D0365F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EC2A13F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Tenant Purchase (Incremental Scheme)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B0B358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DD1F6B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0.81%</w:t>
            </w:r>
          </w:p>
        </w:tc>
      </w:tr>
      <w:tr w:rsidR="000F1F54" w:rsidRPr="000F1F54" w14:paraId="43B32764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1E33B15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55E5F2F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765DA6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F37F65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9,902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36B3A95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1B9C3275" w14:textId="77777777" w:rsidTr="000F1F54">
        <w:trPr>
          <w:trHeight w:val="255"/>
        </w:trPr>
        <w:tc>
          <w:tcPr>
            <w:tcW w:w="135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AFB092F" w14:textId="77777777" w:rsidR="000F1F54" w:rsidRPr="000F1F54" w:rsidRDefault="000F1F54" w:rsidP="000F1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Housing Grants and Schemes</w:t>
            </w:r>
          </w:p>
        </w:tc>
      </w:tr>
      <w:tr w:rsidR="000F1F54" w:rsidRPr="000F1F54" w14:paraId="4DF0D1B4" w14:textId="77777777" w:rsidTr="00126AD3">
        <w:trPr>
          <w:trHeight w:val="266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24878F0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1545F23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D29449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58F94CE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3406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04C65F9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6EA21EE5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AA9D4D6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56E58A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0B0CA22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9473C84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3,406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CE95658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6E85E919" w14:textId="77777777" w:rsidTr="000F1F54">
        <w:trPr>
          <w:trHeight w:val="255"/>
        </w:trPr>
        <w:tc>
          <w:tcPr>
            <w:tcW w:w="135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C88287B" w14:textId="77777777" w:rsidR="000F1F54" w:rsidRPr="000F1F54" w:rsidRDefault="000F1F54" w:rsidP="000F1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Renting a Home</w:t>
            </w:r>
          </w:p>
        </w:tc>
      </w:tr>
      <w:tr w:rsidR="000F1F54" w:rsidRPr="000F1F54" w14:paraId="0DC726BC" w14:textId="77777777" w:rsidTr="00126AD3">
        <w:trPr>
          <w:trHeight w:val="266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24C4BEF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09E05F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F18077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DA3AE8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12C2C6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26.88%</w:t>
            </w:r>
          </w:p>
        </w:tc>
      </w:tr>
      <w:tr w:rsidR="000F1F54" w:rsidRPr="000F1F54" w14:paraId="5BF7A5B5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C25B711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lastRenderedPageBreak/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DECC691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8A75C7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Tenant’s Rights and Obligations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DD5299C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5AA291A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19.07%</w:t>
            </w:r>
          </w:p>
        </w:tc>
      </w:tr>
      <w:tr w:rsidR="000F1F54" w:rsidRPr="000F1F54" w14:paraId="04F4A650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69CF3BC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3F4B1E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D316CE1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Landlords Rights &amp; Obligations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2AC94E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799FCE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15.27%</w:t>
            </w:r>
          </w:p>
        </w:tc>
      </w:tr>
      <w:tr w:rsidR="000F1F54" w:rsidRPr="000F1F54" w14:paraId="68762DEA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89D03EF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AACBC7D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FC8115A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RTB (Residential Tenancies Board)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94E92F8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6915CC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13.20%</w:t>
            </w:r>
          </w:p>
        </w:tc>
      </w:tr>
      <w:tr w:rsidR="000F1F54" w:rsidRPr="000F1F54" w14:paraId="33C8FFF0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8CC5F0C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3671E8E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60C2D90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 Review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C3CD072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41564CE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9.60%</w:t>
            </w:r>
          </w:p>
        </w:tc>
      </w:tr>
      <w:tr w:rsidR="000F1F54" w:rsidRPr="000F1F54" w14:paraId="4ADB3AE2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10F7081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85BE84C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EB6082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8E23E36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A794F11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7.02%</w:t>
            </w:r>
          </w:p>
        </w:tc>
      </w:tr>
      <w:tr w:rsidR="000F1F54" w:rsidRPr="000F1F54" w14:paraId="7F42FF72" w14:textId="77777777" w:rsidTr="00126AD3">
        <w:trPr>
          <w:trHeight w:val="255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76EC5AB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FA21B98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097455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Deposit Retention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C099C1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D72F6B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4.68%</w:t>
            </w:r>
          </w:p>
        </w:tc>
      </w:tr>
      <w:tr w:rsidR="000F1F54" w:rsidRPr="000F1F54" w14:paraId="31187B1A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84EC7FA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15A9C90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34F283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6488040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66D1055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4.28%</w:t>
            </w:r>
          </w:p>
        </w:tc>
      </w:tr>
      <w:tr w:rsidR="000F1F54" w:rsidRPr="000F1F54" w14:paraId="0E4EBA3B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3374F58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EB8D9A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A43459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479074A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2,522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1943E7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45BAC727" w14:textId="77777777" w:rsidTr="000F1F54">
        <w:trPr>
          <w:trHeight w:val="255"/>
        </w:trPr>
        <w:tc>
          <w:tcPr>
            <w:tcW w:w="135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D4B1D95" w14:textId="77777777" w:rsidR="000F1F54" w:rsidRPr="000F1F54" w:rsidRDefault="000F1F54" w:rsidP="000F1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Other</w:t>
            </w:r>
          </w:p>
        </w:tc>
      </w:tr>
      <w:tr w:rsidR="000F1F54" w:rsidRPr="000F1F54" w14:paraId="0078CABD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976FDE8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F785D8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6D6A422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637F12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893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B0EC3C1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769D0C54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5065F72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886764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BF3378B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A680F3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893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AADBF9E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43A673D6" w14:textId="77777777" w:rsidTr="000F1F54">
        <w:trPr>
          <w:trHeight w:val="255"/>
        </w:trPr>
        <w:tc>
          <w:tcPr>
            <w:tcW w:w="135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1EEDD25" w14:textId="77777777" w:rsidR="000F1F54" w:rsidRPr="000F1F54" w:rsidRDefault="000F1F54" w:rsidP="000F1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Homelessness</w:t>
            </w:r>
          </w:p>
        </w:tc>
      </w:tr>
      <w:tr w:rsidR="000F1F54" w:rsidRPr="000F1F54" w14:paraId="7E0BC4F8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3B6B6B4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38BFFB0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DCFD25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4E8582C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08B60C3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21E3ABB8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4905DC6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16A47BA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54E7964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E93F4D3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D243A76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39414AE9" w14:textId="77777777" w:rsidTr="000F1F54">
        <w:trPr>
          <w:trHeight w:val="255"/>
        </w:trPr>
        <w:tc>
          <w:tcPr>
            <w:tcW w:w="135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63F6638" w14:textId="77777777" w:rsidR="000F1F54" w:rsidRPr="000F1F54" w:rsidRDefault="000F1F54" w:rsidP="000F1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Buying a Home</w:t>
            </w:r>
          </w:p>
        </w:tc>
      </w:tr>
      <w:tr w:rsidR="000F1F54" w:rsidRPr="000F1F54" w14:paraId="1B6A501A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8E39AF3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EBC08A2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EA41D12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8FC1CDF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AEC6EFA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28A0D236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88FC2C5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E2FEACB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F4F1E73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94FFE2B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D669AC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5CF9E73C" w14:textId="77777777" w:rsidTr="000F1F54">
        <w:trPr>
          <w:trHeight w:val="255"/>
        </w:trPr>
        <w:tc>
          <w:tcPr>
            <w:tcW w:w="135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CAD3C95" w14:textId="77777777" w:rsidR="000F1F54" w:rsidRPr="000F1F54" w:rsidRDefault="000F1F54" w:rsidP="000F1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Planning Permission</w:t>
            </w:r>
          </w:p>
        </w:tc>
      </w:tr>
      <w:tr w:rsidR="000F1F54" w:rsidRPr="000F1F54" w14:paraId="2A369B0E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28D118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AEA7FEE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13A8AD3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DECB7CA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D5392E2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0FE338B2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BE72F59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F1012D8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AFB412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9BFAF1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F6D8AC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53D79DCF" w14:textId="77777777" w:rsidTr="000F1F54">
        <w:trPr>
          <w:trHeight w:val="255"/>
        </w:trPr>
        <w:tc>
          <w:tcPr>
            <w:tcW w:w="135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02C1F5" w14:textId="77777777" w:rsidR="000F1F54" w:rsidRPr="000F1F54" w:rsidRDefault="000F1F54" w:rsidP="000F1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All other sub-categories (&lt;100 queries)*</w:t>
            </w:r>
          </w:p>
        </w:tc>
      </w:tr>
      <w:tr w:rsidR="000F1F54" w:rsidRPr="000F1F54" w14:paraId="2701E14A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1CDE4D2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2CFFEDE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071556E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6E71B14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B0697FE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35B21228" w14:textId="77777777" w:rsidTr="00126AD3">
        <w:trPr>
          <w:trHeight w:val="243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E2C8A95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DCD4088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318969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571391D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3A901AC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39162333" w14:textId="77777777" w:rsidTr="00126AD3">
        <w:trPr>
          <w:trHeight w:val="255"/>
        </w:trPr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B6F46F3" w14:textId="77777777" w:rsidR="000F1F54" w:rsidRPr="000F1F54" w:rsidRDefault="000F1F54" w:rsidP="000F1F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019784" w14:textId="77777777" w:rsidR="000F1F54" w:rsidRPr="000F1F54" w:rsidRDefault="000F1F54" w:rsidP="000F1F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31E887C" w14:textId="77777777" w:rsidR="000F1F54" w:rsidRPr="000F1F54" w:rsidRDefault="000F1F54" w:rsidP="000F1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566B53E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18,355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043EE35" w14:textId="77777777" w:rsidR="000F1F54" w:rsidRPr="000F1F54" w:rsidRDefault="000F1F54" w:rsidP="000F1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615AB928" w14:textId="3DD4B535" w:rsidR="005A3512" w:rsidRPr="0038793B" w:rsidRDefault="000F1F54" w:rsidP="005A3512">
      <w:pPr>
        <w:rPr>
          <w:rFonts w:ascii="Calibri" w:hAnsi="Calibri" w:cs="Calibri"/>
          <w:b/>
          <w:sz w:val="21"/>
          <w:szCs w:val="21"/>
          <w:lang w:val="en-US"/>
        </w:rPr>
      </w:pPr>
      <w:r w:rsidRPr="0038793B">
        <w:rPr>
          <w:b/>
          <w:lang w:val="en-US"/>
        </w:rPr>
        <w:t>*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All other sub-categories includes the following query areas: Emergency Accommodation; Building or Altering a Home; Losing your Home; </w:t>
      </w:r>
      <w:r w:rsidR="005A3512" w:rsidRPr="0038793B">
        <w:rPr>
          <w:rFonts w:ascii="Calibri" w:hAnsi="Calibri" w:cs="Calibri"/>
          <w:sz w:val="20"/>
          <w:szCs w:val="20"/>
          <w:lang w:val="en-US"/>
        </w:rPr>
        <w:t xml:space="preserve">and </w:t>
      </w:r>
      <w:r w:rsidRPr="0038793B">
        <w:rPr>
          <w:rFonts w:ascii="Calibri" w:hAnsi="Calibri" w:cs="Calibri"/>
          <w:sz w:val="20"/>
          <w:szCs w:val="20"/>
          <w:lang w:val="en-US"/>
        </w:rPr>
        <w:t>Equality/Housing Discrimination.</w:t>
      </w:r>
    </w:p>
    <w:p w14:paraId="63B4A82D" w14:textId="59751A0C" w:rsidR="008839F4" w:rsidRPr="005A3512" w:rsidRDefault="00B60276" w:rsidP="005A3512">
      <w:pPr>
        <w:rPr>
          <w:b/>
          <w:lang w:val="en-US"/>
        </w:rPr>
      </w:pPr>
      <w:r w:rsidRPr="00CE6D4C">
        <w:rPr>
          <w:rFonts w:ascii="Calibri" w:hAnsi="Calibri" w:cs="Calibri"/>
          <w:b/>
          <w:lang w:val="en-US"/>
        </w:rPr>
        <w:t>Table 8</w:t>
      </w:r>
      <w:r w:rsidRPr="00CE6D4C">
        <w:rPr>
          <w:rFonts w:ascii="Calibri" w:hAnsi="Calibri" w:cs="Calibri"/>
          <w:lang w:val="en-US"/>
        </w:rPr>
        <w:t xml:space="preserve"> sets out the </w:t>
      </w:r>
      <w:r w:rsidR="004D2275" w:rsidRPr="00CE6D4C">
        <w:rPr>
          <w:rFonts w:ascii="Calibri" w:hAnsi="Calibri" w:cs="Calibri"/>
          <w:b/>
          <w:lang w:val="en-US"/>
        </w:rPr>
        <w:t>Health</w:t>
      </w:r>
      <w:r w:rsidR="004272D5" w:rsidRPr="00CE6D4C">
        <w:rPr>
          <w:rFonts w:ascii="Calibri" w:hAnsi="Calibri" w:cs="Calibri"/>
          <w:b/>
          <w:lang w:val="en-US"/>
        </w:rPr>
        <w:t xml:space="preserve"> </w:t>
      </w:r>
      <w:r w:rsidR="004272D5" w:rsidRPr="00CE6D4C">
        <w:rPr>
          <w:rFonts w:ascii="Calibri" w:hAnsi="Calibri" w:cs="Calibri"/>
          <w:lang w:val="en-US"/>
        </w:rPr>
        <w:t>queries</w:t>
      </w:r>
      <w:r w:rsidRPr="00CE6D4C">
        <w:rPr>
          <w:rFonts w:ascii="Calibri" w:hAnsi="Calibri" w:cs="Calibri"/>
          <w:lang w:val="en-US"/>
        </w:rPr>
        <w:t xml:space="preserve"> data</w:t>
      </w:r>
      <w:r w:rsidR="00480671" w:rsidRPr="00CE6D4C">
        <w:rPr>
          <w:rFonts w:ascii="Calibri" w:hAnsi="Calibri" w:cs="Calibri"/>
          <w:lang w:val="en-US"/>
        </w:rPr>
        <w:t>set for Quarter 1</w:t>
      </w:r>
      <w:r w:rsidR="004D2275" w:rsidRPr="00CE6D4C">
        <w:rPr>
          <w:rFonts w:ascii="Calibri" w:hAnsi="Calibri" w:cs="Calibri"/>
          <w:lang w:val="en-US"/>
        </w:rPr>
        <w:t>,</w:t>
      </w:r>
      <w:r w:rsidR="00C22B32" w:rsidRPr="00CE6D4C">
        <w:rPr>
          <w:rFonts w:ascii="Calibri" w:hAnsi="Calibri" w:cs="Calibri"/>
          <w:lang w:val="en-US"/>
        </w:rPr>
        <w:t xml:space="preserve"> 2022 - where Health replaced </w:t>
      </w:r>
      <w:r w:rsidR="004D2275" w:rsidRPr="00CE6D4C">
        <w:rPr>
          <w:rFonts w:ascii="Calibri" w:hAnsi="Calibri" w:cs="Calibri"/>
          <w:lang w:val="en-US"/>
        </w:rPr>
        <w:t>E</w:t>
      </w:r>
      <w:r w:rsidR="008839F4" w:rsidRPr="00CE6D4C">
        <w:rPr>
          <w:rFonts w:ascii="Calibri" w:hAnsi="Calibri" w:cs="Calibri"/>
          <w:lang w:val="en-US"/>
        </w:rPr>
        <w:t>mployment</w:t>
      </w:r>
      <w:r w:rsidR="004D2275" w:rsidRPr="00CE6D4C">
        <w:rPr>
          <w:rFonts w:ascii="Calibri" w:hAnsi="Calibri" w:cs="Calibri"/>
          <w:lang w:val="en-US"/>
        </w:rPr>
        <w:t xml:space="preserve"> in the top three </w:t>
      </w:r>
      <w:r w:rsidR="008839F4" w:rsidRPr="00CE6D4C">
        <w:rPr>
          <w:rFonts w:ascii="Calibri" w:hAnsi="Calibri" w:cs="Calibri"/>
          <w:lang w:val="en-US"/>
        </w:rPr>
        <w:t xml:space="preserve">categories </w:t>
      </w:r>
      <w:r w:rsidR="00CE6D4C" w:rsidRPr="00CE6D4C">
        <w:rPr>
          <w:rFonts w:ascii="Calibri" w:hAnsi="Calibri" w:cs="Calibri"/>
          <w:lang w:val="en-US"/>
        </w:rPr>
        <w:t xml:space="preserve">of queries, </w:t>
      </w:r>
      <w:r w:rsidR="00C22B32" w:rsidRPr="00CE6D4C">
        <w:rPr>
          <w:rFonts w:ascii="Calibri" w:hAnsi="Calibri" w:cs="Calibri"/>
          <w:lang w:val="en-US"/>
        </w:rPr>
        <w:t>representing</w:t>
      </w:r>
      <w:r w:rsidR="004D2275" w:rsidRPr="00CE6D4C">
        <w:rPr>
          <w:rFonts w:ascii="Calibri" w:hAnsi="Calibri" w:cs="Calibri"/>
          <w:lang w:val="en-US"/>
        </w:rPr>
        <w:t xml:space="preserve"> 7.5</w:t>
      </w:r>
      <w:r w:rsidR="00E64426" w:rsidRPr="00CE6D4C">
        <w:rPr>
          <w:rFonts w:ascii="Calibri" w:hAnsi="Calibri" w:cs="Calibri"/>
          <w:lang w:val="en-US"/>
        </w:rPr>
        <w:t xml:space="preserve">% </w:t>
      </w:r>
      <w:r w:rsidR="008839F4" w:rsidRPr="00CE6D4C">
        <w:rPr>
          <w:rFonts w:ascii="Calibri" w:hAnsi="Calibri" w:cs="Calibri"/>
          <w:lang w:val="en-US"/>
        </w:rPr>
        <w:t>of all queries</w:t>
      </w:r>
      <w:r w:rsidR="004D2275" w:rsidRPr="00CE6D4C">
        <w:rPr>
          <w:rFonts w:ascii="Calibri" w:hAnsi="Calibri" w:cs="Calibri"/>
          <w:lang w:val="en-US"/>
        </w:rPr>
        <w:t xml:space="preserve"> compared with 5.62% in Q1 2021.</w:t>
      </w:r>
      <w:r w:rsidRPr="00CE6D4C">
        <w:rPr>
          <w:rFonts w:ascii="Calibri" w:hAnsi="Calibri" w:cs="Calibri"/>
          <w:lang w:val="en-US"/>
        </w:rPr>
        <w:t xml:space="preserve"> </w:t>
      </w:r>
      <w:r w:rsidR="00A42EBC" w:rsidRPr="00CE6D4C">
        <w:rPr>
          <w:rFonts w:ascii="Calibri" w:hAnsi="Calibri" w:cs="Calibri"/>
          <w:lang w:val="en-US"/>
        </w:rPr>
        <w:t>The Health category covers mainly health service entitlements and eligibil</w:t>
      </w:r>
      <w:r w:rsidR="00E64426" w:rsidRPr="00CE6D4C">
        <w:rPr>
          <w:rFonts w:ascii="Calibri" w:hAnsi="Calibri" w:cs="Calibri"/>
          <w:lang w:val="en-US"/>
        </w:rPr>
        <w:t xml:space="preserve">ity – with the main area being </w:t>
      </w:r>
      <w:r w:rsidR="00E64426" w:rsidRPr="00CE6D4C">
        <w:rPr>
          <w:rFonts w:ascii="Calibri" w:hAnsi="Calibri" w:cs="Calibri"/>
          <w:b/>
          <w:lang w:val="en-US"/>
        </w:rPr>
        <w:t>Medical C</w:t>
      </w:r>
      <w:r w:rsidR="00A42EBC" w:rsidRPr="00CE6D4C">
        <w:rPr>
          <w:rFonts w:ascii="Calibri" w:hAnsi="Calibri" w:cs="Calibri"/>
          <w:b/>
          <w:lang w:val="en-US"/>
        </w:rPr>
        <w:t>ard</w:t>
      </w:r>
      <w:r w:rsidR="00A42EBC" w:rsidRPr="00CE6D4C">
        <w:rPr>
          <w:rFonts w:ascii="Calibri" w:hAnsi="Calibri" w:cs="Calibri"/>
          <w:lang w:val="en-US"/>
        </w:rPr>
        <w:t xml:space="preserve"> related concerns.</w:t>
      </w:r>
    </w:p>
    <w:p w14:paraId="39EECC25" w14:textId="77777777" w:rsidR="00E64426" w:rsidRDefault="00B3294A" w:rsidP="00E64426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lastRenderedPageBreak/>
        <w:t xml:space="preserve">Q1 2022 showed some changes in the </w:t>
      </w:r>
      <w:r w:rsidR="008839F4" w:rsidRPr="00B12326">
        <w:rPr>
          <w:rFonts w:ascii="Calibri" w:hAnsi="Calibri" w:cs="Calibri"/>
          <w:color w:val="auto"/>
          <w:sz w:val="22"/>
          <w:szCs w:val="22"/>
          <w:lang w:val="en-US"/>
        </w:rPr>
        <w:t>type, as well as the amount,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 of </w:t>
      </w:r>
      <w:r w:rsidRPr="00CE6D4C">
        <w:rPr>
          <w:rFonts w:ascii="Calibri" w:hAnsi="Calibri" w:cs="Calibri"/>
          <w:b/>
          <w:color w:val="auto"/>
          <w:sz w:val="22"/>
          <w:szCs w:val="22"/>
          <w:lang w:val="en-US"/>
        </w:rPr>
        <w:t>Health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 queries received from the public: </w:t>
      </w:r>
    </w:p>
    <w:p w14:paraId="301FD8DB" w14:textId="2693096B" w:rsidR="00B12326" w:rsidRPr="00E64426" w:rsidRDefault="00B3294A" w:rsidP="00E64426">
      <w:pPr>
        <w:pStyle w:val="Heading1"/>
        <w:numPr>
          <w:ilvl w:val="0"/>
          <w:numId w:val="7"/>
        </w:numPr>
        <w:rPr>
          <w:rFonts w:ascii="Calibri" w:hAnsi="Calibri" w:cs="Calibri"/>
          <w:color w:val="auto"/>
          <w:sz w:val="22"/>
          <w:szCs w:val="22"/>
          <w:lang w:val="en-US"/>
        </w:rPr>
      </w:pPr>
      <w:r w:rsidRPr="00E64426">
        <w:rPr>
          <w:rFonts w:ascii="Calibri" w:hAnsi="Calibri" w:cs="Calibri"/>
          <w:b/>
          <w:color w:val="auto"/>
          <w:sz w:val="22"/>
          <w:szCs w:val="22"/>
          <w:lang w:val="en-US"/>
        </w:rPr>
        <w:t>Medical Card</w:t>
      </w:r>
      <w:r w:rsidRPr="00E64426">
        <w:rPr>
          <w:rFonts w:ascii="Calibri" w:hAnsi="Calibri" w:cs="Calibri"/>
          <w:color w:val="auto"/>
          <w:sz w:val="22"/>
          <w:szCs w:val="22"/>
          <w:lang w:val="en-US"/>
        </w:rPr>
        <w:t xml:space="preserve"> queries </w:t>
      </w:r>
      <w:r w:rsidR="00A42EBC" w:rsidRPr="00E64426">
        <w:rPr>
          <w:rFonts w:ascii="Calibri" w:hAnsi="Calibri" w:cs="Calibri"/>
          <w:color w:val="auto"/>
          <w:sz w:val="22"/>
          <w:szCs w:val="22"/>
          <w:lang w:val="en-US"/>
        </w:rPr>
        <w:t xml:space="preserve">almost </w:t>
      </w:r>
      <w:r w:rsidRPr="00E64426">
        <w:rPr>
          <w:rFonts w:ascii="Calibri" w:hAnsi="Calibri" w:cs="Calibri"/>
          <w:color w:val="auto"/>
          <w:sz w:val="22"/>
          <w:szCs w:val="22"/>
          <w:lang w:val="en-US"/>
        </w:rPr>
        <w:t>doubled, increasing from 5,</w:t>
      </w:r>
      <w:r w:rsidR="008839F4" w:rsidRPr="00E64426">
        <w:rPr>
          <w:rFonts w:ascii="Calibri" w:hAnsi="Calibri" w:cs="Calibri"/>
          <w:color w:val="auto"/>
          <w:sz w:val="22"/>
          <w:szCs w:val="22"/>
          <w:lang w:val="en-US"/>
        </w:rPr>
        <w:t>418</w:t>
      </w:r>
      <w:r w:rsidRPr="00E64426">
        <w:rPr>
          <w:rFonts w:ascii="Calibri" w:hAnsi="Calibri" w:cs="Calibri"/>
          <w:color w:val="auto"/>
          <w:sz w:val="22"/>
          <w:szCs w:val="22"/>
          <w:lang w:val="en-US"/>
        </w:rPr>
        <w:t xml:space="preserve"> in Q1 2021 to </w:t>
      </w:r>
      <w:r w:rsidRPr="00E64426">
        <w:rPr>
          <w:rFonts w:ascii="Calibri" w:hAnsi="Calibri" w:cs="Calibri"/>
          <w:b/>
          <w:color w:val="auto"/>
          <w:sz w:val="22"/>
          <w:szCs w:val="22"/>
          <w:lang w:val="en-US"/>
        </w:rPr>
        <w:t>9,</w:t>
      </w:r>
      <w:r w:rsidR="008839F4" w:rsidRPr="00E64426">
        <w:rPr>
          <w:rFonts w:ascii="Calibri" w:hAnsi="Calibri" w:cs="Calibri"/>
          <w:b/>
          <w:color w:val="auto"/>
          <w:sz w:val="22"/>
          <w:szCs w:val="22"/>
          <w:lang w:val="en-US"/>
        </w:rPr>
        <w:t>289</w:t>
      </w:r>
      <w:r w:rsidR="008839F4" w:rsidRPr="00E64426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E64426">
        <w:rPr>
          <w:rFonts w:ascii="Calibri" w:hAnsi="Calibri" w:cs="Calibri"/>
          <w:b/>
          <w:color w:val="auto"/>
          <w:sz w:val="22"/>
          <w:szCs w:val="22"/>
          <w:lang w:val="en-US"/>
        </w:rPr>
        <w:t>in Q1 2022</w:t>
      </w:r>
      <w:r w:rsidR="00A42EBC" w:rsidRPr="00E64426">
        <w:rPr>
          <w:rFonts w:ascii="Calibri" w:hAnsi="Calibri" w:cs="Calibri"/>
          <w:color w:val="auto"/>
          <w:sz w:val="22"/>
          <w:szCs w:val="22"/>
          <w:lang w:val="en-US"/>
        </w:rPr>
        <w:t xml:space="preserve"> - </w:t>
      </w:r>
      <w:r w:rsidR="00CE6D4C">
        <w:rPr>
          <w:rFonts w:ascii="Calibri" w:hAnsi="Calibri" w:cs="Calibri"/>
          <w:color w:val="auto"/>
          <w:sz w:val="22"/>
          <w:szCs w:val="22"/>
          <w:lang w:val="en-US"/>
        </w:rPr>
        <w:t>to represent 65% all H</w:t>
      </w:r>
      <w:r w:rsidRPr="00E64426">
        <w:rPr>
          <w:rFonts w:ascii="Calibri" w:hAnsi="Calibri" w:cs="Calibri"/>
          <w:color w:val="auto"/>
          <w:sz w:val="22"/>
          <w:szCs w:val="22"/>
          <w:lang w:val="en-US"/>
        </w:rPr>
        <w:t>ealth que</w:t>
      </w:r>
      <w:r w:rsidR="00B12326" w:rsidRPr="00E64426">
        <w:rPr>
          <w:rFonts w:ascii="Calibri" w:hAnsi="Calibri" w:cs="Calibri"/>
          <w:color w:val="auto"/>
          <w:sz w:val="22"/>
          <w:szCs w:val="22"/>
          <w:lang w:val="en-US"/>
        </w:rPr>
        <w:t>ries</w:t>
      </w:r>
      <w:r w:rsidR="00A42EBC" w:rsidRPr="00E64426">
        <w:rPr>
          <w:rFonts w:ascii="Calibri" w:hAnsi="Calibri" w:cs="Calibri"/>
          <w:color w:val="auto"/>
          <w:sz w:val="22"/>
          <w:szCs w:val="22"/>
          <w:lang w:val="en-US"/>
        </w:rPr>
        <w:t>,</w:t>
      </w:r>
      <w:r w:rsidR="004272D5" w:rsidRPr="00E64426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A42EBC" w:rsidRPr="00E64426">
        <w:rPr>
          <w:rFonts w:ascii="Calibri" w:hAnsi="Calibri" w:cs="Calibri"/>
          <w:color w:val="auto"/>
          <w:sz w:val="22"/>
          <w:szCs w:val="22"/>
          <w:lang w:val="en-US"/>
        </w:rPr>
        <w:t xml:space="preserve">up from 58% in </w:t>
      </w:r>
      <w:r w:rsidR="00CE6D4C">
        <w:rPr>
          <w:rFonts w:ascii="Calibri" w:hAnsi="Calibri" w:cs="Calibri"/>
          <w:color w:val="auto"/>
          <w:sz w:val="22"/>
          <w:szCs w:val="22"/>
          <w:lang w:val="en-US"/>
        </w:rPr>
        <w:t xml:space="preserve">Q1, </w:t>
      </w:r>
      <w:r w:rsidR="00A42EBC" w:rsidRPr="00E64426">
        <w:rPr>
          <w:rFonts w:ascii="Calibri" w:hAnsi="Calibri" w:cs="Calibri"/>
          <w:color w:val="auto"/>
          <w:sz w:val="22"/>
          <w:szCs w:val="22"/>
          <w:lang w:val="en-US"/>
        </w:rPr>
        <w:t>2021</w:t>
      </w:r>
    </w:p>
    <w:p w14:paraId="2AD771E8" w14:textId="28939A27" w:rsidR="00B12326" w:rsidRPr="002467D2" w:rsidRDefault="008839F4" w:rsidP="00B12326">
      <w:pPr>
        <w:pStyle w:val="ListParagraph"/>
        <w:numPr>
          <w:ilvl w:val="0"/>
          <w:numId w:val="5"/>
        </w:numPr>
        <w:rPr>
          <w:rFonts w:ascii="Calibri" w:hAnsi="Calibri" w:cs="Calibri"/>
          <w:b/>
          <w:i/>
          <w:lang w:val="en-US"/>
        </w:rPr>
      </w:pPr>
      <w:r w:rsidRPr="00B12326">
        <w:rPr>
          <w:rFonts w:ascii="Calibri" w:hAnsi="Calibri" w:cs="Calibri"/>
          <w:lang w:val="en-US"/>
        </w:rPr>
        <w:t>A number of other quer</w:t>
      </w:r>
      <w:r w:rsidR="007078D3">
        <w:rPr>
          <w:rFonts w:ascii="Calibri" w:hAnsi="Calibri" w:cs="Calibri"/>
          <w:lang w:val="en-US"/>
        </w:rPr>
        <w:t>y areas showed small</w:t>
      </w:r>
      <w:r w:rsidRPr="00B12326">
        <w:rPr>
          <w:rFonts w:ascii="Calibri" w:hAnsi="Calibri" w:cs="Calibri"/>
          <w:lang w:val="en-US"/>
        </w:rPr>
        <w:t xml:space="preserve"> increases of one and two percent, such as </w:t>
      </w:r>
      <w:r w:rsidR="004272D5">
        <w:rPr>
          <w:rFonts w:ascii="Calibri" w:hAnsi="Calibri" w:cs="Calibri"/>
          <w:lang w:val="en-US"/>
        </w:rPr>
        <w:t xml:space="preserve">enquiries </w:t>
      </w:r>
      <w:r w:rsidRPr="00B12326">
        <w:rPr>
          <w:rFonts w:ascii="Calibri" w:hAnsi="Calibri" w:cs="Calibri"/>
          <w:lang w:val="en-US"/>
        </w:rPr>
        <w:t>to do with the</w:t>
      </w:r>
      <w:r w:rsidR="00B3294A" w:rsidRPr="00B12326">
        <w:rPr>
          <w:rFonts w:ascii="Calibri" w:hAnsi="Calibri" w:cs="Calibri"/>
          <w:lang w:val="en-US"/>
        </w:rPr>
        <w:t xml:space="preserve"> </w:t>
      </w:r>
      <w:r w:rsidRPr="002467D2">
        <w:rPr>
          <w:rFonts w:ascii="Calibri" w:eastAsia="Times New Roman" w:hAnsi="Calibri" w:cs="Calibri"/>
          <w:b/>
          <w:i/>
          <w:color w:val="000000"/>
          <w:lang w:eastAsia="en-IE"/>
        </w:rPr>
        <w:t>Fair Deal &amp; Home Care Package, GP Services, Dental, Aural and Optical Health</w:t>
      </w:r>
      <w:r w:rsidR="00BB0833" w:rsidRPr="002467D2">
        <w:rPr>
          <w:rFonts w:ascii="Calibri" w:eastAsia="Times New Roman" w:hAnsi="Calibri" w:cs="Calibri"/>
          <w:b/>
          <w:i/>
          <w:color w:val="000000"/>
          <w:lang w:eastAsia="en-IE"/>
        </w:rPr>
        <w:t>, Cancer Services</w:t>
      </w:r>
      <w:r w:rsidRPr="00B12326">
        <w:rPr>
          <w:rFonts w:ascii="Calibri" w:eastAsia="Times New Roman" w:hAnsi="Calibri" w:cs="Calibri"/>
          <w:color w:val="000000"/>
          <w:lang w:eastAsia="en-IE"/>
        </w:rPr>
        <w:t xml:space="preserve"> and queries to do with </w:t>
      </w:r>
      <w:r w:rsidR="00BB0833" w:rsidRPr="002467D2">
        <w:rPr>
          <w:rFonts w:ascii="Calibri" w:eastAsia="Times New Roman" w:hAnsi="Calibri" w:cs="Calibri"/>
          <w:b/>
          <w:i/>
          <w:color w:val="000000"/>
          <w:lang w:eastAsia="en-IE"/>
        </w:rPr>
        <w:t>Health Services for People with Disabilities</w:t>
      </w:r>
    </w:p>
    <w:p w14:paraId="54410537" w14:textId="34C8DE97" w:rsidR="000C6851" w:rsidRDefault="008839F4" w:rsidP="00876C5D">
      <w:pPr>
        <w:pStyle w:val="Heading1"/>
        <w:rPr>
          <w:b/>
          <w:sz w:val="24"/>
          <w:szCs w:val="24"/>
          <w:lang w:val="en-US"/>
        </w:rPr>
      </w:pPr>
      <w:r w:rsidRPr="002467D2">
        <w:rPr>
          <w:b/>
          <w:sz w:val="24"/>
          <w:szCs w:val="24"/>
          <w:lang w:val="en-US"/>
        </w:rPr>
        <w:t>Table 8 - Health</w:t>
      </w:r>
      <w:r w:rsidR="00B60276" w:rsidRPr="002467D2">
        <w:rPr>
          <w:b/>
          <w:sz w:val="24"/>
          <w:szCs w:val="24"/>
          <w:lang w:val="en-US"/>
        </w:rPr>
        <w:t xml:space="preserve"> Query Breakdown</w:t>
      </w:r>
      <w:r w:rsidR="00480671" w:rsidRPr="002467D2">
        <w:rPr>
          <w:b/>
          <w:sz w:val="24"/>
          <w:szCs w:val="24"/>
          <w:lang w:val="en-US"/>
        </w:rPr>
        <w:t>, Q1</w:t>
      </w:r>
      <w:r w:rsidRPr="002467D2">
        <w:rPr>
          <w:b/>
          <w:sz w:val="24"/>
          <w:szCs w:val="24"/>
          <w:lang w:val="en-US"/>
        </w:rPr>
        <w:t xml:space="preserve"> 2022</w:t>
      </w:r>
    </w:p>
    <w:tbl>
      <w:tblPr>
        <w:tblW w:w="13482" w:type="dxa"/>
        <w:tblInd w:w="-10" w:type="dxa"/>
        <w:tblLook w:val="04A0" w:firstRow="1" w:lastRow="0" w:firstColumn="1" w:lastColumn="0" w:noHBand="0" w:noVBand="1"/>
      </w:tblPr>
      <w:tblGrid>
        <w:gridCol w:w="1615"/>
        <w:gridCol w:w="4115"/>
        <w:gridCol w:w="4933"/>
        <w:gridCol w:w="1336"/>
        <w:gridCol w:w="1483"/>
      </w:tblGrid>
      <w:tr w:rsidR="005A3512" w:rsidRPr="00966547" w14:paraId="219A794C" w14:textId="77777777" w:rsidTr="00CD1EE4">
        <w:trPr>
          <w:trHeight w:val="948"/>
        </w:trPr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39397BC0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Category</w:t>
            </w:r>
          </w:p>
        </w:tc>
        <w:tc>
          <w:tcPr>
            <w:tcW w:w="411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6D4D4140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Sub-category</w:t>
            </w:r>
          </w:p>
        </w:tc>
        <w:tc>
          <w:tcPr>
            <w:tcW w:w="493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47CD1F8C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Q1, 2022 Sub-category Breakdown</w:t>
            </w:r>
          </w:p>
        </w:tc>
        <w:tc>
          <w:tcPr>
            <w:tcW w:w="13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23401BE5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# of Queries</w:t>
            </w:r>
          </w:p>
        </w:tc>
        <w:tc>
          <w:tcPr>
            <w:tcW w:w="148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6D7AF874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% of Health Sub-category</w:t>
            </w:r>
          </w:p>
        </w:tc>
      </w:tr>
      <w:tr w:rsidR="00966547" w:rsidRPr="00966547" w14:paraId="3C42A95F" w14:textId="77777777" w:rsidTr="005A3512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E2C1587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Medical Card</w:t>
            </w:r>
          </w:p>
        </w:tc>
      </w:tr>
      <w:tr w:rsidR="005A3512" w:rsidRPr="00966547" w14:paraId="0DFF1186" w14:textId="77777777" w:rsidTr="005A3512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468665E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42C2195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Medical Card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C110726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44C3B96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9289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96A9DA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5A3512" w:rsidRPr="00966547" w14:paraId="5B104A56" w14:textId="77777777" w:rsidTr="005A3512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D5008F1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73AF0F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B0FC46A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EEFAE9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9,289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1CA5C4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966547" w:rsidRPr="00966547" w14:paraId="0256B522" w14:textId="77777777" w:rsidTr="005A3512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00A215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Fair Deal &amp; Home Care Package</w:t>
            </w:r>
          </w:p>
        </w:tc>
      </w:tr>
      <w:tr w:rsidR="005A3512" w:rsidRPr="00966547" w14:paraId="3518BC16" w14:textId="77777777" w:rsidTr="005A3512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36F80FD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B4471F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Fair Deal &amp; Home Care Package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A195F9B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759427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BC163A7" w14:textId="77777777" w:rsidR="00966547" w:rsidRPr="00966547" w:rsidRDefault="00966547" w:rsidP="009665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lang w:eastAsia="en-IE"/>
              </w:rPr>
              <w:t> </w:t>
            </w:r>
          </w:p>
        </w:tc>
      </w:tr>
      <w:tr w:rsidR="005A3512" w:rsidRPr="00966547" w14:paraId="2138FB69" w14:textId="77777777" w:rsidTr="005A3512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0F4573C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8C357F7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91256ED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F9DA4C7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DC74899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966547" w:rsidRPr="00966547" w14:paraId="1DE1732E" w14:textId="77777777" w:rsidTr="005A3512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211BF37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GP Services</w:t>
            </w:r>
          </w:p>
        </w:tc>
      </w:tr>
      <w:tr w:rsidR="005A3512" w:rsidRPr="00966547" w14:paraId="6AC46733" w14:textId="77777777" w:rsidTr="005A3512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D0C6926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2AD4EA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GP Services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636BD18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D012261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F90A2D9" w14:textId="77777777" w:rsidR="00966547" w:rsidRPr="00966547" w:rsidRDefault="00966547" w:rsidP="009665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lang w:eastAsia="en-IE"/>
              </w:rPr>
              <w:t> </w:t>
            </w:r>
          </w:p>
        </w:tc>
      </w:tr>
      <w:tr w:rsidR="005A3512" w:rsidRPr="00966547" w14:paraId="205E2834" w14:textId="77777777" w:rsidTr="005A3512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BB7FFD9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CDEE619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E2E24BF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44A128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2E7596B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966547" w:rsidRPr="00966547" w14:paraId="42CA0968" w14:textId="77777777" w:rsidTr="005A3512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7390D8F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Health - Other</w:t>
            </w:r>
          </w:p>
        </w:tc>
      </w:tr>
      <w:tr w:rsidR="005A3512" w:rsidRPr="00966547" w14:paraId="6BBBF79F" w14:textId="77777777" w:rsidTr="005A3512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D7A82E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B5BDEE6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Other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8316DE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610F91F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31F61F" w14:textId="77777777" w:rsidR="00966547" w:rsidRPr="00966547" w:rsidRDefault="00966547" w:rsidP="009665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lang w:eastAsia="en-IE"/>
              </w:rPr>
              <w:t> </w:t>
            </w:r>
          </w:p>
        </w:tc>
      </w:tr>
      <w:tr w:rsidR="005A3512" w:rsidRPr="00966547" w14:paraId="1E047677" w14:textId="77777777" w:rsidTr="005A3512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5179256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455C596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989C4E3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53178C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FBB42F5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966547" w:rsidRPr="00966547" w14:paraId="663E8635" w14:textId="77777777" w:rsidTr="005A3512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C417552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Drugs/Medicines</w:t>
            </w:r>
          </w:p>
        </w:tc>
      </w:tr>
      <w:tr w:rsidR="005A3512" w:rsidRPr="00966547" w14:paraId="0AFD010B" w14:textId="77777777" w:rsidTr="005A3512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7AF7AAC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201BCAC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Drugs/Medicines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B0086C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Drugs Payment Scheme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3FED7A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A863DC7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72.90%</w:t>
            </w:r>
          </w:p>
        </w:tc>
      </w:tr>
      <w:tr w:rsidR="005A3512" w:rsidRPr="00966547" w14:paraId="043F95FD" w14:textId="77777777" w:rsidTr="005A3512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71DBF51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B41425E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19BF5FA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Long-term Illness Scheme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384BE3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5C43C06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27.10%</w:t>
            </w:r>
          </w:p>
        </w:tc>
      </w:tr>
      <w:tr w:rsidR="005A3512" w:rsidRPr="00966547" w14:paraId="5275E30A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669BC4A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693141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938AAA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3B85EF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48DE424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966547" w:rsidRPr="00966547" w14:paraId="33139641" w14:textId="77777777" w:rsidTr="005A3512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93C5AF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Dental, Aural and Optical Health</w:t>
            </w:r>
          </w:p>
        </w:tc>
      </w:tr>
      <w:tr w:rsidR="005A3512" w:rsidRPr="00966547" w14:paraId="23145968" w14:textId="77777777" w:rsidTr="005A3512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17800A0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3BCB8C4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Dental, Aural and Optical Health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090B59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8052E80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9D59DD2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5A3512" w:rsidRPr="00966547" w14:paraId="38227AEB" w14:textId="77777777" w:rsidTr="005A3512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EB6B5A2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262F34D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91C9695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8C9A226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5E8BB6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966547" w:rsidRPr="00966547" w14:paraId="27DC46D4" w14:textId="77777777" w:rsidTr="005A3512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DD24CE2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lastRenderedPageBreak/>
              <w:t>Health Services for Older People</w:t>
            </w:r>
          </w:p>
        </w:tc>
      </w:tr>
      <w:tr w:rsidR="005A3512" w:rsidRPr="00966547" w14:paraId="1990AFC1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8960CDB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F77FF3B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Health Services for Older People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8753D2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7A793E0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E0EA7D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5A3512" w:rsidRPr="00966547" w14:paraId="71974000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EB339A1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CB6D060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C64A228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BADA39C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6A71A9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966547" w:rsidRPr="00966547" w14:paraId="75816BA3" w14:textId="77777777" w:rsidTr="005A3512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27F3783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Care in the Community</w:t>
            </w:r>
          </w:p>
        </w:tc>
      </w:tr>
      <w:tr w:rsidR="005A3512" w:rsidRPr="00966547" w14:paraId="75A50FB3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10B3E43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7602F23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Care in your Community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FFD1E4B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C7FFAA7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4BF9ADD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5A3512" w:rsidRPr="00966547" w14:paraId="5A288E8F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8582E8D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9FEC00C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1A6A9E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9791C93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49D978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966547" w:rsidRPr="00966547" w14:paraId="3B1571B3" w14:textId="77777777" w:rsidTr="005A3512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0F1E61B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Hospital Services</w:t>
            </w:r>
          </w:p>
        </w:tc>
      </w:tr>
      <w:tr w:rsidR="005A3512" w:rsidRPr="00966547" w14:paraId="3C04AF71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0B7BC57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C1270D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Hospital Services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4040893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C9A3A1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797221E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5A3512" w:rsidRPr="00966547" w14:paraId="2A2205E8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ACB5406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5633915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A91985F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8F41C3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8DABA17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966547" w:rsidRPr="00966547" w14:paraId="7A8C262E" w14:textId="77777777" w:rsidTr="005A3512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649714A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EU Healthcare</w:t>
            </w:r>
          </w:p>
        </w:tc>
      </w:tr>
      <w:tr w:rsidR="005A3512" w:rsidRPr="00966547" w14:paraId="7F214716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DA1AE1E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EA19507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EU Healthcare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DF2F8B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82FC707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BF34816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5A3512" w:rsidRPr="00966547" w14:paraId="0BAE2426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AB101B1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39AAFF4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5CF683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69D563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C2BE99F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966547" w:rsidRPr="00966547" w14:paraId="450CA594" w14:textId="77777777" w:rsidTr="005A3512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2AD7FCD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Health Services for People with Disabilities</w:t>
            </w:r>
          </w:p>
        </w:tc>
      </w:tr>
      <w:tr w:rsidR="005A3512" w:rsidRPr="00966547" w14:paraId="38EC1C9F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138EAE5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F981BA5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Health Services for People with Disabilities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697B96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EB6D985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7C3ADB7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5A3512" w:rsidRPr="00966547" w14:paraId="6303B1D7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512E31E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9FCA31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D1CA0E8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E55955B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44FC349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966547" w:rsidRPr="00966547" w14:paraId="35F62A0E" w14:textId="77777777" w:rsidTr="005A3512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FCA7BA5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Mental Health</w:t>
            </w:r>
          </w:p>
        </w:tc>
      </w:tr>
      <w:tr w:rsidR="005A3512" w:rsidRPr="00966547" w14:paraId="704D3AAD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FB82F02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7F023FD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Mental Health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2A16697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4E9AC36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380691D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5A3512" w:rsidRPr="00966547" w14:paraId="41D3ECD5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DD0E114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1579B33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8E9D2B1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D4477A4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186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6AE8FEB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966547" w:rsidRPr="00966547" w14:paraId="58E0AB62" w14:textId="77777777" w:rsidTr="005A3512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3185A3" w14:textId="77777777" w:rsidR="00966547" w:rsidRPr="00966547" w:rsidRDefault="00966547" w:rsidP="00966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All other sub-categories (&lt;100 queries)*</w:t>
            </w:r>
          </w:p>
        </w:tc>
      </w:tr>
      <w:tr w:rsidR="005A3512" w:rsidRPr="00966547" w14:paraId="4FE32C5E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E1BC178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9D9DD87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6146214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7037189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A274731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5A3512" w:rsidRPr="00966547" w14:paraId="1A1916BA" w14:textId="77777777" w:rsidTr="005A3512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929FEDE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B2379FE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B0BDBF7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0272A3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5F4C43D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5A3512" w:rsidRPr="00966547" w14:paraId="2967B206" w14:textId="77777777" w:rsidTr="005A3512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F89AABF" w14:textId="77777777" w:rsidR="00966547" w:rsidRPr="00966547" w:rsidRDefault="00966547" w:rsidP="00966547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683EAB" w14:textId="77777777" w:rsidR="00966547" w:rsidRPr="00966547" w:rsidRDefault="00966547" w:rsidP="0096654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D392BCC" w14:textId="77777777" w:rsidR="00966547" w:rsidRPr="00966547" w:rsidRDefault="00966547" w:rsidP="00966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Total Health Queries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551E662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14,340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001D10" w14:textId="77777777" w:rsidR="00966547" w:rsidRPr="00966547" w:rsidRDefault="00966547" w:rsidP="00966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144FE613" w14:textId="77777777" w:rsidR="00966547" w:rsidRDefault="00966547" w:rsidP="00966547">
      <w:pPr>
        <w:rPr>
          <w:lang w:val="en-US"/>
        </w:rPr>
      </w:pPr>
    </w:p>
    <w:p w14:paraId="458D799C" w14:textId="540ADFDF" w:rsidR="00EA481C" w:rsidRPr="0038793B" w:rsidRDefault="00966547" w:rsidP="00865EC0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966547">
        <w:rPr>
          <w:b/>
          <w:lang w:val="en-US"/>
        </w:rPr>
        <w:t>*</w:t>
      </w:r>
      <w:r>
        <w:rPr>
          <w:b/>
          <w:lang w:val="en-US"/>
        </w:rPr>
        <w:t xml:space="preserve"> </w:t>
      </w:r>
      <w:r w:rsidR="001210D2" w:rsidRPr="0038793B">
        <w:rPr>
          <w:rFonts w:ascii="Calibri" w:hAnsi="Calibri" w:cs="Calibri"/>
          <w:sz w:val="20"/>
          <w:szCs w:val="20"/>
          <w:lang w:val="en-US"/>
        </w:rPr>
        <w:t>All other sub-categories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 include</w:t>
      </w:r>
      <w:r w:rsidR="001210D2" w:rsidRPr="0038793B">
        <w:rPr>
          <w:rFonts w:ascii="Calibri" w:hAnsi="Calibri" w:cs="Calibri"/>
          <w:sz w:val="20"/>
          <w:szCs w:val="20"/>
          <w:lang w:val="en-US"/>
        </w:rPr>
        <w:t xml:space="preserve"> the following query areas: 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 Entitlement to Health Services, Health Insurance, Children’s Health, Legal Matters, Cancer Services, Health Service Agencies, Aids and Appliances, Alcohol and Drug Treatment Services, Women’s Health, Ho</w:t>
      </w:r>
      <w:r w:rsidR="0038793B">
        <w:rPr>
          <w:rFonts w:ascii="Calibri" w:hAnsi="Calibri" w:cs="Calibri"/>
          <w:sz w:val="20"/>
          <w:szCs w:val="20"/>
          <w:lang w:val="en-US"/>
        </w:rPr>
        <w:t>w Health Services are O</w:t>
      </w:r>
      <w:r w:rsidRPr="0038793B">
        <w:rPr>
          <w:rFonts w:ascii="Calibri" w:hAnsi="Calibri" w:cs="Calibri"/>
          <w:sz w:val="20"/>
          <w:szCs w:val="20"/>
          <w:lang w:val="en-US"/>
        </w:rPr>
        <w:t>rganised, Emergency Health Services, Environmental Health, and Alternative H</w:t>
      </w:r>
      <w:r w:rsidR="005A3512" w:rsidRPr="0038793B">
        <w:rPr>
          <w:rFonts w:ascii="Calibri" w:hAnsi="Calibri" w:cs="Calibri"/>
          <w:sz w:val="20"/>
          <w:szCs w:val="20"/>
          <w:lang w:val="en-US"/>
        </w:rPr>
        <w:t>ealth.</w:t>
      </w:r>
    </w:p>
    <w:sectPr w:rsidR="00EA481C" w:rsidRPr="0038793B" w:rsidSect="003269F0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18683" w14:textId="77777777" w:rsidR="005654D8" w:rsidRDefault="005654D8" w:rsidP="00B60276">
      <w:pPr>
        <w:spacing w:after="0" w:line="240" w:lineRule="auto"/>
      </w:pPr>
      <w:r>
        <w:separator/>
      </w:r>
    </w:p>
  </w:endnote>
  <w:endnote w:type="continuationSeparator" w:id="0">
    <w:p w14:paraId="5FE55F2D" w14:textId="77777777" w:rsidR="005654D8" w:rsidRDefault="005654D8" w:rsidP="00B60276">
      <w:pPr>
        <w:spacing w:after="0" w:line="240" w:lineRule="auto"/>
      </w:pPr>
      <w:r>
        <w:continuationSeparator/>
      </w:r>
    </w:p>
  </w:endnote>
  <w:endnote w:type="continuationNotice" w:id="1">
    <w:p w14:paraId="5F559714" w14:textId="77777777" w:rsidR="005654D8" w:rsidRDefault="005654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6BD61" w14:textId="310B2289" w:rsidR="0038793B" w:rsidRDefault="0038793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1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3BEEA1" w14:textId="77777777" w:rsidR="0038793B" w:rsidRDefault="003879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18944" w14:textId="77777777" w:rsidR="005654D8" w:rsidRDefault="005654D8" w:rsidP="00B60276">
      <w:pPr>
        <w:spacing w:after="0" w:line="240" w:lineRule="auto"/>
      </w:pPr>
      <w:r>
        <w:separator/>
      </w:r>
    </w:p>
  </w:footnote>
  <w:footnote w:type="continuationSeparator" w:id="0">
    <w:p w14:paraId="1C74E06A" w14:textId="77777777" w:rsidR="005654D8" w:rsidRDefault="005654D8" w:rsidP="00B60276">
      <w:pPr>
        <w:spacing w:after="0" w:line="240" w:lineRule="auto"/>
      </w:pPr>
      <w:r>
        <w:continuationSeparator/>
      </w:r>
    </w:p>
  </w:footnote>
  <w:footnote w:type="continuationNotice" w:id="1">
    <w:p w14:paraId="73DC6CF6" w14:textId="77777777" w:rsidR="005654D8" w:rsidRDefault="005654D8">
      <w:pPr>
        <w:spacing w:after="0" w:line="240" w:lineRule="auto"/>
      </w:pPr>
    </w:p>
  </w:footnote>
  <w:footnote w:id="2">
    <w:p w14:paraId="05BA5C1E" w14:textId="0EB05E5C" w:rsidR="0038793B" w:rsidRPr="003C36C5" w:rsidRDefault="003879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 </w:t>
      </w:r>
      <w:r w:rsidRPr="002608C0">
        <w:rPr>
          <w:rFonts w:ascii="Calibri" w:hAnsi="Calibri" w:cs="Calibri"/>
          <w:b/>
          <w:i/>
          <w:sz w:val="18"/>
          <w:szCs w:val="18"/>
          <w:lang w:val="en-US"/>
        </w:rPr>
        <w:t>Request a Call Back</w:t>
      </w:r>
      <w:r>
        <w:rPr>
          <w:rFonts w:ascii="Calibri" w:hAnsi="Calibri" w:cs="Calibri"/>
          <w:b/>
          <w:i/>
          <w:sz w:val="18"/>
          <w:szCs w:val="18"/>
          <w:lang w:val="en-US"/>
        </w:rPr>
        <w:t xml:space="preserve"> </w:t>
      </w:r>
      <w:r w:rsidRPr="003C36C5">
        <w:rPr>
          <w:rFonts w:ascii="Calibri" w:hAnsi="Calibri" w:cs="Calibri"/>
          <w:sz w:val="18"/>
          <w:szCs w:val="18"/>
          <w:lang w:val="en-US"/>
        </w:rPr>
        <w:t xml:space="preserve">service </w:t>
      </w:r>
      <w:r w:rsidRPr="00990C6F">
        <w:rPr>
          <w:rFonts w:ascii="Calibri" w:hAnsi="Calibri" w:cs="Calibri"/>
          <w:sz w:val="18"/>
          <w:szCs w:val="18"/>
          <w:lang w:val="en-US"/>
        </w:rPr>
        <w:t xml:space="preserve">provided </w:t>
      </w:r>
      <w:r>
        <w:rPr>
          <w:rFonts w:ascii="Calibri" w:hAnsi="Calibri" w:cs="Calibri"/>
          <w:sz w:val="18"/>
          <w:szCs w:val="18"/>
          <w:lang w:val="en-US"/>
        </w:rPr>
        <w:t>to the public through the citizensi</w:t>
      </w:r>
      <w:r w:rsidRPr="00990C6F">
        <w:rPr>
          <w:rFonts w:ascii="Calibri" w:hAnsi="Calibri" w:cs="Calibri"/>
          <w:sz w:val="18"/>
          <w:szCs w:val="18"/>
          <w:lang w:val="en-US"/>
        </w:rPr>
        <w:t>nformation</w:t>
      </w:r>
      <w:r>
        <w:rPr>
          <w:rFonts w:ascii="Calibri" w:hAnsi="Calibri" w:cs="Calibri"/>
          <w:sz w:val="18"/>
          <w:szCs w:val="18"/>
          <w:lang w:val="en-US"/>
        </w:rPr>
        <w:t xml:space="preserve">.ie </w:t>
      </w:r>
      <w:r w:rsidRPr="00990C6F">
        <w:rPr>
          <w:rFonts w:ascii="Calibri" w:hAnsi="Calibri" w:cs="Calibri"/>
          <w:sz w:val="18"/>
          <w:szCs w:val="18"/>
          <w:lang w:val="en-US"/>
        </w:rPr>
        <w:t>website and local CISs ceased in Q4 of 2021.</w:t>
      </w:r>
    </w:p>
  </w:footnote>
  <w:footnote w:id="3">
    <w:p w14:paraId="1C637788" w14:textId="0EDB0BDC" w:rsidR="00F81FD2" w:rsidRDefault="00F81FD2">
      <w:pPr>
        <w:pStyle w:val="FootnoteText"/>
      </w:pPr>
      <w:r>
        <w:rPr>
          <w:rStyle w:val="FootnoteReference"/>
        </w:rPr>
        <w:footnoteRef/>
      </w:r>
      <w:r>
        <w:t xml:space="preserve"> Note: Quarterly trends are </w:t>
      </w:r>
      <w:r w:rsidRPr="00F81FD2">
        <w:rPr>
          <w:u w:val="single"/>
        </w:rPr>
        <w:t>not</w:t>
      </w:r>
      <w:r>
        <w:t xml:space="preserve"> indicative of trends for a full year’s dataset – changes and patterns reflected from quarter to quarter may balance out over a year.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AAD"/>
    <w:multiLevelType w:val="hybridMultilevel"/>
    <w:tmpl w:val="D812C6C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4992"/>
    <w:multiLevelType w:val="hybridMultilevel"/>
    <w:tmpl w:val="326A6E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74D44"/>
    <w:multiLevelType w:val="hybridMultilevel"/>
    <w:tmpl w:val="2E9A3F76"/>
    <w:lvl w:ilvl="0" w:tplc="CE425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6C51574"/>
    <w:multiLevelType w:val="hybridMultilevel"/>
    <w:tmpl w:val="A2284A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7606E"/>
    <w:multiLevelType w:val="hybridMultilevel"/>
    <w:tmpl w:val="21E23934"/>
    <w:lvl w:ilvl="0" w:tplc="9AA6490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F976975"/>
    <w:multiLevelType w:val="hybridMultilevel"/>
    <w:tmpl w:val="0CCC6C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A2D90"/>
    <w:multiLevelType w:val="hybridMultilevel"/>
    <w:tmpl w:val="512C97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85"/>
    <w:rsid w:val="000047DA"/>
    <w:rsid w:val="00004B7C"/>
    <w:rsid w:val="000155CD"/>
    <w:rsid w:val="00016EC0"/>
    <w:rsid w:val="00041720"/>
    <w:rsid w:val="0004374B"/>
    <w:rsid w:val="00045E4D"/>
    <w:rsid w:val="00054DC5"/>
    <w:rsid w:val="00057387"/>
    <w:rsid w:val="000831D6"/>
    <w:rsid w:val="00086782"/>
    <w:rsid w:val="000A0320"/>
    <w:rsid w:val="000A6757"/>
    <w:rsid w:val="000B6021"/>
    <w:rsid w:val="000C6851"/>
    <w:rsid w:val="000D4E45"/>
    <w:rsid w:val="000E4D40"/>
    <w:rsid w:val="000F1F54"/>
    <w:rsid w:val="000F3F7D"/>
    <w:rsid w:val="000F6E79"/>
    <w:rsid w:val="00115404"/>
    <w:rsid w:val="001210D2"/>
    <w:rsid w:val="00126AD3"/>
    <w:rsid w:val="00135E99"/>
    <w:rsid w:val="00151717"/>
    <w:rsid w:val="001561BC"/>
    <w:rsid w:val="00157C1C"/>
    <w:rsid w:val="0016241B"/>
    <w:rsid w:val="001673A7"/>
    <w:rsid w:val="00171D94"/>
    <w:rsid w:val="00177DF7"/>
    <w:rsid w:val="00180F64"/>
    <w:rsid w:val="00187ECE"/>
    <w:rsid w:val="001A1A4D"/>
    <w:rsid w:val="001D1D44"/>
    <w:rsid w:val="001D27AB"/>
    <w:rsid w:val="001F306B"/>
    <w:rsid w:val="00203E25"/>
    <w:rsid w:val="00212807"/>
    <w:rsid w:val="002467D2"/>
    <w:rsid w:val="00255AE4"/>
    <w:rsid w:val="00256F46"/>
    <w:rsid w:val="00260316"/>
    <w:rsid w:val="002608C0"/>
    <w:rsid w:val="00261A00"/>
    <w:rsid w:val="00265925"/>
    <w:rsid w:val="002C5B47"/>
    <w:rsid w:val="002E2253"/>
    <w:rsid w:val="002F75DD"/>
    <w:rsid w:val="00311090"/>
    <w:rsid w:val="003269F0"/>
    <w:rsid w:val="00341D47"/>
    <w:rsid w:val="003433AB"/>
    <w:rsid w:val="00352248"/>
    <w:rsid w:val="00353DC5"/>
    <w:rsid w:val="00354D73"/>
    <w:rsid w:val="00361EF3"/>
    <w:rsid w:val="00371D4E"/>
    <w:rsid w:val="0038756F"/>
    <w:rsid w:val="0038793B"/>
    <w:rsid w:val="003962BF"/>
    <w:rsid w:val="003C36C5"/>
    <w:rsid w:val="004272D5"/>
    <w:rsid w:val="0044140F"/>
    <w:rsid w:val="0045556A"/>
    <w:rsid w:val="00463499"/>
    <w:rsid w:val="00475106"/>
    <w:rsid w:val="00480671"/>
    <w:rsid w:val="0048567D"/>
    <w:rsid w:val="004974FE"/>
    <w:rsid w:val="004C6FFA"/>
    <w:rsid w:val="004D2275"/>
    <w:rsid w:val="004D5540"/>
    <w:rsid w:val="004F7018"/>
    <w:rsid w:val="00505FE9"/>
    <w:rsid w:val="00512CE3"/>
    <w:rsid w:val="005234B9"/>
    <w:rsid w:val="00524A0E"/>
    <w:rsid w:val="00527B60"/>
    <w:rsid w:val="00533048"/>
    <w:rsid w:val="005467C3"/>
    <w:rsid w:val="005476B0"/>
    <w:rsid w:val="005654D8"/>
    <w:rsid w:val="005674F0"/>
    <w:rsid w:val="005840C1"/>
    <w:rsid w:val="005854F7"/>
    <w:rsid w:val="00593B45"/>
    <w:rsid w:val="005A3512"/>
    <w:rsid w:val="005A376D"/>
    <w:rsid w:val="005A640A"/>
    <w:rsid w:val="005B02B9"/>
    <w:rsid w:val="005B6E91"/>
    <w:rsid w:val="005C4189"/>
    <w:rsid w:val="005D1AFC"/>
    <w:rsid w:val="005D5240"/>
    <w:rsid w:val="005E597E"/>
    <w:rsid w:val="005F46D4"/>
    <w:rsid w:val="00604C75"/>
    <w:rsid w:val="006254B5"/>
    <w:rsid w:val="006311CA"/>
    <w:rsid w:val="0063600B"/>
    <w:rsid w:val="0065642F"/>
    <w:rsid w:val="00675757"/>
    <w:rsid w:val="006919EE"/>
    <w:rsid w:val="006B087E"/>
    <w:rsid w:val="006B1390"/>
    <w:rsid w:val="006C40C8"/>
    <w:rsid w:val="006C424B"/>
    <w:rsid w:val="006D3BA1"/>
    <w:rsid w:val="006F4173"/>
    <w:rsid w:val="007078D3"/>
    <w:rsid w:val="00711361"/>
    <w:rsid w:val="007364D7"/>
    <w:rsid w:val="00744482"/>
    <w:rsid w:val="007646F8"/>
    <w:rsid w:val="0077438A"/>
    <w:rsid w:val="00790DA9"/>
    <w:rsid w:val="00793EFC"/>
    <w:rsid w:val="007B6FE3"/>
    <w:rsid w:val="007E1D36"/>
    <w:rsid w:val="007E5A35"/>
    <w:rsid w:val="007F225E"/>
    <w:rsid w:val="0080231C"/>
    <w:rsid w:val="00831A1B"/>
    <w:rsid w:val="00853B85"/>
    <w:rsid w:val="00863F32"/>
    <w:rsid w:val="00865EC0"/>
    <w:rsid w:val="00874CA6"/>
    <w:rsid w:val="00874F43"/>
    <w:rsid w:val="00876C5D"/>
    <w:rsid w:val="00877436"/>
    <w:rsid w:val="008839F4"/>
    <w:rsid w:val="008A5345"/>
    <w:rsid w:val="008A5795"/>
    <w:rsid w:val="008B2863"/>
    <w:rsid w:val="008B3C99"/>
    <w:rsid w:val="008B6A43"/>
    <w:rsid w:val="008C2567"/>
    <w:rsid w:val="008C46B1"/>
    <w:rsid w:val="008D3958"/>
    <w:rsid w:val="008F04DB"/>
    <w:rsid w:val="008F7092"/>
    <w:rsid w:val="008F77BD"/>
    <w:rsid w:val="00913103"/>
    <w:rsid w:val="00917306"/>
    <w:rsid w:val="0093158B"/>
    <w:rsid w:val="009455DF"/>
    <w:rsid w:val="00955F89"/>
    <w:rsid w:val="00960ADB"/>
    <w:rsid w:val="009627F6"/>
    <w:rsid w:val="00966547"/>
    <w:rsid w:val="00966578"/>
    <w:rsid w:val="00987571"/>
    <w:rsid w:val="00990363"/>
    <w:rsid w:val="00991ED5"/>
    <w:rsid w:val="009A586F"/>
    <w:rsid w:val="009A6F84"/>
    <w:rsid w:val="009B1D82"/>
    <w:rsid w:val="009B29AB"/>
    <w:rsid w:val="009C1D1B"/>
    <w:rsid w:val="009F073C"/>
    <w:rsid w:val="009F1135"/>
    <w:rsid w:val="009F4808"/>
    <w:rsid w:val="00A007ED"/>
    <w:rsid w:val="00A14853"/>
    <w:rsid w:val="00A14E17"/>
    <w:rsid w:val="00A339E6"/>
    <w:rsid w:val="00A40E17"/>
    <w:rsid w:val="00A42EBC"/>
    <w:rsid w:val="00A51866"/>
    <w:rsid w:val="00A90598"/>
    <w:rsid w:val="00A941B3"/>
    <w:rsid w:val="00AA4D85"/>
    <w:rsid w:val="00AD338F"/>
    <w:rsid w:val="00AE3E93"/>
    <w:rsid w:val="00AE5901"/>
    <w:rsid w:val="00AF5BBD"/>
    <w:rsid w:val="00B12326"/>
    <w:rsid w:val="00B3294A"/>
    <w:rsid w:val="00B50688"/>
    <w:rsid w:val="00B51BD8"/>
    <w:rsid w:val="00B60276"/>
    <w:rsid w:val="00B62F1E"/>
    <w:rsid w:val="00B73528"/>
    <w:rsid w:val="00B74229"/>
    <w:rsid w:val="00B84298"/>
    <w:rsid w:val="00B847DF"/>
    <w:rsid w:val="00BA1496"/>
    <w:rsid w:val="00BA2635"/>
    <w:rsid w:val="00BB0833"/>
    <w:rsid w:val="00BC1A18"/>
    <w:rsid w:val="00C04A02"/>
    <w:rsid w:val="00C0783D"/>
    <w:rsid w:val="00C07D6C"/>
    <w:rsid w:val="00C1356E"/>
    <w:rsid w:val="00C228BC"/>
    <w:rsid w:val="00C22B32"/>
    <w:rsid w:val="00C63E75"/>
    <w:rsid w:val="00C94637"/>
    <w:rsid w:val="00CB303B"/>
    <w:rsid w:val="00CB524F"/>
    <w:rsid w:val="00CD1EE4"/>
    <w:rsid w:val="00CE32BB"/>
    <w:rsid w:val="00CE6B6D"/>
    <w:rsid w:val="00CE6D4C"/>
    <w:rsid w:val="00CF2862"/>
    <w:rsid w:val="00CF2890"/>
    <w:rsid w:val="00CF3442"/>
    <w:rsid w:val="00D134D9"/>
    <w:rsid w:val="00D20874"/>
    <w:rsid w:val="00D23717"/>
    <w:rsid w:val="00D25740"/>
    <w:rsid w:val="00D60090"/>
    <w:rsid w:val="00D67230"/>
    <w:rsid w:val="00D82C65"/>
    <w:rsid w:val="00D93AC6"/>
    <w:rsid w:val="00D93AD8"/>
    <w:rsid w:val="00D94AFA"/>
    <w:rsid w:val="00DA7612"/>
    <w:rsid w:val="00DE397A"/>
    <w:rsid w:val="00E011A8"/>
    <w:rsid w:val="00E23A75"/>
    <w:rsid w:val="00E26CC4"/>
    <w:rsid w:val="00E35B72"/>
    <w:rsid w:val="00E41486"/>
    <w:rsid w:val="00E4492D"/>
    <w:rsid w:val="00E57055"/>
    <w:rsid w:val="00E57D2F"/>
    <w:rsid w:val="00E64426"/>
    <w:rsid w:val="00E65C63"/>
    <w:rsid w:val="00E91770"/>
    <w:rsid w:val="00E91B04"/>
    <w:rsid w:val="00E93509"/>
    <w:rsid w:val="00EA481C"/>
    <w:rsid w:val="00EC24A6"/>
    <w:rsid w:val="00EC3D7A"/>
    <w:rsid w:val="00F07001"/>
    <w:rsid w:val="00F14F7A"/>
    <w:rsid w:val="00F1726B"/>
    <w:rsid w:val="00F21355"/>
    <w:rsid w:val="00F574C0"/>
    <w:rsid w:val="00F65814"/>
    <w:rsid w:val="00F81FD2"/>
    <w:rsid w:val="00F8329F"/>
    <w:rsid w:val="00F91BF2"/>
    <w:rsid w:val="00F923F1"/>
    <w:rsid w:val="00F96538"/>
    <w:rsid w:val="00FB621B"/>
    <w:rsid w:val="00FC3DD1"/>
    <w:rsid w:val="00FC66EE"/>
    <w:rsid w:val="00FD51DC"/>
    <w:rsid w:val="00FD7261"/>
    <w:rsid w:val="00FD7CB1"/>
    <w:rsid w:val="4EE30786"/>
    <w:rsid w:val="657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DF31"/>
  <w15:chartTrackingRefBased/>
  <w15:docId w15:val="{88A303FA-2669-4514-8831-6578E400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7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0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0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6027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60276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60276"/>
    <w:rPr>
      <w:rFonts w:asciiTheme="majorHAnsi" w:eastAsiaTheme="majorEastAsia" w:hAnsiTheme="majorHAnsi" w:cstheme="majorBidi"/>
      <w:color w:val="1481AB" w:themeColor="accent1" w:themeShade="BF"/>
    </w:rPr>
  </w:style>
  <w:style w:type="table" w:styleId="GridTable6Colorful-Accent5">
    <w:name w:val="Grid Table 6 Colorful Accent 5"/>
    <w:basedOn w:val="TableNormal"/>
    <w:uiPriority w:val="51"/>
    <w:rsid w:val="00B60276"/>
    <w:pPr>
      <w:spacing w:after="0" w:line="240" w:lineRule="auto"/>
    </w:pPr>
    <w:rPr>
      <w:rFonts w:ascii="Calibri" w:hAnsi="Calibri" w:cs="Calibri"/>
      <w:color w:val="2E653E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B60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76"/>
  </w:style>
  <w:style w:type="paragraph" w:styleId="Footer">
    <w:name w:val="footer"/>
    <w:basedOn w:val="Normal"/>
    <w:link w:val="FooterChar"/>
    <w:uiPriority w:val="99"/>
    <w:unhideWhenUsed/>
    <w:rsid w:val="00B6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76"/>
  </w:style>
  <w:style w:type="paragraph" w:styleId="BalloonText">
    <w:name w:val="Balloon Text"/>
    <w:basedOn w:val="Normal"/>
    <w:link w:val="BalloonTextChar"/>
    <w:uiPriority w:val="99"/>
    <w:semiHidden/>
    <w:unhideWhenUsed/>
    <w:rsid w:val="00B6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02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0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rah.togher\Desktop\Data%20Hub%20statistics%20April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Social Welfare Sub-categories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>
                <a:solidFill>
                  <a:sysClr val="windowText" lastClr="000000"/>
                </a:solidFill>
              </a:rPr>
              <a:t>2021 &amp;</a:t>
            </a:r>
            <a:r>
              <a:rPr lang="en-US" baseline="0">
                <a:solidFill>
                  <a:sysClr val="windowText" lastClr="000000"/>
                </a:solidFill>
              </a:rPr>
              <a:t> 2022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endParaRPr lang="en-US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23668551026480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'SW query analysis'!$AA$1</c:f>
              <c:strCache>
                <c:ptCount val="1"/>
                <c:pt idx="0">
                  <c:v>Queries Q1 2021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'SW query analysis'!$Z$2:$Z$104</c:f>
              <c:strCache>
                <c:ptCount val="103"/>
                <c:pt idx="0">
                  <c:v>State Pension/Contributory</c:v>
                </c:pt>
                <c:pt idx="1">
                  <c:v>Carer's Allowance</c:v>
                </c:pt>
                <c:pt idx="2">
                  <c:v>Disability Allowance</c:v>
                </c:pt>
                <c:pt idx="3">
                  <c:v>Jobseeker's Allowance</c:v>
                </c:pt>
                <c:pt idx="4">
                  <c:v>Jobseeker's Benefit</c:v>
                </c:pt>
                <c:pt idx="5">
                  <c:v>Illness Benefit</c:v>
                </c:pt>
                <c:pt idx="6">
                  <c:v>Household Benefits Package</c:v>
                </c:pt>
                <c:pt idx="7">
                  <c:v>Fuel Allowance</c:v>
                </c:pt>
                <c:pt idx="8">
                  <c:v>Working Family Payment (WFP) formerly FIS</c:v>
                </c:pt>
                <c:pt idx="9">
                  <c:v>Invalidity Pension</c:v>
                </c:pt>
                <c:pt idx="10">
                  <c:v>State Pension/Non Contributory Pension</c:v>
                </c:pt>
                <c:pt idx="11">
                  <c:v>PRSI Records/Paid Contributions</c:v>
                </c:pt>
                <c:pt idx="12">
                  <c:v>Basic Supplementary Welfare Allowance</c:v>
                </c:pt>
                <c:pt idx="13">
                  <c:v>One Parent Family Payment (OFP)</c:v>
                </c:pt>
                <c:pt idx="14">
                  <c:v>SW Misc - Other</c:v>
                </c:pt>
                <c:pt idx="15">
                  <c:v>Rent Supplement (RS)</c:v>
                </c:pt>
                <c:pt idx="16">
                  <c:v>Exceptional/urgent needs payment</c:v>
                </c:pt>
                <c:pt idx="17">
                  <c:v>Maternity/ Adoptive Benefit</c:v>
                </c:pt>
                <c:pt idx="18">
                  <c:v>Living Alone Increase</c:v>
                </c:pt>
                <c:pt idx="19">
                  <c:v>Free Travel (Travel Card, Companion Card, etc.)</c:v>
                </c:pt>
                <c:pt idx="20">
                  <c:v>Carer's Benefit</c:v>
                </c:pt>
                <c:pt idx="21">
                  <c:v>Means Tests</c:v>
                </c:pt>
                <c:pt idx="22">
                  <c:v>Child Benefit</c:v>
                </c:pt>
                <c:pt idx="23">
                  <c:v>Social Welfare Payments and Work</c:v>
                </c:pt>
                <c:pt idx="24">
                  <c:v>Public Services Card</c:v>
                </c:pt>
                <c:pt idx="25">
                  <c:v>Carer's Support Grant (Respite Care Grant)</c:v>
                </c:pt>
                <c:pt idx="26">
                  <c:v>Widow/Widower/Surviving Civil Partner's Pension (Contrib. /Non-Contributory).</c:v>
                </c:pt>
                <c:pt idx="27">
                  <c:v>Back to Education Allowance (BTEA)</c:v>
                </c:pt>
                <c:pt idx="28">
                  <c:v>Domiciliary Care Allowance (DCA)</c:v>
                </c:pt>
                <c:pt idx="29">
                  <c:v>PPS Number</c:v>
                </c:pt>
                <c:pt idx="30">
                  <c:v>Increase for a Qualified Adult (IQA)</c:v>
                </c:pt>
                <c:pt idx="31">
                  <c:v>Parent's Benefit</c:v>
                </c:pt>
                <c:pt idx="32">
                  <c:v>Credited Contributions</c:v>
                </c:pt>
                <c:pt idx="33">
                  <c:v>Qualified Adults</c:v>
                </c:pt>
                <c:pt idx="34">
                  <c:v>Increase for a Qualified Child (IQC)</c:v>
                </c:pt>
                <c:pt idx="35">
                  <c:v>Habitual Residence Condition</c:v>
                </c:pt>
                <c:pt idx="36">
                  <c:v>PRSI Classes</c:v>
                </c:pt>
                <c:pt idx="37">
                  <c:v>Partial Capacity Benefit</c:v>
                </c:pt>
                <c:pt idx="38">
                  <c:v>Jobseeker's Transitional Payment</c:v>
                </c:pt>
                <c:pt idx="39">
                  <c:v>Back to Work Enterprise Allowance (BTWEA)</c:v>
                </c:pt>
                <c:pt idx="40">
                  <c:v>Paternity Benefit</c:v>
                </c:pt>
                <c:pt idx="41">
                  <c:v>MyWelfare.ie</c:v>
                </c:pt>
                <c:pt idx="42">
                  <c:v>Community Employment (CE)</c:v>
                </c:pt>
                <c:pt idx="43">
                  <c:v>Voluntary Contributions</c:v>
                </c:pt>
                <c:pt idx="44">
                  <c:v>Telephone Support Allowance</c:v>
                </c:pt>
                <c:pt idx="45">
                  <c:v>Payment for people who retire at 65</c:v>
                </c:pt>
                <c:pt idx="46">
                  <c:v>PRSI - Other</c:v>
                </c:pt>
                <c:pt idx="47">
                  <c:v>Homemakers Scheme</c:v>
                </c:pt>
                <c:pt idx="48">
                  <c:v>Appeals - Disability Allowance</c:v>
                </c:pt>
                <c:pt idx="49">
                  <c:v>UK Pensions/Brexit</c:v>
                </c:pt>
                <c:pt idx="50">
                  <c:v>Overpayments</c:v>
                </c:pt>
                <c:pt idx="51">
                  <c:v>Appeals - Invalidity Pension</c:v>
                </c:pt>
                <c:pt idx="52">
                  <c:v>Help with Funeral Costs</c:v>
                </c:pt>
                <c:pt idx="53">
                  <c:v>Injury Benefit</c:v>
                </c:pt>
                <c:pt idx="54">
                  <c:v>Farm Assist</c:v>
                </c:pt>
                <c:pt idx="55">
                  <c:v>Widow/Widower/Surviving Civil Partner Grant</c:v>
                </c:pt>
                <c:pt idx="56">
                  <c:v>Back to Work Family Dividend</c:v>
                </c:pt>
                <c:pt idx="57">
                  <c:v>EU/International Pensions</c:v>
                </c:pt>
                <c:pt idx="58">
                  <c:v>Appeals - Carer's Allowance/Benefit</c:v>
                </c:pt>
                <c:pt idx="59">
                  <c:v>Other Payment (Blind Pension/Other)</c:v>
                </c:pt>
                <c:pt idx="60">
                  <c:v>Occupational Injuries Benefit Scheme</c:v>
                </c:pt>
                <c:pt idx="61">
                  <c:v>Employer's PRSI</c:v>
                </c:pt>
                <c:pt idx="62">
                  <c:v>Appeals - Other</c:v>
                </c:pt>
                <c:pt idx="63">
                  <c:v>EU Contributions and Entitlements</c:v>
                </c:pt>
                <c:pt idx="64">
                  <c:v>UK Entitlements/Brexit</c:v>
                </c:pt>
                <c:pt idx="65">
                  <c:v>Treatment Benefits</c:v>
                </c:pt>
                <c:pt idx="66">
                  <c:v>Back to School Clothing &amp; Footwear Allowance (BTSCFA)</c:v>
                </c:pt>
                <c:pt idx="67">
                  <c:v>Guardian's Payment</c:v>
                </c:pt>
                <c:pt idx="68">
                  <c:v>Appeals - Jobseeker's Allowance</c:v>
                </c:pt>
                <c:pt idx="69">
                  <c:v>Unemployed following self-employment</c:v>
                </c:pt>
                <c:pt idx="70">
                  <c:v>JobPath - Seetec/Turas Nua</c:v>
                </c:pt>
                <c:pt idx="71">
                  <c:v>Appeals - Domiciliary Care Allowance</c:v>
                </c:pt>
                <c:pt idx="72">
                  <c:v>Appeals - Supplementary Welfare Allowance</c:v>
                </c:pt>
                <c:pt idx="73">
                  <c:v>Short-Term Enterprise Allowance</c:v>
                </c:pt>
                <c:pt idx="74">
                  <c:v>Health and Safety Benefit</c:v>
                </c:pt>
                <c:pt idx="75">
                  <c:v>Part-time Education Option (PTEO)</c:v>
                </c:pt>
                <c:pt idx="76">
                  <c:v>Diet/Heating Supplement</c:v>
                </c:pt>
                <c:pt idx="77">
                  <c:v>Appeals - Working Family Payment (WFP)</c:v>
                </c:pt>
                <c:pt idx="78">
                  <c:v>Rural Social Scheme</c:v>
                </c:pt>
                <c:pt idx="79">
                  <c:v>Deserted Wife's Benefit</c:v>
                </c:pt>
                <c:pt idx="80">
                  <c:v>Part-Time Job Incentive Scheme (PTJI)</c:v>
                </c:pt>
                <c:pt idx="81">
                  <c:v>Tús</c:v>
                </c:pt>
                <c:pt idx="82">
                  <c:v>Late Claims</c:v>
                </c:pt>
                <c:pt idx="83">
                  <c:v>Appeals - Child Benefit</c:v>
                </c:pt>
                <c:pt idx="84">
                  <c:v>JobsPlus</c:v>
                </c:pt>
                <c:pt idx="85">
                  <c:v>Farm Assist Other</c:v>
                </c:pt>
                <c:pt idx="86">
                  <c:v>Appeals - One Parent Family Payment (OFP)</c:v>
                </c:pt>
                <c:pt idx="87">
                  <c:v>Appeals State Pension (Contributory)</c:v>
                </c:pt>
                <c:pt idx="88">
                  <c:v>Appeals State Pension (Non-Contributory)</c:v>
                </c:pt>
                <c:pt idx="89">
                  <c:v>Mortgage Interest Supplement (MIS)</c:v>
                </c:pt>
                <c:pt idx="90">
                  <c:v>Christmas Bonus</c:v>
                </c:pt>
                <c:pt idx="91">
                  <c:v>Appeals - Jobseeker's Benefit</c:v>
                </c:pt>
                <c:pt idx="92">
                  <c:v>Appeals - Illness Benefit</c:v>
                </c:pt>
                <c:pt idx="93">
                  <c:v>Deserted Wife's Allowance</c:v>
                </c:pt>
                <c:pt idx="94">
                  <c:v>Special Funeral Grant (Occ. Injuries Scheme only)</c:v>
                </c:pt>
                <c:pt idx="95">
                  <c:v>Appeals - Widow/Widower/surviving Civil Partner Pension</c:v>
                </c:pt>
                <c:pt idx="96">
                  <c:v>Gateway</c:v>
                </c:pt>
                <c:pt idx="97">
                  <c:v>Appeals - Carer's Support Grant</c:v>
                </c:pt>
                <c:pt idx="98">
                  <c:v>Insolvency Payments Scheme</c:v>
                </c:pt>
                <c:pt idx="99">
                  <c:v>JobBridge/ First Steps - Youth Internship</c:v>
                </c:pt>
                <c:pt idx="100">
                  <c:v>Half-rate Carer's Allowance</c:v>
                </c:pt>
                <c:pt idx="101">
                  <c:v>*Social Welfare - Payments and Work</c:v>
                </c:pt>
                <c:pt idx="102">
                  <c:v>**Social Welfare - Benefits Check</c:v>
                </c:pt>
              </c:strCache>
            </c:strRef>
          </c:cat>
          <c:val>
            <c:numRef>
              <c:f>'SW query analysis'!$AA$2:$AA$104</c:f>
              <c:numCache>
                <c:formatCode>General</c:formatCode>
                <c:ptCount val="103"/>
                <c:pt idx="0">
                  <c:v>6073</c:v>
                </c:pt>
                <c:pt idx="1">
                  <c:v>5074</c:v>
                </c:pt>
                <c:pt idx="2">
                  <c:v>4369</c:v>
                </c:pt>
                <c:pt idx="3">
                  <c:v>3944</c:v>
                </c:pt>
                <c:pt idx="4">
                  <c:v>3475</c:v>
                </c:pt>
                <c:pt idx="5">
                  <c:v>3340</c:v>
                </c:pt>
                <c:pt idx="6">
                  <c:v>3068</c:v>
                </c:pt>
                <c:pt idx="7">
                  <c:v>2567</c:v>
                </c:pt>
                <c:pt idx="8">
                  <c:v>2563</c:v>
                </c:pt>
                <c:pt idx="9">
                  <c:v>2300</c:v>
                </c:pt>
                <c:pt idx="10">
                  <c:v>2224</c:v>
                </c:pt>
                <c:pt idx="11">
                  <c:v>2142</c:v>
                </c:pt>
                <c:pt idx="12">
                  <c:v>2120</c:v>
                </c:pt>
                <c:pt idx="13">
                  <c:v>1829</c:v>
                </c:pt>
                <c:pt idx="14">
                  <c:v>1483</c:v>
                </c:pt>
                <c:pt idx="15">
                  <c:v>1338</c:v>
                </c:pt>
                <c:pt idx="16">
                  <c:v>1287</c:v>
                </c:pt>
                <c:pt idx="17">
                  <c:v>1227</c:v>
                </c:pt>
                <c:pt idx="18">
                  <c:v>1082</c:v>
                </c:pt>
                <c:pt idx="19">
                  <c:v>1048</c:v>
                </c:pt>
                <c:pt idx="20">
                  <c:v>1039</c:v>
                </c:pt>
                <c:pt idx="21">
                  <c:v>980</c:v>
                </c:pt>
                <c:pt idx="22">
                  <c:v>905</c:v>
                </c:pt>
                <c:pt idx="23">
                  <c:v>880</c:v>
                </c:pt>
                <c:pt idx="24">
                  <c:v>848</c:v>
                </c:pt>
                <c:pt idx="25">
                  <c:v>783</c:v>
                </c:pt>
                <c:pt idx="26">
                  <c:v>783</c:v>
                </c:pt>
                <c:pt idx="27">
                  <c:v>782</c:v>
                </c:pt>
                <c:pt idx="28">
                  <c:v>777</c:v>
                </c:pt>
                <c:pt idx="29">
                  <c:v>732</c:v>
                </c:pt>
                <c:pt idx="30">
                  <c:v>726</c:v>
                </c:pt>
                <c:pt idx="31">
                  <c:v>653</c:v>
                </c:pt>
                <c:pt idx="32">
                  <c:v>620</c:v>
                </c:pt>
                <c:pt idx="33">
                  <c:v>548</c:v>
                </c:pt>
                <c:pt idx="34">
                  <c:v>506</c:v>
                </c:pt>
                <c:pt idx="35">
                  <c:v>440</c:v>
                </c:pt>
                <c:pt idx="36">
                  <c:v>426</c:v>
                </c:pt>
                <c:pt idx="37">
                  <c:v>420</c:v>
                </c:pt>
                <c:pt idx="38">
                  <c:v>385</c:v>
                </c:pt>
                <c:pt idx="39">
                  <c:v>365</c:v>
                </c:pt>
                <c:pt idx="40">
                  <c:v>361</c:v>
                </c:pt>
                <c:pt idx="41">
                  <c:v>353</c:v>
                </c:pt>
                <c:pt idx="42">
                  <c:v>316</c:v>
                </c:pt>
                <c:pt idx="43">
                  <c:v>301</c:v>
                </c:pt>
                <c:pt idx="44">
                  <c:v>290</c:v>
                </c:pt>
                <c:pt idx="45">
                  <c:v>282</c:v>
                </c:pt>
                <c:pt idx="46">
                  <c:v>278</c:v>
                </c:pt>
                <c:pt idx="47">
                  <c:v>261</c:v>
                </c:pt>
                <c:pt idx="48">
                  <c:v>247</c:v>
                </c:pt>
                <c:pt idx="49">
                  <c:v>230</c:v>
                </c:pt>
                <c:pt idx="50">
                  <c:v>185</c:v>
                </c:pt>
                <c:pt idx="51">
                  <c:v>177</c:v>
                </c:pt>
                <c:pt idx="52">
                  <c:v>165</c:v>
                </c:pt>
                <c:pt idx="53">
                  <c:v>160</c:v>
                </c:pt>
                <c:pt idx="54">
                  <c:v>159</c:v>
                </c:pt>
                <c:pt idx="55">
                  <c:v>158</c:v>
                </c:pt>
                <c:pt idx="56">
                  <c:v>138</c:v>
                </c:pt>
                <c:pt idx="57">
                  <c:v>137</c:v>
                </c:pt>
                <c:pt idx="58">
                  <c:v>135</c:v>
                </c:pt>
                <c:pt idx="59">
                  <c:v>133</c:v>
                </c:pt>
                <c:pt idx="60">
                  <c:v>129</c:v>
                </c:pt>
                <c:pt idx="61">
                  <c:v>117</c:v>
                </c:pt>
                <c:pt idx="62">
                  <c:v>116</c:v>
                </c:pt>
                <c:pt idx="63">
                  <c:v>89</c:v>
                </c:pt>
                <c:pt idx="64">
                  <c:v>86</c:v>
                </c:pt>
                <c:pt idx="65">
                  <c:v>78</c:v>
                </c:pt>
                <c:pt idx="66">
                  <c:v>70</c:v>
                </c:pt>
                <c:pt idx="67">
                  <c:v>57</c:v>
                </c:pt>
                <c:pt idx="68">
                  <c:v>57</c:v>
                </c:pt>
                <c:pt idx="69">
                  <c:v>51</c:v>
                </c:pt>
                <c:pt idx="70">
                  <c:v>45</c:v>
                </c:pt>
                <c:pt idx="71">
                  <c:v>43</c:v>
                </c:pt>
                <c:pt idx="72">
                  <c:v>41</c:v>
                </c:pt>
                <c:pt idx="73">
                  <c:v>40</c:v>
                </c:pt>
                <c:pt idx="74">
                  <c:v>39</c:v>
                </c:pt>
                <c:pt idx="75">
                  <c:v>38</c:v>
                </c:pt>
                <c:pt idx="76">
                  <c:v>33</c:v>
                </c:pt>
                <c:pt idx="77">
                  <c:v>30</c:v>
                </c:pt>
                <c:pt idx="78">
                  <c:v>27</c:v>
                </c:pt>
                <c:pt idx="79">
                  <c:v>26</c:v>
                </c:pt>
                <c:pt idx="80">
                  <c:v>23</c:v>
                </c:pt>
                <c:pt idx="81">
                  <c:v>22</c:v>
                </c:pt>
                <c:pt idx="82">
                  <c:v>21</c:v>
                </c:pt>
                <c:pt idx="83">
                  <c:v>20</c:v>
                </c:pt>
                <c:pt idx="84">
                  <c:v>19</c:v>
                </c:pt>
                <c:pt idx="85">
                  <c:v>19</c:v>
                </c:pt>
                <c:pt idx="86">
                  <c:v>18</c:v>
                </c:pt>
                <c:pt idx="87">
                  <c:v>17</c:v>
                </c:pt>
                <c:pt idx="88">
                  <c:v>14</c:v>
                </c:pt>
                <c:pt idx="89">
                  <c:v>11</c:v>
                </c:pt>
                <c:pt idx="90">
                  <c:v>10</c:v>
                </c:pt>
                <c:pt idx="91">
                  <c:v>10</c:v>
                </c:pt>
                <c:pt idx="92">
                  <c:v>9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3</c:v>
                </c:pt>
                <c:pt idx="97">
                  <c:v>3</c:v>
                </c:pt>
                <c:pt idx="98">
                  <c:v>2</c:v>
                </c:pt>
                <c:pt idx="99">
                  <c:v>2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2C-470C-8A1F-BBDE11A6C005}"/>
            </c:ext>
          </c:extLst>
        </c:ser>
        <c:ser>
          <c:idx val="1"/>
          <c:order val="1"/>
          <c:tx>
            <c:strRef>
              <c:f>'SW query analysis'!$AB$1</c:f>
              <c:strCache>
                <c:ptCount val="1"/>
                <c:pt idx="0">
                  <c:v>Queries Q1 2022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'SW query analysis'!$Z$2:$Z$104</c:f>
              <c:strCache>
                <c:ptCount val="103"/>
                <c:pt idx="0">
                  <c:v>State Pension/Contributory</c:v>
                </c:pt>
                <c:pt idx="1">
                  <c:v>Carer's Allowance</c:v>
                </c:pt>
                <c:pt idx="2">
                  <c:v>Disability Allowance</c:v>
                </c:pt>
                <c:pt idx="3">
                  <c:v>Jobseeker's Allowance</c:v>
                </c:pt>
                <c:pt idx="4">
                  <c:v>Jobseeker's Benefit</c:v>
                </c:pt>
                <c:pt idx="5">
                  <c:v>Illness Benefit</c:v>
                </c:pt>
                <c:pt idx="6">
                  <c:v>Household Benefits Package</c:v>
                </c:pt>
                <c:pt idx="7">
                  <c:v>Fuel Allowance</c:v>
                </c:pt>
                <c:pt idx="8">
                  <c:v>Working Family Payment (WFP) formerly FIS</c:v>
                </c:pt>
                <c:pt idx="9">
                  <c:v>Invalidity Pension</c:v>
                </c:pt>
                <c:pt idx="10">
                  <c:v>State Pension/Non Contributory Pension</c:v>
                </c:pt>
                <c:pt idx="11">
                  <c:v>PRSI Records/Paid Contributions</c:v>
                </c:pt>
                <c:pt idx="12">
                  <c:v>Basic Supplementary Welfare Allowance</c:v>
                </c:pt>
                <c:pt idx="13">
                  <c:v>One Parent Family Payment (OFP)</c:v>
                </c:pt>
                <c:pt idx="14">
                  <c:v>SW Misc - Other</c:v>
                </c:pt>
                <c:pt idx="15">
                  <c:v>Rent Supplement (RS)</c:v>
                </c:pt>
                <c:pt idx="16">
                  <c:v>Exceptional/urgent needs payment</c:v>
                </c:pt>
                <c:pt idx="17">
                  <c:v>Maternity/ Adoptive Benefit</c:v>
                </c:pt>
                <c:pt idx="18">
                  <c:v>Living Alone Increase</c:v>
                </c:pt>
                <c:pt idx="19">
                  <c:v>Free Travel (Travel Card, Companion Card, etc.)</c:v>
                </c:pt>
                <c:pt idx="20">
                  <c:v>Carer's Benefit</c:v>
                </c:pt>
                <c:pt idx="21">
                  <c:v>Means Tests</c:v>
                </c:pt>
                <c:pt idx="22">
                  <c:v>Child Benefit</c:v>
                </c:pt>
                <c:pt idx="23">
                  <c:v>Social Welfare Payments and Work</c:v>
                </c:pt>
                <c:pt idx="24">
                  <c:v>Public Services Card</c:v>
                </c:pt>
                <c:pt idx="25">
                  <c:v>Carer's Support Grant (Respite Care Grant)</c:v>
                </c:pt>
                <c:pt idx="26">
                  <c:v>Widow/Widower/Surviving Civil Partner's Pension (Contrib. /Non-Contributory).</c:v>
                </c:pt>
                <c:pt idx="27">
                  <c:v>Back to Education Allowance (BTEA)</c:v>
                </c:pt>
                <c:pt idx="28">
                  <c:v>Domiciliary Care Allowance (DCA)</c:v>
                </c:pt>
                <c:pt idx="29">
                  <c:v>PPS Number</c:v>
                </c:pt>
                <c:pt idx="30">
                  <c:v>Increase for a Qualified Adult (IQA)</c:v>
                </c:pt>
                <c:pt idx="31">
                  <c:v>Parent's Benefit</c:v>
                </c:pt>
                <c:pt idx="32">
                  <c:v>Credited Contributions</c:v>
                </c:pt>
                <c:pt idx="33">
                  <c:v>Qualified Adults</c:v>
                </c:pt>
                <c:pt idx="34">
                  <c:v>Increase for a Qualified Child (IQC)</c:v>
                </c:pt>
                <c:pt idx="35">
                  <c:v>Habitual Residence Condition</c:v>
                </c:pt>
                <c:pt idx="36">
                  <c:v>PRSI Classes</c:v>
                </c:pt>
                <c:pt idx="37">
                  <c:v>Partial Capacity Benefit</c:v>
                </c:pt>
                <c:pt idx="38">
                  <c:v>Jobseeker's Transitional Payment</c:v>
                </c:pt>
                <c:pt idx="39">
                  <c:v>Back to Work Enterprise Allowance (BTWEA)</c:v>
                </c:pt>
                <c:pt idx="40">
                  <c:v>Paternity Benefit</c:v>
                </c:pt>
                <c:pt idx="41">
                  <c:v>MyWelfare.ie</c:v>
                </c:pt>
                <c:pt idx="42">
                  <c:v>Community Employment (CE)</c:v>
                </c:pt>
                <c:pt idx="43">
                  <c:v>Voluntary Contributions</c:v>
                </c:pt>
                <c:pt idx="44">
                  <c:v>Telephone Support Allowance</c:v>
                </c:pt>
                <c:pt idx="45">
                  <c:v>Payment for people who retire at 65</c:v>
                </c:pt>
                <c:pt idx="46">
                  <c:v>PRSI - Other</c:v>
                </c:pt>
                <c:pt idx="47">
                  <c:v>Homemakers Scheme</c:v>
                </c:pt>
                <c:pt idx="48">
                  <c:v>Appeals - Disability Allowance</c:v>
                </c:pt>
                <c:pt idx="49">
                  <c:v>UK Pensions/Brexit</c:v>
                </c:pt>
                <c:pt idx="50">
                  <c:v>Overpayments</c:v>
                </c:pt>
                <c:pt idx="51">
                  <c:v>Appeals - Invalidity Pension</c:v>
                </c:pt>
                <c:pt idx="52">
                  <c:v>Help with Funeral Costs</c:v>
                </c:pt>
                <c:pt idx="53">
                  <c:v>Injury Benefit</c:v>
                </c:pt>
                <c:pt idx="54">
                  <c:v>Farm Assist</c:v>
                </c:pt>
                <c:pt idx="55">
                  <c:v>Widow/Widower/Surviving Civil Partner Grant</c:v>
                </c:pt>
                <c:pt idx="56">
                  <c:v>Back to Work Family Dividend</c:v>
                </c:pt>
                <c:pt idx="57">
                  <c:v>EU/International Pensions</c:v>
                </c:pt>
                <c:pt idx="58">
                  <c:v>Appeals - Carer's Allowance/Benefit</c:v>
                </c:pt>
                <c:pt idx="59">
                  <c:v>Other Payment (Blind Pension/Other)</c:v>
                </c:pt>
                <c:pt idx="60">
                  <c:v>Occupational Injuries Benefit Scheme</c:v>
                </c:pt>
                <c:pt idx="61">
                  <c:v>Employer's PRSI</c:v>
                </c:pt>
                <c:pt idx="62">
                  <c:v>Appeals - Other</c:v>
                </c:pt>
                <c:pt idx="63">
                  <c:v>EU Contributions and Entitlements</c:v>
                </c:pt>
                <c:pt idx="64">
                  <c:v>UK Entitlements/Brexit</c:v>
                </c:pt>
                <c:pt idx="65">
                  <c:v>Treatment Benefits</c:v>
                </c:pt>
                <c:pt idx="66">
                  <c:v>Back to School Clothing &amp; Footwear Allowance (BTSCFA)</c:v>
                </c:pt>
                <c:pt idx="67">
                  <c:v>Guardian's Payment</c:v>
                </c:pt>
                <c:pt idx="68">
                  <c:v>Appeals - Jobseeker's Allowance</c:v>
                </c:pt>
                <c:pt idx="69">
                  <c:v>Unemployed following self-employment</c:v>
                </c:pt>
                <c:pt idx="70">
                  <c:v>JobPath - Seetec/Turas Nua</c:v>
                </c:pt>
                <c:pt idx="71">
                  <c:v>Appeals - Domiciliary Care Allowance</c:v>
                </c:pt>
                <c:pt idx="72">
                  <c:v>Appeals - Supplementary Welfare Allowance</c:v>
                </c:pt>
                <c:pt idx="73">
                  <c:v>Short-Term Enterprise Allowance</c:v>
                </c:pt>
                <c:pt idx="74">
                  <c:v>Health and Safety Benefit</c:v>
                </c:pt>
                <c:pt idx="75">
                  <c:v>Part-time Education Option (PTEO)</c:v>
                </c:pt>
                <c:pt idx="76">
                  <c:v>Diet/Heating Supplement</c:v>
                </c:pt>
                <c:pt idx="77">
                  <c:v>Appeals - Working Family Payment (WFP)</c:v>
                </c:pt>
                <c:pt idx="78">
                  <c:v>Rural Social Scheme</c:v>
                </c:pt>
                <c:pt idx="79">
                  <c:v>Deserted Wife's Benefit</c:v>
                </c:pt>
                <c:pt idx="80">
                  <c:v>Part-Time Job Incentive Scheme (PTJI)</c:v>
                </c:pt>
                <c:pt idx="81">
                  <c:v>Tús</c:v>
                </c:pt>
                <c:pt idx="82">
                  <c:v>Late Claims</c:v>
                </c:pt>
                <c:pt idx="83">
                  <c:v>Appeals - Child Benefit</c:v>
                </c:pt>
                <c:pt idx="84">
                  <c:v>JobsPlus</c:v>
                </c:pt>
                <c:pt idx="85">
                  <c:v>Farm Assist Other</c:v>
                </c:pt>
                <c:pt idx="86">
                  <c:v>Appeals - One Parent Family Payment (OFP)</c:v>
                </c:pt>
                <c:pt idx="87">
                  <c:v>Appeals State Pension (Contributory)</c:v>
                </c:pt>
                <c:pt idx="88">
                  <c:v>Appeals State Pension (Non-Contributory)</c:v>
                </c:pt>
                <c:pt idx="89">
                  <c:v>Mortgage Interest Supplement (MIS)</c:v>
                </c:pt>
                <c:pt idx="90">
                  <c:v>Christmas Bonus</c:v>
                </c:pt>
                <c:pt idx="91">
                  <c:v>Appeals - Jobseeker's Benefit</c:v>
                </c:pt>
                <c:pt idx="92">
                  <c:v>Appeals - Illness Benefit</c:v>
                </c:pt>
                <c:pt idx="93">
                  <c:v>Deserted Wife's Allowance</c:v>
                </c:pt>
                <c:pt idx="94">
                  <c:v>Special Funeral Grant (Occ. Injuries Scheme only)</c:v>
                </c:pt>
                <c:pt idx="95">
                  <c:v>Appeals - Widow/Widower/surviving Civil Partner Pension</c:v>
                </c:pt>
                <c:pt idx="96">
                  <c:v>Gateway</c:v>
                </c:pt>
                <c:pt idx="97">
                  <c:v>Appeals - Carer's Support Grant</c:v>
                </c:pt>
                <c:pt idx="98">
                  <c:v>Insolvency Payments Scheme</c:v>
                </c:pt>
                <c:pt idx="99">
                  <c:v>JobBridge/ First Steps - Youth Internship</c:v>
                </c:pt>
                <c:pt idx="100">
                  <c:v>Half-rate Carer's Allowance</c:v>
                </c:pt>
                <c:pt idx="101">
                  <c:v>*Social Welfare - Payments and Work</c:v>
                </c:pt>
                <c:pt idx="102">
                  <c:v>**Social Welfare - Benefits Check</c:v>
                </c:pt>
              </c:strCache>
            </c:strRef>
          </c:cat>
          <c:val>
            <c:numRef>
              <c:f>'SW query analysis'!$AB$2:$AB$104</c:f>
              <c:numCache>
                <c:formatCode>General</c:formatCode>
                <c:ptCount val="103"/>
                <c:pt idx="0">
                  <c:v>6564</c:v>
                </c:pt>
                <c:pt idx="1">
                  <c:v>6548</c:v>
                </c:pt>
                <c:pt idx="2">
                  <c:v>6221</c:v>
                </c:pt>
                <c:pt idx="3">
                  <c:v>4198</c:v>
                </c:pt>
                <c:pt idx="4">
                  <c:v>2673</c:v>
                </c:pt>
                <c:pt idx="5">
                  <c:v>4443</c:v>
                </c:pt>
                <c:pt idx="6">
                  <c:v>4592</c:v>
                </c:pt>
                <c:pt idx="7">
                  <c:v>5049</c:v>
                </c:pt>
                <c:pt idx="8">
                  <c:v>3224</c:v>
                </c:pt>
                <c:pt idx="9">
                  <c:v>2832</c:v>
                </c:pt>
                <c:pt idx="10">
                  <c:v>2529</c:v>
                </c:pt>
                <c:pt idx="11">
                  <c:v>2059</c:v>
                </c:pt>
                <c:pt idx="12">
                  <c:v>2804</c:v>
                </c:pt>
                <c:pt idx="13">
                  <c:v>2180</c:v>
                </c:pt>
                <c:pt idx="14">
                  <c:v>1327</c:v>
                </c:pt>
                <c:pt idx="15">
                  <c:v>873</c:v>
                </c:pt>
                <c:pt idx="16">
                  <c:v>1371</c:v>
                </c:pt>
                <c:pt idx="17">
                  <c:v>909</c:v>
                </c:pt>
                <c:pt idx="18">
                  <c:v>1631</c:v>
                </c:pt>
                <c:pt idx="19">
                  <c:v>1771</c:v>
                </c:pt>
                <c:pt idx="20">
                  <c:v>1164</c:v>
                </c:pt>
                <c:pt idx="21">
                  <c:v>947</c:v>
                </c:pt>
                <c:pt idx="22">
                  <c:v>1126</c:v>
                </c:pt>
                <c:pt idx="23">
                  <c:v>645</c:v>
                </c:pt>
                <c:pt idx="24">
                  <c:v>1133</c:v>
                </c:pt>
                <c:pt idx="25">
                  <c:v>902</c:v>
                </c:pt>
                <c:pt idx="26">
                  <c:v>972</c:v>
                </c:pt>
                <c:pt idx="27">
                  <c:v>485</c:v>
                </c:pt>
                <c:pt idx="28">
                  <c:v>1103</c:v>
                </c:pt>
                <c:pt idx="29">
                  <c:v>1003</c:v>
                </c:pt>
                <c:pt idx="30">
                  <c:v>678</c:v>
                </c:pt>
                <c:pt idx="31">
                  <c:v>514</c:v>
                </c:pt>
                <c:pt idx="32">
                  <c:v>516</c:v>
                </c:pt>
                <c:pt idx="33">
                  <c:v>524</c:v>
                </c:pt>
                <c:pt idx="34">
                  <c:v>478</c:v>
                </c:pt>
                <c:pt idx="35">
                  <c:v>542</c:v>
                </c:pt>
                <c:pt idx="36">
                  <c:v>377</c:v>
                </c:pt>
                <c:pt idx="37">
                  <c:v>546</c:v>
                </c:pt>
                <c:pt idx="38">
                  <c:v>444</c:v>
                </c:pt>
                <c:pt idx="39">
                  <c:v>347</c:v>
                </c:pt>
                <c:pt idx="40">
                  <c:v>263</c:v>
                </c:pt>
                <c:pt idx="41">
                  <c:v>331</c:v>
                </c:pt>
                <c:pt idx="42">
                  <c:v>368</c:v>
                </c:pt>
                <c:pt idx="43">
                  <c:v>254</c:v>
                </c:pt>
                <c:pt idx="44">
                  <c:v>333</c:v>
                </c:pt>
                <c:pt idx="45">
                  <c:v>743</c:v>
                </c:pt>
                <c:pt idx="46">
                  <c:v>221</c:v>
                </c:pt>
                <c:pt idx="47">
                  <c:v>233</c:v>
                </c:pt>
                <c:pt idx="48">
                  <c:v>306</c:v>
                </c:pt>
                <c:pt idx="49">
                  <c:v>250</c:v>
                </c:pt>
                <c:pt idx="50">
                  <c:v>207</c:v>
                </c:pt>
                <c:pt idx="51">
                  <c:v>146</c:v>
                </c:pt>
                <c:pt idx="52">
                  <c:v>136</c:v>
                </c:pt>
                <c:pt idx="53">
                  <c:v>227</c:v>
                </c:pt>
                <c:pt idx="54">
                  <c:v>153</c:v>
                </c:pt>
                <c:pt idx="55">
                  <c:v>146</c:v>
                </c:pt>
                <c:pt idx="56">
                  <c:v>211</c:v>
                </c:pt>
                <c:pt idx="57">
                  <c:v>132</c:v>
                </c:pt>
                <c:pt idx="58">
                  <c:v>222</c:v>
                </c:pt>
                <c:pt idx="59">
                  <c:v>143</c:v>
                </c:pt>
                <c:pt idx="60">
                  <c:v>150</c:v>
                </c:pt>
                <c:pt idx="61">
                  <c:v>41</c:v>
                </c:pt>
                <c:pt idx="62">
                  <c:v>103</c:v>
                </c:pt>
                <c:pt idx="63">
                  <c:v>99</c:v>
                </c:pt>
                <c:pt idx="64">
                  <c:v>69</c:v>
                </c:pt>
                <c:pt idx="65">
                  <c:v>93</c:v>
                </c:pt>
                <c:pt idx="66">
                  <c:v>109</c:v>
                </c:pt>
                <c:pt idx="67">
                  <c:v>44</c:v>
                </c:pt>
                <c:pt idx="68">
                  <c:v>54</c:v>
                </c:pt>
                <c:pt idx="69">
                  <c:v>86</c:v>
                </c:pt>
                <c:pt idx="70">
                  <c:v>53</c:v>
                </c:pt>
                <c:pt idx="71">
                  <c:v>38</c:v>
                </c:pt>
                <c:pt idx="72">
                  <c:v>15</c:v>
                </c:pt>
                <c:pt idx="73">
                  <c:v>49</c:v>
                </c:pt>
                <c:pt idx="74">
                  <c:v>59</c:v>
                </c:pt>
                <c:pt idx="75">
                  <c:v>38</c:v>
                </c:pt>
                <c:pt idx="76">
                  <c:v>82</c:v>
                </c:pt>
                <c:pt idx="77">
                  <c:v>19</c:v>
                </c:pt>
                <c:pt idx="78">
                  <c:v>29</c:v>
                </c:pt>
                <c:pt idx="79">
                  <c:v>23</c:v>
                </c:pt>
                <c:pt idx="80">
                  <c:v>31</c:v>
                </c:pt>
                <c:pt idx="81">
                  <c:v>55</c:v>
                </c:pt>
                <c:pt idx="82">
                  <c:v>29</c:v>
                </c:pt>
                <c:pt idx="83">
                  <c:v>18</c:v>
                </c:pt>
                <c:pt idx="84">
                  <c:v>25</c:v>
                </c:pt>
                <c:pt idx="85">
                  <c:v>9</c:v>
                </c:pt>
                <c:pt idx="86">
                  <c:v>5</c:v>
                </c:pt>
                <c:pt idx="87">
                  <c:v>19</c:v>
                </c:pt>
                <c:pt idx="88">
                  <c:v>33</c:v>
                </c:pt>
                <c:pt idx="89">
                  <c:v>12</c:v>
                </c:pt>
                <c:pt idx="90">
                  <c:v>13</c:v>
                </c:pt>
                <c:pt idx="91">
                  <c:v>14</c:v>
                </c:pt>
                <c:pt idx="92">
                  <c:v>16</c:v>
                </c:pt>
                <c:pt idx="93">
                  <c:v>13</c:v>
                </c:pt>
                <c:pt idx="94">
                  <c:v>12</c:v>
                </c:pt>
                <c:pt idx="95">
                  <c:v>17</c:v>
                </c:pt>
                <c:pt idx="96">
                  <c:v>2</c:v>
                </c:pt>
                <c:pt idx="97">
                  <c:v>8</c:v>
                </c:pt>
                <c:pt idx="98">
                  <c:v>2</c:v>
                </c:pt>
                <c:pt idx="99">
                  <c:v>3</c:v>
                </c:pt>
                <c:pt idx="100">
                  <c:v>298</c:v>
                </c:pt>
                <c:pt idx="101">
                  <c:v>735</c:v>
                </c:pt>
                <c:pt idx="102">
                  <c:v>598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2C-470C-8A1F-BBDE11A6C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7142344"/>
        <c:axId val="417138080"/>
      </c:lineChart>
      <c:catAx>
        <c:axId val="41714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138080"/>
        <c:crosses val="autoZero"/>
        <c:auto val="1"/>
        <c:lblAlgn val="ctr"/>
        <c:lblOffset val="100"/>
        <c:noMultiLvlLbl val="0"/>
      </c:catAx>
      <c:valAx>
        <c:axId val="41713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142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107ae17d-263b-4385-8fe1-9fa02a3cdf61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CIB042-004-2022</eDocs_FileName>
    <TaxCatchAll xmlns="ff212c30-0135-4bf2-b188-6a120996ec0f">
      <Value>4</Value>
      <Value>9</Value>
      <Value>8</Value>
      <Value>1</Value>
    </TaxCatchAll>
    <_dlc_ExpireDateSaved xmlns="http://schemas.microsoft.com/sharepoint/v3" xsi:nil="true"/>
    <_dlc_ExpireDate xmlns="http://schemas.microsoft.com/sharepoint/v3">2022-04-17T15:43:03+00:00</_dlc_ExpireDate>
  </documentManagement>
</p:properti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D787-EC91-4ED9-A76F-BF211C433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E89BA-E7B6-4F83-BF3B-61A980DF1DFE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3.xml><?xml version="1.0" encoding="utf-8"?>
<ds:datastoreItem xmlns:ds="http://schemas.openxmlformats.org/officeDocument/2006/customXml" ds:itemID="{739395F7-A478-4B77-A514-7F12E310086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A7C2545-ACBB-403D-98E8-139C1F2490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07BC5E-BBFB-4EB8-831A-706D3043F64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058A694-379D-4596-91FA-57ACA5E5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1 2022 Statistical Summary Report with datasets for the three main categories with the highest query numbers.</vt:lpstr>
    </vt:vector>
  </TitlesOfParts>
  <Company/>
  <LinksUpToDate>false</LinksUpToDate>
  <CharactersWithSpaces>22625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1 2022 Statistical Summary Report with datasets for the three main categories with the highest query numbers.</dc:title>
  <dc:subject>Statistical summary of caller and query data for quarter 1 2022</dc:subject>
  <dc:creator>Sarah Togher</dc:creator>
  <cp:keywords>Statistical Summary Report</cp:keywords>
  <dc:description/>
  <cp:lastModifiedBy>Geralyn McGarry</cp:lastModifiedBy>
  <cp:revision>2</cp:revision>
  <cp:lastPrinted>2022-01-14T16:22:00Z</cp:lastPrinted>
  <dcterms:created xsi:type="dcterms:W3CDTF">2022-05-04T16:48:00Z</dcterms:created>
  <dcterms:modified xsi:type="dcterms:W3CDTF">2022-05-04T16:48:00Z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9;#2022|107ae17d-263b-4385-8fe1-9fa02a3cdf61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