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DF15" w14:textId="6821B729" w:rsidR="00132558" w:rsidRPr="0045296D" w:rsidRDefault="00132558" w:rsidP="00132558">
      <w:pPr>
        <w:pStyle w:val="Heading1"/>
      </w:pPr>
      <w:bookmarkStart w:id="0" w:name="_Toc81486886"/>
      <w:bookmarkStart w:id="1" w:name="_Toc80972800"/>
      <w:bookmarkStart w:id="2" w:name="_Toc81486889"/>
      <w:r w:rsidRPr="0045296D">
        <w:t>CIS Caller Demographics</w:t>
      </w:r>
      <w:bookmarkEnd w:id="0"/>
      <w:r w:rsidRPr="0045296D">
        <w:t xml:space="preserve"> 2021</w:t>
      </w:r>
    </w:p>
    <w:p w14:paraId="46CB12F4" w14:textId="77777777" w:rsidR="00132558" w:rsidRPr="0045296D" w:rsidRDefault="00132558" w:rsidP="00132558">
      <w:pPr>
        <w:pStyle w:val="Heading1"/>
        <w:rPr>
          <w:b/>
          <w:sz w:val="28"/>
          <w:szCs w:val="28"/>
        </w:rPr>
      </w:pPr>
      <w:r w:rsidRPr="0045296D">
        <w:rPr>
          <w:sz w:val="28"/>
          <w:szCs w:val="28"/>
        </w:rPr>
        <w:t>Country of Origin</w:t>
      </w:r>
      <w:bookmarkEnd w:id="1"/>
      <w:bookmarkEnd w:id="2"/>
      <w:r w:rsidRPr="0045296D">
        <w:rPr>
          <w:b/>
          <w:sz w:val="28"/>
          <w:szCs w:val="28"/>
        </w:rPr>
        <w:t xml:space="preserve"> </w:t>
      </w:r>
    </w:p>
    <w:p w14:paraId="6C08E063" w14:textId="14F387F4" w:rsidR="00454D58" w:rsidRPr="00454D58" w:rsidRDefault="00132558" w:rsidP="00454D58">
      <w:pPr>
        <w:jc w:val="both"/>
        <w:rPr>
          <w:rFonts w:eastAsia="Times New Roman"/>
          <w:sz w:val="22"/>
          <w:szCs w:val="22"/>
          <w:lang w:eastAsia="en-IE"/>
        </w:rPr>
      </w:pPr>
      <w:r>
        <w:rPr>
          <w:rFonts w:cs="Arial"/>
        </w:rPr>
        <w:t>Country of O</w:t>
      </w:r>
      <w:r w:rsidRPr="005B3750">
        <w:rPr>
          <w:rFonts w:cs="Arial"/>
        </w:rPr>
        <w:t>rigin</w:t>
      </w:r>
      <w:r>
        <w:rPr>
          <w:rStyle w:val="FootnoteReference"/>
          <w:rFonts w:cs="Arial"/>
        </w:rPr>
        <w:footnoteReference w:id="1"/>
      </w:r>
      <w:r w:rsidRPr="005B3750">
        <w:rPr>
          <w:rFonts w:cs="Arial"/>
        </w:rPr>
        <w:t xml:space="preserve"> was</w:t>
      </w:r>
      <w:r w:rsidRPr="00D62C62">
        <w:rPr>
          <w:rFonts w:cs="Arial"/>
        </w:rPr>
        <w:t xml:space="preserve"> recorded for </w:t>
      </w:r>
      <w:r w:rsidRPr="009C326E">
        <w:rPr>
          <w:rFonts w:cs="Arial"/>
        </w:rPr>
        <w:t>60</w:t>
      </w:r>
      <w:r w:rsidR="00B15FF5" w:rsidRPr="009C326E">
        <w:rPr>
          <w:rFonts w:cs="Arial"/>
        </w:rPr>
        <w:t>.</w:t>
      </w:r>
      <w:r w:rsidR="00454D58" w:rsidRPr="009C326E">
        <w:rPr>
          <w:rFonts w:cs="Arial"/>
        </w:rPr>
        <w:t>4</w:t>
      </w:r>
      <w:r w:rsidR="00B15FF5" w:rsidRPr="009C326E">
        <w:rPr>
          <w:rFonts w:cs="Arial"/>
        </w:rPr>
        <w:t>8</w:t>
      </w:r>
      <w:r w:rsidRPr="009C326E">
        <w:rPr>
          <w:rFonts w:cs="Arial"/>
        </w:rPr>
        <w:t>%</w:t>
      </w:r>
      <w:r>
        <w:rPr>
          <w:rFonts w:cs="Arial"/>
        </w:rPr>
        <w:t xml:space="preserve"> </w:t>
      </w:r>
      <w:r w:rsidRPr="00D62C62">
        <w:rPr>
          <w:rFonts w:cs="Arial"/>
        </w:rPr>
        <w:t xml:space="preserve">of </w:t>
      </w:r>
      <w:r>
        <w:rPr>
          <w:rFonts w:cs="Arial"/>
        </w:rPr>
        <w:t xml:space="preserve">CIS </w:t>
      </w:r>
      <w:r w:rsidR="009C326E">
        <w:rPr>
          <w:rFonts w:cs="Arial"/>
        </w:rPr>
        <w:t xml:space="preserve">callers </w:t>
      </w:r>
      <w:r w:rsidRPr="009C326E">
        <w:rPr>
          <w:rFonts w:cs="Arial"/>
        </w:rPr>
        <w:t>during 2021.</w:t>
      </w:r>
      <w:r w:rsidRPr="00D62C62">
        <w:rPr>
          <w:rFonts w:cs="Arial"/>
        </w:rPr>
        <w:t xml:space="preserve"> </w:t>
      </w:r>
      <w:r w:rsidR="00454D58">
        <w:rPr>
          <w:rFonts w:cs="Arial"/>
        </w:rPr>
        <w:t>Most</w:t>
      </w:r>
      <w:r w:rsidR="00FC0CB8">
        <w:rPr>
          <w:rFonts w:cs="Arial"/>
        </w:rPr>
        <w:t>, or</w:t>
      </w:r>
      <w:r w:rsidRPr="00D62C62">
        <w:rPr>
          <w:rFonts w:cs="Arial"/>
        </w:rPr>
        <w:t xml:space="preserve"> 8</w:t>
      </w:r>
      <w:r w:rsidR="00B15FF5">
        <w:rPr>
          <w:rFonts w:cs="Arial"/>
        </w:rPr>
        <w:t>3.</w:t>
      </w:r>
      <w:r w:rsidR="00454D58">
        <w:rPr>
          <w:rFonts w:cs="Arial"/>
        </w:rPr>
        <w:t>21</w:t>
      </w:r>
      <w:r w:rsidRPr="00B15FF5">
        <w:rPr>
          <w:rFonts w:cs="Arial"/>
        </w:rPr>
        <w:t xml:space="preserve">% </w:t>
      </w:r>
      <w:r w:rsidR="00FC0CB8">
        <w:rPr>
          <w:rFonts w:cs="Arial"/>
        </w:rPr>
        <w:t>of callers</w:t>
      </w:r>
      <w:r w:rsidR="00345C4E">
        <w:rPr>
          <w:rFonts w:cs="Arial"/>
        </w:rPr>
        <w:t>,</w:t>
      </w:r>
      <w:r w:rsidR="00FC0CB8">
        <w:rPr>
          <w:rFonts w:cs="Arial"/>
        </w:rPr>
        <w:t xml:space="preserve"> </w:t>
      </w:r>
      <w:r w:rsidRPr="00B15FF5">
        <w:rPr>
          <w:rFonts w:cs="Arial"/>
        </w:rPr>
        <w:t>were</w:t>
      </w:r>
      <w:r w:rsidR="009C326E">
        <w:rPr>
          <w:rFonts w:cs="Arial"/>
        </w:rPr>
        <w:t xml:space="preserve"> from Ireland</w:t>
      </w:r>
      <w:r w:rsidR="00FC0CB8">
        <w:rPr>
          <w:rFonts w:cs="Arial"/>
        </w:rPr>
        <w:t xml:space="preserve"> </w:t>
      </w:r>
      <w:r w:rsidR="00FC0CB8" w:rsidRPr="00B15FF5">
        <w:rPr>
          <w:rFonts w:cs="Arial"/>
        </w:rPr>
        <w:t>(</w:t>
      </w:r>
      <w:r w:rsidR="00FC0CB8" w:rsidRPr="00454D58">
        <w:rPr>
          <w:rFonts w:eastAsia="Times New Roman"/>
          <w:sz w:val="22"/>
          <w:szCs w:val="22"/>
          <w:lang w:eastAsia="en-IE"/>
        </w:rPr>
        <w:t>170</w:t>
      </w:r>
      <w:r w:rsidR="00FC0CB8">
        <w:rPr>
          <w:rFonts w:eastAsia="Times New Roman"/>
          <w:sz w:val="22"/>
          <w:szCs w:val="22"/>
          <w:lang w:eastAsia="en-IE"/>
        </w:rPr>
        <w:t>,</w:t>
      </w:r>
      <w:r w:rsidR="00FC0CB8" w:rsidRPr="00454D58">
        <w:rPr>
          <w:rFonts w:eastAsia="Times New Roman"/>
          <w:sz w:val="22"/>
          <w:szCs w:val="22"/>
          <w:lang w:eastAsia="en-IE"/>
        </w:rPr>
        <w:t>198</w:t>
      </w:r>
      <w:r w:rsidR="00FC0CB8" w:rsidRPr="00B15FF5">
        <w:rPr>
          <w:rFonts w:cs="Arial"/>
        </w:rPr>
        <w:t>)</w:t>
      </w:r>
      <w:r w:rsidR="00FC0CB8">
        <w:rPr>
          <w:rFonts w:cs="Arial"/>
        </w:rPr>
        <w:t>,</w:t>
      </w:r>
      <w:r w:rsidR="009C326E">
        <w:rPr>
          <w:rFonts w:cs="Arial"/>
        </w:rPr>
        <w:t xml:space="preserve"> </w:t>
      </w:r>
      <w:r w:rsidR="00454D58">
        <w:rPr>
          <w:rFonts w:cs="Arial"/>
        </w:rPr>
        <w:t>followed by callers whose country of origin was Poland (</w:t>
      </w:r>
      <w:r w:rsidR="00454D58" w:rsidRPr="00454D58">
        <w:rPr>
          <w:rFonts w:eastAsia="Times New Roman"/>
          <w:sz w:val="22"/>
          <w:szCs w:val="22"/>
          <w:lang w:eastAsia="en-IE"/>
        </w:rPr>
        <w:t>9</w:t>
      </w:r>
      <w:r w:rsidR="00FC0CB8">
        <w:rPr>
          <w:rFonts w:eastAsia="Times New Roman"/>
          <w:sz w:val="22"/>
          <w:szCs w:val="22"/>
          <w:lang w:eastAsia="en-IE"/>
        </w:rPr>
        <w:t>,</w:t>
      </w:r>
      <w:r w:rsidR="00454D58" w:rsidRPr="00454D58">
        <w:rPr>
          <w:rFonts w:eastAsia="Times New Roman"/>
          <w:sz w:val="22"/>
          <w:szCs w:val="22"/>
          <w:lang w:eastAsia="en-IE"/>
        </w:rPr>
        <w:t>064</w:t>
      </w:r>
      <w:r w:rsidR="00454D58">
        <w:rPr>
          <w:rFonts w:eastAsia="Times New Roman"/>
          <w:sz w:val="22"/>
          <w:szCs w:val="22"/>
          <w:lang w:eastAsia="en-IE"/>
        </w:rPr>
        <w:t>)</w:t>
      </w:r>
      <w:r w:rsidR="00FC0CB8">
        <w:rPr>
          <w:rFonts w:eastAsia="Times New Roman"/>
          <w:sz w:val="22"/>
          <w:szCs w:val="22"/>
          <w:lang w:eastAsia="en-IE"/>
        </w:rPr>
        <w:t xml:space="preserve"> and</w:t>
      </w:r>
      <w:r w:rsidR="00454D58">
        <w:rPr>
          <w:rFonts w:eastAsia="Times New Roman"/>
          <w:sz w:val="22"/>
          <w:szCs w:val="22"/>
          <w:lang w:eastAsia="en-IE"/>
        </w:rPr>
        <w:t xml:space="preserve"> the UK</w:t>
      </w:r>
      <w:r w:rsidR="00FC0CB8">
        <w:rPr>
          <w:rFonts w:eastAsia="Times New Roman"/>
          <w:sz w:val="22"/>
          <w:szCs w:val="22"/>
          <w:lang w:eastAsia="en-IE"/>
        </w:rPr>
        <w:t xml:space="preserve"> </w:t>
      </w:r>
      <w:r w:rsidR="00454D58">
        <w:rPr>
          <w:rFonts w:eastAsia="Times New Roman"/>
          <w:sz w:val="22"/>
          <w:szCs w:val="22"/>
          <w:lang w:eastAsia="en-IE"/>
        </w:rPr>
        <w:t>(</w:t>
      </w:r>
      <w:r w:rsidR="00454D58" w:rsidRPr="00454D58">
        <w:rPr>
          <w:rFonts w:eastAsia="Times New Roman"/>
          <w:sz w:val="22"/>
          <w:szCs w:val="22"/>
          <w:lang w:eastAsia="en-IE"/>
        </w:rPr>
        <w:t>5</w:t>
      </w:r>
      <w:r w:rsidR="00454D58">
        <w:rPr>
          <w:rFonts w:eastAsia="Times New Roman"/>
          <w:sz w:val="22"/>
          <w:szCs w:val="22"/>
          <w:lang w:eastAsia="en-IE"/>
        </w:rPr>
        <w:t>,</w:t>
      </w:r>
      <w:r w:rsidR="00454D58" w:rsidRPr="00454D58">
        <w:rPr>
          <w:rFonts w:eastAsia="Times New Roman"/>
          <w:sz w:val="22"/>
          <w:szCs w:val="22"/>
          <w:lang w:eastAsia="en-IE"/>
        </w:rPr>
        <w:t>412</w:t>
      </w:r>
      <w:r w:rsidR="00454D58">
        <w:rPr>
          <w:rFonts w:eastAsia="Times New Roman"/>
          <w:sz w:val="22"/>
          <w:szCs w:val="22"/>
          <w:lang w:eastAsia="en-IE"/>
        </w:rPr>
        <w:t>).</w:t>
      </w:r>
      <w:r w:rsidR="00FC0CB8">
        <w:rPr>
          <w:rFonts w:eastAsia="Times New Roman"/>
          <w:sz w:val="22"/>
          <w:szCs w:val="22"/>
          <w:lang w:eastAsia="en-IE"/>
        </w:rPr>
        <w:t xml:space="preserve"> </w:t>
      </w:r>
    </w:p>
    <w:p w14:paraId="2353FB67" w14:textId="50D89569" w:rsidR="0045296D" w:rsidRDefault="00132558" w:rsidP="00132558">
      <w:pPr>
        <w:spacing w:after="0" w:line="240" w:lineRule="auto"/>
        <w:jc w:val="both"/>
        <w:rPr>
          <w:rFonts w:eastAsia="Times New Roman" w:cs="Arial"/>
          <w:color w:val="auto"/>
          <w:lang w:eastAsia="en-IE"/>
        </w:rPr>
      </w:pPr>
      <w:r>
        <w:rPr>
          <w:rFonts w:eastAsia="Times New Roman" w:cs="Arial"/>
          <w:color w:val="auto"/>
          <w:lang w:eastAsia="en-IE"/>
        </w:rPr>
        <w:t>Non-Irish callers came from a wid</w:t>
      </w:r>
      <w:r w:rsidR="00FC0CB8">
        <w:rPr>
          <w:rFonts w:eastAsia="Times New Roman" w:cs="Arial"/>
          <w:color w:val="auto"/>
          <w:lang w:eastAsia="en-IE"/>
        </w:rPr>
        <w:t>e range of countries</w:t>
      </w:r>
      <w:r>
        <w:rPr>
          <w:rFonts w:eastAsia="Times New Roman" w:cs="Arial"/>
          <w:color w:val="auto"/>
          <w:lang w:eastAsia="en-IE"/>
        </w:rPr>
        <w:t xml:space="preserve">, with </w:t>
      </w:r>
      <w:r w:rsidRPr="00F12027">
        <w:rPr>
          <w:rFonts w:eastAsia="Times New Roman" w:cs="Arial"/>
          <w:color w:val="auto"/>
          <w:lang w:eastAsia="en-IE"/>
        </w:rPr>
        <w:t xml:space="preserve">most coming from the </w:t>
      </w:r>
      <w:r>
        <w:rPr>
          <w:rFonts w:eastAsia="Times New Roman" w:cs="Arial"/>
          <w:color w:val="auto"/>
          <w:lang w:eastAsia="en-IE"/>
        </w:rPr>
        <w:t xml:space="preserve">fifteen </w:t>
      </w:r>
      <w:r w:rsidR="00FC0CB8">
        <w:rPr>
          <w:rFonts w:eastAsia="Times New Roman" w:cs="Arial"/>
          <w:color w:val="auto"/>
          <w:lang w:eastAsia="en-IE"/>
        </w:rPr>
        <w:t>represented in C</w:t>
      </w:r>
      <w:r>
        <w:rPr>
          <w:rFonts w:eastAsia="Times New Roman" w:cs="Arial"/>
          <w:color w:val="auto"/>
          <w:lang w:eastAsia="en-IE"/>
        </w:rPr>
        <w:t xml:space="preserve">hart </w:t>
      </w:r>
      <w:r w:rsidR="00FC0CB8">
        <w:rPr>
          <w:rFonts w:eastAsia="Times New Roman" w:cs="Arial"/>
          <w:color w:val="auto"/>
          <w:lang w:eastAsia="en-IE"/>
        </w:rPr>
        <w:t>1 (</w:t>
      </w:r>
      <w:r>
        <w:rPr>
          <w:rFonts w:eastAsia="Times New Roman" w:cs="Arial"/>
          <w:color w:val="auto"/>
          <w:lang w:eastAsia="en-IE"/>
        </w:rPr>
        <w:t>below</w:t>
      </w:r>
      <w:r w:rsidR="00FC0CB8">
        <w:rPr>
          <w:rFonts w:eastAsia="Times New Roman" w:cs="Arial"/>
          <w:color w:val="auto"/>
          <w:lang w:eastAsia="en-IE"/>
        </w:rPr>
        <w:t>)</w:t>
      </w:r>
      <w:r>
        <w:rPr>
          <w:rFonts w:eastAsia="Times New Roman" w:cs="Arial"/>
          <w:color w:val="auto"/>
          <w:lang w:eastAsia="en-IE"/>
        </w:rPr>
        <w:t>.</w:t>
      </w:r>
    </w:p>
    <w:p w14:paraId="429AD9CE" w14:textId="77777777" w:rsidR="00132558" w:rsidRDefault="00132558" w:rsidP="0045296D">
      <w:pPr>
        <w:pStyle w:val="Heading1"/>
        <w:rPr>
          <w:rFonts w:eastAsia="Times New Roman"/>
          <w:lang w:eastAsia="en-IE"/>
        </w:rPr>
        <w:sectPr w:rsidR="00132558" w:rsidSect="00AE4CF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D11BFBC" w14:textId="6CF571D3" w:rsidR="00AE4CFA" w:rsidRDefault="00AE4CFA" w:rsidP="00132558">
      <w:pPr>
        <w:spacing w:after="0" w:line="240" w:lineRule="auto"/>
        <w:jc w:val="both"/>
        <w:rPr>
          <w:rFonts w:eastAsia="Times New Roman" w:cs="Arial"/>
          <w:color w:val="auto"/>
          <w:lang w:eastAsia="en-IE"/>
        </w:rPr>
        <w:sectPr w:rsidR="00AE4CFA" w:rsidSect="00AE4CF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D43081F" w14:textId="3B20906E" w:rsidR="00AE4CFA" w:rsidRDefault="00132558" w:rsidP="00132558">
      <w:pPr>
        <w:spacing w:after="0" w:line="240" w:lineRule="auto"/>
        <w:jc w:val="both"/>
        <w:rPr>
          <w:rFonts w:eastAsia="Times New Roman" w:cs="Arial"/>
          <w:color w:val="auto"/>
          <w:lang w:eastAsia="en-IE"/>
        </w:rPr>
        <w:sectPr w:rsidR="00AE4CFA" w:rsidSect="00AE4CF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eastAsia="Times New Roman" w:cs="Arial"/>
          <w:color w:val="auto"/>
          <w:lang w:eastAsia="en-IE"/>
        </w:rPr>
        <w:t>Overall,</w:t>
      </w:r>
      <w:r w:rsidR="00FD6D43">
        <w:rPr>
          <w:rFonts w:eastAsia="Times New Roman" w:cs="Arial"/>
          <w:color w:val="auto"/>
          <w:lang w:eastAsia="en-IE"/>
        </w:rPr>
        <w:t xml:space="preserve"> during 2021</w:t>
      </w:r>
      <w:r w:rsidR="00835182">
        <w:rPr>
          <w:rFonts w:eastAsia="Times New Roman" w:cs="Arial"/>
          <w:color w:val="auto"/>
          <w:lang w:eastAsia="en-IE"/>
        </w:rPr>
        <w:t>,</w:t>
      </w:r>
      <w:r>
        <w:rPr>
          <w:rFonts w:eastAsia="Times New Roman" w:cs="Arial"/>
          <w:color w:val="auto"/>
          <w:lang w:eastAsia="en-IE"/>
        </w:rPr>
        <w:t xml:space="preserve"> C</w:t>
      </w:r>
      <w:r w:rsidR="003B1E7C">
        <w:rPr>
          <w:rFonts w:eastAsia="Times New Roman" w:cs="Arial"/>
          <w:color w:val="auto"/>
          <w:lang w:eastAsia="en-IE"/>
        </w:rPr>
        <w:t>ISs worked with callers from 178</w:t>
      </w:r>
      <w:r w:rsidR="002B3B85">
        <w:rPr>
          <w:rFonts w:eastAsia="Times New Roman" w:cs="Arial"/>
          <w:color w:val="auto"/>
          <w:lang w:eastAsia="en-IE"/>
        </w:rPr>
        <w:t xml:space="preserve"> different countries</w:t>
      </w:r>
      <w:r w:rsidR="00FD6D43">
        <w:rPr>
          <w:rFonts w:eastAsia="Times New Roman" w:cs="Arial"/>
          <w:color w:val="auto"/>
          <w:lang w:eastAsia="en-IE"/>
        </w:rPr>
        <w:t>, other than Ireland.</w:t>
      </w:r>
    </w:p>
    <w:p w14:paraId="47264AE9" w14:textId="765FB1A8" w:rsidR="00132558" w:rsidRDefault="003B1E7C" w:rsidP="00132558">
      <w:pPr>
        <w:spacing w:after="0" w:line="240" w:lineRule="auto"/>
        <w:jc w:val="both"/>
        <w:rPr>
          <w:rFonts w:eastAsia="Times New Roman" w:cs="Arial"/>
          <w:color w:val="auto"/>
          <w:lang w:eastAsia="en-IE"/>
        </w:rPr>
      </w:pPr>
      <w:r w:rsidRPr="00FC0CB8">
        <w:rPr>
          <w:rFonts w:eastAsia="Times New Roman" w:cs="Arial"/>
          <w:color w:val="auto"/>
          <w:lang w:eastAsia="en-IE"/>
        </w:rPr>
        <w:t>The ‘Other’ (8,125</w:t>
      </w:r>
      <w:r w:rsidR="00835182">
        <w:rPr>
          <w:rFonts w:eastAsia="Times New Roman" w:cs="Arial"/>
          <w:color w:val="auto"/>
          <w:lang w:eastAsia="en-IE"/>
        </w:rPr>
        <w:t xml:space="preserve">) bar in Chart 1 </w:t>
      </w:r>
      <w:r w:rsidR="00132558" w:rsidRPr="00FC0CB8">
        <w:rPr>
          <w:rFonts w:eastAsia="Times New Roman" w:cs="Arial"/>
          <w:color w:val="auto"/>
          <w:lang w:eastAsia="en-IE"/>
        </w:rPr>
        <w:t>represe</w:t>
      </w:r>
      <w:r w:rsidR="00FC0CB8">
        <w:rPr>
          <w:rFonts w:eastAsia="Times New Roman" w:cs="Arial"/>
          <w:color w:val="auto"/>
          <w:lang w:eastAsia="en-IE"/>
        </w:rPr>
        <w:t>nts callers who came from the 16</w:t>
      </w:r>
      <w:r w:rsidR="00132558" w:rsidRPr="00FC0CB8">
        <w:rPr>
          <w:rFonts w:eastAsia="Times New Roman" w:cs="Arial"/>
          <w:color w:val="auto"/>
          <w:lang w:eastAsia="en-IE"/>
        </w:rPr>
        <w:t>3 countries</w:t>
      </w:r>
      <w:r w:rsidR="00FC0CB8" w:rsidRPr="00FC0CB8">
        <w:rPr>
          <w:rFonts w:eastAsia="Times New Roman" w:cs="Arial"/>
          <w:color w:val="auto"/>
          <w:lang w:eastAsia="en-IE"/>
        </w:rPr>
        <w:t xml:space="preserve"> for whom there were less than 5</w:t>
      </w:r>
      <w:r w:rsidR="00132558" w:rsidRPr="00FC0CB8">
        <w:rPr>
          <w:rFonts w:eastAsia="Times New Roman" w:cs="Arial"/>
          <w:color w:val="auto"/>
          <w:lang w:eastAsia="en-IE"/>
        </w:rPr>
        <w:t xml:space="preserve">00 callers recorded during </w:t>
      </w:r>
      <w:r w:rsidR="00835182">
        <w:rPr>
          <w:rFonts w:eastAsia="Times New Roman" w:cs="Arial"/>
          <w:color w:val="auto"/>
          <w:lang w:eastAsia="en-IE"/>
        </w:rPr>
        <w:t>the year</w:t>
      </w:r>
      <w:r w:rsidR="00132558" w:rsidRPr="00FC0CB8">
        <w:rPr>
          <w:rFonts w:eastAsia="Times New Roman" w:cs="Arial"/>
          <w:color w:val="auto"/>
          <w:lang w:eastAsia="en-IE"/>
        </w:rPr>
        <w:t>. These inc</w:t>
      </w:r>
      <w:r w:rsidR="00FC0CB8" w:rsidRPr="00FC0CB8">
        <w:rPr>
          <w:rFonts w:eastAsia="Times New Roman" w:cs="Arial"/>
          <w:color w:val="auto"/>
          <w:lang w:eastAsia="en-IE"/>
        </w:rPr>
        <w:t>lude the EU states of Italy (459) and Germany (365</w:t>
      </w:r>
      <w:r w:rsidR="00132558" w:rsidRPr="00FC0CB8">
        <w:rPr>
          <w:rFonts w:eastAsia="Times New Roman" w:cs="Arial"/>
          <w:color w:val="auto"/>
          <w:lang w:eastAsia="en-IE"/>
        </w:rPr>
        <w:t xml:space="preserve">), and the </w:t>
      </w:r>
      <w:r w:rsidR="00FC0CB8" w:rsidRPr="00FC0CB8">
        <w:rPr>
          <w:rFonts w:eastAsia="Times New Roman" w:cs="Arial"/>
          <w:color w:val="auto"/>
          <w:lang w:eastAsia="en-IE"/>
        </w:rPr>
        <w:t>non-EU states such as Canada (115), Australia (105</w:t>
      </w:r>
      <w:r w:rsidR="00132558" w:rsidRPr="00FC0CB8">
        <w:rPr>
          <w:rFonts w:eastAsia="Times New Roman" w:cs="Arial"/>
          <w:color w:val="auto"/>
          <w:lang w:eastAsia="en-IE"/>
        </w:rPr>
        <w:t>).</w:t>
      </w:r>
      <w:r w:rsidR="00132558">
        <w:rPr>
          <w:rFonts w:eastAsia="Times New Roman" w:cs="Arial"/>
          <w:color w:val="auto"/>
          <w:lang w:eastAsia="en-IE"/>
        </w:rPr>
        <w:t xml:space="preserve"> </w:t>
      </w:r>
      <w:bookmarkStart w:id="3" w:name="_Toc81486890"/>
    </w:p>
    <w:p w14:paraId="6823269A" w14:textId="78A590BD" w:rsidR="00AE4CFA" w:rsidRDefault="00AE4CFA" w:rsidP="00132558">
      <w:pPr>
        <w:spacing w:after="0" w:line="240" w:lineRule="auto"/>
        <w:jc w:val="both"/>
        <w:rPr>
          <w:rFonts w:eastAsia="Times New Roman" w:cs="Arial"/>
          <w:color w:val="auto"/>
          <w:lang w:eastAsia="en-IE"/>
        </w:rPr>
      </w:pPr>
    </w:p>
    <w:p w14:paraId="1E2C1000" w14:textId="77777777" w:rsidR="00AE4CFA" w:rsidRPr="00AE4CFA" w:rsidRDefault="00AE4CFA" w:rsidP="00AE4CFA">
      <w:pPr>
        <w:pStyle w:val="Heading1"/>
        <w:rPr>
          <w:rFonts w:eastAsia="Times New Roman"/>
          <w:sz w:val="24"/>
          <w:szCs w:val="24"/>
          <w:lang w:eastAsia="en-IE"/>
        </w:rPr>
        <w:sectPr w:rsidR="00AE4CFA" w:rsidRPr="00AE4CFA" w:rsidSect="00AE4CF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5296D">
        <w:rPr>
          <w:rFonts w:eastAsia="Times New Roman"/>
          <w:sz w:val="24"/>
          <w:szCs w:val="24"/>
          <w:lang w:eastAsia="en-IE"/>
        </w:rPr>
        <w:t>Chart 1 - Country of O</w:t>
      </w:r>
      <w:r>
        <w:rPr>
          <w:rFonts w:eastAsia="Times New Roman"/>
          <w:sz w:val="24"/>
          <w:szCs w:val="24"/>
          <w:lang w:eastAsia="en-IE"/>
        </w:rPr>
        <w:t>rigin 2021</w:t>
      </w:r>
    </w:p>
    <w:p w14:paraId="60685905" w14:textId="77777777" w:rsidR="00AE4CFA" w:rsidRDefault="00AE4CFA" w:rsidP="00132558">
      <w:pPr>
        <w:spacing w:after="0" w:line="240" w:lineRule="auto"/>
        <w:jc w:val="both"/>
        <w:rPr>
          <w:rFonts w:eastAsia="Times New Roman" w:cs="Arial"/>
          <w:color w:val="auto"/>
          <w:lang w:eastAsia="en-IE"/>
        </w:rPr>
      </w:pPr>
    </w:p>
    <w:p w14:paraId="001C95C9" w14:textId="74B097CC" w:rsidR="00AE4CFA" w:rsidRPr="00472874" w:rsidRDefault="00AE4CFA" w:rsidP="00472874">
      <w:pPr>
        <w:spacing w:after="0" w:line="240" w:lineRule="auto"/>
        <w:jc w:val="center"/>
        <w:rPr>
          <w:rFonts w:eastAsia="Times New Roman" w:cs="Arial"/>
          <w:color w:val="auto"/>
          <w:lang w:eastAsia="en-IE"/>
        </w:rPr>
      </w:pPr>
      <w:r>
        <w:rPr>
          <w:noProof/>
          <w:lang w:eastAsia="en-IE"/>
        </w:rPr>
        <w:drawing>
          <wp:inline distT="0" distB="0" distL="0" distR="0" wp14:anchorId="1E793C5F" wp14:editId="4D96B8F1">
            <wp:extent cx="4572000" cy="3543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3"/>
    </w:p>
    <w:p w14:paraId="2E46B817" w14:textId="6A1118A7" w:rsidR="00AE4CFA" w:rsidRDefault="00AE4CFA" w:rsidP="00132558">
      <w:pPr>
        <w:spacing w:after="0" w:line="240" w:lineRule="auto"/>
        <w:jc w:val="both"/>
        <w:rPr>
          <w:noProof/>
          <w:lang w:eastAsia="en-IE"/>
        </w:rPr>
      </w:pPr>
    </w:p>
    <w:p w14:paraId="2CEBB7C1" w14:textId="69F52EF8" w:rsidR="00AE4CFA" w:rsidRDefault="00AE4CFA" w:rsidP="00132558">
      <w:pPr>
        <w:spacing w:after="0" w:line="240" w:lineRule="auto"/>
        <w:jc w:val="both"/>
        <w:rPr>
          <w:noProof/>
          <w:lang w:eastAsia="en-IE"/>
        </w:rPr>
      </w:pPr>
    </w:p>
    <w:p w14:paraId="7E17C159" w14:textId="70616AB1" w:rsidR="00AE4CFA" w:rsidRDefault="00AE4CFA" w:rsidP="00132558">
      <w:pPr>
        <w:spacing w:after="0" w:line="240" w:lineRule="auto"/>
        <w:jc w:val="both"/>
        <w:rPr>
          <w:noProof/>
          <w:lang w:eastAsia="en-IE"/>
        </w:rPr>
      </w:pPr>
    </w:p>
    <w:p w14:paraId="6446EFC6" w14:textId="1069794A" w:rsidR="00AE4CFA" w:rsidRDefault="00AE4CFA" w:rsidP="00132558">
      <w:pPr>
        <w:spacing w:after="0" w:line="240" w:lineRule="auto"/>
        <w:jc w:val="both"/>
        <w:rPr>
          <w:noProof/>
          <w:lang w:eastAsia="en-IE"/>
        </w:rPr>
      </w:pPr>
    </w:p>
    <w:sectPr w:rsidR="00AE4CFA" w:rsidSect="00AE4CF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154C" w14:textId="77777777" w:rsidR="002C73B0" w:rsidRDefault="002C73B0" w:rsidP="00132558">
      <w:pPr>
        <w:spacing w:after="0" w:line="240" w:lineRule="auto"/>
      </w:pPr>
      <w:r>
        <w:separator/>
      </w:r>
    </w:p>
  </w:endnote>
  <w:endnote w:type="continuationSeparator" w:id="0">
    <w:p w14:paraId="7F49AC43" w14:textId="77777777" w:rsidR="002C73B0" w:rsidRDefault="002C73B0" w:rsidP="0013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62F7" w14:textId="77777777" w:rsidR="002C73B0" w:rsidRDefault="002C73B0" w:rsidP="00132558">
      <w:pPr>
        <w:spacing w:after="0" w:line="240" w:lineRule="auto"/>
      </w:pPr>
      <w:r>
        <w:separator/>
      </w:r>
    </w:p>
  </w:footnote>
  <w:footnote w:type="continuationSeparator" w:id="0">
    <w:p w14:paraId="77BD3EB5" w14:textId="77777777" w:rsidR="002C73B0" w:rsidRDefault="002C73B0" w:rsidP="00132558">
      <w:pPr>
        <w:spacing w:after="0" w:line="240" w:lineRule="auto"/>
      </w:pPr>
      <w:r>
        <w:continuationSeparator/>
      </w:r>
    </w:p>
  </w:footnote>
  <w:footnote w:id="1">
    <w:p w14:paraId="385A2535" w14:textId="329450D1" w:rsidR="00132558" w:rsidRPr="004D6903" w:rsidRDefault="00132558" w:rsidP="00132558">
      <w:pPr>
        <w:pStyle w:val="FootnoteText"/>
        <w:rPr>
          <w:sz w:val="18"/>
          <w:szCs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B3750">
        <w:rPr>
          <w:sz w:val="18"/>
          <w:szCs w:val="18"/>
        </w:rPr>
        <w:t xml:space="preserve">Country </w:t>
      </w:r>
      <w:r>
        <w:rPr>
          <w:sz w:val="18"/>
          <w:szCs w:val="18"/>
        </w:rPr>
        <w:t>of origin is the variable used i</w:t>
      </w:r>
      <w:r w:rsidRPr="005B3750">
        <w:rPr>
          <w:sz w:val="18"/>
          <w:szCs w:val="18"/>
        </w:rPr>
        <w:t xml:space="preserve">n </w:t>
      </w:r>
      <w:r>
        <w:rPr>
          <w:sz w:val="18"/>
          <w:szCs w:val="18"/>
        </w:rPr>
        <w:t xml:space="preserve">the </w:t>
      </w:r>
      <w:r w:rsidRPr="005B3750">
        <w:rPr>
          <w:sz w:val="18"/>
          <w:szCs w:val="18"/>
        </w:rPr>
        <w:t xml:space="preserve">CIS Caller and Query Data </w:t>
      </w:r>
      <w:r>
        <w:rPr>
          <w:sz w:val="18"/>
          <w:szCs w:val="18"/>
        </w:rPr>
        <w:t>Collection System</w:t>
      </w:r>
      <w:r w:rsidRPr="005B3750">
        <w:rPr>
          <w:sz w:val="18"/>
          <w:szCs w:val="18"/>
        </w:rPr>
        <w:t xml:space="preserve">. Nationality is the actual legal relationship a person has to their state, either by birth or naturalisation. You can have a different country of nationality to </w:t>
      </w:r>
      <w:r w:rsidR="00FC0CB8">
        <w:rPr>
          <w:sz w:val="18"/>
          <w:szCs w:val="18"/>
        </w:rPr>
        <w:t>‘</w:t>
      </w:r>
      <w:r w:rsidRPr="005B3750">
        <w:rPr>
          <w:sz w:val="18"/>
          <w:szCs w:val="18"/>
        </w:rPr>
        <w:t>country or origin</w:t>
      </w:r>
      <w:r w:rsidR="00FC0CB8">
        <w:rPr>
          <w:sz w:val="18"/>
          <w:szCs w:val="18"/>
        </w:rPr>
        <w:t>’</w:t>
      </w:r>
      <w:r w:rsidRPr="005B3750">
        <w:rPr>
          <w:sz w:val="18"/>
          <w:szCs w:val="18"/>
        </w:rPr>
        <w:t xml:space="preserve">, </w:t>
      </w:r>
      <w:proofErr w:type="gramStart"/>
      <w:r w:rsidRPr="005B3750">
        <w:rPr>
          <w:sz w:val="18"/>
          <w:szCs w:val="18"/>
        </w:rPr>
        <w:t>e.g.</w:t>
      </w:r>
      <w:proofErr w:type="gramEnd"/>
      <w:r w:rsidRPr="005B3750">
        <w:rPr>
          <w:sz w:val="18"/>
          <w:szCs w:val="18"/>
        </w:rPr>
        <w:t xml:space="preserve"> if you acquired citizenship in a different country to the one you were born in.</w:t>
      </w:r>
    </w:p>
    <w:p w14:paraId="7552241D" w14:textId="77777777" w:rsidR="00132558" w:rsidRPr="004D6903" w:rsidRDefault="00132558" w:rsidP="00132558">
      <w:pPr>
        <w:pStyle w:val="FootnoteText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B3"/>
    <w:rsid w:val="00132558"/>
    <w:rsid w:val="00177BB3"/>
    <w:rsid w:val="001C4ACD"/>
    <w:rsid w:val="002B3B85"/>
    <w:rsid w:val="002C73B0"/>
    <w:rsid w:val="00345C4E"/>
    <w:rsid w:val="00366B7C"/>
    <w:rsid w:val="003B1E7C"/>
    <w:rsid w:val="0045296D"/>
    <w:rsid w:val="00454D58"/>
    <w:rsid w:val="00472874"/>
    <w:rsid w:val="00581451"/>
    <w:rsid w:val="00613989"/>
    <w:rsid w:val="006909CF"/>
    <w:rsid w:val="007B7F34"/>
    <w:rsid w:val="00835182"/>
    <w:rsid w:val="008C0EB6"/>
    <w:rsid w:val="008D3249"/>
    <w:rsid w:val="009C326E"/>
    <w:rsid w:val="00AB2915"/>
    <w:rsid w:val="00AE4CFA"/>
    <w:rsid w:val="00B15FF5"/>
    <w:rsid w:val="00B916C5"/>
    <w:rsid w:val="00D23717"/>
    <w:rsid w:val="00E410DA"/>
    <w:rsid w:val="00E41FE6"/>
    <w:rsid w:val="00EA481C"/>
    <w:rsid w:val="00ED1F20"/>
    <w:rsid w:val="00FC0CB8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DA91"/>
  <w15:chartTrackingRefBased/>
  <w15:docId w15:val="{69291273-F51E-44F5-A380-9B211813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58"/>
    <w:rPr>
      <w:rFonts w:ascii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5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1325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2558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325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32558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255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989"/>
    <w:rPr>
      <w:rFonts w:ascii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989"/>
    <w:rPr>
      <w:rFonts w:ascii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89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8C0EB6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rah.togher\Documents\WIP%20Read%20More%20About%20sections\2021%20Data%20Hub%20stats%20and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Country of Origin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'Nationality final'!$J$23</c:f>
              <c:strCache>
                <c:ptCount val="1"/>
                <c:pt idx="0">
                  <c:v>Callers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'Nationality final'!$I$24:$I$38</c:f>
              <c:strCache>
                <c:ptCount val="15"/>
                <c:pt idx="0">
                  <c:v>Poland</c:v>
                </c:pt>
                <c:pt idx="1">
                  <c:v>United Kingdom</c:v>
                </c:pt>
                <c:pt idx="2">
                  <c:v>Nigeria</c:v>
                </c:pt>
                <c:pt idx="3">
                  <c:v>Romania</c:v>
                </c:pt>
                <c:pt idx="4">
                  <c:v>India</c:v>
                </c:pt>
                <c:pt idx="5">
                  <c:v>Pakistan</c:v>
                </c:pt>
                <c:pt idx="6">
                  <c:v>Lithuania</c:v>
                </c:pt>
                <c:pt idx="7">
                  <c:v>Afghanistan</c:v>
                </c:pt>
                <c:pt idx="8">
                  <c:v>Latvia</c:v>
                </c:pt>
                <c:pt idx="9">
                  <c:v>Brazil</c:v>
                </c:pt>
                <c:pt idx="10">
                  <c:v>Slovakia</c:v>
                </c:pt>
                <c:pt idx="11">
                  <c:v>Spain</c:v>
                </c:pt>
                <c:pt idx="12">
                  <c:v>United States of America</c:v>
                </c:pt>
                <c:pt idx="13">
                  <c:v>China</c:v>
                </c:pt>
                <c:pt idx="14">
                  <c:v>Other Countries</c:v>
                </c:pt>
              </c:strCache>
            </c:strRef>
          </c:cat>
          <c:val>
            <c:numRef>
              <c:f>'Nationality final'!$J$24:$J$38</c:f>
              <c:numCache>
                <c:formatCode>General</c:formatCode>
                <c:ptCount val="15"/>
                <c:pt idx="0">
                  <c:v>9064</c:v>
                </c:pt>
                <c:pt idx="1">
                  <c:v>5412</c:v>
                </c:pt>
                <c:pt idx="2">
                  <c:v>2641</c:v>
                </c:pt>
                <c:pt idx="3">
                  <c:v>1834</c:v>
                </c:pt>
                <c:pt idx="4">
                  <c:v>997</c:v>
                </c:pt>
                <c:pt idx="5">
                  <c:v>889</c:v>
                </c:pt>
                <c:pt idx="6">
                  <c:v>828</c:v>
                </c:pt>
                <c:pt idx="7">
                  <c:v>801</c:v>
                </c:pt>
                <c:pt idx="8">
                  <c:v>690</c:v>
                </c:pt>
                <c:pt idx="9">
                  <c:v>666</c:v>
                </c:pt>
                <c:pt idx="10">
                  <c:v>630</c:v>
                </c:pt>
                <c:pt idx="11">
                  <c:v>617</c:v>
                </c:pt>
                <c:pt idx="12">
                  <c:v>576</c:v>
                </c:pt>
                <c:pt idx="13">
                  <c:v>567</c:v>
                </c:pt>
                <c:pt idx="14">
                  <c:v>8125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3A-45E1-958B-3A60D360C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798112"/>
        <c:axId val="502801720"/>
      </c:barChart>
      <c:catAx>
        <c:axId val="50279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801720"/>
        <c:crosses val="autoZero"/>
        <c:auto val="1"/>
        <c:lblAlgn val="ctr"/>
        <c:lblOffset val="100"/>
        <c:noMultiLvlLbl val="0"/>
      </c:catAx>
      <c:valAx>
        <c:axId val="50280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Callers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79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2022-04-14T15:25:48+00:00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EFDE4-B285-4741-A157-4EEA62B221D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9BB9BFC-0D25-4A2B-B93B-7DCB721BA2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BC95E2-CF89-464E-A498-A2CE43B87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DC826-70CF-4EAE-A830-B37E40883B9A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5.xml><?xml version="1.0" encoding="utf-8"?>
<ds:datastoreItem xmlns:ds="http://schemas.openxmlformats.org/officeDocument/2006/customXml" ds:itemID="{096EE672-01B1-439B-8594-02541F7E1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Nationality 2021</dc:title>
  <dc:subject>Country of Origin details</dc:subject>
  <dc:creator>Sarah Togher</dc:creator>
  <cp:keywords/>
  <dc:description/>
  <cp:lastModifiedBy>Ben Adamson</cp:lastModifiedBy>
  <cp:revision>5</cp:revision>
  <dcterms:created xsi:type="dcterms:W3CDTF">2022-01-14T15:25:00Z</dcterms:created>
  <dcterms:modified xsi:type="dcterms:W3CDTF">2022-01-26T16:51:00Z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