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7BB71" w14:textId="7532A5A9" w:rsidR="007E6CB9" w:rsidRDefault="00DF2684" w:rsidP="00960FD2">
      <w:pPr>
        <w:pStyle w:val="BasicParagraph"/>
        <w:suppressAutoHyphens/>
        <w:jc w:val="right"/>
        <w:rPr>
          <w:rFonts w:ascii="Bliss-Heavy" w:hAnsi="Bliss-Heavy" w:cs="Bliss-Heavy"/>
          <w:color w:val="362683"/>
          <w:spacing w:val="6"/>
          <w:sz w:val="64"/>
          <w:szCs w:val="64"/>
        </w:rPr>
      </w:pPr>
      <w:bookmarkStart w:id="0" w:name="_GoBack"/>
      <w:bookmarkEnd w:id="0"/>
      <w:r>
        <w:pict w14:anchorId="7528B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B Logo" style="width:232.3pt;height:1in">
            <v:imagedata r:id="rId8" o:title=""/>
          </v:shape>
        </w:pict>
      </w:r>
    </w:p>
    <w:p w14:paraId="229E9713" w14:textId="77777777" w:rsidR="007E6CB9" w:rsidRDefault="007E6CB9" w:rsidP="005732BC">
      <w:pPr>
        <w:pStyle w:val="BasicParagraph"/>
        <w:suppressAutoHyphens/>
        <w:rPr>
          <w:rFonts w:ascii="Bliss-Heavy" w:hAnsi="Bliss-Heavy" w:cs="Bliss-Heavy"/>
          <w:color w:val="362683"/>
          <w:spacing w:val="6"/>
          <w:sz w:val="64"/>
          <w:szCs w:val="64"/>
        </w:rPr>
      </w:pPr>
    </w:p>
    <w:p w14:paraId="39167025" w14:textId="77777777" w:rsidR="007E6CB9" w:rsidRDefault="007E6CB9" w:rsidP="006F2D84">
      <w:pPr>
        <w:pStyle w:val="BasicParagraph"/>
        <w:suppressAutoHyphens/>
        <w:spacing w:after="2000"/>
        <w:rPr>
          <w:rFonts w:ascii="Bliss-Heavy" w:hAnsi="Bliss-Heavy" w:cs="Bliss-Heavy"/>
          <w:color w:val="362683"/>
          <w:spacing w:val="6"/>
          <w:sz w:val="64"/>
          <w:szCs w:val="64"/>
        </w:rPr>
      </w:pPr>
    </w:p>
    <w:p w14:paraId="2CD916C8" w14:textId="77777777" w:rsidR="007E6CB9" w:rsidRDefault="007E6CB9" w:rsidP="005732BC">
      <w:pPr>
        <w:pStyle w:val="BasicParagraph"/>
        <w:suppressAutoHyphens/>
        <w:rPr>
          <w:rFonts w:ascii="Bliss-Heavy" w:hAnsi="Bliss-Heavy" w:cs="Bliss-Heavy"/>
          <w:color w:val="362683"/>
          <w:spacing w:val="6"/>
          <w:sz w:val="64"/>
          <w:szCs w:val="64"/>
        </w:rPr>
      </w:pPr>
    </w:p>
    <w:p w14:paraId="438FDBE7" w14:textId="1502E9BE" w:rsidR="005732BC" w:rsidRPr="002B51B9" w:rsidRDefault="005732BC" w:rsidP="005732BC">
      <w:pPr>
        <w:pStyle w:val="BasicParagraph"/>
        <w:suppressAutoHyphens/>
        <w:rPr>
          <w:rFonts w:ascii="Bliss-Heavy" w:hAnsi="Bliss-Heavy" w:cs="Bliss-Heavy"/>
          <w:color w:val="1F497D" w:themeColor="text2"/>
          <w:spacing w:val="6"/>
          <w:sz w:val="64"/>
          <w:szCs w:val="64"/>
        </w:rPr>
      </w:pPr>
      <w:r w:rsidRPr="002B51B9">
        <w:rPr>
          <w:rFonts w:ascii="Bliss-Heavy" w:hAnsi="Bliss-Heavy" w:cs="Bliss-Heavy"/>
          <w:color w:val="1F497D" w:themeColor="text2"/>
          <w:spacing w:val="6"/>
          <w:sz w:val="64"/>
          <w:szCs w:val="64"/>
        </w:rPr>
        <w:t>201</w:t>
      </w:r>
      <w:r w:rsidR="000C6B20" w:rsidRPr="002B51B9">
        <w:rPr>
          <w:rFonts w:ascii="Bliss-Heavy" w:hAnsi="Bliss-Heavy" w:cs="Bliss-Heavy"/>
          <w:color w:val="1F497D" w:themeColor="text2"/>
          <w:spacing w:val="6"/>
          <w:sz w:val="64"/>
          <w:szCs w:val="64"/>
        </w:rPr>
        <w:t>5</w:t>
      </w:r>
      <w:r w:rsidRPr="002B51B9">
        <w:rPr>
          <w:rFonts w:ascii="Bliss-Heavy" w:hAnsi="Bliss-Heavy" w:cs="Bliss-Heavy"/>
          <w:color w:val="1F497D" w:themeColor="text2"/>
          <w:spacing w:val="6"/>
          <w:sz w:val="64"/>
          <w:szCs w:val="64"/>
        </w:rPr>
        <w:t xml:space="preserve"> </w:t>
      </w:r>
    </w:p>
    <w:p w14:paraId="00F3FB39" w14:textId="77777777" w:rsidR="005732BC" w:rsidRDefault="005732BC" w:rsidP="005732BC">
      <w:pPr>
        <w:pStyle w:val="BasicParagraph"/>
        <w:suppressAutoHyphens/>
        <w:rPr>
          <w:rFonts w:ascii="Bliss2-ExtraBold" w:hAnsi="Bliss2-ExtraBold" w:cs="Bliss2-ExtraBold"/>
          <w:b/>
          <w:bCs/>
          <w:color w:val="00447C"/>
          <w:spacing w:val="4"/>
          <w:sz w:val="41"/>
          <w:szCs w:val="41"/>
        </w:rPr>
      </w:pPr>
      <w:r>
        <w:rPr>
          <w:rFonts w:ascii="Bliss2-ExtraBold" w:hAnsi="Bliss2-ExtraBold" w:cs="Bliss2-ExtraBold"/>
          <w:b/>
          <w:bCs/>
          <w:color w:val="00447C"/>
          <w:spacing w:val="4"/>
          <w:sz w:val="41"/>
          <w:szCs w:val="41"/>
        </w:rPr>
        <w:t>Annual Report</w:t>
      </w:r>
    </w:p>
    <w:p w14:paraId="346ACD1B" w14:textId="77777777" w:rsidR="006F2D84" w:rsidRDefault="005732BC" w:rsidP="006F2D84">
      <w:pPr>
        <w:spacing w:after="4000"/>
        <w:rPr>
          <w:rFonts w:cs="Bliss-Light"/>
          <w:color w:val="00447C"/>
          <w:spacing w:val="4"/>
        </w:rPr>
      </w:pPr>
      <w:r w:rsidRPr="002D3A60">
        <w:rPr>
          <w:rFonts w:cs="Bliss-Light"/>
          <w:color w:val="00447C"/>
          <w:spacing w:val="4"/>
        </w:rPr>
        <w:t>Tuarascáil Bhliantúil</w:t>
      </w:r>
    </w:p>
    <w:p w14:paraId="5FCB7D4B" w14:textId="004B609A" w:rsidR="00235417" w:rsidRPr="006F2D84" w:rsidRDefault="009F2EEF" w:rsidP="006F2D84">
      <w:pPr>
        <w:spacing w:after="2400"/>
        <w:rPr>
          <w:rFonts w:cs="Bliss-Light"/>
          <w:color w:val="00447C"/>
          <w:spacing w:val="4"/>
        </w:rPr>
      </w:pPr>
      <w:r w:rsidRPr="009F2EEF">
        <w:rPr>
          <w:rFonts w:cs="Bliss-Light"/>
          <w:i/>
          <w:color w:val="00447C"/>
          <w:spacing w:val="4"/>
          <w:sz w:val="15"/>
          <w:szCs w:val="15"/>
        </w:rPr>
        <w:t>The quotes highlighted in this report are from users of our services.</w:t>
      </w:r>
      <w:r w:rsidR="00235417" w:rsidRPr="009F2EEF">
        <w:rPr>
          <w:rFonts w:cs="Bliss-Light"/>
          <w:i/>
          <w:color w:val="00447C"/>
          <w:spacing w:val="4"/>
          <w:sz w:val="15"/>
          <w:szCs w:val="15"/>
        </w:rPr>
        <w:br w:type="page"/>
      </w:r>
    </w:p>
    <w:p w14:paraId="5811F594" w14:textId="73EA895A" w:rsidR="00F317E0" w:rsidRPr="009F63D0" w:rsidRDefault="009F2EEF" w:rsidP="00F317E0">
      <w:pPr>
        <w:rPr>
          <w:b/>
          <w:color w:val="365F91" w:themeColor="accent1" w:themeShade="BF"/>
        </w:rPr>
      </w:pPr>
      <w:r w:rsidRPr="009F63D0">
        <w:rPr>
          <w:b/>
          <w:color w:val="365F91" w:themeColor="accent1" w:themeShade="BF"/>
        </w:rPr>
        <w:lastRenderedPageBreak/>
        <w:t>The principles that underpin the ongoing development of all our services include:</w:t>
      </w:r>
    </w:p>
    <w:p w14:paraId="599F0F40" w14:textId="77777777" w:rsidR="009F2EEF" w:rsidRPr="009F2EEF" w:rsidRDefault="009F2EEF" w:rsidP="00F317E0">
      <w:pPr>
        <w:rPr>
          <w:b/>
        </w:rPr>
      </w:pPr>
    </w:p>
    <w:p w14:paraId="2B3ABC94" w14:textId="77777777" w:rsidR="009F2EEF" w:rsidRPr="002D3A60" w:rsidRDefault="009F2EEF" w:rsidP="00F317E0">
      <w:pPr>
        <w:rPr>
          <w:lang w:val="en-GB"/>
        </w:rPr>
      </w:pPr>
    </w:p>
    <w:p w14:paraId="44070682" w14:textId="77777777" w:rsidR="00F317E0" w:rsidRPr="009F2EEF" w:rsidRDefault="00F317E0" w:rsidP="00F317E0">
      <w:pPr>
        <w:numPr>
          <w:ilvl w:val="0"/>
          <w:numId w:val="1"/>
        </w:numPr>
        <w:rPr>
          <w:b/>
          <w:lang w:val="en-GB"/>
        </w:rPr>
      </w:pPr>
      <w:r w:rsidRPr="009F2EEF">
        <w:rPr>
          <w:b/>
          <w:lang w:val="en-GB"/>
        </w:rPr>
        <w:t>Community</w:t>
      </w:r>
    </w:p>
    <w:p w14:paraId="5C91779A" w14:textId="77777777" w:rsidR="00F317E0" w:rsidRPr="002D3A60" w:rsidRDefault="00F317E0" w:rsidP="009F2EEF">
      <w:pPr>
        <w:ind w:left="720"/>
        <w:rPr>
          <w:lang w:val="en-GB"/>
        </w:rPr>
      </w:pPr>
      <w:r w:rsidRPr="002D3A60">
        <w:rPr>
          <w:lang w:val="en-GB"/>
        </w:rPr>
        <w:t>The service offering is continually adapted in response to the needs of communities</w:t>
      </w:r>
    </w:p>
    <w:p w14:paraId="53A628A2" w14:textId="77777777" w:rsidR="00F317E0" w:rsidRPr="002D3A60" w:rsidRDefault="00F317E0" w:rsidP="00F317E0">
      <w:pPr>
        <w:rPr>
          <w:lang w:val="en-GB"/>
        </w:rPr>
      </w:pPr>
    </w:p>
    <w:p w14:paraId="16B9EA31" w14:textId="77777777" w:rsidR="009F2EEF" w:rsidRPr="009F2EEF" w:rsidRDefault="009F2EEF" w:rsidP="009F2EEF">
      <w:pPr>
        <w:pStyle w:val="ListParagraph"/>
        <w:numPr>
          <w:ilvl w:val="0"/>
          <w:numId w:val="16"/>
        </w:numPr>
        <w:rPr>
          <w:b/>
          <w:lang w:val="en-GB"/>
        </w:rPr>
      </w:pPr>
      <w:r w:rsidRPr="009F2EEF">
        <w:rPr>
          <w:b/>
          <w:lang w:val="en-GB"/>
        </w:rPr>
        <w:t>Citizens first</w:t>
      </w:r>
    </w:p>
    <w:p w14:paraId="2DD123E9" w14:textId="1BCD592F" w:rsidR="00F317E0" w:rsidRDefault="00F317E0" w:rsidP="009F2EEF">
      <w:pPr>
        <w:ind w:left="720"/>
        <w:rPr>
          <w:lang w:val="en-GB"/>
        </w:rPr>
      </w:pPr>
      <w:r w:rsidRPr="002D3A60">
        <w:rPr>
          <w:lang w:val="en-GB"/>
        </w:rPr>
        <w:t xml:space="preserve">The focus is on organising ourselves and delivering services to get the </w:t>
      </w:r>
      <w:r w:rsidR="009F2EEF">
        <w:rPr>
          <w:lang w:val="en-GB"/>
        </w:rPr>
        <w:br/>
      </w:r>
      <w:r w:rsidRPr="002D3A60">
        <w:rPr>
          <w:lang w:val="en-GB"/>
        </w:rPr>
        <w:t>best outcome for citizens</w:t>
      </w:r>
    </w:p>
    <w:p w14:paraId="2C9518D2" w14:textId="77777777" w:rsidR="009F2EEF" w:rsidRDefault="009F2EEF" w:rsidP="009F2EEF">
      <w:pPr>
        <w:ind w:left="720"/>
        <w:rPr>
          <w:lang w:val="en-GB"/>
        </w:rPr>
      </w:pPr>
    </w:p>
    <w:p w14:paraId="06F4CA22" w14:textId="77777777" w:rsidR="009F2EEF" w:rsidRPr="009F2EEF" w:rsidRDefault="009F2EEF" w:rsidP="009F2EEF">
      <w:pPr>
        <w:numPr>
          <w:ilvl w:val="0"/>
          <w:numId w:val="1"/>
        </w:numPr>
        <w:rPr>
          <w:b/>
          <w:lang w:val="en-GB"/>
        </w:rPr>
      </w:pPr>
      <w:r w:rsidRPr="009F2EEF">
        <w:rPr>
          <w:b/>
          <w:lang w:val="en-GB"/>
        </w:rPr>
        <w:t>Trust and respect</w:t>
      </w:r>
    </w:p>
    <w:p w14:paraId="77FB389D" w14:textId="77777777" w:rsidR="009F2EEF" w:rsidRPr="002D3A60" w:rsidRDefault="009F2EEF" w:rsidP="009F2EEF">
      <w:pPr>
        <w:ind w:left="720"/>
        <w:rPr>
          <w:lang w:val="en-GB"/>
        </w:rPr>
      </w:pPr>
      <w:r w:rsidRPr="002D3A60">
        <w:rPr>
          <w:lang w:val="en-GB"/>
        </w:rPr>
        <w:t>For citizens, each other and our community and voluntary sector/public service stakeholders</w:t>
      </w:r>
    </w:p>
    <w:p w14:paraId="4B5B6F1F" w14:textId="77777777" w:rsidR="00F317E0" w:rsidRPr="002D3A60" w:rsidRDefault="00F317E0" w:rsidP="00F317E0">
      <w:pPr>
        <w:rPr>
          <w:lang w:val="en-GB"/>
        </w:rPr>
      </w:pPr>
    </w:p>
    <w:p w14:paraId="0DC2CB10" w14:textId="77777777" w:rsidR="00F317E0" w:rsidRPr="009F2EEF" w:rsidRDefault="00F317E0" w:rsidP="00F317E0">
      <w:pPr>
        <w:numPr>
          <w:ilvl w:val="0"/>
          <w:numId w:val="1"/>
        </w:numPr>
        <w:rPr>
          <w:b/>
          <w:lang w:val="en-GB"/>
        </w:rPr>
      </w:pPr>
      <w:r w:rsidRPr="009F2EEF">
        <w:rPr>
          <w:b/>
          <w:lang w:val="en-GB"/>
        </w:rPr>
        <w:t>Flexible</w:t>
      </w:r>
    </w:p>
    <w:p w14:paraId="04F4CD47" w14:textId="77777777" w:rsidR="00F317E0" w:rsidRPr="002D3A60" w:rsidRDefault="00F317E0" w:rsidP="009F2EEF">
      <w:pPr>
        <w:ind w:firstLine="720"/>
        <w:rPr>
          <w:lang w:val="en-GB"/>
        </w:rPr>
      </w:pPr>
      <w:r w:rsidRPr="002D3A60">
        <w:rPr>
          <w:lang w:val="en-GB"/>
        </w:rPr>
        <w:t>Thinking ahead and moving quickly to meet changing needs of citizens</w:t>
      </w:r>
    </w:p>
    <w:p w14:paraId="3E73D391" w14:textId="77777777" w:rsidR="00F317E0" w:rsidRPr="002D3A60" w:rsidRDefault="00F317E0" w:rsidP="00F317E0">
      <w:pPr>
        <w:rPr>
          <w:lang w:val="en-GB"/>
        </w:rPr>
      </w:pPr>
    </w:p>
    <w:p w14:paraId="7C88330B" w14:textId="77777777" w:rsidR="00F317E0" w:rsidRPr="009F2EEF" w:rsidRDefault="00F317E0" w:rsidP="00F317E0">
      <w:pPr>
        <w:numPr>
          <w:ilvl w:val="0"/>
          <w:numId w:val="1"/>
        </w:numPr>
        <w:rPr>
          <w:b/>
          <w:lang w:val="en-GB"/>
        </w:rPr>
      </w:pPr>
      <w:r w:rsidRPr="009F2EEF">
        <w:rPr>
          <w:b/>
          <w:lang w:val="en-GB"/>
        </w:rPr>
        <w:t>Developing potential</w:t>
      </w:r>
    </w:p>
    <w:p w14:paraId="7F22FDF1" w14:textId="65CB1D42" w:rsidR="00F317E0" w:rsidRDefault="009F2EEF" w:rsidP="009F2EEF">
      <w:pPr>
        <w:ind w:left="720"/>
        <w:rPr>
          <w:lang w:val="en-GB"/>
        </w:rPr>
      </w:pPr>
      <w:r w:rsidRPr="009F2EEF">
        <w:rPr>
          <w:lang w:val="en-GB"/>
        </w:rPr>
        <w:t>To ensure that the work of the staff and volunteers who work in CIB and the delivery partner services is satisfying, meaningful and makes the best use of their commitment to our service</w:t>
      </w:r>
    </w:p>
    <w:p w14:paraId="125E304E" w14:textId="77777777" w:rsidR="009F2EEF" w:rsidRDefault="009F2EEF" w:rsidP="009F2EEF">
      <w:pPr>
        <w:ind w:left="720"/>
        <w:rPr>
          <w:lang w:val="en-GB"/>
        </w:rPr>
      </w:pPr>
    </w:p>
    <w:p w14:paraId="56432E10" w14:textId="77777777" w:rsidR="009F2EEF" w:rsidRPr="009F2EEF" w:rsidRDefault="009F2EEF" w:rsidP="009F2EEF">
      <w:pPr>
        <w:numPr>
          <w:ilvl w:val="0"/>
          <w:numId w:val="1"/>
        </w:numPr>
        <w:rPr>
          <w:b/>
          <w:lang w:val="en-GB"/>
        </w:rPr>
      </w:pPr>
      <w:r w:rsidRPr="009F2EEF">
        <w:rPr>
          <w:b/>
          <w:lang w:val="en-GB"/>
        </w:rPr>
        <w:t>Available to all</w:t>
      </w:r>
    </w:p>
    <w:p w14:paraId="6A4AFB7E" w14:textId="77777777" w:rsidR="009F2EEF" w:rsidRPr="002D3A60" w:rsidRDefault="009F2EEF" w:rsidP="009F2EEF">
      <w:pPr>
        <w:ind w:left="720"/>
        <w:rPr>
          <w:lang w:val="en-GB"/>
        </w:rPr>
      </w:pPr>
      <w:r w:rsidRPr="002D3A60">
        <w:rPr>
          <w:lang w:val="en-GB"/>
        </w:rPr>
        <w:t>Independent, impartial, confidential and non-judgemental information, advice, advocacy and budgeting services</w:t>
      </w:r>
    </w:p>
    <w:p w14:paraId="426FCE1E" w14:textId="77777777" w:rsidR="009F2EEF" w:rsidRDefault="009F2EEF" w:rsidP="009F2EEF">
      <w:pPr>
        <w:ind w:left="720"/>
        <w:rPr>
          <w:lang w:val="en-GB"/>
        </w:rPr>
      </w:pPr>
    </w:p>
    <w:p w14:paraId="3C2E6264" w14:textId="77777777" w:rsidR="009F2EEF" w:rsidRPr="002D3A60" w:rsidRDefault="009F2EEF" w:rsidP="009F2EEF">
      <w:pPr>
        <w:ind w:left="720"/>
        <w:rPr>
          <w:lang w:val="en-GB"/>
        </w:rPr>
      </w:pPr>
    </w:p>
    <w:p w14:paraId="7C74FE22" w14:textId="77777777" w:rsidR="00F317E0" w:rsidRPr="009F2EEF" w:rsidRDefault="00F317E0" w:rsidP="00F317E0">
      <w:pPr>
        <w:numPr>
          <w:ilvl w:val="0"/>
          <w:numId w:val="1"/>
        </w:numPr>
        <w:rPr>
          <w:b/>
          <w:lang w:val="en-GB"/>
        </w:rPr>
      </w:pPr>
      <w:r w:rsidRPr="009F2EEF">
        <w:rPr>
          <w:b/>
          <w:lang w:val="en-GB"/>
        </w:rPr>
        <w:t>Delivering value and positive outcomes</w:t>
      </w:r>
    </w:p>
    <w:p w14:paraId="2F465AA9" w14:textId="77777777" w:rsidR="00F317E0" w:rsidRPr="002D3A60" w:rsidRDefault="00F317E0" w:rsidP="009F2EEF">
      <w:pPr>
        <w:ind w:firstLine="720"/>
        <w:rPr>
          <w:lang w:val="en-GB"/>
        </w:rPr>
      </w:pPr>
      <w:r w:rsidRPr="002D3A60">
        <w:rPr>
          <w:lang w:val="en-GB"/>
        </w:rPr>
        <w:t>For citizens and other stakeholders</w:t>
      </w:r>
    </w:p>
    <w:p w14:paraId="3910C60F" w14:textId="77777777" w:rsidR="00F317E0" w:rsidRPr="002D3A60" w:rsidRDefault="00F317E0" w:rsidP="00F317E0">
      <w:pPr>
        <w:rPr>
          <w:lang w:val="en-GB"/>
        </w:rPr>
      </w:pPr>
    </w:p>
    <w:p w14:paraId="1C3333A5" w14:textId="77777777" w:rsidR="00F317E0" w:rsidRDefault="00F317E0" w:rsidP="00F317E0">
      <w:pPr>
        <w:rPr>
          <w:lang w:val="en-GB"/>
        </w:rPr>
      </w:pPr>
    </w:p>
    <w:p w14:paraId="395169E7" w14:textId="77777777" w:rsidR="009F2EEF" w:rsidRDefault="009F2EEF" w:rsidP="00F317E0">
      <w:pPr>
        <w:rPr>
          <w:lang w:val="en-GB"/>
        </w:rPr>
      </w:pPr>
    </w:p>
    <w:p w14:paraId="0358A4C7" w14:textId="77777777" w:rsidR="009F2EEF" w:rsidRDefault="009F2EEF" w:rsidP="00F317E0">
      <w:pPr>
        <w:rPr>
          <w:lang w:val="en-GB"/>
        </w:rPr>
      </w:pPr>
    </w:p>
    <w:p w14:paraId="7AB6224F" w14:textId="77777777" w:rsidR="009F2EEF" w:rsidRDefault="009F2EEF" w:rsidP="00F317E0">
      <w:pPr>
        <w:rPr>
          <w:lang w:val="en-GB"/>
        </w:rPr>
      </w:pPr>
    </w:p>
    <w:p w14:paraId="384F1D7F" w14:textId="77777777" w:rsidR="009F2EEF" w:rsidRPr="002D3A60" w:rsidRDefault="009F2EEF" w:rsidP="00F317E0">
      <w:pPr>
        <w:rPr>
          <w:lang w:val="en-GB"/>
        </w:rPr>
      </w:pPr>
    </w:p>
    <w:p w14:paraId="32C96135" w14:textId="77777777" w:rsidR="00F317E0" w:rsidRPr="002D3A60" w:rsidRDefault="00F317E0" w:rsidP="00F317E0">
      <w:pPr>
        <w:rPr>
          <w:lang w:val="en-GB"/>
        </w:rPr>
      </w:pPr>
    </w:p>
    <w:p w14:paraId="09D047AA" w14:textId="77777777" w:rsidR="005732BC" w:rsidRPr="002D3A60" w:rsidRDefault="005732BC" w:rsidP="005732BC">
      <w:pPr>
        <w:rPr>
          <w:lang w:val="en-GB"/>
        </w:rPr>
      </w:pPr>
    </w:p>
    <w:p w14:paraId="1659EA73" w14:textId="77777777" w:rsidR="005732BC" w:rsidRPr="002D3A60" w:rsidRDefault="005732BC" w:rsidP="005732BC">
      <w:pPr>
        <w:rPr>
          <w:lang w:val="en-GB"/>
        </w:rPr>
      </w:pPr>
    </w:p>
    <w:p w14:paraId="057B0052" w14:textId="5AC808F4" w:rsidR="001F450E" w:rsidRPr="002D3A60" w:rsidRDefault="001F450E" w:rsidP="005732BC">
      <w:pPr>
        <w:rPr>
          <w:i/>
          <w:iCs/>
          <w:lang w:val="en-GB"/>
        </w:rPr>
      </w:pPr>
      <w:r w:rsidRPr="002D3A60">
        <w:rPr>
          <w:i/>
          <w:iCs/>
          <w:lang w:val="en-GB"/>
        </w:rPr>
        <w:br w:type="page"/>
      </w:r>
    </w:p>
    <w:p w14:paraId="7DECEAAE" w14:textId="31FD67A1" w:rsidR="006313ED" w:rsidRPr="006313ED" w:rsidRDefault="0013073F" w:rsidP="006313ED">
      <w:pPr>
        <w:pStyle w:val="Heading1"/>
        <w:jc w:val="center"/>
        <w:rPr>
          <w:noProof/>
          <w:lang w:val="en-GB"/>
        </w:rPr>
      </w:pPr>
      <w:bookmarkStart w:id="1" w:name="_Toc438544244"/>
      <w:bookmarkStart w:id="2" w:name="_Toc438544280"/>
      <w:bookmarkStart w:id="3" w:name="_Toc450922503"/>
      <w:bookmarkStart w:id="4" w:name="_Toc337126455"/>
      <w:bookmarkStart w:id="5" w:name="_Toc337126562"/>
      <w:r>
        <w:rPr>
          <w:lang w:val="en-GB"/>
        </w:rPr>
        <w:lastRenderedPageBreak/>
        <w:t>Table of contents</w:t>
      </w:r>
      <w:bookmarkEnd w:id="1"/>
      <w:bookmarkEnd w:id="2"/>
      <w:bookmarkEnd w:id="3"/>
      <w:bookmarkEnd w:id="4"/>
      <w:bookmarkEnd w:id="5"/>
      <w:r w:rsidR="006313ED">
        <w:fldChar w:fldCharType="begin"/>
      </w:r>
      <w:r w:rsidR="006313ED">
        <w:instrText xml:space="preserve"> TOC \o "1-1" </w:instrText>
      </w:r>
      <w:r w:rsidR="006313ED">
        <w:fldChar w:fldCharType="separate"/>
      </w:r>
    </w:p>
    <w:p w14:paraId="04F40E73" w14:textId="37344127" w:rsidR="006313ED" w:rsidRDefault="006313ED" w:rsidP="00CA7686">
      <w:pPr>
        <w:pStyle w:val="TOC1"/>
        <w:rPr>
          <w:lang w:val="en-IE" w:eastAsia="ja-JP"/>
        </w:rPr>
      </w:pPr>
      <w:r>
        <w:t>Chairperson’s report</w:t>
      </w:r>
      <w:r>
        <w:tab/>
      </w:r>
      <w:r w:rsidR="003C4ED7">
        <w:t>4</w:t>
      </w:r>
    </w:p>
    <w:p w14:paraId="21DB015C" w14:textId="77777777" w:rsidR="006313ED" w:rsidRDefault="006313ED" w:rsidP="00CA7686">
      <w:pPr>
        <w:pStyle w:val="TOC1"/>
        <w:rPr>
          <w:lang w:val="en-IE" w:eastAsia="ja-JP"/>
        </w:rPr>
      </w:pPr>
      <w:r>
        <w:t>2015 in numbers</w:t>
      </w:r>
      <w:r>
        <w:tab/>
      </w:r>
      <w:r>
        <w:fldChar w:fldCharType="begin"/>
      </w:r>
      <w:r>
        <w:instrText xml:space="preserve"> PAGEREF _Toc337126564 \h </w:instrText>
      </w:r>
      <w:r>
        <w:fldChar w:fldCharType="separate"/>
      </w:r>
      <w:r w:rsidR="00F63879">
        <w:rPr>
          <w:rFonts w:hint="eastAsia"/>
        </w:rPr>
        <w:t>6</w:t>
      </w:r>
      <w:r>
        <w:fldChar w:fldCharType="end"/>
      </w:r>
    </w:p>
    <w:p w14:paraId="69CFE702" w14:textId="77777777" w:rsidR="006313ED" w:rsidRDefault="006313ED" w:rsidP="00CA7686">
      <w:pPr>
        <w:pStyle w:val="TOC1"/>
      </w:pPr>
      <w:r w:rsidRPr="009709BE">
        <w:rPr>
          <w:lang w:val="en-GB"/>
        </w:rPr>
        <w:t>An overview of 2015 from the CEO</w:t>
      </w:r>
      <w:r>
        <w:tab/>
      </w:r>
      <w:r>
        <w:fldChar w:fldCharType="begin"/>
      </w:r>
      <w:r>
        <w:instrText xml:space="preserve"> PAGEREF _Toc337126565 \h </w:instrText>
      </w:r>
      <w:r>
        <w:fldChar w:fldCharType="separate"/>
      </w:r>
      <w:r w:rsidR="00F63879">
        <w:rPr>
          <w:rFonts w:hint="eastAsia"/>
        </w:rPr>
        <w:t>7</w:t>
      </w:r>
      <w:r>
        <w:fldChar w:fldCharType="end"/>
      </w:r>
    </w:p>
    <w:p w14:paraId="617D603B" w14:textId="77777777" w:rsidR="006313ED" w:rsidRPr="006313ED" w:rsidRDefault="006313ED" w:rsidP="006313ED">
      <w:pPr>
        <w:rPr>
          <w:noProof/>
        </w:rPr>
      </w:pPr>
    </w:p>
    <w:p w14:paraId="67DE2798" w14:textId="77777777" w:rsidR="006313ED" w:rsidRPr="006313ED" w:rsidRDefault="006313ED" w:rsidP="00CA7686">
      <w:pPr>
        <w:pStyle w:val="TOC1"/>
        <w:rPr>
          <w:lang w:val="en-IE" w:eastAsia="ja-JP"/>
        </w:rPr>
      </w:pPr>
      <w:r w:rsidRPr="006313ED">
        <w:t>Section 1: The Citizens Information Board</w:t>
      </w:r>
      <w:r w:rsidRPr="006313ED">
        <w:tab/>
      </w:r>
      <w:r w:rsidRPr="006313ED">
        <w:fldChar w:fldCharType="begin"/>
      </w:r>
      <w:r w:rsidRPr="006313ED">
        <w:instrText xml:space="preserve"> PAGEREF _Toc337126566 \h </w:instrText>
      </w:r>
      <w:r w:rsidRPr="006313ED">
        <w:fldChar w:fldCharType="separate"/>
      </w:r>
      <w:r w:rsidR="00F63879">
        <w:rPr>
          <w:rFonts w:hint="eastAsia"/>
        </w:rPr>
        <w:t>9</w:t>
      </w:r>
      <w:r w:rsidRPr="006313ED">
        <w:fldChar w:fldCharType="end"/>
      </w:r>
    </w:p>
    <w:p w14:paraId="50A1D353" w14:textId="77777777" w:rsidR="006313ED" w:rsidRPr="00BB2C7C" w:rsidRDefault="006313ED" w:rsidP="00CA7686">
      <w:pPr>
        <w:pStyle w:val="TOC1"/>
        <w:rPr>
          <w:b w:val="0"/>
          <w:lang w:val="en-IE" w:eastAsia="ja-JP"/>
        </w:rPr>
      </w:pPr>
      <w:r w:rsidRPr="00BB2C7C">
        <w:rPr>
          <w:b w:val="0"/>
        </w:rPr>
        <w:t xml:space="preserve">Our Strategy: </w:t>
      </w:r>
      <w:r w:rsidRPr="00BB2C7C">
        <w:rPr>
          <w:b w:val="0"/>
          <w:lang w:val="en-IE"/>
        </w:rPr>
        <w:t>Citizens First</w:t>
      </w:r>
      <w:r w:rsidRPr="00BB2C7C">
        <w:rPr>
          <w:b w:val="0"/>
        </w:rPr>
        <w:tab/>
      </w:r>
      <w:r w:rsidRPr="00BB2C7C">
        <w:rPr>
          <w:b w:val="0"/>
        </w:rPr>
        <w:fldChar w:fldCharType="begin"/>
      </w:r>
      <w:r w:rsidRPr="00BB2C7C">
        <w:rPr>
          <w:b w:val="0"/>
        </w:rPr>
        <w:instrText xml:space="preserve"> PAGEREF _Toc337126567 \h </w:instrText>
      </w:r>
      <w:r w:rsidRPr="00BB2C7C">
        <w:rPr>
          <w:b w:val="0"/>
        </w:rPr>
      </w:r>
      <w:r w:rsidRPr="00BB2C7C">
        <w:rPr>
          <w:b w:val="0"/>
        </w:rPr>
        <w:fldChar w:fldCharType="separate"/>
      </w:r>
      <w:r w:rsidR="00F63879">
        <w:rPr>
          <w:rFonts w:hint="eastAsia"/>
          <w:b w:val="0"/>
        </w:rPr>
        <w:t>9</w:t>
      </w:r>
      <w:r w:rsidRPr="00BB2C7C">
        <w:rPr>
          <w:b w:val="0"/>
        </w:rPr>
        <w:fldChar w:fldCharType="end"/>
      </w:r>
    </w:p>
    <w:p w14:paraId="6B350093" w14:textId="77777777" w:rsidR="006313ED" w:rsidRPr="00BB2C7C" w:rsidRDefault="006313ED" w:rsidP="00CA7686">
      <w:pPr>
        <w:pStyle w:val="TOC1"/>
        <w:rPr>
          <w:b w:val="0"/>
        </w:rPr>
      </w:pPr>
      <w:r w:rsidRPr="00BB2C7C">
        <w:rPr>
          <w:b w:val="0"/>
        </w:rPr>
        <w:t>2012-2015 Strategic Plan</w:t>
      </w:r>
      <w:r w:rsidRPr="00BB2C7C">
        <w:rPr>
          <w:b w:val="0"/>
        </w:rPr>
        <w:tab/>
      </w:r>
      <w:r w:rsidRPr="00BB2C7C">
        <w:rPr>
          <w:b w:val="0"/>
        </w:rPr>
        <w:fldChar w:fldCharType="begin"/>
      </w:r>
      <w:r w:rsidRPr="00BB2C7C">
        <w:rPr>
          <w:b w:val="0"/>
        </w:rPr>
        <w:instrText xml:space="preserve"> PAGEREF _Toc337126568 \h </w:instrText>
      </w:r>
      <w:r w:rsidRPr="00BB2C7C">
        <w:rPr>
          <w:b w:val="0"/>
        </w:rPr>
      </w:r>
      <w:r w:rsidRPr="00BB2C7C">
        <w:rPr>
          <w:b w:val="0"/>
        </w:rPr>
        <w:fldChar w:fldCharType="separate"/>
      </w:r>
      <w:r w:rsidR="00F63879">
        <w:rPr>
          <w:rFonts w:hint="eastAsia"/>
          <w:b w:val="0"/>
        </w:rPr>
        <w:t>10</w:t>
      </w:r>
      <w:r w:rsidRPr="00BB2C7C">
        <w:rPr>
          <w:b w:val="0"/>
        </w:rPr>
        <w:fldChar w:fldCharType="end"/>
      </w:r>
    </w:p>
    <w:p w14:paraId="21E1A1FC" w14:textId="77777777" w:rsidR="006313ED" w:rsidRPr="00BB2C7C" w:rsidRDefault="006313ED" w:rsidP="006313ED">
      <w:pPr>
        <w:rPr>
          <w:noProof/>
        </w:rPr>
      </w:pPr>
    </w:p>
    <w:p w14:paraId="6B63F70B" w14:textId="77777777" w:rsidR="006313ED" w:rsidRPr="006313ED" w:rsidRDefault="006313ED" w:rsidP="00CA7686">
      <w:pPr>
        <w:pStyle w:val="TOC1"/>
        <w:rPr>
          <w:lang w:val="en-IE" w:eastAsia="ja-JP"/>
        </w:rPr>
      </w:pPr>
      <w:r w:rsidRPr="006313ED">
        <w:t>Section 2: Our Services</w:t>
      </w:r>
      <w:r w:rsidRPr="006313ED">
        <w:tab/>
      </w:r>
      <w:r w:rsidRPr="006313ED">
        <w:fldChar w:fldCharType="begin"/>
      </w:r>
      <w:r w:rsidRPr="006313ED">
        <w:instrText xml:space="preserve"> PAGEREF _Toc337126569 \h </w:instrText>
      </w:r>
      <w:r w:rsidRPr="006313ED">
        <w:fldChar w:fldCharType="separate"/>
      </w:r>
      <w:r w:rsidR="00F63879">
        <w:rPr>
          <w:rFonts w:hint="eastAsia"/>
        </w:rPr>
        <w:t>12</w:t>
      </w:r>
      <w:r w:rsidRPr="006313ED">
        <w:fldChar w:fldCharType="end"/>
      </w:r>
    </w:p>
    <w:p w14:paraId="750953B5" w14:textId="1EB6619F" w:rsidR="006313ED" w:rsidRPr="00BB2C7C" w:rsidRDefault="006313ED" w:rsidP="00CA7686">
      <w:pPr>
        <w:pStyle w:val="TOC1"/>
        <w:rPr>
          <w:b w:val="0"/>
          <w:lang w:val="en-IE" w:eastAsia="ja-JP"/>
        </w:rPr>
      </w:pPr>
      <w:r w:rsidRPr="00BB2C7C">
        <w:rPr>
          <w:b w:val="0"/>
        </w:rPr>
        <w:t>Supporting our services</w:t>
      </w:r>
      <w:r w:rsidRPr="00BB2C7C">
        <w:rPr>
          <w:b w:val="0"/>
        </w:rPr>
        <w:tab/>
      </w:r>
      <w:r w:rsidR="00AB7ED8">
        <w:rPr>
          <w:b w:val="0"/>
        </w:rPr>
        <w:t>12</w:t>
      </w:r>
    </w:p>
    <w:p w14:paraId="01DD4A8F" w14:textId="77777777" w:rsidR="006313ED" w:rsidRPr="00BB2C7C" w:rsidRDefault="006313ED" w:rsidP="00CA7686">
      <w:pPr>
        <w:pStyle w:val="TOC1"/>
        <w:rPr>
          <w:b w:val="0"/>
          <w:lang w:val="en-IE" w:eastAsia="ja-JP"/>
        </w:rPr>
      </w:pPr>
      <w:r w:rsidRPr="00BB2C7C">
        <w:rPr>
          <w:b w:val="0"/>
        </w:rPr>
        <w:t>Providing information -websites and publications</w:t>
      </w:r>
      <w:r w:rsidRPr="00BB2C7C">
        <w:rPr>
          <w:b w:val="0"/>
        </w:rPr>
        <w:tab/>
      </w:r>
      <w:r w:rsidRPr="00BB2C7C">
        <w:rPr>
          <w:b w:val="0"/>
        </w:rPr>
        <w:fldChar w:fldCharType="begin"/>
      </w:r>
      <w:r w:rsidRPr="00BB2C7C">
        <w:rPr>
          <w:b w:val="0"/>
        </w:rPr>
        <w:instrText xml:space="preserve"> PAGEREF _Toc337126571 \h </w:instrText>
      </w:r>
      <w:r w:rsidRPr="00BB2C7C">
        <w:rPr>
          <w:b w:val="0"/>
        </w:rPr>
      </w:r>
      <w:r w:rsidRPr="00BB2C7C">
        <w:rPr>
          <w:b w:val="0"/>
        </w:rPr>
        <w:fldChar w:fldCharType="separate"/>
      </w:r>
      <w:r w:rsidR="00F63879">
        <w:rPr>
          <w:rFonts w:hint="eastAsia"/>
          <w:b w:val="0"/>
        </w:rPr>
        <w:t>16</w:t>
      </w:r>
      <w:r w:rsidRPr="00BB2C7C">
        <w:rPr>
          <w:b w:val="0"/>
        </w:rPr>
        <w:fldChar w:fldCharType="end"/>
      </w:r>
    </w:p>
    <w:p w14:paraId="2181F08C" w14:textId="77777777" w:rsidR="006313ED" w:rsidRPr="00BB2C7C" w:rsidRDefault="006313ED" w:rsidP="00CA7686">
      <w:pPr>
        <w:pStyle w:val="TOC1"/>
        <w:rPr>
          <w:b w:val="0"/>
          <w:lang w:val="en-IE" w:eastAsia="ja-JP"/>
        </w:rPr>
      </w:pPr>
      <w:r w:rsidRPr="00BB2C7C">
        <w:rPr>
          <w:b w:val="0"/>
        </w:rPr>
        <w:t>Citizens Information Services</w:t>
      </w:r>
      <w:r w:rsidRPr="00BB2C7C">
        <w:rPr>
          <w:b w:val="0"/>
        </w:rPr>
        <w:tab/>
      </w:r>
      <w:r w:rsidRPr="00BB2C7C">
        <w:rPr>
          <w:b w:val="0"/>
        </w:rPr>
        <w:fldChar w:fldCharType="begin"/>
      </w:r>
      <w:r w:rsidRPr="00BB2C7C">
        <w:rPr>
          <w:b w:val="0"/>
        </w:rPr>
        <w:instrText xml:space="preserve"> PAGEREF _Toc337126572 \h </w:instrText>
      </w:r>
      <w:r w:rsidRPr="00BB2C7C">
        <w:rPr>
          <w:b w:val="0"/>
        </w:rPr>
      </w:r>
      <w:r w:rsidRPr="00BB2C7C">
        <w:rPr>
          <w:b w:val="0"/>
        </w:rPr>
        <w:fldChar w:fldCharType="separate"/>
      </w:r>
      <w:r w:rsidR="00F63879">
        <w:rPr>
          <w:rFonts w:hint="eastAsia"/>
          <w:b w:val="0"/>
        </w:rPr>
        <w:t>21</w:t>
      </w:r>
      <w:r w:rsidRPr="00BB2C7C">
        <w:rPr>
          <w:b w:val="0"/>
        </w:rPr>
        <w:fldChar w:fldCharType="end"/>
      </w:r>
    </w:p>
    <w:p w14:paraId="10F5DEDD" w14:textId="77777777" w:rsidR="006313ED" w:rsidRPr="00BB2C7C" w:rsidRDefault="006313ED" w:rsidP="00CA7686">
      <w:pPr>
        <w:pStyle w:val="TOC1"/>
        <w:rPr>
          <w:b w:val="0"/>
          <w:lang w:val="en-IE" w:eastAsia="ja-JP"/>
        </w:rPr>
      </w:pPr>
      <w:r w:rsidRPr="00BB2C7C">
        <w:rPr>
          <w:b w:val="0"/>
        </w:rPr>
        <w:t>Citizens Information Phone Service</w:t>
      </w:r>
      <w:r w:rsidRPr="00BB2C7C">
        <w:rPr>
          <w:b w:val="0"/>
        </w:rPr>
        <w:tab/>
      </w:r>
      <w:r w:rsidRPr="00BB2C7C">
        <w:rPr>
          <w:b w:val="0"/>
        </w:rPr>
        <w:fldChar w:fldCharType="begin"/>
      </w:r>
      <w:r w:rsidRPr="00BB2C7C">
        <w:rPr>
          <w:b w:val="0"/>
        </w:rPr>
        <w:instrText xml:space="preserve"> PAGEREF _Toc337126573 \h </w:instrText>
      </w:r>
      <w:r w:rsidRPr="00BB2C7C">
        <w:rPr>
          <w:b w:val="0"/>
        </w:rPr>
      </w:r>
      <w:r w:rsidRPr="00BB2C7C">
        <w:rPr>
          <w:b w:val="0"/>
        </w:rPr>
        <w:fldChar w:fldCharType="separate"/>
      </w:r>
      <w:r w:rsidR="00F63879">
        <w:rPr>
          <w:rFonts w:hint="eastAsia"/>
          <w:b w:val="0"/>
        </w:rPr>
        <w:t>29</w:t>
      </w:r>
      <w:r w:rsidRPr="00BB2C7C">
        <w:rPr>
          <w:b w:val="0"/>
        </w:rPr>
        <w:fldChar w:fldCharType="end"/>
      </w:r>
    </w:p>
    <w:p w14:paraId="43739103" w14:textId="77777777" w:rsidR="006313ED" w:rsidRPr="00BB2C7C" w:rsidRDefault="006313ED" w:rsidP="00CA7686">
      <w:pPr>
        <w:pStyle w:val="TOC1"/>
        <w:rPr>
          <w:b w:val="0"/>
          <w:lang w:val="en-IE" w:eastAsia="ja-JP"/>
        </w:rPr>
      </w:pPr>
      <w:r w:rsidRPr="00BB2C7C">
        <w:rPr>
          <w:b w:val="0"/>
        </w:rPr>
        <w:t>The Money Advice and Budgeting Service</w:t>
      </w:r>
      <w:r w:rsidRPr="00BB2C7C">
        <w:rPr>
          <w:b w:val="0"/>
        </w:rPr>
        <w:tab/>
      </w:r>
      <w:r w:rsidRPr="00BB2C7C">
        <w:rPr>
          <w:b w:val="0"/>
        </w:rPr>
        <w:fldChar w:fldCharType="begin"/>
      </w:r>
      <w:r w:rsidRPr="00BB2C7C">
        <w:rPr>
          <w:b w:val="0"/>
        </w:rPr>
        <w:instrText xml:space="preserve"> PAGEREF _Toc337126574 \h </w:instrText>
      </w:r>
      <w:r w:rsidRPr="00BB2C7C">
        <w:rPr>
          <w:b w:val="0"/>
        </w:rPr>
      </w:r>
      <w:r w:rsidRPr="00BB2C7C">
        <w:rPr>
          <w:b w:val="0"/>
        </w:rPr>
        <w:fldChar w:fldCharType="separate"/>
      </w:r>
      <w:r w:rsidR="00F63879">
        <w:rPr>
          <w:rFonts w:hint="eastAsia"/>
          <w:b w:val="0"/>
        </w:rPr>
        <w:t>30</w:t>
      </w:r>
      <w:r w:rsidRPr="00BB2C7C">
        <w:rPr>
          <w:b w:val="0"/>
        </w:rPr>
        <w:fldChar w:fldCharType="end"/>
      </w:r>
    </w:p>
    <w:p w14:paraId="438EF9EE" w14:textId="77777777" w:rsidR="006313ED" w:rsidRPr="00BB2C7C" w:rsidRDefault="006313ED" w:rsidP="00CA7686">
      <w:pPr>
        <w:pStyle w:val="TOC1"/>
        <w:rPr>
          <w:b w:val="0"/>
          <w:lang w:val="en-IE" w:eastAsia="ja-JP"/>
        </w:rPr>
      </w:pPr>
      <w:r w:rsidRPr="00BB2C7C">
        <w:rPr>
          <w:b w:val="0"/>
        </w:rPr>
        <w:t>National Traveller MABS</w:t>
      </w:r>
      <w:r w:rsidRPr="00BB2C7C">
        <w:rPr>
          <w:b w:val="0"/>
        </w:rPr>
        <w:tab/>
      </w:r>
      <w:r w:rsidRPr="00BB2C7C">
        <w:rPr>
          <w:b w:val="0"/>
        </w:rPr>
        <w:fldChar w:fldCharType="begin"/>
      </w:r>
      <w:r w:rsidRPr="00BB2C7C">
        <w:rPr>
          <w:b w:val="0"/>
        </w:rPr>
        <w:instrText xml:space="preserve"> PAGEREF _Toc337126575 \h </w:instrText>
      </w:r>
      <w:r w:rsidRPr="00BB2C7C">
        <w:rPr>
          <w:b w:val="0"/>
        </w:rPr>
      </w:r>
      <w:r w:rsidRPr="00BB2C7C">
        <w:rPr>
          <w:b w:val="0"/>
        </w:rPr>
        <w:fldChar w:fldCharType="separate"/>
      </w:r>
      <w:r w:rsidR="00F63879">
        <w:rPr>
          <w:rFonts w:hint="eastAsia"/>
          <w:b w:val="0"/>
        </w:rPr>
        <w:t>34</w:t>
      </w:r>
      <w:r w:rsidRPr="00BB2C7C">
        <w:rPr>
          <w:b w:val="0"/>
        </w:rPr>
        <w:fldChar w:fldCharType="end"/>
      </w:r>
    </w:p>
    <w:p w14:paraId="5F16F122" w14:textId="77777777" w:rsidR="006313ED" w:rsidRPr="00BB2C7C" w:rsidRDefault="006313ED" w:rsidP="00CA7686">
      <w:pPr>
        <w:pStyle w:val="TOC1"/>
        <w:rPr>
          <w:b w:val="0"/>
          <w:lang w:val="en-IE" w:eastAsia="ja-JP"/>
        </w:rPr>
      </w:pPr>
      <w:r w:rsidRPr="00BB2C7C">
        <w:rPr>
          <w:b w:val="0"/>
        </w:rPr>
        <w:t>The National Advocacy Service</w:t>
      </w:r>
      <w:r w:rsidRPr="00BB2C7C">
        <w:rPr>
          <w:b w:val="0"/>
        </w:rPr>
        <w:tab/>
      </w:r>
      <w:r w:rsidRPr="00BB2C7C">
        <w:rPr>
          <w:b w:val="0"/>
        </w:rPr>
        <w:fldChar w:fldCharType="begin"/>
      </w:r>
      <w:r w:rsidRPr="00BB2C7C">
        <w:rPr>
          <w:b w:val="0"/>
        </w:rPr>
        <w:instrText xml:space="preserve"> PAGEREF _Toc337126576 \h </w:instrText>
      </w:r>
      <w:r w:rsidRPr="00BB2C7C">
        <w:rPr>
          <w:b w:val="0"/>
        </w:rPr>
      </w:r>
      <w:r w:rsidRPr="00BB2C7C">
        <w:rPr>
          <w:b w:val="0"/>
        </w:rPr>
        <w:fldChar w:fldCharType="separate"/>
      </w:r>
      <w:r w:rsidR="00F63879">
        <w:rPr>
          <w:rFonts w:hint="eastAsia"/>
          <w:b w:val="0"/>
        </w:rPr>
        <w:t>36</w:t>
      </w:r>
      <w:r w:rsidRPr="00BB2C7C">
        <w:rPr>
          <w:b w:val="0"/>
        </w:rPr>
        <w:fldChar w:fldCharType="end"/>
      </w:r>
    </w:p>
    <w:p w14:paraId="0E2D7EBF" w14:textId="77777777" w:rsidR="006313ED" w:rsidRPr="00BB2C7C" w:rsidRDefault="006313ED" w:rsidP="00CA7686">
      <w:pPr>
        <w:pStyle w:val="TOC1"/>
        <w:rPr>
          <w:b w:val="0"/>
        </w:rPr>
      </w:pPr>
      <w:r w:rsidRPr="00BB2C7C">
        <w:rPr>
          <w:b w:val="0"/>
        </w:rPr>
        <w:t>The Sign Language Interpreting Service</w:t>
      </w:r>
      <w:r w:rsidRPr="00BB2C7C">
        <w:rPr>
          <w:b w:val="0"/>
        </w:rPr>
        <w:tab/>
      </w:r>
      <w:r w:rsidRPr="00BB2C7C">
        <w:rPr>
          <w:b w:val="0"/>
        </w:rPr>
        <w:fldChar w:fldCharType="begin"/>
      </w:r>
      <w:r w:rsidRPr="00BB2C7C">
        <w:rPr>
          <w:b w:val="0"/>
        </w:rPr>
        <w:instrText xml:space="preserve"> PAGEREF _Toc337126577 \h </w:instrText>
      </w:r>
      <w:r w:rsidRPr="00BB2C7C">
        <w:rPr>
          <w:b w:val="0"/>
        </w:rPr>
      </w:r>
      <w:r w:rsidRPr="00BB2C7C">
        <w:rPr>
          <w:b w:val="0"/>
        </w:rPr>
        <w:fldChar w:fldCharType="separate"/>
      </w:r>
      <w:r w:rsidR="00F63879">
        <w:rPr>
          <w:rFonts w:hint="eastAsia"/>
          <w:b w:val="0"/>
        </w:rPr>
        <w:t>38</w:t>
      </w:r>
      <w:r w:rsidRPr="00BB2C7C">
        <w:rPr>
          <w:b w:val="0"/>
        </w:rPr>
        <w:fldChar w:fldCharType="end"/>
      </w:r>
    </w:p>
    <w:p w14:paraId="680FFF42" w14:textId="77777777" w:rsidR="006313ED" w:rsidRPr="006313ED" w:rsidRDefault="006313ED" w:rsidP="006313ED">
      <w:pPr>
        <w:rPr>
          <w:noProof/>
        </w:rPr>
      </w:pPr>
    </w:p>
    <w:p w14:paraId="02640D41" w14:textId="77777777" w:rsidR="006313ED" w:rsidRPr="006313ED" w:rsidRDefault="006313ED" w:rsidP="00CA7686">
      <w:pPr>
        <w:pStyle w:val="TOC1"/>
        <w:rPr>
          <w:lang w:val="en-IE" w:eastAsia="ja-JP"/>
        </w:rPr>
      </w:pPr>
      <w:r w:rsidRPr="006313ED">
        <w:t>Appendices</w:t>
      </w:r>
      <w:r w:rsidRPr="006313ED">
        <w:tab/>
      </w:r>
      <w:r w:rsidRPr="006313ED">
        <w:fldChar w:fldCharType="begin"/>
      </w:r>
      <w:r w:rsidRPr="006313ED">
        <w:instrText xml:space="preserve"> PAGEREF _Toc337126578 \h </w:instrText>
      </w:r>
      <w:r w:rsidRPr="006313ED">
        <w:fldChar w:fldCharType="separate"/>
      </w:r>
      <w:r w:rsidR="00F63879">
        <w:rPr>
          <w:rFonts w:hint="eastAsia"/>
        </w:rPr>
        <w:t>39</w:t>
      </w:r>
      <w:r w:rsidRPr="006313ED">
        <w:fldChar w:fldCharType="end"/>
      </w:r>
    </w:p>
    <w:p w14:paraId="535D1C00" w14:textId="77777777" w:rsidR="006313ED" w:rsidRPr="00BB2C7C" w:rsidRDefault="006313ED" w:rsidP="00CA7686">
      <w:pPr>
        <w:pStyle w:val="TOC1"/>
        <w:rPr>
          <w:b w:val="0"/>
          <w:lang w:val="en-IE" w:eastAsia="ja-JP"/>
        </w:rPr>
      </w:pPr>
      <w:r w:rsidRPr="00BB2C7C">
        <w:rPr>
          <w:b w:val="0"/>
        </w:rPr>
        <w:t>Appendix 1: Customer Service Charter</w:t>
      </w:r>
      <w:r w:rsidRPr="00BB2C7C">
        <w:rPr>
          <w:b w:val="0"/>
        </w:rPr>
        <w:tab/>
      </w:r>
      <w:r w:rsidRPr="00BB2C7C">
        <w:rPr>
          <w:b w:val="0"/>
        </w:rPr>
        <w:fldChar w:fldCharType="begin"/>
      </w:r>
      <w:r w:rsidRPr="00BB2C7C">
        <w:rPr>
          <w:b w:val="0"/>
        </w:rPr>
        <w:instrText xml:space="preserve"> PAGEREF _Toc337126579 \h </w:instrText>
      </w:r>
      <w:r w:rsidRPr="00BB2C7C">
        <w:rPr>
          <w:b w:val="0"/>
        </w:rPr>
      </w:r>
      <w:r w:rsidRPr="00BB2C7C">
        <w:rPr>
          <w:b w:val="0"/>
        </w:rPr>
        <w:fldChar w:fldCharType="separate"/>
      </w:r>
      <w:r w:rsidR="00F63879">
        <w:rPr>
          <w:rFonts w:hint="eastAsia"/>
          <w:b w:val="0"/>
        </w:rPr>
        <w:t>39</w:t>
      </w:r>
      <w:r w:rsidRPr="00BB2C7C">
        <w:rPr>
          <w:b w:val="0"/>
        </w:rPr>
        <w:fldChar w:fldCharType="end"/>
      </w:r>
    </w:p>
    <w:p w14:paraId="36081E58" w14:textId="77777777" w:rsidR="006313ED" w:rsidRPr="00BB2C7C" w:rsidRDefault="006313ED" w:rsidP="00CA7686">
      <w:pPr>
        <w:pStyle w:val="TOC1"/>
        <w:rPr>
          <w:b w:val="0"/>
          <w:lang w:val="en-IE" w:eastAsia="ja-JP"/>
        </w:rPr>
      </w:pPr>
      <w:r w:rsidRPr="00BB2C7C">
        <w:rPr>
          <w:b w:val="0"/>
        </w:rPr>
        <w:t>Appendix 2: Board members 2015</w:t>
      </w:r>
      <w:r w:rsidRPr="00BB2C7C">
        <w:rPr>
          <w:b w:val="0"/>
        </w:rPr>
        <w:tab/>
      </w:r>
      <w:r w:rsidRPr="00BB2C7C">
        <w:rPr>
          <w:b w:val="0"/>
        </w:rPr>
        <w:fldChar w:fldCharType="begin"/>
      </w:r>
      <w:r w:rsidRPr="00BB2C7C">
        <w:rPr>
          <w:b w:val="0"/>
        </w:rPr>
        <w:instrText xml:space="preserve"> PAGEREF _Toc337126580 \h </w:instrText>
      </w:r>
      <w:r w:rsidRPr="00BB2C7C">
        <w:rPr>
          <w:b w:val="0"/>
        </w:rPr>
      </w:r>
      <w:r w:rsidRPr="00BB2C7C">
        <w:rPr>
          <w:b w:val="0"/>
        </w:rPr>
        <w:fldChar w:fldCharType="separate"/>
      </w:r>
      <w:r w:rsidR="00F63879">
        <w:rPr>
          <w:rFonts w:hint="eastAsia"/>
          <w:b w:val="0"/>
        </w:rPr>
        <w:t>43</w:t>
      </w:r>
      <w:r w:rsidRPr="00BB2C7C">
        <w:rPr>
          <w:b w:val="0"/>
        </w:rPr>
        <w:fldChar w:fldCharType="end"/>
      </w:r>
    </w:p>
    <w:p w14:paraId="7080E77D" w14:textId="77777777" w:rsidR="006313ED" w:rsidRPr="00BB2C7C" w:rsidRDefault="006313ED" w:rsidP="00CA7686">
      <w:pPr>
        <w:pStyle w:val="TOC1"/>
        <w:rPr>
          <w:b w:val="0"/>
          <w:lang w:val="en-IE" w:eastAsia="ja-JP"/>
        </w:rPr>
      </w:pPr>
      <w:r w:rsidRPr="00BB2C7C">
        <w:rPr>
          <w:b w:val="0"/>
        </w:rPr>
        <w:t>Appendix 3: Services teams and structure</w:t>
      </w:r>
      <w:r w:rsidRPr="00BB2C7C">
        <w:rPr>
          <w:b w:val="0"/>
        </w:rPr>
        <w:tab/>
      </w:r>
      <w:r w:rsidRPr="00BB2C7C">
        <w:rPr>
          <w:b w:val="0"/>
        </w:rPr>
        <w:fldChar w:fldCharType="begin"/>
      </w:r>
      <w:r w:rsidRPr="00BB2C7C">
        <w:rPr>
          <w:b w:val="0"/>
        </w:rPr>
        <w:instrText xml:space="preserve"> PAGEREF _Toc337126581 \h </w:instrText>
      </w:r>
      <w:r w:rsidRPr="00BB2C7C">
        <w:rPr>
          <w:b w:val="0"/>
        </w:rPr>
      </w:r>
      <w:r w:rsidRPr="00BB2C7C">
        <w:rPr>
          <w:b w:val="0"/>
        </w:rPr>
        <w:fldChar w:fldCharType="separate"/>
      </w:r>
      <w:r w:rsidR="00F63879">
        <w:rPr>
          <w:rFonts w:hint="eastAsia"/>
          <w:b w:val="0"/>
        </w:rPr>
        <w:t>44</w:t>
      </w:r>
      <w:r w:rsidRPr="00BB2C7C">
        <w:rPr>
          <w:b w:val="0"/>
        </w:rPr>
        <w:fldChar w:fldCharType="end"/>
      </w:r>
    </w:p>
    <w:p w14:paraId="1C3D983B" w14:textId="77777777" w:rsidR="006313ED" w:rsidRPr="00BB2C7C" w:rsidRDefault="006313ED" w:rsidP="00CA7686">
      <w:pPr>
        <w:pStyle w:val="TOC1"/>
        <w:rPr>
          <w:b w:val="0"/>
          <w:lang w:val="en-IE" w:eastAsia="ja-JP"/>
        </w:rPr>
      </w:pPr>
      <w:r w:rsidRPr="00BB2C7C">
        <w:rPr>
          <w:b w:val="0"/>
        </w:rPr>
        <w:t>Appendix 4: Citizens Information Board offices</w:t>
      </w:r>
      <w:r w:rsidRPr="00BB2C7C">
        <w:rPr>
          <w:b w:val="0"/>
        </w:rPr>
        <w:tab/>
      </w:r>
      <w:r w:rsidRPr="00BB2C7C">
        <w:rPr>
          <w:b w:val="0"/>
        </w:rPr>
        <w:fldChar w:fldCharType="begin"/>
      </w:r>
      <w:r w:rsidRPr="00BB2C7C">
        <w:rPr>
          <w:b w:val="0"/>
        </w:rPr>
        <w:instrText xml:space="preserve"> PAGEREF _Toc337126582 \h </w:instrText>
      </w:r>
      <w:r w:rsidRPr="00BB2C7C">
        <w:rPr>
          <w:b w:val="0"/>
        </w:rPr>
      </w:r>
      <w:r w:rsidRPr="00BB2C7C">
        <w:rPr>
          <w:b w:val="0"/>
        </w:rPr>
        <w:fldChar w:fldCharType="separate"/>
      </w:r>
      <w:r w:rsidR="00F63879">
        <w:rPr>
          <w:rFonts w:hint="eastAsia"/>
          <w:b w:val="0"/>
        </w:rPr>
        <w:t>47</w:t>
      </w:r>
      <w:r w:rsidRPr="00BB2C7C">
        <w:rPr>
          <w:b w:val="0"/>
        </w:rPr>
        <w:fldChar w:fldCharType="end"/>
      </w:r>
    </w:p>
    <w:p w14:paraId="0205BF9E" w14:textId="77777777" w:rsidR="006313ED" w:rsidRPr="00BB2C7C" w:rsidRDefault="006313ED" w:rsidP="00CA7686">
      <w:pPr>
        <w:pStyle w:val="TOC1"/>
        <w:rPr>
          <w:b w:val="0"/>
          <w:lang w:val="en-IE" w:eastAsia="ja-JP"/>
        </w:rPr>
      </w:pPr>
      <w:r w:rsidRPr="00BB2C7C">
        <w:rPr>
          <w:b w:val="0"/>
        </w:rPr>
        <w:t>Appendix 5: Grants in 2015</w:t>
      </w:r>
      <w:r w:rsidRPr="00BB2C7C">
        <w:rPr>
          <w:b w:val="0"/>
        </w:rPr>
        <w:tab/>
      </w:r>
      <w:r w:rsidRPr="00BB2C7C">
        <w:rPr>
          <w:b w:val="0"/>
        </w:rPr>
        <w:fldChar w:fldCharType="begin"/>
      </w:r>
      <w:r w:rsidRPr="00BB2C7C">
        <w:rPr>
          <w:b w:val="0"/>
        </w:rPr>
        <w:instrText xml:space="preserve"> PAGEREF _Toc337126583 \h </w:instrText>
      </w:r>
      <w:r w:rsidRPr="00BB2C7C">
        <w:rPr>
          <w:b w:val="0"/>
        </w:rPr>
      </w:r>
      <w:r w:rsidRPr="00BB2C7C">
        <w:rPr>
          <w:b w:val="0"/>
        </w:rPr>
        <w:fldChar w:fldCharType="separate"/>
      </w:r>
      <w:r w:rsidR="00F63879">
        <w:rPr>
          <w:rFonts w:hint="eastAsia"/>
          <w:b w:val="0"/>
        </w:rPr>
        <w:t>48</w:t>
      </w:r>
      <w:r w:rsidRPr="00BB2C7C">
        <w:rPr>
          <w:b w:val="0"/>
        </w:rPr>
        <w:fldChar w:fldCharType="end"/>
      </w:r>
    </w:p>
    <w:p w14:paraId="4D943875" w14:textId="77777777" w:rsidR="006313ED" w:rsidRPr="006313ED" w:rsidRDefault="006313ED" w:rsidP="006313ED">
      <w:r>
        <w:fldChar w:fldCharType="end"/>
      </w:r>
    </w:p>
    <w:p w14:paraId="4238FD3B" w14:textId="77777777" w:rsidR="00260FAC" w:rsidRDefault="00260FAC" w:rsidP="00260FAC">
      <w:pPr>
        <w:rPr>
          <w:lang w:val="en-GB"/>
        </w:rPr>
      </w:pPr>
    </w:p>
    <w:p w14:paraId="5887A922" w14:textId="77777777" w:rsidR="003C4ED7" w:rsidRDefault="003C4ED7" w:rsidP="00260FAC">
      <w:pPr>
        <w:rPr>
          <w:lang w:val="en-GB"/>
        </w:rPr>
      </w:pPr>
    </w:p>
    <w:p w14:paraId="677073D0" w14:textId="77777777" w:rsidR="003C4ED7" w:rsidRDefault="003C4ED7" w:rsidP="00260FAC">
      <w:pPr>
        <w:rPr>
          <w:lang w:val="en-GB"/>
        </w:rPr>
      </w:pPr>
    </w:p>
    <w:p w14:paraId="6017D312" w14:textId="77777777" w:rsidR="003C4ED7" w:rsidRDefault="003C4ED7" w:rsidP="00260FAC">
      <w:pPr>
        <w:rPr>
          <w:lang w:val="en-GB"/>
        </w:rPr>
      </w:pPr>
    </w:p>
    <w:p w14:paraId="0D093195" w14:textId="77777777" w:rsidR="003C4ED7" w:rsidRDefault="003C4ED7" w:rsidP="00260FAC">
      <w:pPr>
        <w:rPr>
          <w:lang w:val="en-GB"/>
        </w:rPr>
      </w:pPr>
    </w:p>
    <w:p w14:paraId="34BFE504" w14:textId="77777777" w:rsidR="003C4ED7" w:rsidRDefault="003C4ED7" w:rsidP="00260FAC">
      <w:pPr>
        <w:rPr>
          <w:lang w:val="en-GB"/>
        </w:rPr>
      </w:pPr>
    </w:p>
    <w:p w14:paraId="40C193A9" w14:textId="77777777" w:rsidR="003C4ED7" w:rsidRDefault="003C4ED7" w:rsidP="00260FAC">
      <w:pPr>
        <w:rPr>
          <w:lang w:val="en-GB"/>
        </w:rPr>
      </w:pPr>
    </w:p>
    <w:p w14:paraId="5D4A7FA0" w14:textId="77777777" w:rsidR="003C4ED7" w:rsidRDefault="003C4ED7" w:rsidP="00260FAC">
      <w:pPr>
        <w:rPr>
          <w:lang w:val="en-GB"/>
        </w:rPr>
      </w:pPr>
    </w:p>
    <w:p w14:paraId="0E0F1709" w14:textId="77777777" w:rsidR="003C4ED7" w:rsidRDefault="003C4ED7" w:rsidP="00260FAC">
      <w:pPr>
        <w:rPr>
          <w:lang w:val="en-GB"/>
        </w:rPr>
      </w:pPr>
    </w:p>
    <w:p w14:paraId="73F37C0C" w14:textId="77777777" w:rsidR="003C4ED7" w:rsidRDefault="003C4ED7" w:rsidP="00260FAC">
      <w:pPr>
        <w:rPr>
          <w:lang w:val="en-GB"/>
        </w:rPr>
      </w:pPr>
    </w:p>
    <w:p w14:paraId="5EEAD902" w14:textId="77777777" w:rsidR="003C4ED7" w:rsidRPr="00260FAC" w:rsidRDefault="003C4ED7" w:rsidP="00260FAC">
      <w:pPr>
        <w:rPr>
          <w:lang w:val="en-GB"/>
        </w:rPr>
      </w:pPr>
    </w:p>
    <w:p w14:paraId="29705F95" w14:textId="77777777" w:rsidR="008E3851" w:rsidRDefault="008E3851" w:rsidP="003B7558">
      <w:pPr>
        <w:pStyle w:val="Heading1"/>
      </w:pPr>
      <w:bookmarkStart w:id="6" w:name="_Toc438544245"/>
      <w:bookmarkStart w:id="7" w:name="_Toc438544281"/>
      <w:bookmarkStart w:id="8" w:name="_Toc337126456"/>
      <w:bookmarkStart w:id="9" w:name="_Toc337126563"/>
    </w:p>
    <w:p w14:paraId="39DE6E93" w14:textId="3C157B56" w:rsidR="004E514A" w:rsidRDefault="005732BC" w:rsidP="003B7558">
      <w:pPr>
        <w:pStyle w:val="Heading1"/>
      </w:pPr>
      <w:r>
        <w:t>Chairperson’s report</w:t>
      </w:r>
      <w:bookmarkEnd w:id="6"/>
      <w:bookmarkEnd w:id="7"/>
      <w:bookmarkEnd w:id="8"/>
      <w:bookmarkEnd w:id="9"/>
    </w:p>
    <w:p w14:paraId="0191778F" w14:textId="77777777" w:rsidR="00673117" w:rsidRPr="00673117" w:rsidRDefault="00673117" w:rsidP="00673117"/>
    <w:p w14:paraId="743F6833" w14:textId="77777777" w:rsidR="00673117" w:rsidRDefault="00673117" w:rsidP="00714DAA">
      <w:r>
        <w:t xml:space="preserve">2015 marked a year of change and innovation for the Citizens Information Board and all of its delivery services. My predecessor as Chairperson, Sylda Langford, finished her term of office as did many of her colleagues on the Board, leaving the Board without a quorum for much of the year. The new Chief Executive, Angela Black completed her first full year in office and several valued colleagues retired. During 2015, several new projects were initiated. Chief among these was the new Dedicated Mortgage Arrears MABS. This service provides a range of supports to mortgage holders in arrears, particularly people at the later stages of mortgage arrears. The issues that present to this dedicated service can be very challenging and I commend all those involved in setting up the service and working day-to-day with clients in severe financial difficulties.  </w:t>
      </w:r>
    </w:p>
    <w:p w14:paraId="3F8D60F7" w14:textId="77777777" w:rsidR="00673117" w:rsidRDefault="00673117" w:rsidP="00714DAA"/>
    <w:p w14:paraId="2DCDC810" w14:textId="77777777" w:rsidR="00673117" w:rsidRDefault="00673117" w:rsidP="00714DAA">
      <w:r>
        <w:t>While new initiatives and innovative approaches to problems are very welcome I also wish to acknowledge the ongoing work by all of the services we fund. This work takes place across Ireland in every city, in every large town and hundreds of smaller offices and outreaches, and ensures, that every day, hundreds of people are helped with their problems.  For example, a MABS client may have a budgeting plan drawn up to assist with their crippling debt, a CIS client may be supported to make an appeal against a social welfare decision, a recent migrant may be helped to take a case against an employer who was not paying the minimum wage or a person with profound disabilities may be supported by the National Advocacy Service to express their views about their accommodation.</w:t>
      </w:r>
    </w:p>
    <w:p w14:paraId="4A80C99B" w14:textId="77777777" w:rsidR="00673117" w:rsidRDefault="00673117" w:rsidP="00714DAA"/>
    <w:p w14:paraId="17C7988E" w14:textId="38C9800B" w:rsidR="00673117" w:rsidRDefault="00673117" w:rsidP="00714DAA">
      <w:r>
        <w:t xml:space="preserve">In 2015, as in previous years, Citizens Information Services answered almost a million queries from over 600,000 people. The Citizens Information Phone Service answered over 150,000 telephone calls. MABS worked with over 17,000 new clients and the Citizens Information website had over 17 million visits. Every statistic corresponds to an individual story and I hope that reading the quotes from citizens gives a sense of how the services we fund have helped them. </w:t>
      </w:r>
    </w:p>
    <w:p w14:paraId="5F344412" w14:textId="2B7DA9BA" w:rsidR="00673117" w:rsidRDefault="00673117" w:rsidP="00714DAA">
      <w:r>
        <w:t xml:space="preserve">I would like to thank all the staff involved in delivering the Citizens Information and MABS service nationwide, including MABsndl, National Traveller MABS, the boards of management, staff and volunteers as well as the board and staff of the National Advocacy Service for people with disabilities </w:t>
      </w:r>
      <w:r w:rsidR="000E7A0E">
        <w:rPr>
          <w:rStyle w:val="FootnoteReference"/>
          <w:rFonts w:hint="eastAsia"/>
        </w:rPr>
        <w:footnoteReference w:id="1"/>
      </w:r>
      <w:r>
        <w:t xml:space="preserve">and the Sign Language Interpreting Service. The ‘Celebrating Volunteers’ event which took place in Dublin Castle in late 2015 was a wonderful opportunity to acknowledge the work of volunteers, some of whom have been with the Citizens Information Service since its inception. </w:t>
      </w:r>
    </w:p>
    <w:p w14:paraId="73244120" w14:textId="77777777" w:rsidR="00673117" w:rsidRDefault="00673117" w:rsidP="00714DAA"/>
    <w:p w14:paraId="50E3599E" w14:textId="77777777" w:rsidR="00673117" w:rsidRDefault="00673117" w:rsidP="00714DAA">
      <w:r>
        <w:t xml:space="preserve">I would like to thank the former Minister for Social Protection, Joan Burton TD; the former Minister of State, Kevin Humphreys; the Secretary General of the Department of Social Protection, Niamh O’Donoghue and the staff of the </w:t>
      </w:r>
      <w:r>
        <w:lastRenderedPageBreak/>
        <w:t>Department for their support during the year. I would also like to acknowledge and thank my colleagues on the Board of CIB</w:t>
      </w:r>
      <w:r w:rsidRPr="00213979">
        <w:rPr>
          <w:vertAlign w:val="superscript"/>
        </w:rPr>
        <w:t>1</w:t>
      </w:r>
      <w:r>
        <w:t xml:space="preserve">. </w:t>
      </w:r>
    </w:p>
    <w:p w14:paraId="62FB4CD3" w14:textId="77777777" w:rsidR="007E6CB9" w:rsidRDefault="007E6CB9" w:rsidP="00714DAA"/>
    <w:p w14:paraId="5DBF3742" w14:textId="77777777" w:rsidR="007E6CB9" w:rsidRDefault="007E6CB9" w:rsidP="00714DAA"/>
    <w:p w14:paraId="4DBC4E94" w14:textId="7910DC71" w:rsidR="00673117" w:rsidRDefault="00673117" w:rsidP="00714DAA">
      <w:r>
        <w:t xml:space="preserve">I welcome the appointment of Leo Varadkar, TD as Minister for Social Protection and the Minister of State, Finian McGrath, TD. Many of the issues that Minister Varadkar has highlighted - including the social insurance status of self-employed people, problems with pensions, problems of poverty and disadvantage, support for working families - are issues that our services deal with on a regular basis. </w:t>
      </w:r>
    </w:p>
    <w:p w14:paraId="4C1F67DF" w14:textId="77777777" w:rsidR="00673117" w:rsidRDefault="00673117" w:rsidP="00714DAA"/>
    <w:p w14:paraId="292138F1" w14:textId="6BE0A343" w:rsidR="00F176AA" w:rsidRPr="00F176AA" w:rsidRDefault="00673117" w:rsidP="00714DAA">
      <w:r>
        <w:t>Finally, I would also like to thank the Chief Executive, Angela Black, her management team and all the staff of the Citizens Information Board for their work during the year.</w:t>
      </w:r>
    </w:p>
    <w:p w14:paraId="1F4CC060" w14:textId="77777777" w:rsidR="0043525F" w:rsidRDefault="0043525F" w:rsidP="00714DAA"/>
    <w:p w14:paraId="7C815722" w14:textId="77777777" w:rsidR="0043525F" w:rsidRDefault="0043525F" w:rsidP="00714DAA"/>
    <w:p w14:paraId="2D6E26FF" w14:textId="214D1AED" w:rsidR="007C056C" w:rsidRPr="002D3A60" w:rsidRDefault="00213979" w:rsidP="00714DAA">
      <w:r>
        <w:t>Ita</w:t>
      </w:r>
      <w:r w:rsidR="005732BC" w:rsidRPr="002D3A60">
        <w:t xml:space="preserve"> Mangan, Chairperson</w:t>
      </w:r>
    </w:p>
    <w:p w14:paraId="763F3A34" w14:textId="70455061" w:rsidR="007C056C" w:rsidRPr="002D3A60" w:rsidRDefault="007C056C" w:rsidP="00714DAA"/>
    <w:p w14:paraId="14511326" w14:textId="1EDE7379" w:rsidR="007C056C" w:rsidRPr="002D3A60" w:rsidRDefault="007C056C">
      <w:pPr>
        <w:rPr>
          <w:lang w:val="en-GB"/>
        </w:rPr>
      </w:pPr>
      <w:r w:rsidRPr="002D3A60">
        <w:rPr>
          <w:lang w:val="en-GB"/>
        </w:rPr>
        <w:br w:type="page"/>
      </w:r>
    </w:p>
    <w:p w14:paraId="772441CC" w14:textId="4F8C3A77" w:rsidR="005732BC" w:rsidRDefault="009A67A4" w:rsidP="003B7558">
      <w:pPr>
        <w:pStyle w:val="Heading1"/>
      </w:pPr>
      <w:bookmarkStart w:id="10" w:name="_Toc337126457"/>
      <w:bookmarkStart w:id="11" w:name="_Toc337126564"/>
      <w:bookmarkStart w:id="12" w:name="_Toc438544246"/>
      <w:bookmarkStart w:id="13" w:name="_Toc438544282"/>
      <w:r>
        <w:lastRenderedPageBreak/>
        <w:t>2015 in numbers</w:t>
      </w:r>
      <w:bookmarkEnd w:id="10"/>
      <w:bookmarkEnd w:id="11"/>
      <w:r>
        <w:t xml:space="preserve"> </w:t>
      </w:r>
      <w:bookmarkEnd w:id="12"/>
      <w:bookmarkEnd w:id="13"/>
    </w:p>
    <w:p w14:paraId="5E00C89C" w14:textId="77777777" w:rsidR="007534FE" w:rsidRPr="002D3A60" w:rsidRDefault="007534FE" w:rsidP="007534FE"/>
    <w:p w14:paraId="7516C73B" w14:textId="433108A3" w:rsidR="0045770A" w:rsidRDefault="00C0173B" w:rsidP="00714DAA">
      <w:r>
        <w:t>Over 600,000 callers contacted 112 Citizens Information Centres in over 215 locations nationwide with almost a million queries which were answered by 270 staff, 228 scheme participants and 1,089 volunteers. Social welfare continued to be the main query category with 457,887 queries.</w:t>
      </w:r>
    </w:p>
    <w:p w14:paraId="74A398FD" w14:textId="77777777" w:rsidR="00C0173B" w:rsidRPr="002D3A60" w:rsidRDefault="00C0173B" w:rsidP="00714DAA"/>
    <w:p w14:paraId="7067F20B" w14:textId="7A1E01B1" w:rsidR="0045770A" w:rsidRDefault="00C0173B" w:rsidP="00714DAA">
      <w:r w:rsidRPr="00C0173B">
        <w:t>Citzensinformation.ie had almost 17 million visits with an average of 802,000 unique visitors per month. Visitors viewed almost 50 million pages.</w:t>
      </w:r>
    </w:p>
    <w:p w14:paraId="6C33CBE6" w14:textId="77777777" w:rsidR="00C0173B" w:rsidRPr="002D3A60" w:rsidRDefault="00C0173B" w:rsidP="00714DAA"/>
    <w:p w14:paraId="49D7A1D3" w14:textId="77C11741" w:rsidR="0045770A" w:rsidRPr="002D3A60" w:rsidRDefault="0045770A" w:rsidP="00714DAA">
      <w:r w:rsidRPr="002D3A60">
        <w:t xml:space="preserve">The Citizens Information Phone Service answered 154,441 </w:t>
      </w:r>
      <w:r w:rsidR="009A67A4" w:rsidRPr="002D3A60">
        <w:t>queries.</w:t>
      </w:r>
    </w:p>
    <w:p w14:paraId="24D9852C" w14:textId="77777777" w:rsidR="009A67A4" w:rsidRPr="002D3A60" w:rsidRDefault="009A67A4" w:rsidP="00714DAA"/>
    <w:p w14:paraId="47D6AFB7" w14:textId="3478FE04" w:rsidR="009A67A4" w:rsidRPr="002D3A60" w:rsidRDefault="009A67A4" w:rsidP="00714DAA">
      <w:r w:rsidRPr="002D3A60">
        <w:t xml:space="preserve">Gettingbacktowork.ie recorded 52,621 visits. </w:t>
      </w:r>
    </w:p>
    <w:p w14:paraId="494F9F20" w14:textId="77777777" w:rsidR="0045770A" w:rsidRPr="002D3A60" w:rsidRDefault="0045770A" w:rsidP="00714DAA"/>
    <w:p w14:paraId="6AD07D2B" w14:textId="2118B756" w:rsidR="009A67A4" w:rsidRDefault="009A67A4" w:rsidP="00714DAA">
      <w:r w:rsidRPr="002D3A60">
        <w:t>Over 35,000 people got help with problem debt from the Money Advice and Budgeting Service (MABS) and the MABS Helpline. MABS saw 17,302 new clients. The average recorded debt of new clients using the service</w:t>
      </w:r>
      <w:r w:rsidR="00231353" w:rsidRPr="002D3A60">
        <w:t xml:space="preserve"> in 2015 was</w:t>
      </w:r>
      <w:r w:rsidRPr="002D3A60">
        <w:t xml:space="preserve"> €46,700. </w:t>
      </w:r>
    </w:p>
    <w:p w14:paraId="1A222647" w14:textId="77777777" w:rsidR="00C0173B" w:rsidRDefault="00C0173B" w:rsidP="00714DAA"/>
    <w:p w14:paraId="2B231EAD" w14:textId="7A2141F6" w:rsidR="00C0173B" w:rsidRDefault="00C0173B" w:rsidP="00714DAA">
      <w:r w:rsidRPr="00C0173B">
        <w:t>The Citizens Information Board and all of its delivery services have received the EFQM Gold Star Service Excellence Quality Award for excellence in customer service.</w:t>
      </w:r>
    </w:p>
    <w:p w14:paraId="548894F4" w14:textId="77777777" w:rsidR="00C0173B" w:rsidRDefault="00C0173B" w:rsidP="00714DAA"/>
    <w:p w14:paraId="7D5CA51E" w14:textId="11C736A4" w:rsidR="00C0173B" w:rsidRDefault="00C0173B" w:rsidP="00714DAA">
      <w:r w:rsidRPr="00C0173B">
        <w:t>12 issues of the Relate journal were published, and over 100,000 leaflets, factsheets and wallcharts were published and distributed.</w:t>
      </w:r>
    </w:p>
    <w:p w14:paraId="559E56E6" w14:textId="77777777" w:rsidR="00C0173B" w:rsidRDefault="00C0173B" w:rsidP="00714DAA"/>
    <w:p w14:paraId="66375AAB" w14:textId="399F7D42" w:rsidR="00C0173B" w:rsidRDefault="00C0173B" w:rsidP="00714DAA">
      <w:r>
        <w:t>Keepingyourhome.ie recorded 85,529 visits, 194,911 page</w:t>
      </w:r>
      <w:r w:rsidR="00796F11">
        <w:t xml:space="preserve"> </w:t>
      </w:r>
      <w:r>
        <w:t>views and an average of 4,567 unique visitors per month.</w:t>
      </w:r>
    </w:p>
    <w:p w14:paraId="749E4C2D" w14:textId="77777777" w:rsidR="00C0173B" w:rsidRDefault="00C0173B" w:rsidP="00714DAA"/>
    <w:p w14:paraId="01498C03" w14:textId="33E3C9FC" w:rsidR="00C0173B" w:rsidRDefault="00C0173B" w:rsidP="00714DAA">
      <w:r>
        <w:t>82 people were awarded a QQI Advanced Certificate in Information, Advice and Advocacy.</w:t>
      </w:r>
    </w:p>
    <w:p w14:paraId="44C8A6E2" w14:textId="77777777" w:rsidR="00C0173B" w:rsidRDefault="00C0173B" w:rsidP="00714DAA"/>
    <w:p w14:paraId="60B6F9E0" w14:textId="2BE475FB" w:rsidR="00C0173B" w:rsidRDefault="00C0173B" w:rsidP="00714DAA">
      <w:r w:rsidRPr="00C0173B">
        <w:t>The Sign Language Interpreting Service facilitated just under 1,300 bookings for sign language interpreting.</w:t>
      </w:r>
    </w:p>
    <w:p w14:paraId="768ED75A" w14:textId="77777777" w:rsidR="00C0173B" w:rsidRDefault="00C0173B" w:rsidP="00714DAA"/>
    <w:p w14:paraId="3FF47B4D" w14:textId="297B5A44" w:rsidR="00C0173B" w:rsidRDefault="00C0173B" w:rsidP="00714DAA">
      <w:r>
        <w:t xml:space="preserve">assistireland.ie carried information on more than 7,000 aids and appliances </w:t>
      </w:r>
    </w:p>
    <w:p w14:paraId="60E8883C" w14:textId="1C6B5A77" w:rsidR="00C0173B" w:rsidRDefault="00C0173B" w:rsidP="00714DAA">
      <w:r>
        <w:t>and received over half a million visits and an average of 29,619 unique visitors per month.</w:t>
      </w:r>
    </w:p>
    <w:p w14:paraId="669CF50B" w14:textId="77777777" w:rsidR="00C0173B" w:rsidRDefault="00C0173B" w:rsidP="00714DAA"/>
    <w:p w14:paraId="5D7A4BB7" w14:textId="72C3A4BF" w:rsidR="00C0173B" w:rsidRDefault="00C0173B" w:rsidP="00714DAA">
      <w:r w:rsidRPr="00C0173B">
        <w:t>Over 1000 people with disabilities were supported by the National Advocacy Service.</w:t>
      </w:r>
    </w:p>
    <w:p w14:paraId="56943A68" w14:textId="77777777" w:rsidR="00C0173B" w:rsidRDefault="00C0173B" w:rsidP="00714DAA"/>
    <w:p w14:paraId="69AE3705" w14:textId="652C2CA1" w:rsidR="00C0173B" w:rsidRDefault="00C0173B" w:rsidP="00714DAA">
      <w:r>
        <w:t xml:space="preserve">3,782 social policy returns were made by information providers highlighting </w:t>
      </w:r>
    </w:p>
    <w:p w14:paraId="0F918DE9" w14:textId="5A6925A7" w:rsidR="00C0173B" w:rsidRDefault="00C0173B" w:rsidP="00714DAA">
      <w:r>
        <w:t>the queries and concerns of people using public services.</w:t>
      </w:r>
    </w:p>
    <w:p w14:paraId="0ED66045" w14:textId="77777777" w:rsidR="00C0173B" w:rsidRDefault="00C0173B" w:rsidP="00714DAA"/>
    <w:p w14:paraId="5138006C" w14:textId="68D15BD8" w:rsidR="00C0173B" w:rsidRDefault="00C0173B" w:rsidP="00714DAA">
      <w:r>
        <w:t>35 training courses (50 training events) were attended by 1,070 people.</w:t>
      </w:r>
    </w:p>
    <w:p w14:paraId="42BD644E" w14:textId="77777777" w:rsidR="00C0173B" w:rsidRDefault="00C0173B" w:rsidP="00714DAA"/>
    <w:p w14:paraId="76BDE152" w14:textId="130AE549" w:rsidR="00C0173B" w:rsidRDefault="00C0173B" w:rsidP="00714DAA">
      <w:r w:rsidRPr="00C0173B">
        <w:t>National Traveller MABS launched the 3 Small Steps campaign which promotes better money management.</w:t>
      </w:r>
    </w:p>
    <w:p w14:paraId="4D55565A" w14:textId="77777777" w:rsidR="0097471C" w:rsidRDefault="0097471C" w:rsidP="00C0173B"/>
    <w:p w14:paraId="6CB07515" w14:textId="097F903F" w:rsidR="00CF1698" w:rsidRDefault="00CF1698" w:rsidP="003B7558">
      <w:pPr>
        <w:pStyle w:val="Heading1"/>
        <w:rPr>
          <w:lang w:val="en-GB"/>
        </w:rPr>
      </w:pPr>
      <w:bookmarkStart w:id="14" w:name="_Toc337126458"/>
      <w:bookmarkStart w:id="15" w:name="_Toc337126565"/>
      <w:r>
        <w:rPr>
          <w:lang w:val="en-GB"/>
        </w:rPr>
        <w:lastRenderedPageBreak/>
        <w:t xml:space="preserve">An overview of </w:t>
      </w:r>
      <w:r w:rsidR="00C0173B">
        <w:rPr>
          <w:lang w:val="en-GB"/>
        </w:rPr>
        <w:t>2015</w:t>
      </w:r>
      <w:r>
        <w:rPr>
          <w:lang w:val="en-GB"/>
        </w:rPr>
        <w:t xml:space="preserve"> from the CEO</w:t>
      </w:r>
      <w:bookmarkEnd w:id="14"/>
      <w:bookmarkEnd w:id="15"/>
    </w:p>
    <w:p w14:paraId="23FB44D4" w14:textId="77777777" w:rsidR="00CF78A5" w:rsidRDefault="00CF78A5" w:rsidP="00CF1698">
      <w:pPr>
        <w:rPr>
          <w:rFonts w:eastAsiaTheme="minorHAnsi"/>
          <w:lang w:val="en-IE"/>
        </w:rPr>
      </w:pPr>
    </w:p>
    <w:p w14:paraId="16A11CAE" w14:textId="77777777" w:rsidR="00C0173B" w:rsidRDefault="00C0173B" w:rsidP="00714DAA">
      <w:pPr>
        <w:rPr>
          <w:lang w:val="en-GB"/>
        </w:rPr>
      </w:pPr>
      <w:r w:rsidRPr="00C0173B">
        <w:rPr>
          <w:lang w:val="en-GB"/>
        </w:rPr>
        <w:t>The Citizens Information Board is an agency that helps people with their information, advice, advocacy, as well as money advice needs.  During the year we published our new strategic plan, which places the needs of citizens first – by citizens, we mean everyone living in Ireland. The issues that citizens need help with have clearly shifted over the course of recent years - from a focus on redundancy and unemployment at the start of the downturn to ongoing issues with unsustainable debt and mortgage arrears.</w:t>
      </w:r>
    </w:p>
    <w:p w14:paraId="26C64C69" w14:textId="77777777" w:rsidR="00C0173B" w:rsidRPr="00C0173B" w:rsidRDefault="00C0173B" w:rsidP="00714DAA">
      <w:pPr>
        <w:rPr>
          <w:lang w:val="en-GB"/>
        </w:rPr>
      </w:pPr>
    </w:p>
    <w:p w14:paraId="3DD60605" w14:textId="77777777" w:rsidR="00C0173B" w:rsidRDefault="00C0173B" w:rsidP="00714DAA">
      <w:pPr>
        <w:rPr>
          <w:lang w:val="en-GB"/>
        </w:rPr>
      </w:pPr>
      <w:r w:rsidRPr="00C0173B">
        <w:rPr>
          <w:lang w:val="en-GB"/>
        </w:rPr>
        <w:t>2015 was a very eventful year for the Citizens Information Board. The problems of people with mortgage arrears and facing repossession continued and homelessness emerged as a serious issue.  During the year we secured funding for a dedicated mortgage arrears service and appointed 27 specialist mortgage arrears advisors in MABS offices. In the Citizen Information Services, we have created four additional part-time administrator posts and nine additional information officer posts; this is the first significant additional resource for Citizens Information in eight years.</w:t>
      </w:r>
    </w:p>
    <w:p w14:paraId="206E2BB1" w14:textId="77777777" w:rsidR="00C0173B" w:rsidRPr="00C0173B" w:rsidRDefault="00C0173B" w:rsidP="00714DAA">
      <w:pPr>
        <w:rPr>
          <w:lang w:val="en-GB"/>
        </w:rPr>
      </w:pPr>
    </w:p>
    <w:p w14:paraId="56B1BA3E" w14:textId="77777777" w:rsidR="00C0173B" w:rsidRDefault="00C0173B" w:rsidP="00714DAA">
      <w:pPr>
        <w:rPr>
          <w:lang w:val="en-GB"/>
        </w:rPr>
      </w:pPr>
      <w:r w:rsidRPr="00C0173B">
        <w:rPr>
          <w:lang w:val="en-GB"/>
        </w:rPr>
        <w:t>Through MABS and the Citizens Information Service we have continued to ensure that citizens can access high quality services in a way that suits them best - whether that is online, by telephone or face-to-face in a local office. We must also make sure that we continue to focus on those who particularly need our services, and in some cases need extra support to access their entitlements – people with disabilities, older people and those who may be marginalised and vulnerable.</w:t>
      </w:r>
    </w:p>
    <w:p w14:paraId="3D8EED15" w14:textId="77777777" w:rsidR="00C0173B" w:rsidRPr="00C0173B" w:rsidRDefault="00C0173B" w:rsidP="00714DAA">
      <w:pPr>
        <w:rPr>
          <w:lang w:val="en-GB"/>
        </w:rPr>
      </w:pPr>
    </w:p>
    <w:p w14:paraId="7B42C0D9" w14:textId="77777777" w:rsidR="00C0173B" w:rsidRDefault="00C0173B" w:rsidP="00714DAA">
      <w:pPr>
        <w:rPr>
          <w:lang w:val="en-GB"/>
        </w:rPr>
      </w:pPr>
      <w:r w:rsidRPr="00C0173B">
        <w:rPr>
          <w:lang w:val="en-GB"/>
        </w:rPr>
        <w:t>We are continuing to develop our services through the companies that deliver them. We are working on a wide range of projects and initiatives. In particular, last year marked the revival of an event in Dublin to celebrate volunteers in Citizens Information Services who have given years of dedicated service. We also supported the development of a new pilot Personal Microcredit scheme to support people on low incomes to access affordable credit. Our work on the Advocacy Support Worker programme continued throughout the CIS network and, on the MABS side, we now have a fully mainstreamed Approved Intermediary Service across all 51 MABS services supporting indebted clients to access Debt Relief Notices. We supported the pre-proposal from National Traveller MABS for a Caravan Loan Guarantee fund for Travellers to help them in accessing credit union loans.</w:t>
      </w:r>
    </w:p>
    <w:p w14:paraId="2F2A18EB" w14:textId="77777777" w:rsidR="00C0173B" w:rsidRPr="00C0173B" w:rsidRDefault="00C0173B" w:rsidP="00714DAA">
      <w:pPr>
        <w:rPr>
          <w:lang w:val="en-GB"/>
        </w:rPr>
      </w:pPr>
    </w:p>
    <w:p w14:paraId="4AED4D5A" w14:textId="77777777" w:rsidR="00C0173B" w:rsidRDefault="00C0173B" w:rsidP="00714DAA">
      <w:pPr>
        <w:rPr>
          <w:lang w:val="en-GB"/>
        </w:rPr>
      </w:pPr>
      <w:r w:rsidRPr="00C0173B">
        <w:rPr>
          <w:lang w:val="en-GB"/>
        </w:rPr>
        <w:t xml:space="preserve">While we are just at the start of our new strategic plan, I think that many of these developments from 2015 highlight the scope and range of our work and the innovative ways in which we can help citizens with the problems they face. For example, during 2015, MABS found that debtors with significant mortgage arrears were coming to MABS only after receiving letters informing them of legal proceedings. These clients needed urgent advice and support on going to court and information about the range of resolution options available to them. In response, MABS, in close collaboration with the Insolvency Service of Ireland, set up a national network of court mentors that offers support and advice for </w:t>
      </w:r>
      <w:r w:rsidRPr="00C0173B">
        <w:rPr>
          <w:lang w:val="en-GB"/>
        </w:rPr>
        <w:lastRenderedPageBreak/>
        <w:t>borrowers on court proceedings and direct referral back to MABS where a case is adjourned.</w:t>
      </w:r>
    </w:p>
    <w:p w14:paraId="7D0AC47C" w14:textId="77777777" w:rsidR="00C0173B" w:rsidRPr="00C0173B" w:rsidRDefault="00C0173B" w:rsidP="00714DAA">
      <w:pPr>
        <w:rPr>
          <w:lang w:val="en-GB"/>
        </w:rPr>
      </w:pPr>
    </w:p>
    <w:p w14:paraId="0CBD4DBD" w14:textId="77777777" w:rsidR="00C0173B" w:rsidRDefault="00C0173B" w:rsidP="00714DAA">
      <w:pPr>
        <w:rPr>
          <w:lang w:val="en-GB"/>
        </w:rPr>
      </w:pPr>
      <w:r w:rsidRPr="00C0173B">
        <w:rPr>
          <w:lang w:val="en-GB"/>
        </w:rPr>
        <w:t>This court mentor service is just one strand of the newly established Dedicated Mortgage Arrears Service in MABS. The other strands include the MABS telephone helpline and specialist advisers who can help mortgage holders to assess whether the option on offer from their lender is the best and most sustainable option for them, and where required, can negotiate with the lender. This new service offers a real alternative to the thousands of people who feel that they cannot see a way out of their situation.</w:t>
      </w:r>
    </w:p>
    <w:p w14:paraId="2120D670" w14:textId="77777777" w:rsidR="00C0173B" w:rsidRPr="00C0173B" w:rsidRDefault="00C0173B" w:rsidP="00714DAA">
      <w:pPr>
        <w:rPr>
          <w:lang w:val="en-GB"/>
        </w:rPr>
      </w:pPr>
    </w:p>
    <w:p w14:paraId="555C0F8B" w14:textId="77777777" w:rsidR="00C0173B" w:rsidRDefault="00C0173B" w:rsidP="00714DAA">
      <w:pPr>
        <w:rPr>
          <w:lang w:val="en-GB"/>
        </w:rPr>
      </w:pPr>
      <w:r w:rsidRPr="00C0173B">
        <w:rPr>
          <w:lang w:val="en-GB"/>
        </w:rPr>
        <w:t>Travelling around Ireland in my first year as CEO of the Citizens Information Board and visiting most of our network of delivery services has shown me what putting citizens first really means in practice. It means giving citizens the advice they need for the problems they face and it means working to improve the policies and practices that affect people’s lives. But perhaps, most importantly, it means showing citizens that there is help available, that we are there for them and that no problem is insurmountable.</w:t>
      </w:r>
    </w:p>
    <w:p w14:paraId="03CF573D" w14:textId="77777777" w:rsidR="00C0173B" w:rsidRPr="00C0173B" w:rsidRDefault="00C0173B" w:rsidP="00714DAA">
      <w:pPr>
        <w:rPr>
          <w:lang w:val="en-GB"/>
        </w:rPr>
      </w:pPr>
    </w:p>
    <w:p w14:paraId="29C2A99C" w14:textId="77777777" w:rsidR="00845C2E" w:rsidRDefault="00C0173B" w:rsidP="00714DAA">
      <w:pPr>
        <w:rPr>
          <w:lang w:val="en-GB"/>
        </w:rPr>
      </w:pPr>
      <w:r w:rsidRPr="00C0173B">
        <w:rPr>
          <w:lang w:val="en-GB"/>
        </w:rPr>
        <w:t>As CEO I am optimistic for the future of our services – we will continue to support the staff and volunteers working on the ground throughout the country. Putting citizens first means that we must challenge everything we do to ensure that it is the best fit for what citizens need and look for ways to help more people at every opportunity.</w:t>
      </w:r>
    </w:p>
    <w:p w14:paraId="6D92CC81" w14:textId="77777777" w:rsidR="00845C2E" w:rsidRDefault="00845C2E" w:rsidP="00714DAA">
      <w:pPr>
        <w:rPr>
          <w:lang w:val="en-GB"/>
        </w:rPr>
      </w:pPr>
    </w:p>
    <w:p w14:paraId="131790D8" w14:textId="77777777" w:rsidR="00845C2E" w:rsidRDefault="00845C2E" w:rsidP="00714DAA">
      <w:r>
        <w:t>ANGELA BLACK</w:t>
      </w:r>
    </w:p>
    <w:p w14:paraId="1D2B28CC" w14:textId="0A1C5C41" w:rsidR="00B8589E" w:rsidRDefault="00845C2E" w:rsidP="00714DAA">
      <w:r>
        <w:t>CEO</w:t>
      </w:r>
      <w:r w:rsidR="00B8589E">
        <w:br w:type="page"/>
      </w:r>
    </w:p>
    <w:p w14:paraId="191D98A1" w14:textId="35493935" w:rsidR="006648F3" w:rsidRDefault="006648F3" w:rsidP="00714DAA">
      <w:pPr>
        <w:pStyle w:val="Heading1"/>
      </w:pPr>
      <w:bookmarkStart w:id="16" w:name="_Toc337126459"/>
      <w:bookmarkStart w:id="17" w:name="_Toc337126566"/>
      <w:r>
        <w:lastRenderedPageBreak/>
        <w:t>Section 1</w:t>
      </w:r>
      <w:r w:rsidRPr="006648F3">
        <w:t>: The Citizens Information Board</w:t>
      </w:r>
      <w:bookmarkEnd w:id="16"/>
      <w:bookmarkEnd w:id="17"/>
    </w:p>
    <w:p w14:paraId="470E28F7" w14:textId="77777777" w:rsidR="005732BC" w:rsidRPr="002D3A60" w:rsidRDefault="005732BC" w:rsidP="00CC4256"/>
    <w:p w14:paraId="3E614148" w14:textId="6FD56086" w:rsidR="008C3713" w:rsidRDefault="008C3713" w:rsidP="00714DAA">
      <w:r>
        <w:t>The Citizens Information Board supports the provision of information, advice (including money and budgeting advice) and</w:t>
      </w:r>
      <w:r w:rsidR="0014576A">
        <w:t xml:space="preserve"> advocacy services to citizens</w:t>
      </w:r>
      <w:r w:rsidR="0014576A">
        <w:rPr>
          <w:rStyle w:val="FootnoteReference"/>
          <w:rFonts w:hint="eastAsia"/>
        </w:rPr>
        <w:footnoteReference w:id="2"/>
      </w:r>
      <w:r w:rsidR="0014576A" w:rsidRPr="0014576A">
        <w:rPr>
          <w:vertAlign w:val="superscript"/>
        </w:rPr>
        <w:t xml:space="preserve"> </w:t>
      </w:r>
      <w:r>
        <w:t xml:space="preserve">on a wide range of public and social services. </w:t>
      </w:r>
    </w:p>
    <w:p w14:paraId="34122EA4" w14:textId="77777777" w:rsidR="008C3713" w:rsidRDefault="008C3713" w:rsidP="00714DAA"/>
    <w:p w14:paraId="389407FF" w14:textId="4A8109FB" w:rsidR="008C3713" w:rsidRDefault="008C3713" w:rsidP="00714DAA">
      <w:r>
        <w:t>To do this we provide direct funding and a range of supports to our delivery services, who in turn provide services to the public. We also provide services directly to citizens - in particular through our website, citizensinformation.ie. We set out an overarching strategy for ourselves and all our delivery services to ensure that we meet our statutory obligations. The Citizens Information Board has 83 (70</w:t>
      </w:r>
      <w:r w:rsidR="0014576A">
        <w:t>.4 whole-time equivalent) staff</w:t>
      </w:r>
      <w:r w:rsidR="00E6560A">
        <w:rPr>
          <w:rStyle w:val="FootnoteReference"/>
          <w:rFonts w:hint="eastAsia"/>
        </w:rPr>
        <w:footnoteReference w:id="3"/>
      </w:r>
      <w:r>
        <w:t xml:space="preserve">. </w:t>
      </w:r>
    </w:p>
    <w:p w14:paraId="220380E1" w14:textId="77777777" w:rsidR="008C3713" w:rsidRDefault="008C3713" w:rsidP="00714DAA"/>
    <w:p w14:paraId="7B73F6E6" w14:textId="77777777" w:rsidR="008C3713" w:rsidRDefault="008C3713" w:rsidP="00714DAA">
      <w:r>
        <w:t xml:space="preserve">Our mandate, as defined in the Acts, is to ensure that people have access to accurate, comprehensive and clear information relating to social services. We also promote greater accessibility, co-ordination and public awareness of social services. </w:t>
      </w:r>
    </w:p>
    <w:p w14:paraId="2AD3DA7B" w14:textId="77777777" w:rsidR="008C3713" w:rsidRDefault="008C3713" w:rsidP="00714DAA"/>
    <w:p w14:paraId="1C715D27" w14:textId="77777777" w:rsidR="008C3713" w:rsidRDefault="008C3713" w:rsidP="00714DAA">
      <w:r>
        <w:t>We do this through our three-channel approach of online, telephone and face-to-face services delivered through our website, citizensinformation.ie, and through microsites, the Citizens Information Phone Service and the nationwide network of Citizens Information Services.</w:t>
      </w:r>
    </w:p>
    <w:p w14:paraId="440F6B0C" w14:textId="77777777" w:rsidR="008C3713" w:rsidRDefault="008C3713" w:rsidP="00714DAA"/>
    <w:p w14:paraId="1E8A88F2" w14:textId="77777777" w:rsidR="008C3713" w:rsidRDefault="008C3713" w:rsidP="00714DAA">
      <w:r>
        <w:t>We support the provision of advice on the management, avoidance, reduction and discharge of personal debt and money management through the Money Advice and Budgeting Service (MABS).</w:t>
      </w:r>
    </w:p>
    <w:p w14:paraId="43B480BC" w14:textId="77777777" w:rsidR="008C3713" w:rsidRDefault="008C3713" w:rsidP="00714DAA"/>
    <w:p w14:paraId="7EBB7772" w14:textId="77777777" w:rsidR="008C3713" w:rsidRDefault="008C3713" w:rsidP="00714DAA">
      <w:r>
        <w:t xml:space="preserve">Many citizens need more than information. We assist and support people, in particular those with disabilities, to identify and understand their needs and options. By combining our information services with advice and advocacy services we help people in vulnerable situations to obtain information and claim their entitlements. We support the provision of advocacy services for people with disabilities through the National Advocacy Service. </w:t>
      </w:r>
    </w:p>
    <w:p w14:paraId="78E257BB" w14:textId="77777777" w:rsidR="008C3713" w:rsidRDefault="008C3713" w:rsidP="00714DAA"/>
    <w:p w14:paraId="1E4CA2F0" w14:textId="77777777" w:rsidR="008C3713" w:rsidRDefault="008C3713" w:rsidP="00714DAA">
      <w:r>
        <w:t xml:space="preserve">We support, promote and develop the provision of information on the effectiveness of current social policy and services and highlight issues which are of concern to users of those services. We do this by carrying out research and analysing the social policy issues returned by our delivery services. </w:t>
      </w:r>
    </w:p>
    <w:p w14:paraId="1B5F919B" w14:textId="77777777" w:rsidR="00EC270C" w:rsidRPr="002D3A60" w:rsidRDefault="00EC270C" w:rsidP="00CC4256"/>
    <w:p w14:paraId="69EBB06F" w14:textId="63F06C37" w:rsidR="00A0778E" w:rsidRDefault="001507AE" w:rsidP="00714DAA">
      <w:pPr>
        <w:pStyle w:val="Heading1"/>
        <w:rPr>
          <w:lang w:val="en-IE"/>
        </w:rPr>
      </w:pPr>
      <w:bookmarkStart w:id="18" w:name="_Toc337126460"/>
      <w:bookmarkStart w:id="19" w:name="_Toc337126567"/>
      <w:r>
        <w:t>O</w:t>
      </w:r>
      <w:r w:rsidR="002C23A5">
        <w:t xml:space="preserve">ur Strategy: </w:t>
      </w:r>
      <w:r w:rsidR="002C23A5">
        <w:rPr>
          <w:lang w:val="en-IE"/>
        </w:rPr>
        <w:t>Citizens First</w:t>
      </w:r>
      <w:bookmarkEnd w:id="18"/>
      <w:bookmarkEnd w:id="19"/>
    </w:p>
    <w:p w14:paraId="04FA4DB6" w14:textId="24A20649" w:rsidR="008C3713" w:rsidRDefault="008C3713" w:rsidP="008C3713">
      <w:pPr>
        <w:rPr>
          <w:lang w:val="en-IE"/>
        </w:rPr>
      </w:pPr>
      <w:r w:rsidRPr="008C3713">
        <w:rPr>
          <w:lang w:val="en-IE"/>
        </w:rPr>
        <w:t xml:space="preserve">Our new three-year strategic plan for the period 2015 </w:t>
      </w:r>
      <w:r>
        <w:rPr>
          <w:lang w:val="en-IE"/>
        </w:rPr>
        <w:t xml:space="preserve">– 2018 aims to ensure that we, </w:t>
      </w:r>
      <w:r w:rsidRPr="008C3713">
        <w:rPr>
          <w:lang w:val="en-IE"/>
        </w:rPr>
        <w:t xml:space="preserve">in the Citizens Information Board,  and our delivery services meet the needs of citizens in the most organisationally and economically effective way. We aim </w:t>
      </w:r>
      <w:r w:rsidRPr="008C3713">
        <w:rPr>
          <w:lang w:val="en-IE"/>
        </w:rPr>
        <w:lastRenderedPageBreak/>
        <w:t>to achieve a better understanding of the needs of citizens and to be responsive to those needs.</w:t>
      </w:r>
    </w:p>
    <w:p w14:paraId="5B371826" w14:textId="77777777" w:rsidR="0014576A" w:rsidRDefault="0014576A" w:rsidP="008C3713">
      <w:pPr>
        <w:rPr>
          <w:lang w:val="en-IE"/>
        </w:rPr>
      </w:pPr>
    </w:p>
    <w:p w14:paraId="69B15518" w14:textId="77777777" w:rsidR="0014576A" w:rsidRDefault="0014576A" w:rsidP="008C3713">
      <w:pPr>
        <w:rPr>
          <w:lang w:val="en-IE"/>
        </w:rPr>
      </w:pPr>
    </w:p>
    <w:p w14:paraId="62DCCF98" w14:textId="77777777" w:rsidR="007E6D35" w:rsidRDefault="007E6D35" w:rsidP="008C3713">
      <w:pPr>
        <w:rPr>
          <w:lang w:val="en-IE"/>
        </w:rPr>
      </w:pPr>
    </w:p>
    <w:p w14:paraId="1183E004" w14:textId="77777777" w:rsidR="008C3713" w:rsidRDefault="008C3713" w:rsidP="008C3713">
      <w:pPr>
        <w:rPr>
          <w:lang w:val="en-IE"/>
        </w:rPr>
      </w:pPr>
      <w:r w:rsidRPr="008C3713">
        <w:rPr>
          <w:lang w:val="en-IE"/>
        </w:rPr>
        <w:t>A ‘Citizens First’ approach underpins all aspects of the strategy. Our mission for the period of the plan is to:</w:t>
      </w:r>
    </w:p>
    <w:p w14:paraId="52EA5AED" w14:textId="77777777" w:rsidR="008C3713" w:rsidRPr="008C3713" w:rsidRDefault="008C3713" w:rsidP="008C3713">
      <w:pPr>
        <w:rPr>
          <w:lang w:val="en-IE"/>
        </w:rPr>
      </w:pPr>
    </w:p>
    <w:p w14:paraId="505E69E0" w14:textId="0B35A2F8" w:rsidR="00D1174D" w:rsidRDefault="008C3713" w:rsidP="008C3713">
      <w:pPr>
        <w:rPr>
          <w:lang w:val="en-IE"/>
        </w:rPr>
      </w:pPr>
      <w:r w:rsidRPr="008C3713">
        <w:rPr>
          <w:lang w:val="en-IE"/>
        </w:rPr>
        <w:t>“Enhance citizens’ access to consistent and high quality information, advice, money advice, and advocacy to meet their needs, now and in the future.”</w:t>
      </w:r>
    </w:p>
    <w:p w14:paraId="03AF12F0" w14:textId="77777777" w:rsidR="008C3713" w:rsidRPr="002D3A60" w:rsidRDefault="008C3713" w:rsidP="008C3713">
      <w:pPr>
        <w:rPr>
          <w:bCs/>
          <w:lang w:val="en-IE"/>
        </w:rPr>
      </w:pPr>
    </w:p>
    <w:p w14:paraId="77B29B42" w14:textId="1CB6430A" w:rsidR="00953433" w:rsidRPr="002D3A60" w:rsidRDefault="00E63A3F" w:rsidP="00953433">
      <w:pPr>
        <w:rPr>
          <w:b/>
          <w:bCs/>
          <w:lang w:val="en-IE"/>
        </w:rPr>
      </w:pPr>
      <w:r w:rsidRPr="002D3A60">
        <w:rPr>
          <w:b/>
          <w:bCs/>
          <w:lang w:val="en-IE"/>
        </w:rPr>
        <w:t>Our strategic p</w:t>
      </w:r>
      <w:r w:rsidR="00953433" w:rsidRPr="002D3A60">
        <w:rPr>
          <w:b/>
          <w:bCs/>
          <w:lang w:val="en-IE"/>
        </w:rPr>
        <w:t xml:space="preserve">riorities </w:t>
      </w:r>
    </w:p>
    <w:p w14:paraId="17368F43" w14:textId="77777777" w:rsidR="00E63A3F" w:rsidRPr="002D3A60" w:rsidRDefault="00E63A3F" w:rsidP="00953433">
      <w:pPr>
        <w:rPr>
          <w:lang w:val="en-IE"/>
        </w:rPr>
      </w:pPr>
    </w:p>
    <w:p w14:paraId="35333D8B" w14:textId="77777777" w:rsidR="00E929A4" w:rsidRPr="00E929A4" w:rsidRDefault="00E929A4" w:rsidP="00E929A4">
      <w:pPr>
        <w:rPr>
          <w:bCs/>
          <w:lang w:val="en-IE"/>
        </w:rPr>
      </w:pPr>
      <w:r w:rsidRPr="00E929A4">
        <w:rPr>
          <w:bCs/>
          <w:lang w:val="en-IE"/>
        </w:rPr>
        <w:t xml:space="preserve">A. Provide high quality consistent services to citizens, supported by robust </w:t>
      </w:r>
    </w:p>
    <w:p w14:paraId="7AEFC278" w14:textId="77777777" w:rsidR="00E929A4" w:rsidRDefault="00E929A4" w:rsidP="00E929A4">
      <w:pPr>
        <w:rPr>
          <w:bCs/>
          <w:lang w:val="en-IE"/>
        </w:rPr>
      </w:pPr>
      <w:r w:rsidRPr="00E929A4">
        <w:rPr>
          <w:bCs/>
          <w:lang w:val="en-IE"/>
        </w:rPr>
        <w:t xml:space="preserve">     quality assurance mechanisms. </w:t>
      </w:r>
      <w:r w:rsidRPr="00E929A4">
        <w:rPr>
          <w:bCs/>
          <w:lang w:val="en-IE"/>
        </w:rPr>
        <w:cr/>
      </w:r>
    </w:p>
    <w:p w14:paraId="09CCCA3A" w14:textId="5B046709" w:rsidR="00E929A4" w:rsidRPr="00E929A4" w:rsidRDefault="00E929A4" w:rsidP="00E929A4">
      <w:pPr>
        <w:rPr>
          <w:bCs/>
          <w:lang w:val="en-IE"/>
        </w:rPr>
      </w:pPr>
      <w:r w:rsidRPr="00E929A4">
        <w:rPr>
          <w:bCs/>
          <w:lang w:val="en-IE"/>
        </w:rPr>
        <w:t xml:space="preserve">B. Revise the structures of CISs and MABS to better serve the citizen by </w:t>
      </w:r>
    </w:p>
    <w:p w14:paraId="1076C68D" w14:textId="77777777" w:rsidR="00E929A4" w:rsidRPr="00E929A4" w:rsidRDefault="00E929A4" w:rsidP="00E929A4">
      <w:pPr>
        <w:rPr>
          <w:bCs/>
          <w:lang w:val="en-IE"/>
        </w:rPr>
      </w:pPr>
      <w:r w:rsidRPr="00E929A4">
        <w:rPr>
          <w:bCs/>
          <w:lang w:val="en-IE"/>
        </w:rPr>
        <w:t xml:space="preserve">    improving management structures and governance, management of </w:t>
      </w:r>
    </w:p>
    <w:p w14:paraId="37ABBA88" w14:textId="77777777" w:rsidR="00E929A4" w:rsidRPr="00E929A4" w:rsidRDefault="00E929A4" w:rsidP="00E929A4">
      <w:pPr>
        <w:rPr>
          <w:bCs/>
          <w:lang w:val="en-IE"/>
        </w:rPr>
      </w:pPr>
      <w:r w:rsidRPr="00E929A4">
        <w:rPr>
          <w:bCs/>
          <w:lang w:val="en-IE"/>
        </w:rPr>
        <w:t xml:space="preserve">    resources and the delivery of consistent high quality services; this includes </w:t>
      </w:r>
    </w:p>
    <w:p w14:paraId="52F19E68" w14:textId="77777777" w:rsidR="00E929A4" w:rsidRDefault="00E929A4" w:rsidP="00E929A4">
      <w:pPr>
        <w:rPr>
          <w:bCs/>
          <w:lang w:val="en-IE"/>
        </w:rPr>
      </w:pPr>
      <w:r w:rsidRPr="00E929A4">
        <w:rPr>
          <w:bCs/>
          <w:lang w:val="en-IE"/>
        </w:rPr>
        <w:t xml:space="preserve">    aligning CIB structures accordingly to maximise effective use of resources. </w:t>
      </w:r>
      <w:r w:rsidRPr="00E929A4">
        <w:rPr>
          <w:bCs/>
          <w:lang w:val="en-IE"/>
        </w:rPr>
        <w:cr/>
      </w:r>
    </w:p>
    <w:p w14:paraId="521FCCCC" w14:textId="1A56E954" w:rsidR="00E929A4" w:rsidRPr="00E929A4" w:rsidRDefault="00E929A4" w:rsidP="00E929A4">
      <w:pPr>
        <w:rPr>
          <w:bCs/>
          <w:lang w:val="en-IE"/>
        </w:rPr>
      </w:pPr>
      <w:r w:rsidRPr="00E929A4">
        <w:rPr>
          <w:bCs/>
          <w:lang w:val="en-IE"/>
        </w:rPr>
        <w:t xml:space="preserve">C. Provide targeted interventions to support the needs of our citizens in very </w:t>
      </w:r>
    </w:p>
    <w:p w14:paraId="1342046D" w14:textId="77777777" w:rsidR="00E929A4" w:rsidRDefault="00E929A4" w:rsidP="00E929A4">
      <w:pPr>
        <w:rPr>
          <w:bCs/>
          <w:lang w:val="en-IE"/>
        </w:rPr>
      </w:pPr>
      <w:r w:rsidRPr="00E929A4">
        <w:rPr>
          <w:bCs/>
          <w:lang w:val="en-IE"/>
        </w:rPr>
        <w:t xml:space="preserve">     vulnerable situations through specialist services.</w:t>
      </w:r>
      <w:r w:rsidRPr="00E929A4">
        <w:rPr>
          <w:bCs/>
          <w:lang w:val="en-IE"/>
        </w:rPr>
        <w:cr/>
      </w:r>
    </w:p>
    <w:p w14:paraId="29007C56" w14:textId="66B072F5" w:rsidR="00E929A4" w:rsidRPr="00E929A4" w:rsidRDefault="00E929A4" w:rsidP="00E929A4">
      <w:pPr>
        <w:rPr>
          <w:bCs/>
          <w:lang w:val="en-IE"/>
        </w:rPr>
      </w:pPr>
      <w:r w:rsidRPr="00E929A4">
        <w:rPr>
          <w:bCs/>
          <w:lang w:val="en-IE"/>
        </w:rPr>
        <w:t xml:space="preserve">D. Improve awareness of the range of services provided by CIB and our delivery </w:t>
      </w:r>
    </w:p>
    <w:p w14:paraId="1A370509" w14:textId="77777777" w:rsidR="00E929A4" w:rsidRDefault="00E929A4" w:rsidP="00E929A4">
      <w:pPr>
        <w:rPr>
          <w:bCs/>
          <w:lang w:val="en-IE"/>
        </w:rPr>
      </w:pPr>
      <w:r w:rsidRPr="00E929A4">
        <w:rPr>
          <w:bCs/>
          <w:lang w:val="en-IE"/>
        </w:rPr>
        <w:t xml:space="preserve">    services particularly with regard to accessibility of services to citizens. </w:t>
      </w:r>
      <w:r w:rsidRPr="00E929A4">
        <w:rPr>
          <w:bCs/>
          <w:lang w:val="en-IE"/>
        </w:rPr>
        <w:cr/>
      </w:r>
    </w:p>
    <w:p w14:paraId="12AEBAFF" w14:textId="4BC8F08D" w:rsidR="00E929A4" w:rsidRPr="00E929A4" w:rsidRDefault="00E929A4" w:rsidP="00E929A4">
      <w:pPr>
        <w:rPr>
          <w:bCs/>
          <w:lang w:val="en-IE"/>
        </w:rPr>
      </w:pPr>
      <w:r w:rsidRPr="00E929A4">
        <w:rPr>
          <w:bCs/>
          <w:lang w:val="en-IE"/>
        </w:rPr>
        <w:t xml:space="preserve">E. Highlight issues of concern so that policy and administration of public </w:t>
      </w:r>
    </w:p>
    <w:p w14:paraId="76C13998" w14:textId="77777777" w:rsidR="00E929A4" w:rsidRDefault="00E929A4" w:rsidP="00E929A4">
      <w:pPr>
        <w:rPr>
          <w:bCs/>
          <w:lang w:val="en-IE"/>
        </w:rPr>
      </w:pPr>
      <w:r w:rsidRPr="00E929A4">
        <w:rPr>
          <w:bCs/>
          <w:lang w:val="en-IE"/>
        </w:rPr>
        <w:t xml:space="preserve">    services is continually enhanced. </w:t>
      </w:r>
      <w:r w:rsidRPr="00E929A4">
        <w:rPr>
          <w:bCs/>
          <w:lang w:val="en-IE"/>
        </w:rPr>
        <w:cr/>
      </w:r>
    </w:p>
    <w:p w14:paraId="5448949D" w14:textId="6DCB7D65" w:rsidR="00E929A4" w:rsidRPr="00E929A4" w:rsidRDefault="00E929A4" w:rsidP="00E929A4">
      <w:pPr>
        <w:rPr>
          <w:bCs/>
          <w:lang w:val="en-IE"/>
        </w:rPr>
      </w:pPr>
      <w:r w:rsidRPr="00E929A4">
        <w:rPr>
          <w:bCs/>
          <w:lang w:val="en-IE"/>
        </w:rPr>
        <w:t xml:space="preserve">F. Continue to develop our people - staff, volunteers, board members </w:t>
      </w:r>
    </w:p>
    <w:p w14:paraId="7F7A2BEA" w14:textId="77777777" w:rsidR="00E929A4" w:rsidRPr="00E929A4" w:rsidRDefault="00E929A4" w:rsidP="00E929A4">
      <w:pPr>
        <w:rPr>
          <w:bCs/>
          <w:lang w:val="en-IE"/>
        </w:rPr>
      </w:pPr>
      <w:r w:rsidRPr="00E929A4">
        <w:rPr>
          <w:bCs/>
          <w:lang w:val="en-IE"/>
        </w:rPr>
        <w:t xml:space="preserve">    - through appropriate supports. A particular emphasis on the key role </w:t>
      </w:r>
    </w:p>
    <w:p w14:paraId="32966B3A" w14:textId="4012083F" w:rsidR="00E929A4" w:rsidRPr="00714DAA" w:rsidRDefault="00E929A4" w:rsidP="00E929A4">
      <w:pPr>
        <w:rPr>
          <w:bCs/>
          <w:lang w:val="en-IE"/>
        </w:rPr>
      </w:pPr>
      <w:r w:rsidRPr="00E929A4">
        <w:rPr>
          <w:bCs/>
          <w:lang w:val="en-IE"/>
        </w:rPr>
        <w:t xml:space="preserve">    of volunteering will form part of our ongoing strategy.</w:t>
      </w:r>
    </w:p>
    <w:p w14:paraId="781B2EE3" w14:textId="77777777" w:rsidR="002D3A60" w:rsidRPr="00E929A4" w:rsidRDefault="002D3A60" w:rsidP="00714DAA">
      <w:pPr>
        <w:pStyle w:val="Heading1"/>
      </w:pPr>
      <w:bookmarkStart w:id="20" w:name="_Toc450922509"/>
      <w:bookmarkStart w:id="21" w:name="_Toc337126461"/>
      <w:bookmarkStart w:id="22" w:name="_Toc337126568"/>
      <w:r w:rsidRPr="00E929A4">
        <w:t>2012-2015 Strategic Plan</w:t>
      </w:r>
      <w:bookmarkEnd w:id="20"/>
      <w:bookmarkEnd w:id="21"/>
      <w:bookmarkEnd w:id="22"/>
    </w:p>
    <w:p w14:paraId="2DA2B4E7" w14:textId="7F793D36" w:rsidR="002D3A60" w:rsidRDefault="00E929A4" w:rsidP="00E929A4">
      <w:r>
        <w:t>The Citizens Information Board’s commitment over the life of our last Strategic Plan was that that people would receive quality, relevant, independent, reliable information, advice and advocacy and money advice and budgeting services wherever they are located in Ireland and in a way that suits their needs. We identified five priorities to achieve this:</w:t>
      </w:r>
    </w:p>
    <w:p w14:paraId="692E4E01" w14:textId="77777777" w:rsidR="00E929A4" w:rsidRPr="002D3A60" w:rsidRDefault="00E929A4" w:rsidP="00E929A4"/>
    <w:p w14:paraId="18CEE740" w14:textId="20588526" w:rsidR="00E929A4" w:rsidRDefault="00E929A4" w:rsidP="00E929A4">
      <w:pPr>
        <w:numPr>
          <w:ilvl w:val="0"/>
          <w:numId w:val="2"/>
        </w:numPr>
      </w:pPr>
      <w:r>
        <w:t xml:space="preserve">Meet the changing information, advice, advocacy and budgeting needs </w:t>
      </w:r>
    </w:p>
    <w:p w14:paraId="44EF4795" w14:textId="5A4A44DC" w:rsidR="002D3A60" w:rsidRDefault="00E929A4" w:rsidP="00E929A4">
      <w:pPr>
        <w:ind w:left="720"/>
      </w:pPr>
      <w:r>
        <w:t>of citizens, particularly of marginalised and vulnerable groups and individuals – by connecting and responding</w:t>
      </w:r>
    </w:p>
    <w:p w14:paraId="6E408B74" w14:textId="77777777" w:rsidR="00E929A4" w:rsidRPr="002D3A60" w:rsidRDefault="00E929A4" w:rsidP="00E929A4">
      <w:pPr>
        <w:ind w:left="720"/>
      </w:pPr>
    </w:p>
    <w:p w14:paraId="2A99F779" w14:textId="77777777" w:rsidR="002D3A60" w:rsidRPr="002D3A60" w:rsidRDefault="002D3A60" w:rsidP="001A0B02">
      <w:pPr>
        <w:numPr>
          <w:ilvl w:val="0"/>
          <w:numId w:val="2"/>
        </w:numPr>
      </w:pPr>
      <w:r w:rsidRPr="002D3A60">
        <w:t>Implement consistent, high quality services by CIB and our delivery partners – by providing services to a high standard</w:t>
      </w:r>
    </w:p>
    <w:p w14:paraId="6FB79659" w14:textId="77777777" w:rsidR="002D3A60" w:rsidRPr="002D3A60" w:rsidRDefault="002D3A60" w:rsidP="002D3A60"/>
    <w:p w14:paraId="710FD9C7" w14:textId="77777777" w:rsidR="002D3A60" w:rsidRPr="002D3A60" w:rsidRDefault="002D3A60" w:rsidP="001A0B02">
      <w:pPr>
        <w:numPr>
          <w:ilvl w:val="0"/>
          <w:numId w:val="2"/>
        </w:numPr>
      </w:pPr>
      <w:r w:rsidRPr="002D3A60">
        <w:lastRenderedPageBreak/>
        <w:t>Work to develop and implement an integrated service delivery model that puts the citizen at the centre – by organising to deliver</w:t>
      </w:r>
    </w:p>
    <w:p w14:paraId="08229478" w14:textId="77777777" w:rsidR="002D3A60" w:rsidRPr="002D3A60" w:rsidRDefault="002D3A60" w:rsidP="002D3A60"/>
    <w:p w14:paraId="31A665BC" w14:textId="77777777" w:rsidR="002D3A60" w:rsidRPr="002D3A60" w:rsidRDefault="002D3A60" w:rsidP="001A0B02">
      <w:pPr>
        <w:numPr>
          <w:ilvl w:val="0"/>
          <w:numId w:val="2"/>
        </w:numPr>
      </w:pPr>
      <w:r w:rsidRPr="002D3A60">
        <w:t>Lead the design and implementation of creative and flexible responses to meet emerging demands for information, advice, advocacy and budgeting support – by creating and adding value</w:t>
      </w:r>
    </w:p>
    <w:p w14:paraId="5799A23B" w14:textId="77777777" w:rsidR="002D3A60" w:rsidRPr="002D3A60" w:rsidRDefault="002D3A60" w:rsidP="002D3A60"/>
    <w:p w14:paraId="3BF18F78" w14:textId="77777777" w:rsidR="002D3A60" w:rsidRPr="002D3A60" w:rsidRDefault="002D3A60" w:rsidP="001A0B02">
      <w:pPr>
        <w:numPr>
          <w:ilvl w:val="0"/>
          <w:numId w:val="2"/>
        </w:numPr>
      </w:pPr>
      <w:r w:rsidRPr="002D3A60">
        <w:t>Measure the efficiency and effectiveness of our service delivery approach – by demonstrating outcomes through feedback from users</w:t>
      </w:r>
    </w:p>
    <w:p w14:paraId="20EEBEB7" w14:textId="77777777" w:rsidR="002D3A60" w:rsidRPr="002D3A60" w:rsidRDefault="002D3A60" w:rsidP="002D3A60"/>
    <w:p w14:paraId="31F9F1A3" w14:textId="77777777" w:rsidR="000B5F11" w:rsidRDefault="000B5F11" w:rsidP="000B5F11">
      <w:r>
        <w:t xml:space="preserve">Over the lifetime of the plan the economic landscape changed dramatically - moving from recession to recovery. Even as the recovery took hold, it became apparent that emerging challenges, in particular, homelessness in urban areas - would pose new challenges to our services. The Money Advice and Budgeting Service (MABS) continued to work intensively to respond to the shifting mortgage arrears and debt management landscape and promoted money and debt management education at a local level. </w:t>
      </w:r>
    </w:p>
    <w:p w14:paraId="72555D0B" w14:textId="77777777" w:rsidR="000B5F11" w:rsidRDefault="000B5F11" w:rsidP="000B5F11"/>
    <w:p w14:paraId="5CB7C451" w14:textId="77777777" w:rsidR="000B5F11" w:rsidRDefault="000B5F11" w:rsidP="000B5F11">
      <w:r>
        <w:t xml:space="preserve">It is essential that all our services are delivered to a consistently high standard. To ensure this goal is reached, we introduced a quality assurance framework that sets out agreed standards for the delivery of all our services. We have also developed a range of accredited training courses. One of our key priorities in 2015 was to implement the European Foundation for Quality Management (EFQM) customer service quality system across CIB and our delivery services. This was achieved in early 2015. </w:t>
      </w:r>
    </w:p>
    <w:p w14:paraId="4FDF7498" w14:textId="77777777" w:rsidR="000B5F11" w:rsidRDefault="000B5F11" w:rsidP="000B5F11"/>
    <w:p w14:paraId="10F349EB" w14:textId="77777777" w:rsidR="000B5F11" w:rsidRDefault="000B5F11" w:rsidP="000B5F11">
      <w:r>
        <w:t xml:space="preserve">We also committed to reviewing our service delivery structures to assess how better, more efficient and more cost-effective services could be delivered to our customers. </w:t>
      </w:r>
    </w:p>
    <w:p w14:paraId="4A88BFF6" w14:textId="77777777" w:rsidR="000B5F11" w:rsidRDefault="000B5F11" w:rsidP="000B5F11"/>
    <w:p w14:paraId="7E5F854A" w14:textId="5B303816" w:rsidR="000B5F11" w:rsidRDefault="000B5F11" w:rsidP="000B5F11">
      <w:r>
        <w:t>In 2014, CIB commissioned a feasibility study to identify options for organisational integration of our delivery partners. The aim was to develop clearer and more effective pathways to information, advice and advocacy services and thereby achieve better outcomes for citizens, while making optimum use of resources. The work was carried out by a company called Pathfinder and was overseen by a steering group, made up of CIS staff and board members, MABS staff and board members and staff from the Citizens Information Board.</w:t>
      </w:r>
    </w:p>
    <w:p w14:paraId="63E47F2E" w14:textId="77777777" w:rsidR="000B5F11" w:rsidRDefault="000B5F11" w:rsidP="000B5F11"/>
    <w:p w14:paraId="318964A4" w14:textId="77777777" w:rsidR="000B5F11" w:rsidRDefault="000B5F11" w:rsidP="000B5F11">
      <w:r>
        <w:t xml:space="preserve">The Pathfinder Feasibility Study identified a number of options for greater organisational consolidation and/or integration of its delivery partners. The Board of CIB considered the study in September 2014 and tasked a Design Group with outlining and recommending new structural models, using the study as the key resource document to inform the process.  The proposal decided upon by the group was for MABS and CISs to be restructured into six independent companies across six regions (which would amount to 12 companies). The six regions are based on a combination of the existing 13 DSP regions.  This should enhance regional and local engagement with DSP services and ensure continuity with the changes being made locally to the delivery of DSP services such as Intreo. </w:t>
      </w:r>
    </w:p>
    <w:p w14:paraId="4FEFE3B9" w14:textId="77777777" w:rsidR="000B5F11" w:rsidRDefault="000B5F11" w:rsidP="000B5F11"/>
    <w:p w14:paraId="274997E8" w14:textId="5A08C723" w:rsidR="0097471C" w:rsidRDefault="000B5F11" w:rsidP="000B5F11">
      <w:r>
        <w:t>As we did not have a full Board for most of 2015 these recommendations on possible organisational consolidation or integration of delivery services were not progressed.</w:t>
      </w:r>
    </w:p>
    <w:p w14:paraId="41000C25" w14:textId="77777777" w:rsidR="000B5F11" w:rsidRDefault="000B5F11" w:rsidP="000B5F11"/>
    <w:p w14:paraId="0A4D6C8F" w14:textId="77777777" w:rsidR="00C76002" w:rsidRDefault="00C76002" w:rsidP="000B5F11"/>
    <w:p w14:paraId="29311DEF" w14:textId="173BF379" w:rsidR="005732BC" w:rsidRDefault="009D3F3D" w:rsidP="009D3F3D">
      <w:pPr>
        <w:pStyle w:val="Heading2"/>
      </w:pPr>
      <w:bookmarkStart w:id="23" w:name="_Toc450922510"/>
      <w:bookmarkStart w:id="24" w:name="_Toc337126462"/>
      <w:r>
        <w:t>Financial statements</w:t>
      </w:r>
      <w:bookmarkEnd w:id="23"/>
      <w:bookmarkEnd w:id="24"/>
    </w:p>
    <w:p w14:paraId="51340FB6" w14:textId="77777777" w:rsidR="000B5F11" w:rsidRDefault="000B5F11" w:rsidP="000B5F11">
      <w:r>
        <w:t xml:space="preserve">At the time of writing, the annual draft financial statements for the year </w:t>
      </w:r>
    </w:p>
    <w:p w14:paraId="554B9461" w14:textId="77777777" w:rsidR="000B5F11" w:rsidRDefault="000B5F11" w:rsidP="000B5F11">
      <w:r>
        <w:t xml:space="preserve">ended 31 December 2015 report €39,520,220 in income and €48,581,461 </w:t>
      </w:r>
    </w:p>
    <w:p w14:paraId="3E79615F" w14:textId="67E13810" w:rsidR="007C1681" w:rsidRDefault="007C1681" w:rsidP="000B5F11">
      <w:r>
        <w:t>in expenditure</w:t>
      </w:r>
      <w:r>
        <w:rPr>
          <w:rStyle w:val="FootnoteReference"/>
          <w:rFonts w:hint="eastAsia"/>
        </w:rPr>
        <w:footnoteReference w:id="4"/>
      </w:r>
      <w:r w:rsidR="000B5F11">
        <w:t>. The financial statements have been prepared in the form prescribed by section 22 of the Comhairle Act 2000 and in accordance with generally accepted accounting principles. The financial statements will be audited by the Comptroller and Auditor General and will be published on citizensinformationboard.ie when this audit is complete.</w:t>
      </w:r>
    </w:p>
    <w:p w14:paraId="3AC153E6" w14:textId="5DE9A80F" w:rsidR="005732BC" w:rsidRDefault="00C23AD4" w:rsidP="00B22948">
      <w:pPr>
        <w:pStyle w:val="Heading1"/>
      </w:pPr>
      <w:bookmarkStart w:id="25" w:name="_Toc438544251"/>
      <w:bookmarkStart w:id="26" w:name="_Toc438544287"/>
      <w:bookmarkStart w:id="27" w:name="_Toc337126463"/>
      <w:bookmarkStart w:id="28" w:name="_Toc337126569"/>
      <w:r>
        <w:t>Section 2</w:t>
      </w:r>
      <w:r w:rsidR="00235417">
        <w:t xml:space="preserve">: </w:t>
      </w:r>
      <w:r w:rsidR="005732BC">
        <w:t>Our Services</w:t>
      </w:r>
      <w:bookmarkEnd w:id="25"/>
      <w:bookmarkEnd w:id="26"/>
      <w:bookmarkEnd w:id="27"/>
      <w:bookmarkEnd w:id="28"/>
    </w:p>
    <w:p w14:paraId="4A899DF4" w14:textId="4C275CF5" w:rsidR="00235417" w:rsidRPr="002D3A60" w:rsidRDefault="00235417" w:rsidP="00235417"/>
    <w:p w14:paraId="743D9FF4" w14:textId="77777777" w:rsidR="006C5A5C" w:rsidRDefault="006C5A5C" w:rsidP="006C5A5C">
      <w:r>
        <w:t xml:space="preserve">The Citizens Information Board funds and supports our delivery services to ensure that the public have access to information, advice, advocacy and budgeting services in the form that best suits them. </w:t>
      </w:r>
    </w:p>
    <w:p w14:paraId="57317CF2" w14:textId="77777777" w:rsidR="006C5A5C" w:rsidRDefault="006C5A5C" w:rsidP="006C5A5C"/>
    <w:p w14:paraId="7B2E4681" w14:textId="77777777" w:rsidR="006C5A5C" w:rsidRDefault="006C5A5C" w:rsidP="006C5A5C">
      <w:r>
        <w:t xml:space="preserve">The public can access integrated information directly through the Citizens Information website (citizensinformation.ie), our microsites and publications. </w:t>
      </w:r>
    </w:p>
    <w:p w14:paraId="65B351A9" w14:textId="77777777" w:rsidR="007215E7" w:rsidRDefault="007215E7" w:rsidP="006C5A5C"/>
    <w:p w14:paraId="3953AE3C" w14:textId="77777777" w:rsidR="006C5A5C" w:rsidRDefault="006C5A5C" w:rsidP="006C5A5C">
      <w:r>
        <w:t xml:space="preserve">The nationwide network of Citizens Information Services (CISs) provides free, impartial and confidential information to the public on a range of social and public services. Citizens Information Services also provide an advocacy service to people who may have difficulties accessing their entitlements. </w:t>
      </w:r>
    </w:p>
    <w:p w14:paraId="2B50A600" w14:textId="77777777" w:rsidR="007215E7" w:rsidRDefault="007215E7" w:rsidP="006C5A5C"/>
    <w:p w14:paraId="5A5018E0" w14:textId="77777777" w:rsidR="006C5A5C" w:rsidRDefault="006C5A5C" w:rsidP="006C5A5C">
      <w:r>
        <w:t xml:space="preserve">The Citizens Information Phone Service (CIPS) provides a national telephone service. </w:t>
      </w:r>
    </w:p>
    <w:p w14:paraId="4FFD0D2A" w14:textId="77777777" w:rsidR="007215E7" w:rsidRDefault="007215E7" w:rsidP="006C5A5C"/>
    <w:p w14:paraId="39EEE2D1" w14:textId="77777777" w:rsidR="007215E7" w:rsidRDefault="006C5A5C" w:rsidP="006C5A5C">
      <w:r>
        <w:t xml:space="preserve">The Money Advice and Budgeting Service (MABS) offers free, confidential and independent assistance for people in debt or in danger of getting into debt. </w:t>
      </w:r>
    </w:p>
    <w:p w14:paraId="4DD7247D" w14:textId="1C804E9C" w:rsidR="006C5A5C" w:rsidRDefault="006C5A5C" w:rsidP="006C5A5C">
      <w:r>
        <w:t xml:space="preserve"> </w:t>
      </w:r>
    </w:p>
    <w:p w14:paraId="519FA474" w14:textId="77777777" w:rsidR="006C5A5C" w:rsidRDefault="006C5A5C" w:rsidP="006C5A5C">
      <w:r>
        <w:t>National Traveller MABS advocates for the financial inclusion of Travellers and helps them access legal and affordable savings and credit.</w:t>
      </w:r>
    </w:p>
    <w:p w14:paraId="0154729E" w14:textId="77777777" w:rsidR="007215E7" w:rsidRDefault="007215E7" w:rsidP="006C5A5C"/>
    <w:p w14:paraId="7474D632" w14:textId="77777777" w:rsidR="006C5A5C" w:rsidRDefault="006C5A5C" w:rsidP="006C5A5C">
      <w:r>
        <w:t>The National Advocacy Service for people with disabilities (NAS) meets the needs of people with disabilities in more vulnerable situations.</w:t>
      </w:r>
    </w:p>
    <w:p w14:paraId="1FBDD6DD" w14:textId="77777777" w:rsidR="007215E7" w:rsidRDefault="007215E7" w:rsidP="006C5A5C"/>
    <w:p w14:paraId="5C52872D" w14:textId="414A371F" w:rsidR="009F123D" w:rsidRPr="002D3A60" w:rsidRDefault="006C5A5C" w:rsidP="006C5A5C">
      <w:r>
        <w:t>The Sign Language Interpreting Service (SLIS) is the national agency for the provision of sign language interpreting services in Ireland.</w:t>
      </w:r>
    </w:p>
    <w:p w14:paraId="2115DB73" w14:textId="77777777" w:rsidR="005732BC" w:rsidRDefault="005732BC" w:rsidP="003120C4">
      <w:pPr>
        <w:pStyle w:val="Heading1"/>
      </w:pPr>
      <w:bookmarkStart w:id="29" w:name="_Toc438544252"/>
      <w:bookmarkStart w:id="30" w:name="_Toc438544288"/>
      <w:bookmarkStart w:id="31" w:name="_Toc337126464"/>
      <w:bookmarkStart w:id="32" w:name="_Toc337126570"/>
      <w:r>
        <w:lastRenderedPageBreak/>
        <w:t>Supporting our services</w:t>
      </w:r>
      <w:bookmarkEnd w:id="29"/>
      <w:bookmarkEnd w:id="30"/>
      <w:bookmarkEnd w:id="31"/>
      <w:bookmarkEnd w:id="32"/>
    </w:p>
    <w:p w14:paraId="59618D09" w14:textId="77777777" w:rsidR="007215E7" w:rsidRDefault="007215E7" w:rsidP="00F311FB">
      <w:bookmarkStart w:id="33" w:name="_Toc337126465"/>
      <w:bookmarkStart w:id="34" w:name="_Toc450922513"/>
      <w:r w:rsidRPr="007215E7">
        <w:t>The Citizens Information Board works very closely with our delivery services to ensure that citizens get an excellent service from every service that we fund.  We provide infrastructure and supports to allow the services to focus on what they do best - dealing with customers on the ground and maintaining essential links with local communities.</w:t>
      </w:r>
      <w:bookmarkEnd w:id="33"/>
      <w:r w:rsidRPr="007215E7">
        <w:t xml:space="preserve"> </w:t>
      </w:r>
    </w:p>
    <w:p w14:paraId="2B33E355" w14:textId="77777777" w:rsidR="00B36E17" w:rsidRPr="007215E7" w:rsidRDefault="00B36E17" w:rsidP="00F311FB">
      <w:pPr>
        <w:rPr>
          <w:b/>
          <w:bCs/>
        </w:rPr>
      </w:pPr>
    </w:p>
    <w:p w14:paraId="0E6C703C" w14:textId="4B98F9FF" w:rsidR="007215E7" w:rsidRDefault="007215E7" w:rsidP="00F311FB">
      <w:bookmarkStart w:id="35" w:name="_Toc337126466"/>
      <w:r w:rsidRPr="007215E7">
        <w:t>We work directly with services through our regional services team and we also work closely with the repres</w:t>
      </w:r>
      <w:r w:rsidR="002E419F">
        <w:t>entative bodies of the services</w:t>
      </w:r>
      <w:r w:rsidR="004E4693">
        <w:rPr>
          <w:rStyle w:val="FootnoteReference"/>
          <w:rFonts w:hint="eastAsia"/>
        </w:rPr>
        <w:footnoteReference w:id="5"/>
      </w:r>
      <w:r w:rsidRPr="007215E7">
        <w:t>. We aim to ensure that our services comply with best practice in all aspects of finance, governance, human resources and premises.</w:t>
      </w:r>
      <w:bookmarkEnd w:id="35"/>
      <w:r w:rsidRPr="007215E7">
        <w:t xml:space="preserve"> </w:t>
      </w:r>
    </w:p>
    <w:p w14:paraId="00A4FDD6" w14:textId="77777777" w:rsidR="00B36E17" w:rsidRPr="007215E7" w:rsidRDefault="00B36E17" w:rsidP="00F311FB">
      <w:pPr>
        <w:rPr>
          <w:b/>
          <w:bCs/>
        </w:rPr>
      </w:pPr>
    </w:p>
    <w:p w14:paraId="2C153F85" w14:textId="77777777" w:rsidR="007215E7" w:rsidRDefault="007215E7" w:rsidP="00F311FB">
      <w:pPr>
        <w:rPr>
          <w:b/>
          <w:bCs/>
        </w:rPr>
      </w:pPr>
      <w:bookmarkStart w:id="36" w:name="_Toc337126467"/>
      <w:r w:rsidRPr="007215E7">
        <w:t>We also aim to ensure that our services are supported to provide high quality information, advice, advocacy and money advice services - by setting and monitoring quality standards, providing training and expert advice and a range of other supports such as websites and publications.</w:t>
      </w:r>
      <w:bookmarkEnd w:id="36"/>
      <w:r w:rsidRPr="007215E7">
        <w:t xml:space="preserve"> </w:t>
      </w:r>
    </w:p>
    <w:p w14:paraId="18B01249" w14:textId="77777777" w:rsidR="00571F54" w:rsidRPr="00571F54" w:rsidRDefault="00571F54" w:rsidP="00571F54"/>
    <w:p w14:paraId="1FD7B0C5" w14:textId="77777777" w:rsidR="002E419F" w:rsidRDefault="002E419F" w:rsidP="002E419F"/>
    <w:p w14:paraId="30A53E2C" w14:textId="77777777" w:rsidR="002E419F" w:rsidRPr="002E419F" w:rsidRDefault="002E419F" w:rsidP="002E419F"/>
    <w:p w14:paraId="6A353410" w14:textId="5B19474E" w:rsidR="007215E7" w:rsidRPr="00F311FB" w:rsidRDefault="0051746C" w:rsidP="00F311FB">
      <w:bookmarkStart w:id="37" w:name="_Toc337126468"/>
      <w:r w:rsidRPr="00F311FB">
        <w:rPr>
          <w:rStyle w:val="Heading2Char"/>
        </w:rPr>
        <w:t>Governance</w:t>
      </w:r>
      <w:bookmarkEnd w:id="34"/>
      <w:bookmarkEnd w:id="37"/>
      <w:r w:rsidRPr="00F311FB">
        <w:rPr>
          <w:rStyle w:val="Heading2Char"/>
        </w:rPr>
        <w:t xml:space="preserve"> </w:t>
      </w:r>
      <w:r w:rsidR="003E0424" w:rsidRPr="00F311FB">
        <w:rPr>
          <w:rStyle w:val="Heading2Char"/>
        </w:rPr>
        <w:t xml:space="preserve"> </w:t>
      </w:r>
      <w:r w:rsidR="00796F11">
        <w:br/>
      </w:r>
      <w:r w:rsidR="007215E7" w:rsidRPr="00F311FB">
        <w:t>We have a comprehensive financial control and reporting framework for delivery services getting an operational grant to ensure that appropriate services are provided in return for funding.</w:t>
      </w:r>
    </w:p>
    <w:p w14:paraId="52A31B9E" w14:textId="77777777" w:rsidR="00D815A0" w:rsidRDefault="00D815A0" w:rsidP="00F311FB"/>
    <w:p w14:paraId="161B28C0" w14:textId="03E40C60" w:rsidR="007215E7" w:rsidRDefault="007215E7" w:rsidP="00F311FB">
      <w:r>
        <w:t>Service agreements between CIB and each of our delivery servic</w:t>
      </w:r>
      <w:r w:rsidR="00E06F82">
        <w:t>es (98 separate legal entities)</w:t>
      </w:r>
      <w:r w:rsidR="00E06F82">
        <w:rPr>
          <w:rStyle w:val="FootnoteReference"/>
          <w:rFonts w:hint="eastAsia"/>
        </w:rPr>
        <w:footnoteReference w:id="6"/>
      </w:r>
      <w:r>
        <w:t xml:space="preserve"> set out the commitments both parties make to each other, including the services that will be provided. These agreements cover standard items such as service delivery, governance, financial controls, HR practices, reporting guidelines, evaluation and monitoring. Our internal audit process includes sample audits of delivery services by the internal auditors with recommendations which are used to update and improve compliance with the governance and reporting requirements.</w:t>
      </w:r>
    </w:p>
    <w:p w14:paraId="2CB73E0F" w14:textId="77777777" w:rsidR="007215E7" w:rsidRDefault="007215E7" w:rsidP="00F311FB"/>
    <w:p w14:paraId="2AF7068C" w14:textId="77777777" w:rsidR="007215E7" w:rsidRDefault="007215E7" w:rsidP="00F311FB">
      <w:r>
        <w:t xml:space="preserve">We provide extensive governance support to the boards of delivery service companies. For example, we provide employer and staff handbooks and guidelines on recruitment, including the drafting of employment contracts.  </w:t>
      </w:r>
    </w:p>
    <w:p w14:paraId="0CD491E1" w14:textId="77777777" w:rsidR="007215E7" w:rsidRDefault="007215E7" w:rsidP="00F311FB"/>
    <w:p w14:paraId="6248752C" w14:textId="2E930B89" w:rsidR="000E2BF5" w:rsidRDefault="007215E7" w:rsidP="00F311FB">
      <w:r>
        <w:t>Delivery services can access a separate structure for industrial relations and human resource advice and support and a Professional Trustee service for their occupational pension schemes (funded by CIB). An Employee Assistance Programme is available to all delivery services. We also provide training for the boards of management of delivery services (see Keeping deliver</w:t>
      </w:r>
      <w:r w:rsidR="00773CB0">
        <w:t>y services up to date on page 16</w:t>
      </w:r>
      <w:r>
        <w:t>).</w:t>
      </w:r>
    </w:p>
    <w:p w14:paraId="2A4D579E" w14:textId="77777777" w:rsidR="00E06F82" w:rsidRDefault="00E06F82" w:rsidP="007215E7"/>
    <w:p w14:paraId="742719FE" w14:textId="77777777" w:rsidR="00E06F82" w:rsidRPr="002D3A60" w:rsidRDefault="00E06F82" w:rsidP="007215E7"/>
    <w:p w14:paraId="1F019824" w14:textId="77777777" w:rsidR="00B31C06" w:rsidRDefault="00B31C06" w:rsidP="005927C4">
      <w:pPr>
        <w:pStyle w:val="Heading2"/>
      </w:pPr>
      <w:bookmarkStart w:id="38" w:name="_Toc450922514"/>
      <w:bookmarkStart w:id="39" w:name="_Toc337126469"/>
      <w:r>
        <w:t>Training and quality</w:t>
      </w:r>
      <w:bookmarkEnd w:id="38"/>
      <w:bookmarkEnd w:id="39"/>
      <w:r>
        <w:t xml:space="preserve"> </w:t>
      </w:r>
    </w:p>
    <w:p w14:paraId="1F9CF47D" w14:textId="77777777" w:rsidR="005927C4" w:rsidRPr="005927C4" w:rsidRDefault="005927C4" w:rsidP="005927C4"/>
    <w:p w14:paraId="075329DF" w14:textId="77777777" w:rsidR="007215E7" w:rsidRDefault="007215E7" w:rsidP="00C312A9">
      <w:bookmarkStart w:id="40" w:name="_Toc337126470"/>
      <w:bookmarkStart w:id="41" w:name="_Toc450922515"/>
      <w:r w:rsidRPr="007215E7">
        <w:t>Training and quality supports aim to ensure that the citizen gets a consistent and high quality experience when interacting with any of the services we fund.</w:t>
      </w:r>
      <w:bookmarkEnd w:id="40"/>
      <w:r w:rsidRPr="007215E7">
        <w:t xml:space="preserve"> </w:t>
      </w:r>
    </w:p>
    <w:p w14:paraId="3DB73F0C" w14:textId="77777777" w:rsidR="00C312A9" w:rsidRPr="00C312A9" w:rsidRDefault="00C312A9" w:rsidP="00C312A9"/>
    <w:p w14:paraId="1C7A11E0" w14:textId="77777777" w:rsidR="007215E7" w:rsidRDefault="007215E7" w:rsidP="00C312A9">
      <w:bookmarkStart w:id="42" w:name="_Toc337126471"/>
      <w:r w:rsidRPr="007215E7">
        <w:t>The EFQM (European Foundation for Quality Management) Gold Star Service Excellence programme is a customised entry-level quality programme. It has a strong focus on customers, customer consultation and customer satisfaction, and encourages shared learning, both formal and informal.  The rollout of the EFQM quality assurance system to our delivery services was completed at the end of April 2015.</w:t>
      </w:r>
      <w:bookmarkEnd w:id="42"/>
    </w:p>
    <w:p w14:paraId="48426171" w14:textId="77777777" w:rsidR="00C312A9" w:rsidRPr="00C312A9" w:rsidRDefault="00C312A9" w:rsidP="00C312A9"/>
    <w:p w14:paraId="120C8B41" w14:textId="77777777" w:rsidR="007215E7" w:rsidRDefault="007215E7" w:rsidP="00C312A9">
      <w:bookmarkStart w:id="43" w:name="_Toc337126472"/>
      <w:r w:rsidRPr="007215E7">
        <w:t>All CISs, MABS, SLIS and CIB have now achieved the EFQM Gold Star Service Excellence Award and three services achieved Role Model status. The National Advocacy Service is expected to achieve validation in 2016. During 2015 we also developed and updated a range of standardised policies and procedures for use in CISs and MABS. These cover service delivery and customer satisfaction, leadership and governance, operational management and human resources.</w:t>
      </w:r>
      <w:bookmarkEnd w:id="43"/>
    </w:p>
    <w:p w14:paraId="12394A5B" w14:textId="77777777" w:rsidR="00C312A9" w:rsidRPr="00C312A9" w:rsidRDefault="00C312A9" w:rsidP="00C312A9"/>
    <w:p w14:paraId="0646FE08" w14:textId="0D9AC23D" w:rsidR="007215E7" w:rsidRDefault="007215E7" w:rsidP="00C312A9">
      <w:bookmarkStart w:id="44" w:name="_Toc337126473"/>
      <w:r w:rsidRPr="007215E7">
        <w:t>The Information, Advice and Advocacy Programme (IAAP) is aimed at information providers in Citizens Information Services. It leads to the QQI Advanced Certificate in Information, Advice and Advocacy (Level 6 on the National Framework of Qualifications).   In 2015, 199 learners received QQI certification for this programme and 82 learners received the full Advanced Certificate.  One hundred and thirteen (113) learners received the component Certificate after Year 1 of the programme with the Institute of Technology Blanchardstown (ITB).  A further 4 learners received module awards.  75 learners started Year 2 of the progr</w:t>
      </w:r>
      <w:r w:rsidR="00240974">
        <w:t>amme with ITB in September 2015</w:t>
      </w:r>
      <w:r w:rsidR="00240974">
        <w:rPr>
          <w:rStyle w:val="FootnoteReference"/>
          <w:rFonts w:hint="eastAsia"/>
          <w:b/>
        </w:rPr>
        <w:footnoteReference w:id="7"/>
      </w:r>
      <w:r w:rsidRPr="007215E7">
        <w:t>.</w:t>
      </w:r>
      <w:bookmarkEnd w:id="44"/>
      <w:r w:rsidRPr="007215E7">
        <w:t xml:space="preserve">  </w:t>
      </w:r>
    </w:p>
    <w:p w14:paraId="7E1EA434" w14:textId="77777777" w:rsidR="00C312A9" w:rsidRPr="00C312A9" w:rsidRDefault="00C312A9" w:rsidP="00C312A9"/>
    <w:p w14:paraId="6F02534C" w14:textId="092EC7C5" w:rsidR="00C312A9" w:rsidRDefault="007215E7" w:rsidP="005F71DF">
      <w:bookmarkStart w:id="45" w:name="_Toc337126474"/>
      <w:r w:rsidRPr="007215E7">
        <w:t xml:space="preserve">We provide short training courses on a range of topics (see page </w:t>
      </w:r>
      <w:r w:rsidR="00914DA8">
        <w:t>16</w:t>
      </w:r>
      <w:r w:rsidRPr="007215E7">
        <w:t xml:space="preserve"> below). We also develop resources and materials for use by delivery services in organising and planning their own training locally, for example, induction materials for new information providers.</w:t>
      </w:r>
      <w:bookmarkEnd w:id="45"/>
    </w:p>
    <w:p w14:paraId="47426C77" w14:textId="77777777" w:rsidR="00C312A9" w:rsidRDefault="00C312A9" w:rsidP="005F71DF"/>
    <w:p w14:paraId="5A47F3C3" w14:textId="77777777" w:rsidR="00C312A9" w:rsidRPr="005F71DF" w:rsidRDefault="00C312A9" w:rsidP="005F71DF"/>
    <w:p w14:paraId="47268229" w14:textId="6ED10C99" w:rsidR="007215E7" w:rsidRDefault="007215E7" w:rsidP="007215E7">
      <w:pPr>
        <w:pStyle w:val="Heading3"/>
      </w:pPr>
      <w:bookmarkStart w:id="46" w:name="_Toc337126475"/>
      <w:bookmarkEnd w:id="41"/>
      <w:r w:rsidRPr="007215E7">
        <w:t>Branding and Promotions</w:t>
      </w:r>
      <w:bookmarkEnd w:id="46"/>
    </w:p>
    <w:p w14:paraId="1670D73E" w14:textId="77777777" w:rsidR="000D4386" w:rsidRDefault="000D4386" w:rsidP="00C312A9">
      <w:bookmarkStart w:id="47" w:name="_Toc337126476"/>
      <w:bookmarkStart w:id="48" w:name="_Toc450922516"/>
      <w:r w:rsidRPr="000D4386">
        <w:t>All CISs operate under the Citizens Information brand. We manage and promote the Citizens Information and MABS brands nationally. We also supply complete service signage and a range of promotional materials.</w:t>
      </w:r>
      <w:bookmarkEnd w:id="47"/>
      <w:r w:rsidRPr="000D4386">
        <w:t xml:space="preserve"> </w:t>
      </w:r>
    </w:p>
    <w:p w14:paraId="6002C9A0" w14:textId="77777777" w:rsidR="00C312A9" w:rsidRPr="000D4386" w:rsidRDefault="00C312A9" w:rsidP="00C312A9"/>
    <w:p w14:paraId="531B0C23" w14:textId="77777777" w:rsidR="00CB13A2" w:rsidRDefault="000D4386" w:rsidP="00C312A9">
      <w:bookmarkStart w:id="49" w:name="_Toc337126477"/>
      <w:r w:rsidRPr="000D4386">
        <w:lastRenderedPageBreak/>
        <w:t>We promote Citizens Information and MABS and information leaflets for both services are displayed in health outlets nationwide. Print advertisements promote all Citizens Information and MABS offices nationwide and includes listings in both Golden Pages and Phonebook directories and online. Partnership projects are co-ordinated with the HSE Whatsupmum promotion, Eircode and the Green Ribbon Mental Health Campaign which profile and raise awareness of all services as key distribution partners with associated promotion in national media. Services also carry out a range of promotional activities especially through local radio.</w:t>
      </w:r>
      <w:bookmarkEnd w:id="49"/>
      <w:r w:rsidRPr="000D4386">
        <w:t xml:space="preserve"> </w:t>
      </w:r>
    </w:p>
    <w:p w14:paraId="12A0A2EF" w14:textId="77777777" w:rsidR="00EF3899" w:rsidRDefault="00EF3899" w:rsidP="00EF3899"/>
    <w:p w14:paraId="62B27B59" w14:textId="77777777" w:rsidR="00412F05" w:rsidRDefault="00412F05" w:rsidP="00EF3899"/>
    <w:p w14:paraId="7432FAAB" w14:textId="77777777" w:rsidR="00412F05" w:rsidRDefault="00412F05" w:rsidP="00EF3899"/>
    <w:p w14:paraId="62C75D31" w14:textId="77777777" w:rsidR="00412F05" w:rsidRPr="00EF3899" w:rsidRDefault="00412F05" w:rsidP="00EF3899"/>
    <w:p w14:paraId="28319941" w14:textId="4FAD7E4B" w:rsidR="001356DA" w:rsidRPr="00CB13A2" w:rsidRDefault="001356DA" w:rsidP="000D4386">
      <w:pPr>
        <w:pStyle w:val="Heading3"/>
        <w:rPr>
          <w:rFonts w:asciiTheme="minorHAnsi" w:eastAsiaTheme="minorEastAsia" w:hAnsiTheme="minorHAnsi" w:cstheme="minorBidi"/>
          <w:b w:val="0"/>
          <w:bCs w:val="0"/>
          <w:color w:val="auto"/>
        </w:rPr>
      </w:pPr>
      <w:bookmarkStart w:id="50" w:name="_Toc337126478"/>
      <w:r>
        <w:t>I</w:t>
      </w:r>
      <w:r w:rsidR="002C06D0">
        <w:t>C</w:t>
      </w:r>
      <w:r>
        <w:t>T services</w:t>
      </w:r>
      <w:bookmarkEnd w:id="48"/>
      <w:bookmarkEnd w:id="50"/>
      <w:r>
        <w:t xml:space="preserve"> </w:t>
      </w:r>
    </w:p>
    <w:p w14:paraId="54FC64BA" w14:textId="77777777" w:rsidR="003E6F62" w:rsidRPr="003E6F62" w:rsidRDefault="003E6F62" w:rsidP="003E6F62"/>
    <w:p w14:paraId="7B7B8050" w14:textId="77777777" w:rsidR="003E6F62" w:rsidRDefault="003E6F62" w:rsidP="003E6F62">
      <w:r>
        <w:t>The ICT Service manages the complete ICT infrastructure on behalf of the Board and the delivery services. This covers network infrastructure (including telephone services), hardware equipment, software development and helpdesk services.</w:t>
      </w:r>
    </w:p>
    <w:p w14:paraId="709E7531" w14:textId="77777777" w:rsidR="003E6F62" w:rsidRDefault="003E6F62" w:rsidP="003E6F62"/>
    <w:p w14:paraId="4BF68A60" w14:textId="77777777" w:rsidR="003E6F62" w:rsidRDefault="003E6F62" w:rsidP="003E6F62">
      <w:r>
        <w:t xml:space="preserve">All ICT equipment is procured and supported centrally, and telephone and print services are all managed centrally which has reduced costs and increased efficiency.  We provide and maintain the data capture systems used by delivery services to record customer data. In 2015 extensive work was carried out on a new MABS case management system </w:t>
      </w:r>
    </w:p>
    <w:p w14:paraId="4C2774E4" w14:textId="0D20E514" w:rsidR="003E6F62" w:rsidRDefault="003E6F62" w:rsidP="003E6F62">
      <w:r>
        <w:t xml:space="preserve">(see page </w:t>
      </w:r>
      <w:r w:rsidR="00527BA4">
        <w:t>35</w:t>
      </w:r>
      <w:r>
        <w:t xml:space="preserve">). </w:t>
      </w:r>
    </w:p>
    <w:p w14:paraId="0A02C932" w14:textId="77777777" w:rsidR="003E6F62" w:rsidRDefault="003E6F62" w:rsidP="003E6F62"/>
    <w:p w14:paraId="12C3B660" w14:textId="0CD8CFEE" w:rsidR="00DF138B" w:rsidRDefault="003E6F62" w:rsidP="003E6F62">
      <w:r>
        <w:t xml:space="preserve">The ICT helpdesk provides both telephone and onsite support for delivery services, and managed </w:t>
      </w:r>
      <w:r w:rsidR="006A6D52">
        <w:t>6,697 support calls during 2015</w:t>
      </w:r>
    </w:p>
    <w:p w14:paraId="79383D0A" w14:textId="77777777" w:rsidR="00DF138B" w:rsidRDefault="00DF138B" w:rsidP="003E6F62"/>
    <w:p w14:paraId="7D8AA35D" w14:textId="77777777" w:rsidR="00DF138B" w:rsidRDefault="00DF138B" w:rsidP="003E6F62"/>
    <w:p w14:paraId="4AAA1501" w14:textId="77777777" w:rsidR="00DF138B" w:rsidRDefault="00DF138B" w:rsidP="003E6F62"/>
    <w:p w14:paraId="39F88CA1" w14:textId="77777777" w:rsidR="00DF138B" w:rsidRDefault="00DF138B" w:rsidP="00DF138B">
      <w:pPr>
        <w:pStyle w:val="Heading3"/>
      </w:pPr>
      <w:bookmarkStart w:id="51" w:name="_Toc450922517"/>
      <w:bookmarkStart w:id="52" w:name="_Toc337126479"/>
      <w:r w:rsidRPr="00260FAC">
        <w:t>Keeping delivery services up to date</w:t>
      </w:r>
      <w:bookmarkEnd w:id="51"/>
      <w:bookmarkEnd w:id="52"/>
    </w:p>
    <w:p w14:paraId="0F37DFEC" w14:textId="77777777" w:rsidR="00DF138B" w:rsidRPr="000D6326" w:rsidRDefault="00DF138B" w:rsidP="00DF138B"/>
    <w:p w14:paraId="6D9615A2" w14:textId="77777777" w:rsidR="00DF138B" w:rsidRPr="002D3A60" w:rsidRDefault="00DF138B" w:rsidP="00DF138B"/>
    <w:p w14:paraId="31C8CAD5" w14:textId="77777777" w:rsidR="00DF138B" w:rsidRDefault="00DF138B" w:rsidP="00DF138B">
      <w:r w:rsidRPr="002D3A60">
        <w:rPr>
          <w:b/>
        </w:rPr>
        <w:t>Training:</w:t>
      </w:r>
      <w:r w:rsidRPr="002D3A60">
        <w:t xml:space="preserve"> </w:t>
      </w:r>
    </w:p>
    <w:p w14:paraId="7F1A2544" w14:textId="77777777" w:rsidR="00DF138B" w:rsidRDefault="00DF138B" w:rsidP="00DF138B">
      <w:r w:rsidRPr="003E6F62">
        <w:t xml:space="preserve">Information and the policy landscape can change rapidly. All our information providers and money advisers need to keep up to date with legislative and other changes. We deliver a wide range of training courses covering core information, advice and advocacy topics alongside governance and management topics through our National Training Calendar. MABSndl works with CIB to co-ordinate the delivery of training to board members and managers and also delivers training to money advisers. </w:t>
      </w:r>
    </w:p>
    <w:p w14:paraId="2914A461" w14:textId="77777777" w:rsidR="00DF138B" w:rsidRPr="003E6F62" w:rsidRDefault="00DF138B" w:rsidP="00DF138B"/>
    <w:p w14:paraId="17F2EEB0" w14:textId="77777777" w:rsidR="00DF138B" w:rsidRDefault="00DF138B" w:rsidP="00DF138B">
      <w:r w:rsidRPr="003E6F62">
        <w:t>In 2015, we delivered 35 courses (50 training events)  attended by 1,070 people. The majority of participants came from Citizens Information Services although other voluntary and statutory organisations also took part.</w:t>
      </w:r>
    </w:p>
    <w:p w14:paraId="5DBB9A6C" w14:textId="77777777" w:rsidR="00DF138B" w:rsidRPr="003E6F62" w:rsidRDefault="00DF138B" w:rsidP="00DF138B"/>
    <w:p w14:paraId="011FFBD4" w14:textId="77777777" w:rsidR="00DF138B" w:rsidRDefault="00DF138B" w:rsidP="00DF138B">
      <w:r w:rsidRPr="003E6F62">
        <w:t xml:space="preserve">A particular feature of the 2015 training calendar was offering training on the impact of new legislation on CIS’s and clients. These courses included Workplace Relations Act 2015 and Charities Act 2009 and Companies Act 2015. </w:t>
      </w:r>
    </w:p>
    <w:p w14:paraId="430C9848" w14:textId="77777777" w:rsidR="00DF138B" w:rsidRPr="002D3A60" w:rsidRDefault="00DF138B" w:rsidP="00DF138B"/>
    <w:p w14:paraId="553AD8B3" w14:textId="77777777" w:rsidR="00DF138B" w:rsidRPr="002D3A60" w:rsidRDefault="00DF138B" w:rsidP="00DF138B">
      <w:r w:rsidRPr="002D3A60">
        <w:t>In 2015 we also offered targeted training for staff, volunteer and board roles including:</w:t>
      </w:r>
    </w:p>
    <w:p w14:paraId="4D982876" w14:textId="77777777" w:rsidR="00DF138B" w:rsidRPr="002D3A60" w:rsidRDefault="00DF138B" w:rsidP="00DF138B"/>
    <w:p w14:paraId="6155241C" w14:textId="77777777" w:rsidR="00DF138B" w:rsidRDefault="00DF138B" w:rsidP="00DF138B">
      <w:pPr>
        <w:numPr>
          <w:ilvl w:val="0"/>
          <w:numId w:val="10"/>
        </w:numPr>
      </w:pPr>
      <w:r w:rsidRPr="002D3A60">
        <w:rPr>
          <w:i/>
        </w:rPr>
        <w:t>Preparing for the role of Volunteer Co-ordinator in CISs</w:t>
      </w:r>
      <w:r w:rsidRPr="002D3A60">
        <w:t xml:space="preserve">  </w:t>
      </w:r>
    </w:p>
    <w:p w14:paraId="1A573FEF" w14:textId="77777777" w:rsidR="00DF138B" w:rsidRPr="002D3A60" w:rsidRDefault="00DF138B" w:rsidP="00DF138B">
      <w:pPr>
        <w:ind w:left="720"/>
      </w:pPr>
    </w:p>
    <w:p w14:paraId="203C6DAC" w14:textId="77777777" w:rsidR="00DF138B" w:rsidRDefault="00DF138B" w:rsidP="00DF138B">
      <w:pPr>
        <w:numPr>
          <w:ilvl w:val="0"/>
          <w:numId w:val="11"/>
        </w:numPr>
        <w:rPr>
          <w:lang w:val="ga-IE"/>
        </w:rPr>
      </w:pPr>
      <w:r w:rsidRPr="002D3A60">
        <w:rPr>
          <w:i/>
          <w:lang w:val="en-GB"/>
        </w:rPr>
        <w:t>Effective Governance for Board members of CIB-Funded Services</w:t>
      </w:r>
      <w:r w:rsidRPr="002D3A60">
        <w:rPr>
          <w:lang w:val="en-GB"/>
        </w:rPr>
        <w:t>:</w:t>
      </w:r>
      <w:r w:rsidRPr="002D3A60">
        <w:rPr>
          <w:lang w:val="ga-IE"/>
        </w:rPr>
        <w:t xml:space="preserve"> This governance training is provided to help those who are newly appointed to Boards to fully understand their roles.  It was run on three occasions and attended by 46 people from both MABS and CIS Boards.</w:t>
      </w:r>
    </w:p>
    <w:p w14:paraId="49481BA7" w14:textId="77777777" w:rsidR="00DF138B" w:rsidRPr="002D3A60" w:rsidRDefault="00DF138B" w:rsidP="00DF138B">
      <w:pPr>
        <w:ind w:left="720"/>
        <w:rPr>
          <w:lang w:val="ga-IE"/>
        </w:rPr>
      </w:pPr>
    </w:p>
    <w:p w14:paraId="6E59AA09" w14:textId="77777777" w:rsidR="00DF138B" w:rsidRPr="002D3A60" w:rsidRDefault="00DF138B" w:rsidP="00DF138B">
      <w:pPr>
        <w:numPr>
          <w:ilvl w:val="0"/>
          <w:numId w:val="11"/>
        </w:numPr>
        <w:rPr>
          <w:lang w:val="en-GB"/>
        </w:rPr>
      </w:pPr>
      <w:r w:rsidRPr="002D3A60">
        <w:rPr>
          <w:i/>
          <w:iCs/>
          <w:lang w:val="en-GB"/>
        </w:rPr>
        <w:t>Performance Management and Development System (PMDS)</w:t>
      </w:r>
    </w:p>
    <w:p w14:paraId="00DD0958" w14:textId="77777777" w:rsidR="00DF138B" w:rsidRPr="002D3A60" w:rsidRDefault="00DF138B" w:rsidP="00DF138B">
      <w:pPr>
        <w:rPr>
          <w:lang w:val="en-GB"/>
        </w:rPr>
      </w:pPr>
    </w:p>
    <w:p w14:paraId="3ABC2200" w14:textId="77777777" w:rsidR="00DF138B" w:rsidRPr="006B0F98" w:rsidRDefault="00DF138B" w:rsidP="00DF138B">
      <w:pPr>
        <w:rPr>
          <w:lang w:val="en-GB"/>
        </w:rPr>
      </w:pPr>
      <w:r w:rsidRPr="006B0F98">
        <w:rPr>
          <w:lang w:val="en-GB"/>
        </w:rPr>
        <w:t xml:space="preserve">2015 also saw the introduction of eLearning courses. Two pilot courses </w:t>
      </w:r>
    </w:p>
    <w:p w14:paraId="5E713A35" w14:textId="77777777" w:rsidR="00DF138B" w:rsidRDefault="00DF138B" w:rsidP="00DF138B">
      <w:pPr>
        <w:rPr>
          <w:lang w:val="en-GB"/>
        </w:rPr>
      </w:pPr>
      <w:r w:rsidRPr="006B0F98">
        <w:rPr>
          <w:lang w:val="en-GB"/>
        </w:rPr>
        <w:t>were run on Recent Developments in Employment Law and Means Testing.  We plan to build on the success of these courses in 2016.</w:t>
      </w:r>
    </w:p>
    <w:p w14:paraId="38D2F140" w14:textId="77777777" w:rsidR="00DF138B" w:rsidRPr="006B0F98" w:rsidRDefault="00DF138B" w:rsidP="00DF138B">
      <w:pPr>
        <w:rPr>
          <w:lang w:val="en-GB"/>
        </w:rPr>
      </w:pPr>
    </w:p>
    <w:p w14:paraId="0F7DF09B" w14:textId="77777777" w:rsidR="00DF138B" w:rsidRDefault="00DF138B" w:rsidP="00DF138B">
      <w:pPr>
        <w:rPr>
          <w:lang w:val="en-GB"/>
        </w:rPr>
      </w:pPr>
      <w:r w:rsidRPr="006B0F98">
        <w:rPr>
          <w:lang w:val="en-GB"/>
        </w:rPr>
        <w:t>During 2015, MABSndl provided training on the new procedures for special accounts, the new BPFI protocol and two Personal Insolvency Modules were delivered for new AIs.  Money management education was also prioritised on the MABS training events calendar.  A number of induction events were also delivered during the year, in light of the backfill requirements from the Dedicated Mortgage Arrears (DMA) developments.</w:t>
      </w:r>
    </w:p>
    <w:p w14:paraId="6D84214E" w14:textId="77777777" w:rsidR="00DF138B" w:rsidRDefault="00DF138B" w:rsidP="00DF138B">
      <w:pPr>
        <w:rPr>
          <w:lang w:val="en-GB"/>
        </w:rPr>
      </w:pPr>
    </w:p>
    <w:p w14:paraId="00FE939E" w14:textId="77777777" w:rsidR="00DF138B" w:rsidRPr="002D3A60" w:rsidRDefault="00DF138B" w:rsidP="00DF138B"/>
    <w:p w14:paraId="4171C5A0" w14:textId="77777777" w:rsidR="00DF138B" w:rsidRDefault="00DF138B" w:rsidP="00DF138B">
      <w:r w:rsidRPr="002D3A60">
        <w:rPr>
          <w:b/>
        </w:rPr>
        <w:t>Updates:</w:t>
      </w:r>
      <w:r w:rsidRPr="002D3A60">
        <w:t xml:space="preserve"> </w:t>
      </w:r>
    </w:p>
    <w:p w14:paraId="44B771EE" w14:textId="77777777" w:rsidR="00DF138B" w:rsidRPr="006B0F98" w:rsidRDefault="00DF138B" w:rsidP="00DF138B">
      <w:r w:rsidRPr="006B0F98">
        <w:t xml:space="preserve">In addition to news stories on the citizensinformation.ie website, every fortnight we send out the ‘Scope’ email newsletter to inform and update our services on relevant developments. We let delivery services know about recent changes in schemes and services, new legislation, publications, websites and consultations as well as upcoming dates and events. </w:t>
      </w:r>
    </w:p>
    <w:p w14:paraId="4C9A7E7E" w14:textId="77777777" w:rsidR="00DF138B" w:rsidRDefault="00DF138B" w:rsidP="00DF138B">
      <w:r w:rsidRPr="006B0F98">
        <w:t>We also distribute a Social Policy Update. This e-bulletin focuses on the social policy work of CIB and our services. It also provides information on national social policy news, activity and resources. Eight issues were produced in 2015.</w:t>
      </w:r>
    </w:p>
    <w:p w14:paraId="5DF3891B" w14:textId="77777777" w:rsidR="00DF138B" w:rsidRPr="002D3A60" w:rsidRDefault="00DF138B" w:rsidP="00DF138B"/>
    <w:p w14:paraId="62DFA8C6" w14:textId="77777777" w:rsidR="00DF138B" w:rsidRDefault="00DF138B" w:rsidP="00DF138B">
      <w:r w:rsidRPr="002D3A60">
        <w:rPr>
          <w:b/>
        </w:rPr>
        <w:t>Library:</w:t>
      </w:r>
      <w:r w:rsidRPr="002D3A60">
        <w:t xml:space="preserve"> </w:t>
      </w:r>
    </w:p>
    <w:p w14:paraId="395A9736" w14:textId="77777777" w:rsidR="00DF138B" w:rsidRPr="006B0F98" w:rsidRDefault="00DF138B" w:rsidP="00DF138B">
      <w:r w:rsidRPr="006B0F98">
        <w:t xml:space="preserve">We maintain a library of approximately 20,000 items in our head office. </w:t>
      </w:r>
    </w:p>
    <w:p w14:paraId="6367BFF1" w14:textId="77777777" w:rsidR="00DF138B" w:rsidRDefault="00DF138B" w:rsidP="00DF138B">
      <w:r w:rsidRPr="006B0F98">
        <w:t>The library is a valuable research tool for social policy work as well as for CIB’s delivery services.</w:t>
      </w:r>
    </w:p>
    <w:p w14:paraId="10BD8406" w14:textId="77777777" w:rsidR="00325506" w:rsidRDefault="00325506" w:rsidP="00DF138B"/>
    <w:p w14:paraId="517EA5C8" w14:textId="77777777" w:rsidR="00325506" w:rsidRDefault="00325506" w:rsidP="00DF138B"/>
    <w:p w14:paraId="02AACE10" w14:textId="77777777" w:rsidR="00325506" w:rsidRDefault="00325506" w:rsidP="00DF138B"/>
    <w:p w14:paraId="6DAFFE92" w14:textId="77777777" w:rsidR="00325506" w:rsidRPr="002D3A60" w:rsidRDefault="00325506" w:rsidP="00DF138B"/>
    <w:p w14:paraId="79F4A8B1" w14:textId="77777777" w:rsidR="00DF138B" w:rsidRPr="002D3A60" w:rsidRDefault="00DF138B" w:rsidP="003E6F62"/>
    <w:p w14:paraId="72AA73B7" w14:textId="617360A1" w:rsidR="005732BC" w:rsidRDefault="008251D8" w:rsidP="004A2DC1">
      <w:pPr>
        <w:pStyle w:val="Heading1"/>
      </w:pPr>
      <w:bookmarkStart w:id="53" w:name="_Toc337126480"/>
      <w:bookmarkStart w:id="54" w:name="_Toc337126571"/>
      <w:r>
        <w:lastRenderedPageBreak/>
        <w:t xml:space="preserve">Providing information </w:t>
      </w:r>
      <w:r w:rsidR="00A06F57">
        <w:t>-</w:t>
      </w:r>
      <w:r>
        <w:t>w</w:t>
      </w:r>
      <w:r w:rsidR="007A3718">
        <w:t>ebsites and publications</w:t>
      </w:r>
      <w:bookmarkEnd w:id="53"/>
      <w:bookmarkEnd w:id="54"/>
      <w:r w:rsidR="007A3718">
        <w:t xml:space="preserve"> </w:t>
      </w:r>
    </w:p>
    <w:p w14:paraId="3F4ACC03" w14:textId="77777777" w:rsidR="0051746C" w:rsidRPr="002D3A60" w:rsidRDefault="0051746C" w:rsidP="00FB5CC0">
      <w:bookmarkStart w:id="55" w:name="_Toc438544254"/>
      <w:bookmarkStart w:id="56" w:name="_Toc438544290"/>
    </w:p>
    <w:p w14:paraId="6302AF55" w14:textId="484C9E58" w:rsidR="00FB5CC0" w:rsidRDefault="006B0F98" w:rsidP="005927C4">
      <w:pPr>
        <w:pStyle w:val="Heading2"/>
      </w:pPr>
      <w:bookmarkStart w:id="57" w:name="_Toc450922519"/>
      <w:bookmarkStart w:id="58" w:name="_Toc337126481"/>
      <w:r>
        <w:t>C</w:t>
      </w:r>
      <w:r w:rsidR="007A3718">
        <w:t>itizens</w:t>
      </w:r>
      <w:r>
        <w:t xml:space="preserve"> </w:t>
      </w:r>
      <w:r w:rsidR="007A3718">
        <w:t>information</w:t>
      </w:r>
      <w:bookmarkEnd w:id="57"/>
      <w:bookmarkEnd w:id="58"/>
    </w:p>
    <w:p w14:paraId="56BED7B7" w14:textId="77777777" w:rsidR="006B0F98" w:rsidRPr="006B0F98" w:rsidRDefault="006B0F98" w:rsidP="006B0F98"/>
    <w:p w14:paraId="6F66B511" w14:textId="77777777" w:rsidR="00991E82" w:rsidRDefault="00991E82" w:rsidP="00C312A9">
      <w:pPr>
        <w:rPr>
          <w:lang w:val="en-IE"/>
        </w:rPr>
      </w:pPr>
      <w:bookmarkStart w:id="59" w:name="_Toc337126482"/>
      <w:bookmarkStart w:id="60" w:name="_Toc450922520"/>
      <w:r w:rsidRPr="00991E82">
        <w:rPr>
          <w:lang w:val="en-IE"/>
        </w:rPr>
        <w:t>The citizensinformation.ie website provides public service information for Ireland. It informs the general public of their rights and entitlements and is the primary information source for information providers in Citizens Information Services and the Citizens Information Phone Service, as well as providing useful information for officers in the Money Advice and Budgeting Service, and other organisations.</w:t>
      </w:r>
      <w:bookmarkEnd w:id="59"/>
    </w:p>
    <w:p w14:paraId="05370B19" w14:textId="77777777" w:rsidR="00C312A9" w:rsidRPr="00C312A9" w:rsidRDefault="00C312A9" w:rsidP="00C312A9">
      <w:pPr>
        <w:rPr>
          <w:lang w:val="en-IE"/>
        </w:rPr>
      </w:pPr>
    </w:p>
    <w:p w14:paraId="1BD04288" w14:textId="3E217FFF" w:rsidR="00991E82" w:rsidRDefault="00991E82" w:rsidP="00C312A9">
      <w:pPr>
        <w:rPr>
          <w:lang w:val="en-IE"/>
        </w:rPr>
      </w:pPr>
      <w:bookmarkStart w:id="61" w:name="_Toc337126483"/>
      <w:r w:rsidRPr="00991E82">
        <w:rPr>
          <w:lang w:val="en-IE"/>
        </w:rPr>
        <w:t>In 2015 citizensinformation.ie recorded more than 16.9m visits, more than 49.8m pageviews and an average of more than 802,000 unique visitors per month.</w:t>
      </w:r>
      <w:bookmarkEnd w:id="61"/>
    </w:p>
    <w:p w14:paraId="4A0AA46D" w14:textId="77777777" w:rsidR="00C312A9" w:rsidRPr="00C312A9" w:rsidRDefault="00C312A9" w:rsidP="00C312A9">
      <w:pPr>
        <w:rPr>
          <w:lang w:val="en-IE"/>
        </w:rPr>
      </w:pPr>
    </w:p>
    <w:p w14:paraId="1F951FBE" w14:textId="77777777" w:rsidR="00991E82" w:rsidRDefault="00991E82" w:rsidP="00C312A9">
      <w:pPr>
        <w:rPr>
          <w:lang w:val="en-IE"/>
        </w:rPr>
      </w:pPr>
      <w:bookmarkStart w:id="62" w:name="_Toc337126484"/>
      <w:r w:rsidRPr="00991E82">
        <w:rPr>
          <w:lang w:val="en-IE"/>
        </w:rPr>
        <w:t>The website adapts automatically to different screen sizes on different devices, for example, laptops, tablets or smartphones. A number of improvements were made to the website in 2015 following an accessibility audit in December 2014.</w:t>
      </w:r>
      <w:bookmarkEnd w:id="62"/>
      <w:r w:rsidRPr="00991E82">
        <w:rPr>
          <w:lang w:val="en-IE"/>
        </w:rPr>
        <w:t xml:space="preserve"> </w:t>
      </w:r>
    </w:p>
    <w:p w14:paraId="3A6DF0A2" w14:textId="77777777" w:rsidR="00C312A9" w:rsidRPr="00C312A9" w:rsidRDefault="00C312A9" w:rsidP="00C312A9">
      <w:pPr>
        <w:rPr>
          <w:lang w:val="en-IE"/>
        </w:rPr>
      </w:pPr>
    </w:p>
    <w:p w14:paraId="1E5B27B9" w14:textId="6579D783" w:rsidR="00991E82" w:rsidRDefault="00991E82" w:rsidP="00C312A9">
      <w:pPr>
        <w:rPr>
          <w:lang w:val="en-IE"/>
        </w:rPr>
      </w:pPr>
      <w:bookmarkStart w:id="63" w:name="_Toc337126485"/>
      <w:r w:rsidRPr="00991E82">
        <w:rPr>
          <w:lang w:val="en-IE"/>
        </w:rPr>
        <w:t>Citizensinformation.ie currently carries more than 1,300 documents in English, a similar number of documents in Irish and a wide range of documents in Polish, Romanian and French. More than 4,000 updates were made to these documents in 2015 - many as a result of feedback received from our delivery services and the public.</w:t>
      </w:r>
      <w:bookmarkEnd w:id="63"/>
      <w:r w:rsidRPr="00991E82">
        <w:rPr>
          <w:lang w:val="en-IE"/>
        </w:rPr>
        <w:t xml:space="preserve"> </w:t>
      </w:r>
    </w:p>
    <w:p w14:paraId="55E3716E" w14:textId="77777777" w:rsidR="00C312A9" w:rsidRPr="00C312A9" w:rsidRDefault="00C312A9" w:rsidP="00C312A9">
      <w:pPr>
        <w:rPr>
          <w:lang w:val="en-IE"/>
        </w:rPr>
      </w:pPr>
    </w:p>
    <w:p w14:paraId="6B660DB1" w14:textId="77777777" w:rsidR="00C16E40" w:rsidRDefault="00991E82" w:rsidP="00C312A9">
      <w:pPr>
        <w:rPr>
          <w:lang w:val="en-IE"/>
        </w:rPr>
      </w:pPr>
      <w:bookmarkStart w:id="64" w:name="_Toc337126486"/>
      <w:r w:rsidRPr="00991E82">
        <w:rPr>
          <w:lang w:val="en-IE"/>
        </w:rPr>
        <w:t>Some of the busiest pages on citizensinformation.ie in 2015 included:</w:t>
      </w:r>
      <w:bookmarkEnd w:id="64"/>
    </w:p>
    <w:p w14:paraId="30B210B9" w14:textId="09A3E97F" w:rsidR="00C16E40" w:rsidRPr="00C312A9" w:rsidRDefault="00991E82" w:rsidP="00C312A9">
      <w:pPr>
        <w:pStyle w:val="ListParagraph"/>
        <w:numPr>
          <w:ilvl w:val="0"/>
          <w:numId w:val="16"/>
        </w:numPr>
        <w:rPr>
          <w:lang w:val="en-IE"/>
        </w:rPr>
      </w:pPr>
      <w:bookmarkStart w:id="65" w:name="_Toc337126487"/>
      <w:r w:rsidRPr="00C312A9">
        <w:rPr>
          <w:lang w:val="en-IE"/>
        </w:rPr>
        <w:t>Visa re</w:t>
      </w:r>
      <w:r w:rsidR="00C16E40" w:rsidRPr="00C312A9">
        <w:rPr>
          <w:lang w:val="en-IE"/>
        </w:rPr>
        <w:t>quirements for entering Ireland</w:t>
      </w:r>
      <w:bookmarkEnd w:id="65"/>
    </w:p>
    <w:p w14:paraId="1D9353AF" w14:textId="19AAFB9D" w:rsidR="00C16E40" w:rsidRPr="00C312A9" w:rsidRDefault="00C16E40" w:rsidP="00C312A9">
      <w:pPr>
        <w:pStyle w:val="ListParagraph"/>
        <w:numPr>
          <w:ilvl w:val="0"/>
          <w:numId w:val="16"/>
        </w:numPr>
        <w:rPr>
          <w:lang w:val="en-IE"/>
        </w:rPr>
      </w:pPr>
      <w:bookmarkStart w:id="66" w:name="_Toc337126488"/>
      <w:r w:rsidRPr="00C312A9">
        <w:rPr>
          <w:lang w:val="en-IE"/>
        </w:rPr>
        <w:t>Renewing an Irish passport</w:t>
      </w:r>
      <w:bookmarkEnd w:id="66"/>
    </w:p>
    <w:p w14:paraId="2BE64AC8" w14:textId="7E6B2428" w:rsidR="00C16E40" w:rsidRPr="00C312A9" w:rsidRDefault="00C16E40" w:rsidP="00C312A9">
      <w:pPr>
        <w:pStyle w:val="ListParagraph"/>
        <w:numPr>
          <w:ilvl w:val="0"/>
          <w:numId w:val="16"/>
        </w:numPr>
        <w:rPr>
          <w:lang w:val="en-IE"/>
        </w:rPr>
      </w:pPr>
      <w:bookmarkStart w:id="67" w:name="_Toc337126489"/>
      <w:r w:rsidRPr="00C312A9">
        <w:rPr>
          <w:lang w:val="en-IE"/>
        </w:rPr>
        <w:t>Family Income Supplement</w:t>
      </w:r>
      <w:bookmarkEnd w:id="67"/>
    </w:p>
    <w:p w14:paraId="2CBA15E5" w14:textId="77777777" w:rsidR="00C312A9" w:rsidRPr="00C312A9" w:rsidRDefault="00C312A9" w:rsidP="00C312A9">
      <w:pPr>
        <w:rPr>
          <w:lang w:val="en-IE"/>
        </w:rPr>
      </w:pPr>
    </w:p>
    <w:p w14:paraId="4226A1A5" w14:textId="5F1415B9" w:rsidR="00C16E40" w:rsidRDefault="00991E82" w:rsidP="00C312A9">
      <w:pPr>
        <w:rPr>
          <w:lang w:val="en-IE"/>
        </w:rPr>
      </w:pPr>
      <w:bookmarkStart w:id="68" w:name="_Toc337126490"/>
      <w:r w:rsidRPr="00991E82">
        <w:rPr>
          <w:lang w:val="en-IE"/>
        </w:rPr>
        <w:t>We work with the Office of the Government Chief Information Officer in the Department of Public Expenditure and Reform on the technical side of citizensinformation.ie. We also syndicate social welfare information from citizensinformation.ie to the website of the Department of Social Protection, welfare.ie.</w:t>
      </w:r>
      <w:bookmarkEnd w:id="60"/>
      <w:bookmarkEnd w:id="68"/>
    </w:p>
    <w:p w14:paraId="44EE0055" w14:textId="77777777" w:rsidR="00C16E40" w:rsidRPr="00C16E40" w:rsidRDefault="00C16E40" w:rsidP="00C16E40"/>
    <w:p w14:paraId="7A1D2501" w14:textId="77777777" w:rsidR="00C312A9" w:rsidRDefault="00FB5CC0" w:rsidP="005927C4">
      <w:pPr>
        <w:pStyle w:val="Heading2"/>
        <w:rPr>
          <w:lang w:val="en-IE"/>
        </w:rPr>
      </w:pPr>
      <w:r w:rsidRPr="00FB5CC0">
        <w:rPr>
          <w:lang w:val="en-IE"/>
        </w:rPr>
        <w:t>Keepingyourhome.ie</w:t>
      </w:r>
    </w:p>
    <w:p w14:paraId="173E2329" w14:textId="4B219C49" w:rsidR="00C16E40" w:rsidRDefault="00C16E40" w:rsidP="00C312A9">
      <w:pPr>
        <w:rPr>
          <w:lang w:val="en-IE"/>
        </w:rPr>
      </w:pPr>
      <w:r>
        <w:rPr>
          <w:lang w:val="en-IE"/>
        </w:rPr>
        <w:br/>
      </w:r>
      <w:r w:rsidRPr="00C16E40">
        <w:rPr>
          <w:lang w:val="en-IE"/>
        </w:rPr>
        <w:t>Keepingyourhome.ie is a microsite aimed at people who are worried about mortgage repayments or who are in mortgage arrears.</w:t>
      </w:r>
    </w:p>
    <w:p w14:paraId="4469CB57" w14:textId="77777777" w:rsidR="00C312A9" w:rsidRPr="00C312A9" w:rsidRDefault="00C312A9" w:rsidP="00C312A9">
      <w:pPr>
        <w:rPr>
          <w:lang w:val="en-IE"/>
        </w:rPr>
      </w:pPr>
    </w:p>
    <w:p w14:paraId="45D79883" w14:textId="2CF93A17" w:rsidR="00C16E40" w:rsidRDefault="00C16E40" w:rsidP="00C312A9">
      <w:pPr>
        <w:rPr>
          <w:lang w:val="en-IE"/>
        </w:rPr>
      </w:pPr>
      <w:r w:rsidRPr="00C16E40">
        <w:rPr>
          <w:lang w:val="en-IE"/>
        </w:rPr>
        <w:t xml:space="preserve">In December 2015, a new dedicated mortgage arrears service was launched within the Money Advice and Budgeting Service (MABS) (see page </w:t>
      </w:r>
      <w:r w:rsidR="0070006C">
        <w:rPr>
          <w:lang w:val="en-IE"/>
        </w:rPr>
        <w:t>33</w:t>
      </w:r>
      <w:r w:rsidRPr="00C16E40">
        <w:rPr>
          <w:lang w:val="en-IE"/>
        </w:rPr>
        <w:t xml:space="preserve"> below). Keepingyourhome.ie was completely redesigned to provide a cleaner, more usable interface. Information documents on the website were reviewed and updated and an interactive, step-by-step guide to mortgage arrears was </w:t>
      </w:r>
      <w:r w:rsidRPr="00C16E40">
        <w:rPr>
          <w:lang w:val="en-IE"/>
        </w:rPr>
        <w:lastRenderedPageBreak/>
        <w:t xml:space="preserve">developed (see keepingyourhome.ie/step-by-step/guide.html). This guide is also available as an app for Android and Apple smartphones. </w:t>
      </w:r>
    </w:p>
    <w:p w14:paraId="29AA9F73" w14:textId="77777777" w:rsidR="00C312A9" w:rsidRPr="00C312A9" w:rsidRDefault="00C312A9" w:rsidP="00C312A9">
      <w:pPr>
        <w:rPr>
          <w:lang w:val="en-IE"/>
        </w:rPr>
      </w:pPr>
    </w:p>
    <w:p w14:paraId="315CB820" w14:textId="7946DD7C" w:rsidR="00C16E40" w:rsidRDefault="00C16E40" w:rsidP="00C312A9">
      <w:pPr>
        <w:rPr>
          <w:lang w:val="en-IE"/>
        </w:rPr>
      </w:pPr>
      <w:r w:rsidRPr="00C16E40">
        <w:rPr>
          <w:lang w:val="en-IE"/>
        </w:rPr>
        <w:t>Keepingyourhome.ie hosts the details of more than 1,300 accountants who can provide advice on mortgage resolution proposals.</w:t>
      </w:r>
    </w:p>
    <w:p w14:paraId="11B3C643" w14:textId="77777777" w:rsidR="00C312A9" w:rsidRPr="00C312A9" w:rsidRDefault="00C312A9" w:rsidP="00C312A9">
      <w:pPr>
        <w:rPr>
          <w:lang w:val="en-IE"/>
        </w:rPr>
      </w:pPr>
    </w:p>
    <w:p w14:paraId="4D107944" w14:textId="77777777" w:rsidR="00C16E40" w:rsidRDefault="00C16E40" w:rsidP="00C312A9">
      <w:pPr>
        <w:rPr>
          <w:lang w:val="en-IE"/>
        </w:rPr>
      </w:pPr>
      <w:r w:rsidRPr="00C16E40">
        <w:rPr>
          <w:lang w:val="en-IE"/>
        </w:rPr>
        <w:t>In 2015 the site recorded 85,529 visits, 194,911 pageviews and an average of 4,567 unique visitors per month.</w:t>
      </w:r>
    </w:p>
    <w:p w14:paraId="38C9B6C2" w14:textId="77777777" w:rsidR="00C312A9" w:rsidRPr="00C312A9" w:rsidRDefault="00C312A9" w:rsidP="00C312A9">
      <w:pPr>
        <w:rPr>
          <w:lang w:val="en-IE"/>
        </w:rPr>
      </w:pPr>
    </w:p>
    <w:p w14:paraId="0C091726" w14:textId="77777777" w:rsidR="00C16E40" w:rsidRDefault="00C16E40" w:rsidP="00C312A9">
      <w:pPr>
        <w:rPr>
          <w:lang w:val="en-IE"/>
        </w:rPr>
      </w:pPr>
      <w:r w:rsidRPr="00C16E40">
        <w:rPr>
          <w:lang w:val="en-IE"/>
        </w:rPr>
        <w:t>The busiest pages on the website in 2015 were:</w:t>
      </w:r>
    </w:p>
    <w:p w14:paraId="2D74EFB8" w14:textId="77777777" w:rsidR="00C312A9" w:rsidRPr="00C312A9" w:rsidRDefault="00C312A9" w:rsidP="00C312A9">
      <w:pPr>
        <w:rPr>
          <w:lang w:val="en-IE"/>
        </w:rPr>
      </w:pPr>
    </w:p>
    <w:p w14:paraId="53C9C06E" w14:textId="77777777" w:rsidR="00C16E40" w:rsidRPr="00C312A9" w:rsidRDefault="00C16E40" w:rsidP="00C312A9">
      <w:pPr>
        <w:pStyle w:val="ListParagraph"/>
        <w:numPr>
          <w:ilvl w:val="0"/>
          <w:numId w:val="25"/>
        </w:numPr>
        <w:rPr>
          <w:lang w:val="en-IE"/>
        </w:rPr>
      </w:pPr>
      <w:r w:rsidRPr="00C312A9">
        <w:rPr>
          <w:lang w:val="en-IE"/>
        </w:rPr>
        <w:t>Overview for homeowners</w:t>
      </w:r>
    </w:p>
    <w:p w14:paraId="7DE81B91" w14:textId="77777777" w:rsidR="00C16E40" w:rsidRPr="00C312A9" w:rsidRDefault="00C16E40" w:rsidP="00C312A9">
      <w:pPr>
        <w:pStyle w:val="ListParagraph"/>
        <w:numPr>
          <w:ilvl w:val="0"/>
          <w:numId w:val="25"/>
        </w:numPr>
        <w:rPr>
          <w:lang w:val="en-IE"/>
        </w:rPr>
      </w:pPr>
      <w:r w:rsidRPr="00C312A9">
        <w:rPr>
          <w:lang w:val="en-IE"/>
        </w:rPr>
        <w:t>Mortgage Arrears Resolution Process (MARP)</w:t>
      </w:r>
    </w:p>
    <w:p w14:paraId="2EABD017" w14:textId="77777777" w:rsidR="00C16E40" w:rsidRPr="00C312A9" w:rsidRDefault="00C16E40" w:rsidP="00C312A9">
      <w:pPr>
        <w:pStyle w:val="ListParagraph"/>
        <w:numPr>
          <w:ilvl w:val="0"/>
          <w:numId w:val="25"/>
        </w:numPr>
        <w:rPr>
          <w:lang w:val="en-IE"/>
        </w:rPr>
      </w:pPr>
      <w:r w:rsidRPr="00C312A9">
        <w:rPr>
          <w:lang w:val="en-IE"/>
        </w:rPr>
        <w:t>Overview of mortgage debt</w:t>
      </w:r>
    </w:p>
    <w:p w14:paraId="16B220D1" w14:textId="77777777" w:rsidR="00C16E40" w:rsidRDefault="00C16E40" w:rsidP="00C16E40">
      <w:pPr>
        <w:pStyle w:val="Heading4"/>
        <w:rPr>
          <w:lang w:val="en-IE"/>
        </w:rPr>
      </w:pPr>
    </w:p>
    <w:p w14:paraId="6B72F09F" w14:textId="77777777" w:rsidR="00C312A9" w:rsidRDefault="00C16E40" w:rsidP="005927C4">
      <w:pPr>
        <w:pStyle w:val="Heading4"/>
        <w:rPr>
          <w:lang w:val="en-IE"/>
        </w:rPr>
      </w:pPr>
      <w:r w:rsidRPr="00FB5CC0">
        <w:rPr>
          <w:lang w:val="en-IE"/>
        </w:rPr>
        <w:t>Assist Ireland</w:t>
      </w:r>
      <w:r>
        <w:rPr>
          <w:lang w:val="en-IE"/>
        </w:rPr>
        <w:t xml:space="preserve"> </w:t>
      </w:r>
    </w:p>
    <w:p w14:paraId="2235979A" w14:textId="3385F2CE" w:rsidR="00C16E40" w:rsidRDefault="00C16E40" w:rsidP="00C312A9">
      <w:pPr>
        <w:rPr>
          <w:lang w:val="en-IE"/>
        </w:rPr>
      </w:pPr>
      <w:r>
        <w:rPr>
          <w:lang w:val="en-IE"/>
        </w:rPr>
        <w:br/>
      </w:r>
      <w:r w:rsidRPr="00C16E40">
        <w:rPr>
          <w:lang w:val="en-IE"/>
        </w:rPr>
        <w:t>The assistireland.ie website provides information on assistive technology (aids and appliances) for older people and people with disabilities in Ireland. The website has a large products directory containing details of more than 7,200 products that are designed to help people to live independently. Each product listing includes details of suppliers of that product. More than 400 new products were added to the website in 2015.</w:t>
      </w:r>
    </w:p>
    <w:p w14:paraId="34C0AA2B" w14:textId="77777777" w:rsidR="00C312A9" w:rsidRPr="00C312A9" w:rsidRDefault="00C312A9" w:rsidP="00C312A9">
      <w:pPr>
        <w:rPr>
          <w:lang w:val="en-IE"/>
        </w:rPr>
      </w:pPr>
    </w:p>
    <w:p w14:paraId="7D05A411" w14:textId="77777777" w:rsidR="00C16E40" w:rsidRDefault="00C16E40" w:rsidP="00C312A9">
      <w:pPr>
        <w:rPr>
          <w:lang w:val="en-IE"/>
        </w:rPr>
      </w:pPr>
      <w:r w:rsidRPr="00C16E40">
        <w:rPr>
          <w:lang w:val="en-IE"/>
        </w:rPr>
        <w:t>Assistireland.ie also has an extensive information section that provides general information on assistive technology. Examples of popular documents in this area include our documents on personal alarms and telecare and on apps for people with disabilities. In 2015 new documents were added in relation to choosing equipment to help with memory and safety and locating suppliers of mastectomy products.</w:t>
      </w:r>
    </w:p>
    <w:p w14:paraId="5E4D0B96" w14:textId="77777777" w:rsidR="00C312A9" w:rsidRPr="00C312A9" w:rsidRDefault="00C312A9" w:rsidP="00C312A9">
      <w:pPr>
        <w:rPr>
          <w:lang w:val="en-IE"/>
        </w:rPr>
      </w:pPr>
    </w:p>
    <w:p w14:paraId="5C74180F" w14:textId="77777777" w:rsidR="00C16E40" w:rsidRDefault="00C16E40" w:rsidP="00C312A9">
      <w:pPr>
        <w:rPr>
          <w:lang w:val="en-IE"/>
        </w:rPr>
      </w:pPr>
      <w:r w:rsidRPr="00C16E40">
        <w:rPr>
          <w:lang w:val="en-IE"/>
        </w:rPr>
        <w:t>Assistireland.ie is a fully responsive website that adapts to different devices (for example, tablets or smartphones). Assistireland.ie was audited for accessibility in December 2014 and a range of improvements were made to the site in early 2015.</w:t>
      </w:r>
    </w:p>
    <w:p w14:paraId="4CC25CC6" w14:textId="77777777" w:rsidR="00C312A9" w:rsidRPr="00C312A9" w:rsidRDefault="00C312A9" w:rsidP="00C312A9">
      <w:pPr>
        <w:rPr>
          <w:lang w:val="en-IE"/>
        </w:rPr>
      </w:pPr>
    </w:p>
    <w:p w14:paraId="6CCBE943" w14:textId="77777777" w:rsidR="00C16E40" w:rsidRDefault="00C16E40" w:rsidP="00C312A9">
      <w:pPr>
        <w:rPr>
          <w:lang w:val="en-IE"/>
        </w:rPr>
      </w:pPr>
      <w:r w:rsidRPr="00C16E40">
        <w:rPr>
          <w:lang w:val="en-IE"/>
        </w:rPr>
        <w:t>In 2015 assistireland.ie recorded 513,737 visits, more than 1.9m pageviews and an average of 29,619 unique visitors per month. The assistireland.ie support service dealt with more than 1,100 queries by telephone, email and SMS.</w:t>
      </w:r>
    </w:p>
    <w:p w14:paraId="576DE541" w14:textId="77777777" w:rsidR="00C312A9" w:rsidRPr="00C312A9" w:rsidRDefault="00C312A9" w:rsidP="00C312A9">
      <w:pPr>
        <w:rPr>
          <w:lang w:val="en-IE"/>
        </w:rPr>
      </w:pPr>
    </w:p>
    <w:p w14:paraId="65C0AC2B" w14:textId="77777777" w:rsidR="00C16E40" w:rsidRDefault="00C16E40" w:rsidP="00C312A9">
      <w:pPr>
        <w:rPr>
          <w:lang w:val="en-IE"/>
        </w:rPr>
      </w:pPr>
      <w:r w:rsidRPr="00C16E40">
        <w:rPr>
          <w:lang w:val="en-IE"/>
        </w:rPr>
        <w:t>Some of the busiest sections on assistireland.ie in 2015 included:</w:t>
      </w:r>
    </w:p>
    <w:p w14:paraId="2E00D9D6" w14:textId="77777777" w:rsidR="00C312A9" w:rsidRPr="00C312A9" w:rsidRDefault="00C312A9" w:rsidP="00C312A9">
      <w:pPr>
        <w:rPr>
          <w:lang w:val="en-IE"/>
        </w:rPr>
      </w:pPr>
    </w:p>
    <w:p w14:paraId="2B99DF24" w14:textId="77777777" w:rsidR="00C16E40" w:rsidRPr="00C312A9" w:rsidRDefault="00C16E40" w:rsidP="00C312A9">
      <w:pPr>
        <w:pStyle w:val="ListParagraph"/>
        <w:numPr>
          <w:ilvl w:val="0"/>
          <w:numId w:val="26"/>
        </w:numPr>
        <w:rPr>
          <w:lang w:val="en-IE"/>
        </w:rPr>
      </w:pPr>
      <w:r w:rsidRPr="00C312A9">
        <w:rPr>
          <w:lang w:val="en-IE"/>
        </w:rPr>
        <w:t>Apps for people with disabilities and older people</w:t>
      </w:r>
    </w:p>
    <w:p w14:paraId="491222AC" w14:textId="77777777" w:rsidR="00C16E40" w:rsidRPr="00C312A9" w:rsidRDefault="00C16E40" w:rsidP="00C312A9">
      <w:pPr>
        <w:pStyle w:val="ListParagraph"/>
        <w:numPr>
          <w:ilvl w:val="0"/>
          <w:numId w:val="26"/>
        </w:numPr>
        <w:rPr>
          <w:lang w:val="en-IE"/>
        </w:rPr>
      </w:pPr>
      <w:r w:rsidRPr="00C312A9">
        <w:rPr>
          <w:lang w:val="en-IE"/>
        </w:rPr>
        <w:t>Choosing a personal alarm system</w:t>
      </w:r>
    </w:p>
    <w:p w14:paraId="05A4DF89" w14:textId="57C8FBF8" w:rsidR="00C16E40" w:rsidRPr="00C312A9" w:rsidRDefault="00C16E40" w:rsidP="00C312A9">
      <w:pPr>
        <w:pStyle w:val="ListParagraph"/>
        <w:numPr>
          <w:ilvl w:val="0"/>
          <w:numId w:val="26"/>
        </w:numPr>
        <w:rPr>
          <w:lang w:val="en-IE"/>
        </w:rPr>
      </w:pPr>
      <w:r w:rsidRPr="00C312A9">
        <w:rPr>
          <w:lang w:val="en-IE"/>
        </w:rPr>
        <w:t>Products for people who are blind or who have low vision</w:t>
      </w:r>
    </w:p>
    <w:p w14:paraId="5077A9EF" w14:textId="77777777" w:rsidR="00C16E40" w:rsidRPr="00C16E40" w:rsidRDefault="00C16E40" w:rsidP="00C16E40"/>
    <w:p w14:paraId="1C2F45BE" w14:textId="17326E9B" w:rsidR="00EB38B0" w:rsidRPr="00EB38B0" w:rsidRDefault="00FB5CC0" w:rsidP="005927C4">
      <w:pPr>
        <w:pStyle w:val="Heading4"/>
        <w:rPr>
          <w:lang w:val="en-IE"/>
        </w:rPr>
      </w:pPr>
      <w:r w:rsidRPr="00FB5CC0">
        <w:rPr>
          <w:lang w:val="en-IE"/>
        </w:rPr>
        <w:lastRenderedPageBreak/>
        <w:t>Gettingbacktowork.ie</w:t>
      </w:r>
      <w:r w:rsidR="00EB38B0">
        <w:rPr>
          <w:lang w:val="en-IE"/>
        </w:rPr>
        <w:br/>
      </w:r>
    </w:p>
    <w:p w14:paraId="2012B92F" w14:textId="77777777" w:rsidR="00C16E40" w:rsidRDefault="00C16E40" w:rsidP="00C16E40">
      <w:pPr>
        <w:rPr>
          <w:lang w:val="en-IE"/>
        </w:rPr>
      </w:pPr>
      <w:r w:rsidRPr="00C16E40">
        <w:rPr>
          <w:lang w:val="en-IE"/>
        </w:rPr>
        <w:t>Gettingbacktowork.ie is a microsite which aims to provide information to jobseekers and people who are interested in starting a business. Gettingbacktowork.ie recorded 52,621 visits in 2015, along with 113,241 pageviews and an average of 2,979 unique users per month.</w:t>
      </w:r>
    </w:p>
    <w:p w14:paraId="5EA7F4FD" w14:textId="77777777" w:rsidR="00C16E40" w:rsidRPr="00C16E40" w:rsidRDefault="00C16E40" w:rsidP="00C16E40">
      <w:pPr>
        <w:rPr>
          <w:lang w:val="en-IE"/>
        </w:rPr>
      </w:pPr>
    </w:p>
    <w:p w14:paraId="0957040A" w14:textId="77777777" w:rsidR="00C16E40" w:rsidRDefault="00C16E40" w:rsidP="00C16E40">
      <w:pPr>
        <w:rPr>
          <w:lang w:val="en-IE"/>
        </w:rPr>
      </w:pPr>
      <w:r w:rsidRPr="00C16E40">
        <w:rPr>
          <w:lang w:val="en-IE"/>
        </w:rPr>
        <w:t>The busiest pages on gettingbacktowork.ie in 2015 included:</w:t>
      </w:r>
    </w:p>
    <w:p w14:paraId="6C6E79F4" w14:textId="77777777" w:rsidR="00C16E40" w:rsidRPr="00C16E40" w:rsidRDefault="00C16E40" w:rsidP="00C16E40">
      <w:pPr>
        <w:rPr>
          <w:lang w:val="en-IE"/>
        </w:rPr>
      </w:pPr>
    </w:p>
    <w:p w14:paraId="6A429D71" w14:textId="77777777" w:rsidR="00C16E40" w:rsidRPr="00C16E40" w:rsidRDefault="00C16E40" w:rsidP="00C16E40">
      <w:pPr>
        <w:pStyle w:val="ListParagraph"/>
        <w:numPr>
          <w:ilvl w:val="0"/>
          <w:numId w:val="19"/>
        </w:numPr>
        <w:rPr>
          <w:lang w:val="en-IE"/>
        </w:rPr>
      </w:pPr>
      <w:r w:rsidRPr="00C16E40">
        <w:rPr>
          <w:lang w:val="en-IE"/>
        </w:rPr>
        <w:t>Overview: benefits and work</w:t>
      </w:r>
    </w:p>
    <w:p w14:paraId="654982FE" w14:textId="77777777" w:rsidR="00C16E40" w:rsidRPr="00C16E40" w:rsidRDefault="00C16E40" w:rsidP="00C16E40">
      <w:pPr>
        <w:rPr>
          <w:lang w:val="en-IE"/>
        </w:rPr>
      </w:pPr>
    </w:p>
    <w:p w14:paraId="189EDF88" w14:textId="77777777" w:rsidR="00C16E40" w:rsidRPr="00C16E40" w:rsidRDefault="00C16E40" w:rsidP="00C16E40">
      <w:pPr>
        <w:pStyle w:val="ListParagraph"/>
        <w:numPr>
          <w:ilvl w:val="0"/>
          <w:numId w:val="19"/>
        </w:numPr>
        <w:rPr>
          <w:lang w:val="en-IE"/>
        </w:rPr>
      </w:pPr>
      <w:r w:rsidRPr="00C16E40">
        <w:rPr>
          <w:lang w:val="en-IE"/>
        </w:rPr>
        <w:t>Setting up a business</w:t>
      </w:r>
    </w:p>
    <w:p w14:paraId="50334621" w14:textId="77777777" w:rsidR="00C16E40" w:rsidRPr="00C16E40" w:rsidRDefault="00C16E40" w:rsidP="00C16E40">
      <w:pPr>
        <w:rPr>
          <w:lang w:val="en-IE"/>
        </w:rPr>
      </w:pPr>
    </w:p>
    <w:p w14:paraId="34DABE18" w14:textId="21F211F7" w:rsidR="00FB5CC0" w:rsidRPr="00C16E40" w:rsidRDefault="00C16E40" w:rsidP="00C16E40">
      <w:pPr>
        <w:pStyle w:val="ListParagraph"/>
        <w:numPr>
          <w:ilvl w:val="0"/>
          <w:numId w:val="19"/>
        </w:numPr>
        <w:rPr>
          <w:lang w:val="en-IE"/>
        </w:rPr>
      </w:pPr>
      <w:r w:rsidRPr="00C16E40">
        <w:rPr>
          <w:lang w:val="en-IE"/>
        </w:rPr>
        <w:t>Jobseeker’s Allowance</w:t>
      </w:r>
    </w:p>
    <w:p w14:paraId="7FC10C4D" w14:textId="77777777" w:rsidR="00FB5CC0" w:rsidRPr="002D3A60" w:rsidRDefault="00FB5CC0" w:rsidP="00FB5CC0">
      <w:pPr>
        <w:rPr>
          <w:lang w:val="en-IE"/>
        </w:rPr>
      </w:pPr>
    </w:p>
    <w:p w14:paraId="321A3005" w14:textId="77777777" w:rsidR="005927C4" w:rsidRDefault="00FB5CC0" w:rsidP="005927C4">
      <w:pPr>
        <w:pStyle w:val="Heading4"/>
        <w:rPr>
          <w:lang w:val="en-IE"/>
        </w:rPr>
      </w:pPr>
      <w:r w:rsidRPr="00FB5CC0">
        <w:rPr>
          <w:lang w:val="en-IE"/>
        </w:rPr>
        <w:t>Healthcomplaints.ie</w:t>
      </w:r>
    </w:p>
    <w:p w14:paraId="7E8AE580" w14:textId="31B0F8F3" w:rsidR="00C16E40" w:rsidRDefault="00C16E40" w:rsidP="005927C4">
      <w:pPr>
        <w:rPr>
          <w:lang w:val="en-IE"/>
        </w:rPr>
      </w:pPr>
      <w:r>
        <w:rPr>
          <w:lang w:val="en-IE"/>
        </w:rPr>
        <w:br/>
      </w:r>
      <w:r w:rsidRPr="00C16E40">
        <w:rPr>
          <w:lang w:val="en-IE"/>
        </w:rPr>
        <w:t xml:space="preserve">We continue to participate in the cross-organisational Health Complaints initiative chaired by the Office of the Ombudsman - along with the HSE, CORU, the Mental Health Commission, the Medical Council, the Irish Patients Association and a number of other organisations in the health and social services sector. </w:t>
      </w:r>
    </w:p>
    <w:p w14:paraId="7AF7EC29" w14:textId="77777777" w:rsidR="005927C4" w:rsidRPr="005927C4" w:rsidRDefault="005927C4" w:rsidP="005927C4">
      <w:pPr>
        <w:rPr>
          <w:lang w:val="en-IE"/>
        </w:rPr>
      </w:pPr>
    </w:p>
    <w:p w14:paraId="762B2570" w14:textId="31934D92" w:rsidR="00FB5CC0" w:rsidRDefault="00FB5CC0" w:rsidP="00C16E40">
      <w:pPr>
        <w:pStyle w:val="Heading4"/>
        <w:rPr>
          <w:lang w:val="en-IE"/>
        </w:rPr>
      </w:pPr>
      <w:r w:rsidRPr="00FB5CC0">
        <w:rPr>
          <w:lang w:val="en-IE"/>
        </w:rPr>
        <w:t>Twitter</w:t>
      </w:r>
    </w:p>
    <w:p w14:paraId="6D4B408A" w14:textId="77777777" w:rsidR="005927C4" w:rsidRPr="005927C4" w:rsidRDefault="005927C4" w:rsidP="005927C4">
      <w:pPr>
        <w:rPr>
          <w:lang w:val="en-IE"/>
        </w:rPr>
      </w:pPr>
    </w:p>
    <w:p w14:paraId="568693DC" w14:textId="4DF26DD7" w:rsidR="00C16E40" w:rsidRPr="00C16E40" w:rsidRDefault="00C16E40" w:rsidP="005927C4">
      <w:pPr>
        <w:rPr>
          <w:lang w:val="en-IE"/>
        </w:rPr>
      </w:pPr>
      <w:r w:rsidRPr="00C16E40">
        <w:rPr>
          <w:lang w:val="en-IE"/>
        </w:rPr>
        <w:t>Du</w:t>
      </w:r>
      <w:r>
        <w:rPr>
          <w:lang w:val="en-IE"/>
        </w:rPr>
        <w:t xml:space="preserve">ring 2015 the CIB twitter feed </w:t>
      </w:r>
      <w:r w:rsidRPr="00C16E40">
        <w:rPr>
          <w:lang w:val="en-IE"/>
        </w:rPr>
        <w:t xml:space="preserve">(twitter.com/citizensinfo) continued </w:t>
      </w:r>
    </w:p>
    <w:p w14:paraId="76B30E52" w14:textId="2F6D6EFB" w:rsidR="007143FE" w:rsidRDefault="00C16E40" w:rsidP="005927C4">
      <w:pPr>
        <w:rPr>
          <w:lang w:val="en-IE"/>
        </w:rPr>
      </w:pPr>
      <w:r w:rsidRPr="00C16E40">
        <w:rPr>
          <w:lang w:val="en-IE"/>
        </w:rPr>
        <w:t xml:space="preserve">to grow </w:t>
      </w:r>
      <w:r>
        <w:rPr>
          <w:lang w:val="en-IE"/>
        </w:rPr>
        <w:t xml:space="preserve">and stood at 5,405 ‘followers’ </w:t>
      </w:r>
      <w:r w:rsidRPr="00C16E40">
        <w:rPr>
          <w:lang w:val="en-IE"/>
        </w:rPr>
        <w:t>on 13 February 2016.</w:t>
      </w:r>
    </w:p>
    <w:p w14:paraId="538AA440" w14:textId="77777777" w:rsidR="005927C4" w:rsidRDefault="005927C4" w:rsidP="005927C4">
      <w:pPr>
        <w:rPr>
          <w:lang w:val="en-IE"/>
        </w:rPr>
      </w:pPr>
    </w:p>
    <w:p w14:paraId="18F40186" w14:textId="77777777" w:rsidR="005927C4" w:rsidRDefault="007143FE" w:rsidP="00C16E40">
      <w:pPr>
        <w:pStyle w:val="Heading3"/>
        <w:rPr>
          <w:lang w:val="en-IE"/>
        </w:rPr>
      </w:pPr>
      <w:bookmarkStart w:id="69" w:name="_Toc450922521"/>
      <w:bookmarkStart w:id="70" w:name="_Toc337126491"/>
      <w:r w:rsidRPr="00FB5CC0">
        <w:rPr>
          <w:lang w:val="en-IE"/>
        </w:rPr>
        <w:t>Citizensinformationboard.ie</w:t>
      </w:r>
      <w:bookmarkStart w:id="71" w:name="_Toc450922522"/>
      <w:bookmarkEnd w:id="69"/>
    </w:p>
    <w:p w14:paraId="4FE056FC" w14:textId="05881199" w:rsidR="005927C4" w:rsidRDefault="00C16E40" w:rsidP="005927C4">
      <w:pPr>
        <w:rPr>
          <w:lang w:val="en-IE"/>
        </w:rPr>
      </w:pPr>
      <w:r>
        <w:rPr>
          <w:lang w:val="en-IE"/>
        </w:rPr>
        <w:br/>
      </w:r>
      <w:r w:rsidRPr="00C16E40">
        <w:rPr>
          <w:lang w:val="en-IE"/>
        </w:rPr>
        <w:t xml:space="preserve">In late 2015 the Citizens Information Board’s ‘corporate’ website, citizensinformationboard.ie, was updated with a cleaner, more modern design. The upgraded website aims to set out more clearly the work of CIB and its service partners and will serve as a base for CIB to publish documents under a Freedom of </w:t>
      </w:r>
      <w:r w:rsidR="005927C4">
        <w:rPr>
          <w:lang w:val="en-IE"/>
        </w:rPr>
        <w:t>Information publication scheme.</w:t>
      </w:r>
    </w:p>
    <w:p w14:paraId="56FC72E4" w14:textId="6C75EEA4" w:rsidR="00C16E40" w:rsidRDefault="00C16E40" w:rsidP="005927C4">
      <w:pPr>
        <w:rPr>
          <w:lang w:val="en-IE"/>
        </w:rPr>
      </w:pPr>
      <w:r>
        <w:rPr>
          <w:lang w:val="en-IE"/>
        </w:rPr>
        <w:br/>
      </w:r>
      <w:r w:rsidRPr="00C16E40">
        <w:rPr>
          <w:lang w:val="en-IE"/>
        </w:rPr>
        <w:t>The new website is fully responsive to different devices including tablets and smartphones and allows for improved presentation of content in the Irish language.</w:t>
      </w:r>
      <w:bookmarkEnd w:id="70"/>
      <w:r w:rsidRPr="00C16E40">
        <w:rPr>
          <w:lang w:val="en-IE"/>
        </w:rPr>
        <w:t xml:space="preserve"> </w:t>
      </w:r>
    </w:p>
    <w:p w14:paraId="4946B71D" w14:textId="77777777" w:rsidR="005927C4" w:rsidRPr="005927C4" w:rsidRDefault="005927C4" w:rsidP="005927C4">
      <w:pPr>
        <w:rPr>
          <w:lang w:val="en-IE"/>
        </w:rPr>
      </w:pPr>
    </w:p>
    <w:p w14:paraId="327C2629" w14:textId="63C78DF5" w:rsidR="00C16E40" w:rsidRDefault="00C16E40" w:rsidP="005927C4">
      <w:pPr>
        <w:rPr>
          <w:lang w:val="en-IE"/>
        </w:rPr>
      </w:pPr>
      <w:bookmarkStart w:id="72" w:name="_Toc337126492"/>
      <w:r w:rsidRPr="00C16E40">
        <w:rPr>
          <w:lang w:val="en-IE"/>
        </w:rPr>
        <w:t>It also features more modern coding with the use of HTML5 and CSS3, with fallbacks provided for older browsers.</w:t>
      </w:r>
      <w:bookmarkEnd w:id="72"/>
    </w:p>
    <w:p w14:paraId="07B9CE4F" w14:textId="77777777" w:rsidR="005927C4" w:rsidRPr="005927C4" w:rsidRDefault="005927C4" w:rsidP="005927C4">
      <w:pPr>
        <w:rPr>
          <w:lang w:val="en-IE"/>
        </w:rPr>
      </w:pPr>
    </w:p>
    <w:p w14:paraId="6D3E37F7" w14:textId="5FD0AE9C" w:rsidR="00FB5CC0" w:rsidRDefault="00FB5CC0" w:rsidP="00C16E40">
      <w:pPr>
        <w:pStyle w:val="Heading3"/>
        <w:rPr>
          <w:lang w:val="en-IE"/>
        </w:rPr>
      </w:pPr>
      <w:bookmarkStart w:id="73" w:name="_Toc337126493"/>
      <w:r w:rsidRPr="00FB5CC0">
        <w:rPr>
          <w:lang w:val="en-IE"/>
        </w:rPr>
        <w:t>Publications</w:t>
      </w:r>
      <w:bookmarkEnd w:id="71"/>
      <w:bookmarkEnd w:id="73"/>
    </w:p>
    <w:p w14:paraId="042836FD" w14:textId="77777777" w:rsidR="005927C4" w:rsidRPr="005927C4" w:rsidRDefault="005927C4" w:rsidP="005927C4">
      <w:pPr>
        <w:rPr>
          <w:lang w:val="en-IE"/>
        </w:rPr>
      </w:pPr>
    </w:p>
    <w:p w14:paraId="50045BD5" w14:textId="59793F51" w:rsidR="00C16E40" w:rsidRPr="00C16E40" w:rsidRDefault="00C16E40" w:rsidP="005927C4">
      <w:pPr>
        <w:rPr>
          <w:lang w:val="en-IE"/>
        </w:rPr>
      </w:pPr>
      <w:r w:rsidRPr="00C16E40">
        <w:rPr>
          <w:lang w:val="en-IE"/>
        </w:rPr>
        <w:lastRenderedPageBreak/>
        <w:t xml:space="preserve">We publish a range of information booklets and leaflets. We also publish advocacy, research and social policy reports to highlight and analyse issues identified by our services. </w:t>
      </w:r>
      <w:r>
        <w:rPr>
          <w:lang w:val="en-IE"/>
        </w:rPr>
        <w:br/>
      </w:r>
    </w:p>
    <w:p w14:paraId="5243E6E0" w14:textId="1B7EE4D7" w:rsidR="00C16E40" w:rsidRPr="00C16E40" w:rsidRDefault="00C16E40" w:rsidP="005927C4">
      <w:pPr>
        <w:rPr>
          <w:lang w:val="en-IE"/>
        </w:rPr>
      </w:pPr>
      <w:r w:rsidRPr="00C16E40">
        <w:rPr>
          <w:lang w:val="en-IE"/>
        </w:rPr>
        <w:t>We aim for high levels of accessibility in our publications, ensuring that accessibility is taken into account in the use of colour contrast, font size, paper coating and alternative formats. Many of the booklets we produced in 2015 were printed by the Revenue Print Centre.</w:t>
      </w:r>
      <w:r>
        <w:rPr>
          <w:lang w:val="en-IE"/>
        </w:rPr>
        <w:br/>
      </w:r>
    </w:p>
    <w:p w14:paraId="11FCF9D1" w14:textId="6927282C" w:rsidR="00C16E40" w:rsidRPr="00C16E40" w:rsidRDefault="00C16E40" w:rsidP="005927C4">
      <w:pPr>
        <w:rPr>
          <w:lang w:val="en-IE"/>
        </w:rPr>
      </w:pPr>
      <w:r w:rsidRPr="00C16E40">
        <w:rPr>
          <w:lang w:val="en-IE"/>
        </w:rPr>
        <w:t xml:space="preserve">All our publications are available across the Citizens Information network. They are widely distributed to other service providers and information providers for display in public offices. These include Government departments and statutory agencies, MABS offices, local social welfare offices and health offices, TDs and Senators, the voluntary and community sector and other local networks. </w:t>
      </w:r>
      <w:r>
        <w:rPr>
          <w:lang w:val="en-IE"/>
        </w:rPr>
        <w:br/>
      </w:r>
    </w:p>
    <w:p w14:paraId="4A9DDAF9" w14:textId="2795FF4E" w:rsidR="00954AE8" w:rsidRDefault="00C16E40" w:rsidP="005927C4">
      <w:pPr>
        <w:rPr>
          <w:lang w:val="en-IE"/>
        </w:rPr>
      </w:pPr>
      <w:r w:rsidRPr="00C16E40">
        <w:rPr>
          <w:lang w:val="en-IE"/>
        </w:rPr>
        <w:t>PDF versions of all publications are available on citizensinformationboard.ie – most publications are also available as eBooks. These link to</w:t>
      </w:r>
      <w:r>
        <w:rPr>
          <w:lang w:val="en-IE"/>
        </w:rPr>
        <w:t xml:space="preserve"> regularly updated information </w:t>
      </w:r>
      <w:r w:rsidRPr="00C16E40">
        <w:rPr>
          <w:lang w:val="en-IE"/>
        </w:rPr>
        <w:t>on the citizensinformation.ie website (see citizensinformation.ie/guides).</w:t>
      </w:r>
    </w:p>
    <w:p w14:paraId="73368B42" w14:textId="77777777" w:rsidR="00C16E40" w:rsidRDefault="00C16E40" w:rsidP="00C16E40">
      <w:pPr>
        <w:rPr>
          <w:lang w:val="en-IE"/>
        </w:rPr>
      </w:pPr>
    </w:p>
    <w:p w14:paraId="4738D2D6" w14:textId="77777777" w:rsidR="00C16E40" w:rsidRDefault="00C16E40" w:rsidP="00C16E40">
      <w:pPr>
        <w:pStyle w:val="Heading4"/>
        <w:rPr>
          <w:lang w:val="en-IE"/>
        </w:rPr>
      </w:pPr>
      <w:r w:rsidRPr="00FB5CC0">
        <w:rPr>
          <w:lang w:val="en-IE"/>
        </w:rPr>
        <w:t>Know Your Rights columns</w:t>
      </w:r>
    </w:p>
    <w:p w14:paraId="5017D972" w14:textId="77777777" w:rsidR="005927C4" w:rsidRPr="005927C4" w:rsidRDefault="005927C4" w:rsidP="005927C4">
      <w:pPr>
        <w:rPr>
          <w:lang w:val="en-IE"/>
        </w:rPr>
      </w:pPr>
    </w:p>
    <w:p w14:paraId="0E89601C" w14:textId="69FD2C37" w:rsidR="00C16E40" w:rsidRDefault="00C16E40" w:rsidP="005927C4">
      <w:pPr>
        <w:rPr>
          <w:lang w:val="en-IE"/>
        </w:rPr>
      </w:pPr>
      <w:r w:rsidRPr="002D3A60">
        <w:rPr>
          <w:lang w:val="en-IE"/>
        </w:rPr>
        <w:t>Each month we produce four question and answer ‘Know Your Rights’ columns. In 2015 these short, informative pieces included content on the Housing Assistance Payment, budgeting for Christmas, enforcing your employment rights, microchipping of dogs, noisy neighbours, the Water Conservation Grant, cycling offences and consumer rights in the EU. The columns are published widely in newspapers across the country.</w:t>
      </w:r>
    </w:p>
    <w:p w14:paraId="40701666" w14:textId="77777777" w:rsidR="00C16E40" w:rsidRPr="002D3A60" w:rsidRDefault="00C16E40" w:rsidP="00C16E40">
      <w:pPr>
        <w:rPr>
          <w:lang w:val="en-IE"/>
        </w:rPr>
      </w:pPr>
    </w:p>
    <w:p w14:paraId="50994CF5" w14:textId="1FD97F37" w:rsidR="00FB5CC0" w:rsidRPr="002D3A60" w:rsidRDefault="00FB5CC0" w:rsidP="00FB5CC0">
      <w:pPr>
        <w:rPr>
          <w:b/>
          <w:lang w:val="en-IE"/>
        </w:rPr>
      </w:pPr>
      <w:r w:rsidRPr="002D3A60">
        <w:rPr>
          <w:b/>
          <w:lang w:val="en-IE"/>
        </w:rPr>
        <w:t>Benefits and Taxes 2015 wallchart and leaflet</w:t>
      </w:r>
      <w:r w:rsidR="00B1351F" w:rsidRPr="002D3A60">
        <w:rPr>
          <w:b/>
          <w:lang w:val="en-IE"/>
        </w:rPr>
        <w:t xml:space="preserve"> </w:t>
      </w:r>
    </w:p>
    <w:p w14:paraId="242A3DDB" w14:textId="2A5F7999" w:rsidR="00FB5CC0" w:rsidRPr="002D3A60" w:rsidRDefault="00FB5CC0" w:rsidP="00FB5CC0">
      <w:pPr>
        <w:rPr>
          <w:lang w:val="en-IE"/>
        </w:rPr>
      </w:pPr>
      <w:r w:rsidRPr="002D3A60">
        <w:rPr>
          <w:lang w:val="en-IE"/>
        </w:rPr>
        <w:t xml:space="preserve">The </w:t>
      </w:r>
      <w:r w:rsidRPr="002D3A60">
        <w:rPr>
          <w:i/>
          <w:lang w:val="en-IE"/>
        </w:rPr>
        <w:t>Benefits and Taxes 2015</w:t>
      </w:r>
      <w:r w:rsidRPr="002D3A60">
        <w:rPr>
          <w:lang w:val="en-IE"/>
        </w:rPr>
        <w:t xml:space="preserve"> wallchart and leaflet summarise benefits in 2015 with comprehensive tables of rates and income thresholds. </w:t>
      </w:r>
    </w:p>
    <w:p w14:paraId="0393AECA" w14:textId="77777777" w:rsidR="00FB5CC0" w:rsidRPr="002D3A60" w:rsidRDefault="00FB5CC0" w:rsidP="00FB5CC0">
      <w:pPr>
        <w:rPr>
          <w:lang w:val="en-IE"/>
        </w:rPr>
      </w:pPr>
    </w:p>
    <w:p w14:paraId="53A51FA6" w14:textId="77777777" w:rsidR="00FB5CC0" w:rsidRPr="002D3A60" w:rsidRDefault="00FB5CC0" w:rsidP="00FB5CC0">
      <w:pPr>
        <w:rPr>
          <w:b/>
          <w:lang w:val="en-IE"/>
        </w:rPr>
      </w:pPr>
      <w:r w:rsidRPr="002D3A60">
        <w:rPr>
          <w:b/>
          <w:lang w:val="en-IE"/>
        </w:rPr>
        <w:t>Information for school leavers 2015</w:t>
      </w:r>
    </w:p>
    <w:p w14:paraId="3C7BCA7F" w14:textId="10C623B3" w:rsidR="003A3F85" w:rsidRPr="002D3A60" w:rsidRDefault="00FB5CC0" w:rsidP="00FB5CC0">
      <w:pPr>
        <w:rPr>
          <w:lang w:val="en-IE"/>
        </w:rPr>
      </w:pPr>
      <w:r w:rsidRPr="002D3A60">
        <w:rPr>
          <w:lang w:val="en-IE"/>
        </w:rPr>
        <w:t xml:space="preserve">The </w:t>
      </w:r>
      <w:r w:rsidRPr="002D3A60">
        <w:rPr>
          <w:i/>
          <w:lang w:val="en-IE"/>
        </w:rPr>
        <w:t>Information for school leavers</w:t>
      </w:r>
      <w:r w:rsidRPr="002D3A60">
        <w:rPr>
          <w:lang w:val="en-IE"/>
        </w:rPr>
        <w:t xml:space="preserve"> booklet was published in March 2015 and distributed to schools around the country. It covers a range of topics that </w:t>
      </w:r>
      <w:r w:rsidR="006D2585" w:rsidRPr="002D3A60">
        <w:rPr>
          <w:lang w:val="en-IE"/>
        </w:rPr>
        <w:t xml:space="preserve">are relevant to </w:t>
      </w:r>
      <w:r w:rsidRPr="002D3A60">
        <w:rPr>
          <w:lang w:val="en-IE"/>
        </w:rPr>
        <w:t xml:space="preserve">school leavers, including options for education and training, social welfare entitlements, tax and employment law. </w:t>
      </w:r>
    </w:p>
    <w:p w14:paraId="466CCBCE" w14:textId="77777777" w:rsidR="00FB5CC0" w:rsidRPr="002D3A60" w:rsidRDefault="00FB5CC0" w:rsidP="00FB5CC0">
      <w:pPr>
        <w:rPr>
          <w:lang w:val="en-IE"/>
        </w:rPr>
      </w:pPr>
    </w:p>
    <w:p w14:paraId="212CEE7B" w14:textId="77777777" w:rsidR="0017559B" w:rsidRPr="0017559B" w:rsidRDefault="0017559B" w:rsidP="0017559B">
      <w:pPr>
        <w:rPr>
          <w:lang w:val="en-IE"/>
        </w:rPr>
      </w:pPr>
      <w:r w:rsidRPr="0017559B">
        <w:rPr>
          <w:b/>
          <w:lang w:val="en-IE"/>
        </w:rPr>
        <w:t xml:space="preserve">Benefits and Taxes 2015 wallchart and leaflet </w:t>
      </w:r>
      <w:r w:rsidRPr="0017559B">
        <w:rPr>
          <w:b/>
          <w:lang w:val="en-IE"/>
        </w:rPr>
        <w:cr/>
      </w:r>
      <w:r w:rsidRPr="0017559B">
        <w:rPr>
          <w:lang w:val="en-IE"/>
        </w:rPr>
        <w:t xml:space="preserve">The Benefits and Taxes 2015 wallchart and leaflet summarise benefits in 2015 with comprehensive tables of rates and </w:t>
      </w:r>
    </w:p>
    <w:p w14:paraId="53C5B036" w14:textId="77777777" w:rsidR="0017559B" w:rsidRPr="0017559B" w:rsidRDefault="0017559B" w:rsidP="0017559B">
      <w:pPr>
        <w:rPr>
          <w:lang w:val="en-IE"/>
        </w:rPr>
      </w:pPr>
      <w:r w:rsidRPr="0017559B">
        <w:rPr>
          <w:lang w:val="en-IE"/>
        </w:rPr>
        <w:t>income thresholds.</w:t>
      </w:r>
      <w:r w:rsidRPr="0017559B">
        <w:rPr>
          <w:lang w:val="en-IE"/>
        </w:rPr>
        <w:cr/>
      </w:r>
      <w:r w:rsidRPr="0017559B">
        <w:rPr>
          <w:b/>
          <w:lang w:val="en-IE"/>
        </w:rPr>
        <w:cr/>
        <w:t>Information for school leavers 2015</w:t>
      </w:r>
      <w:r w:rsidRPr="0017559B">
        <w:rPr>
          <w:b/>
          <w:lang w:val="en-IE"/>
        </w:rPr>
        <w:cr/>
      </w:r>
      <w:r w:rsidRPr="0017559B">
        <w:rPr>
          <w:lang w:val="en-IE"/>
        </w:rPr>
        <w:t xml:space="preserve">The Information for school leavers booklet was published in </w:t>
      </w:r>
    </w:p>
    <w:p w14:paraId="6205E50D" w14:textId="77777777" w:rsidR="0017559B" w:rsidRPr="0017559B" w:rsidRDefault="0017559B" w:rsidP="0017559B">
      <w:pPr>
        <w:rPr>
          <w:lang w:val="en-IE"/>
        </w:rPr>
      </w:pPr>
      <w:r w:rsidRPr="0017559B">
        <w:rPr>
          <w:lang w:val="en-IE"/>
        </w:rPr>
        <w:lastRenderedPageBreak/>
        <w:t>March 2015 and distributed to schools around the country. It covers a range of topics that are relevant to school leavers, including options for education and training, social welfare entitlements, tax and employment law.</w:t>
      </w:r>
    </w:p>
    <w:p w14:paraId="7B8B4AF9" w14:textId="02512BA1" w:rsidR="00FB5CC0" w:rsidRPr="0017559B" w:rsidRDefault="0017559B" w:rsidP="0017559B">
      <w:pPr>
        <w:rPr>
          <w:lang w:val="en-IE"/>
        </w:rPr>
      </w:pPr>
      <w:r w:rsidRPr="0017559B">
        <w:rPr>
          <w:b/>
          <w:lang w:val="en-IE"/>
        </w:rPr>
        <w:cr/>
        <w:t>Guide to entitlements for over sixties</w:t>
      </w:r>
      <w:r w:rsidRPr="0017559B">
        <w:rPr>
          <w:b/>
          <w:lang w:val="en-IE"/>
        </w:rPr>
        <w:cr/>
      </w:r>
      <w:r w:rsidRPr="0017559B">
        <w:rPr>
          <w:lang w:val="en-IE"/>
        </w:rPr>
        <w:t>The Guide to entitlement</w:t>
      </w:r>
      <w:r>
        <w:rPr>
          <w:lang w:val="en-IE"/>
        </w:rPr>
        <w:t xml:space="preserve">s for over sixties booklet was </w:t>
      </w:r>
      <w:r w:rsidRPr="0017559B">
        <w:rPr>
          <w:lang w:val="en-IE"/>
        </w:rPr>
        <w:t>published in May 2015 provides an overview of entitlements for older people.</w:t>
      </w:r>
      <w:r w:rsidRPr="0017559B">
        <w:rPr>
          <w:lang w:val="en-IE"/>
        </w:rPr>
        <w:cr/>
      </w:r>
      <w:r w:rsidRPr="0017559B">
        <w:rPr>
          <w:b/>
          <w:lang w:val="en-IE"/>
        </w:rPr>
        <w:cr/>
        <w:t>Guide to entitlements for people with disabilities</w:t>
      </w:r>
      <w:r w:rsidRPr="0017559B">
        <w:rPr>
          <w:b/>
          <w:lang w:val="en-IE"/>
        </w:rPr>
        <w:cr/>
      </w:r>
      <w:r w:rsidRPr="0017559B">
        <w:rPr>
          <w:lang w:val="en-IE"/>
        </w:rPr>
        <w:t>The Guide to entitlements for people with disabilities booklet provides an overview of entitlements for people with disabilities.</w:t>
      </w:r>
      <w:r w:rsidRPr="0017559B">
        <w:rPr>
          <w:lang w:val="en-IE"/>
        </w:rPr>
        <w:cr/>
      </w:r>
      <w:r w:rsidRPr="0017559B">
        <w:rPr>
          <w:b/>
          <w:lang w:val="en-IE"/>
        </w:rPr>
        <w:cr/>
        <w:t>Information for those affected by bereavement</w:t>
      </w:r>
      <w:r w:rsidRPr="0017559B">
        <w:rPr>
          <w:b/>
          <w:lang w:val="en-IE"/>
        </w:rPr>
        <w:cr/>
      </w:r>
      <w:r w:rsidRPr="0017559B">
        <w:rPr>
          <w:lang w:val="en-IE"/>
        </w:rPr>
        <w:t>Published in June 2015, the Information for those affected by bereavement booklet provides a guide to the practical and legal matters that may arise following a bereavement and includes information on the financial supports available for those who have recently been bereaved.</w:t>
      </w:r>
    </w:p>
    <w:p w14:paraId="3449F62C" w14:textId="77777777" w:rsidR="0017559B" w:rsidRPr="002D3A60" w:rsidRDefault="0017559B" w:rsidP="0017559B">
      <w:pPr>
        <w:rPr>
          <w:lang w:val="en-IE"/>
        </w:rPr>
      </w:pPr>
    </w:p>
    <w:p w14:paraId="29C835CF" w14:textId="77777777" w:rsidR="00FB5CC0" w:rsidRPr="002D3A60" w:rsidRDefault="00FB5CC0" w:rsidP="00FB5CC0">
      <w:pPr>
        <w:rPr>
          <w:b/>
          <w:lang w:val="en-IE"/>
        </w:rPr>
      </w:pPr>
      <w:r w:rsidRPr="002D3A60">
        <w:rPr>
          <w:b/>
          <w:lang w:val="en-IE"/>
        </w:rPr>
        <w:t>Relate and EU Supplement</w:t>
      </w:r>
    </w:p>
    <w:p w14:paraId="7A692240" w14:textId="49D0DE84" w:rsidR="00FB5CC0" w:rsidRDefault="0017559B" w:rsidP="00FB5CC0">
      <w:pPr>
        <w:rPr>
          <w:lang w:val="en-IE"/>
        </w:rPr>
      </w:pPr>
      <w:r w:rsidRPr="0017559B">
        <w:rPr>
          <w:lang w:val="en-IE"/>
        </w:rPr>
        <w:t>Relate is our monthly journal covering legislation and developments in the broad social services and social policy areas. During the year Relate covered a wide range of topics including the Protected Disclosures Act 2014, the revised Water Charges Plan, social welfare payments for one-parent families, legislation on adoption, guardianship and assisted human reproduction, the Regulation of Lobbying Act and housing grants, schemes and tax credits. The EU Supplement was published in February, May and August 2015. It covers significant EU developments in the broad areas of social policy, consumer policy and citizens’ rights.</w:t>
      </w:r>
    </w:p>
    <w:p w14:paraId="036617E7" w14:textId="77777777" w:rsidR="00321CCB" w:rsidRDefault="00321CCB" w:rsidP="00FB5CC0">
      <w:pPr>
        <w:rPr>
          <w:lang w:val="en-IE"/>
        </w:rPr>
      </w:pPr>
    </w:p>
    <w:p w14:paraId="7EAFA5CC" w14:textId="77777777" w:rsidR="00321CCB" w:rsidRPr="002D3A60" w:rsidRDefault="00321CCB" w:rsidP="00FB5CC0">
      <w:pPr>
        <w:rPr>
          <w:lang w:val="en-IE"/>
        </w:rPr>
      </w:pPr>
    </w:p>
    <w:p w14:paraId="2275814F" w14:textId="292107D7" w:rsidR="00971FF4" w:rsidRPr="009A1157" w:rsidRDefault="00971FF4">
      <w:pPr>
        <w:rPr>
          <w:lang w:val="en-IE"/>
        </w:rPr>
      </w:pPr>
      <w:r w:rsidRPr="002D3A60">
        <w:br w:type="page"/>
      </w:r>
    </w:p>
    <w:p w14:paraId="29E2AE53" w14:textId="4D1BFC24" w:rsidR="005732BC" w:rsidRDefault="005732BC" w:rsidP="00AE68D0">
      <w:pPr>
        <w:pStyle w:val="Heading1"/>
      </w:pPr>
      <w:bookmarkStart w:id="74" w:name="_Toc337126494"/>
      <w:bookmarkStart w:id="75" w:name="_Toc337126572"/>
      <w:r>
        <w:lastRenderedPageBreak/>
        <w:t>Citizens Information Services</w:t>
      </w:r>
      <w:bookmarkEnd w:id="55"/>
      <w:bookmarkEnd w:id="56"/>
      <w:bookmarkEnd w:id="74"/>
      <w:bookmarkEnd w:id="75"/>
    </w:p>
    <w:p w14:paraId="6C86E0A5" w14:textId="77777777" w:rsidR="00973A02" w:rsidRPr="002D3A60" w:rsidRDefault="00973A02" w:rsidP="00973A02"/>
    <w:p w14:paraId="5BEE4E38" w14:textId="77777777" w:rsidR="0017559B" w:rsidRDefault="0017559B" w:rsidP="005927C4">
      <w:bookmarkStart w:id="76" w:name="_Toc337126495"/>
      <w:bookmarkStart w:id="77" w:name="_Toc450922524"/>
      <w:r w:rsidRPr="0017559B">
        <w:t>The 42 Citizens Information Services (CISs) around the State deliver information on public and social services. All CISs offer a drop-in service where callers can meet information providers face-to-face. Outreaches and mobile services ensure that information is available to citizens who might not otherwise be able to access it.</w:t>
      </w:r>
      <w:bookmarkEnd w:id="76"/>
      <w:r w:rsidRPr="0017559B">
        <w:t xml:space="preserve"> </w:t>
      </w:r>
    </w:p>
    <w:p w14:paraId="41EB62A9" w14:textId="77777777" w:rsidR="005927C4" w:rsidRPr="005927C4" w:rsidRDefault="005927C4" w:rsidP="005927C4"/>
    <w:p w14:paraId="603B98E7" w14:textId="77777777" w:rsidR="0017559B" w:rsidRDefault="0017559B" w:rsidP="005927C4">
      <w:bookmarkStart w:id="78" w:name="_Toc337126496"/>
      <w:r w:rsidRPr="0017559B">
        <w:t>Each CIS is established as a limited company with a voluntary board of management that includes representatives from local community and voluntary organisations, representatives of the statutory sector and, in many cases, CIS volunteers.</w:t>
      </w:r>
      <w:bookmarkEnd w:id="78"/>
    </w:p>
    <w:p w14:paraId="3CB3212D" w14:textId="77777777" w:rsidR="005927C4" w:rsidRPr="005927C4" w:rsidRDefault="005927C4" w:rsidP="005927C4"/>
    <w:p w14:paraId="6965B899" w14:textId="77777777" w:rsidR="0017559B" w:rsidRDefault="0017559B" w:rsidP="005927C4">
      <w:bookmarkStart w:id="79" w:name="_Toc337126497"/>
      <w:r w:rsidRPr="0017559B">
        <w:t>Each CIS covers a geographical area, either countywide or part of an urban area, and delivers its services through a number of Citizens Information Centres (CICs) and outreaches. CISs are supported and funded by the Citizens Information Board. The 42 CISs received just over 12.3 million euro in funding from the Citizens Information Board in 2015. See Appendix 5 for full details of funding to individual services.</w:t>
      </w:r>
      <w:bookmarkEnd w:id="79"/>
    </w:p>
    <w:p w14:paraId="6BB24F0E" w14:textId="77777777" w:rsidR="005927C4" w:rsidRPr="005927C4" w:rsidRDefault="005927C4" w:rsidP="005927C4"/>
    <w:p w14:paraId="7E67A7E2" w14:textId="77777777" w:rsidR="0017559B" w:rsidRDefault="0017559B" w:rsidP="005927C4">
      <w:bookmarkStart w:id="80" w:name="_Toc337126498"/>
      <w:r w:rsidRPr="0017559B">
        <w:t>All 42 CISs were awarded EFQM Gold Star Excellence Awards by March 2015, with three being awarded Role Model Status.  A range of specialist services are provided at local and national level, including legal and financial advice services.</w:t>
      </w:r>
      <w:bookmarkEnd w:id="80"/>
    </w:p>
    <w:p w14:paraId="3DFDD377" w14:textId="77777777" w:rsidR="005927C4" w:rsidRPr="005927C4" w:rsidRDefault="005927C4" w:rsidP="005927C4"/>
    <w:p w14:paraId="735F029D" w14:textId="77777777" w:rsidR="0017559B" w:rsidRDefault="0017559B" w:rsidP="005927C4">
      <w:bookmarkStart w:id="81" w:name="_Toc337126499"/>
      <w:r w:rsidRPr="0017559B">
        <w:t>42 CISs provided services from 52 full-time and 60 part–time centres in over 215 locations nationwide. There are 270 paid staff (183.5 whole-time equivalent posts) and 228 employment scheme workers working in CISs (126.5 whole-time equivalents). Most of these are employed under the Community Employment Schemes. There are 1,089 volunteers (120.37 whole-time equivalents) working in CISs.</w:t>
      </w:r>
      <w:bookmarkEnd w:id="81"/>
    </w:p>
    <w:p w14:paraId="6C70B53A" w14:textId="77777777" w:rsidR="005927C4" w:rsidRPr="005927C4" w:rsidRDefault="005927C4" w:rsidP="005927C4"/>
    <w:p w14:paraId="3AE55A72" w14:textId="77777777" w:rsidR="005927C4" w:rsidRDefault="00231353" w:rsidP="005927C4">
      <w:pPr>
        <w:pStyle w:val="Heading2"/>
      </w:pPr>
      <w:bookmarkStart w:id="82" w:name="_Toc337126500"/>
      <w:r>
        <w:t>Callers and queries</w:t>
      </w:r>
      <w:bookmarkEnd w:id="77"/>
      <w:bookmarkEnd w:id="82"/>
      <w:r>
        <w:t xml:space="preserve"> </w:t>
      </w:r>
    </w:p>
    <w:p w14:paraId="6516EDD6" w14:textId="0BCBA24E" w:rsidR="0017559B" w:rsidRPr="00BB7C9C" w:rsidRDefault="00EF3899" w:rsidP="005927C4">
      <w:r>
        <w:br/>
      </w:r>
      <w:r w:rsidR="0017559B" w:rsidRPr="00BB7C9C">
        <w:t xml:space="preserve">There were 607,286 callers to CISs during 2015. While across the national network of CISs the overall number of callers decreased slightly (just under 2% over 2014 figures), the number of queries increased by 1% to 990,644. </w:t>
      </w:r>
    </w:p>
    <w:p w14:paraId="730DCA95" w14:textId="3BAF1704" w:rsidR="0017559B" w:rsidRPr="0017559B" w:rsidRDefault="0017559B" w:rsidP="005927C4">
      <w:pPr>
        <w:rPr>
          <w:rFonts w:cs="Times New Roman"/>
        </w:rPr>
      </w:pPr>
      <w:r w:rsidRPr="0017559B">
        <w:rPr>
          <w:rFonts w:cs="Times New Roman"/>
        </w:rPr>
        <w:t xml:space="preserve">  </w:t>
      </w:r>
    </w:p>
    <w:p w14:paraId="794F9BDA" w14:textId="3475E7F7" w:rsidR="009F123D" w:rsidRDefault="0017559B" w:rsidP="005927C4">
      <w:pPr>
        <w:rPr>
          <w:rFonts w:cs="Times New Roman"/>
        </w:rPr>
      </w:pPr>
      <w:r w:rsidRPr="0017559B">
        <w:rPr>
          <w:rFonts w:cs="Times New Roman"/>
        </w:rPr>
        <w:t>Over the last five years callers to CISs have averaged over 600,000 callers annually - meaning that over a five-year period services ha</w:t>
      </w:r>
      <w:r>
        <w:rPr>
          <w:rFonts w:cs="Times New Roman"/>
        </w:rPr>
        <w:t xml:space="preserve">ve dealt with the information, </w:t>
      </w:r>
      <w:r w:rsidRPr="0017559B">
        <w:rPr>
          <w:rFonts w:cs="Times New Roman"/>
        </w:rPr>
        <w:t>advice and advocacy needs of over 3.15m people.</w:t>
      </w:r>
    </w:p>
    <w:p w14:paraId="5E761D62" w14:textId="77777777" w:rsidR="00BB7C9C" w:rsidRPr="0017559B" w:rsidRDefault="00BB7C9C" w:rsidP="0017559B">
      <w:pPr>
        <w:rPr>
          <w:rFonts w:cs="Times New Roman"/>
        </w:rPr>
      </w:pPr>
    </w:p>
    <w:p w14:paraId="1E1E4A7A" w14:textId="77777777" w:rsidR="005927C4" w:rsidRDefault="005732BC" w:rsidP="005927C4">
      <w:pPr>
        <w:pStyle w:val="Heading2"/>
      </w:pPr>
      <w:bookmarkStart w:id="83" w:name="_Toc450922525"/>
      <w:bookmarkStart w:id="84" w:name="_Toc337126501"/>
      <w:r>
        <w:t>Query topics and trends</w:t>
      </w:r>
      <w:bookmarkEnd w:id="83"/>
      <w:bookmarkEnd w:id="84"/>
      <w:r w:rsidR="00364B7E">
        <w:t xml:space="preserve"> </w:t>
      </w:r>
    </w:p>
    <w:p w14:paraId="18F7B8BB" w14:textId="478054CB" w:rsidR="0017559B" w:rsidRDefault="00EF3899" w:rsidP="005927C4">
      <w:r>
        <w:br/>
      </w:r>
      <w:r w:rsidR="0017559B" w:rsidRPr="00BB7C9C">
        <w:t xml:space="preserve">Each query handled by CIS information providers is entered into the Oyster electronic data collection system in a specific category. There are 16 main categories. Social welfare continues to be the main category of query (just under </w:t>
      </w:r>
      <w:r w:rsidR="0017559B" w:rsidRPr="00BB7C9C">
        <w:lastRenderedPageBreak/>
        <w:t xml:space="preserve">half of all queries </w:t>
      </w:r>
      <w:r w:rsidR="0017559B">
        <w:t>to services at 457,887 queries). This is to be expected given the number of people</w:t>
      </w:r>
      <w:r w:rsidR="00321CCB">
        <w:t xml:space="preserve"> in receipt of welfare payments</w:t>
      </w:r>
      <w:r w:rsidR="00321CCB">
        <w:rPr>
          <w:rStyle w:val="FootnoteReference"/>
          <w:rFonts w:hint="eastAsia"/>
        </w:rPr>
        <w:footnoteReference w:id="8"/>
      </w:r>
      <w:r w:rsidR="0017559B">
        <w:t>.</w:t>
      </w:r>
    </w:p>
    <w:p w14:paraId="480574F1" w14:textId="77777777" w:rsidR="0017559B" w:rsidRDefault="0017559B" w:rsidP="0017559B">
      <w:pPr>
        <w:jc w:val="both"/>
      </w:pPr>
    </w:p>
    <w:p w14:paraId="72769C59" w14:textId="77777777" w:rsidR="0017559B" w:rsidRDefault="0017559B" w:rsidP="0017559B">
      <w:pPr>
        <w:jc w:val="both"/>
      </w:pPr>
      <w:r>
        <w:t>The next highest query categories were health (79,945 or 8% of queries), employment (70,223 or 7%), money and tax (65,823 queries or 7%), local queries (65,159 or 7%) and housing (59,205 or 6%). However, when 24,685 queries on Rent Supplement and 340 on Mortgage Interest Supplement (recorded under the social welfare category) are included housing-related queries are 84,230 which represents 8.5% of all queries to CIS.</w:t>
      </w:r>
    </w:p>
    <w:p w14:paraId="4B58E7EF" w14:textId="77777777" w:rsidR="0017559B" w:rsidRDefault="0017559B" w:rsidP="0017559B">
      <w:pPr>
        <w:jc w:val="both"/>
      </w:pPr>
      <w:r>
        <w:t xml:space="preserve">Other categories in order of query numbers were: justice; moving country; travel and recreation; birth, family and relationships; education and training; consumer affairs; death and bereavement; environment; government in Ireland. </w:t>
      </w:r>
    </w:p>
    <w:p w14:paraId="2BEBC3A2" w14:textId="2FA19777" w:rsidR="00D1695F" w:rsidRPr="00EE192B" w:rsidRDefault="0017559B" w:rsidP="0017559B">
      <w:pPr>
        <w:jc w:val="both"/>
        <w:rPr>
          <w:color w:val="FFFFFF" w:themeColor="background1"/>
        </w:rPr>
      </w:pPr>
      <w:r>
        <w:t>Medical cards were by far the highest single issue query in 2015. The single issues and payments that generated more than 15,000 queries each in 2015 are outlined below.</w:t>
      </w:r>
      <w:r>
        <w:cr/>
      </w:r>
    </w:p>
    <w:p w14:paraId="63B91D60" w14:textId="77777777" w:rsidR="00EE192B" w:rsidRPr="002D3A60" w:rsidRDefault="00EE192B" w:rsidP="00EE192B">
      <w:pPr>
        <w:rPr>
          <w:lang w:val="en-IE"/>
        </w:rPr>
      </w:pPr>
    </w:p>
    <w:tbl>
      <w:tblPr>
        <w:tblW w:w="8364" w:type="dxa"/>
        <w:tblInd w:w="64" w:type="dxa"/>
        <w:tblLayout w:type="fixed"/>
        <w:tblCellMar>
          <w:left w:w="0" w:type="dxa"/>
          <w:right w:w="0" w:type="dxa"/>
        </w:tblCellMar>
        <w:tblLook w:val="0000" w:firstRow="0" w:lastRow="0" w:firstColumn="0" w:lastColumn="0" w:noHBand="0" w:noVBand="0"/>
      </w:tblPr>
      <w:tblGrid>
        <w:gridCol w:w="6946"/>
        <w:gridCol w:w="1418"/>
      </w:tblGrid>
      <w:tr w:rsidR="00EE192B" w:rsidRPr="00DF2241" w14:paraId="02AC02DF" w14:textId="77777777" w:rsidTr="008E1504">
        <w:trPr>
          <w:trHeight w:val="656"/>
          <w:tblHeader/>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4FA8D560" w14:textId="71ADB366" w:rsidR="00EE192B" w:rsidRPr="00DF2241" w:rsidRDefault="00EE192B" w:rsidP="00EE192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Bold" w:hAnsi="Bliss-Bold" w:cs="Bliss-Bold"/>
                <w:b/>
                <w:bCs/>
                <w:caps/>
                <w:color w:val="FFFFFF"/>
                <w:sz w:val="26"/>
                <w:szCs w:val="26"/>
                <w:lang w:val="en-GB"/>
              </w:rPr>
              <w:t>SINGLE ISSUE OF PAYMENT</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345A2E39" w14:textId="5A8B5DFD" w:rsidR="00EE192B" w:rsidRPr="00DF2241" w:rsidRDefault="00EE192B" w:rsidP="00EE192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Bold" w:hAnsi="Bliss-Bold" w:cs="Bliss-Bold"/>
                <w:b/>
                <w:bCs/>
                <w:caps/>
                <w:color w:val="FFFFFF"/>
                <w:sz w:val="26"/>
                <w:szCs w:val="26"/>
                <w:lang w:val="en-GB"/>
              </w:rPr>
              <w:t>QUERIES</w:t>
            </w:r>
          </w:p>
        </w:tc>
      </w:tr>
      <w:tr w:rsidR="00EE192B" w:rsidRPr="00DF2241" w14:paraId="25D65D5C" w14:textId="77777777" w:rsidTr="008E1504">
        <w:trPr>
          <w:trHeight w:val="38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1BF6E767" w14:textId="542BC858" w:rsidR="00EE192B" w:rsidRPr="00DF2241" w:rsidRDefault="00EE192B" w:rsidP="00EE192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Regular" w:hAnsi="Bliss-Regular" w:cs="Bliss-Regular"/>
                <w:color w:val="4C4C4C"/>
                <w:lang w:val="en-GB"/>
              </w:rPr>
              <w:t>Medical cards</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318DBE9D" w14:textId="754D1D14" w:rsidR="00EE192B" w:rsidRPr="00DF2241" w:rsidRDefault="00EE192B" w:rsidP="00EE192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Regular" w:hAnsi="Bliss-Regular" w:cs="Bliss-Regular"/>
                <w:caps/>
                <w:color w:val="4C4C4C"/>
                <w:lang w:val="en-GB"/>
              </w:rPr>
              <w:t>53,111</w:t>
            </w:r>
          </w:p>
        </w:tc>
      </w:tr>
      <w:tr w:rsidR="00EE192B" w:rsidRPr="00DF2241" w14:paraId="746DC080" w14:textId="77777777" w:rsidTr="008E1504">
        <w:trPr>
          <w:trHeight w:val="418"/>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2BC86179" w14:textId="09B9579B" w:rsidR="00EE192B" w:rsidRPr="00DF2241" w:rsidRDefault="00EE192B" w:rsidP="00EE192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Regular" w:hAnsi="Bliss-Regular" w:cs="Bliss-Regular"/>
                <w:color w:val="4C4C4C"/>
                <w:lang w:val="en-GB"/>
              </w:rPr>
              <w:t>Jobseeker’s Allowance</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39EA8143" w14:textId="7C0AA656" w:rsidR="00EE192B" w:rsidRPr="00DF2241" w:rsidRDefault="00EE192B" w:rsidP="00EE192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Regular" w:hAnsi="Bliss-Regular" w:cs="Bliss-Regular"/>
                <w:caps/>
                <w:color w:val="4C4C4C"/>
                <w:lang w:val="en-GB"/>
              </w:rPr>
              <w:t>37,471</w:t>
            </w:r>
          </w:p>
        </w:tc>
      </w:tr>
      <w:tr w:rsidR="00EE192B" w:rsidRPr="00DF2241" w14:paraId="6F4C5BB7" w14:textId="77777777" w:rsidTr="008E1504">
        <w:trPr>
          <w:trHeight w:val="27"/>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317EF48C" w14:textId="2CFE1A81" w:rsidR="00EE192B" w:rsidRPr="00DF2241" w:rsidRDefault="00EE192B" w:rsidP="00EE192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Regular" w:hAnsi="Bliss-Regular" w:cs="Bliss-Regular"/>
                <w:color w:val="4C4C4C"/>
                <w:lang w:val="en-GB"/>
              </w:rPr>
              <w:t>State Contributory Pension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33CD8AA3" w14:textId="64756781" w:rsidR="00EE192B" w:rsidRPr="00DF2241" w:rsidRDefault="00EE192B" w:rsidP="00EE192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Regular" w:hAnsi="Bliss-Regular" w:cs="Bliss-Regular"/>
                <w:caps/>
                <w:color w:val="4C4C4C"/>
                <w:lang w:val="en-GB"/>
              </w:rPr>
              <w:t>34,358</w:t>
            </w:r>
          </w:p>
        </w:tc>
      </w:tr>
      <w:tr w:rsidR="00EE192B" w:rsidRPr="00DF2241" w14:paraId="477D0F1F" w14:textId="77777777" w:rsidTr="008E1504">
        <w:trPr>
          <w:trHeight w:val="35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5F6766C7" w14:textId="0C758CB1" w:rsidR="00EE192B" w:rsidRPr="00DF2241" w:rsidRDefault="00EE192B" w:rsidP="00EE192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Regular" w:hAnsi="Bliss-Regular" w:cs="Bliss-Regular"/>
                <w:color w:val="4C4C4C"/>
                <w:lang w:val="en-GB"/>
              </w:rPr>
              <w:t>Disability Allowance</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22A8F99F" w14:textId="24F36866" w:rsidR="00EE192B" w:rsidRPr="00DF2241" w:rsidRDefault="00EE192B" w:rsidP="00EE192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Regular" w:hAnsi="Bliss-Regular" w:cs="Bliss-Regular"/>
                <w:caps/>
                <w:color w:val="4C4C4C"/>
                <w:lang w:val="en-GB"/>
              </w:rPr>
              <w:t>27,453</w:t>
            </w:r>
          </w:p>
        </w:tc>
      </w:tr>
      <w:tr w:rsidR="00EE192B" w:rsidRPr="00DF2241" w14:paraId="04176121" w14:textId="77777777" w:rsidTr="008E1504">
        <w:trPr>
          <w:trHeight w:val="21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23B9E13E" w14:textId="62DFF7F8" w:rsidR="00EE192B" w:rsidRPr="00DF2241" w:rsidRDefault="00EE192B" w:rsidP="00EE192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Regular" w:hAnsi="Bliss-Regular" w:cs="Bliss-Regular"/>
                <w:color w:val="4C4C4C"/>
                <w:lang w:val="en-GB"/>
              </w:rPr>
              <w:t>Family Income Supplement</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086E21E7" w14:textId="6C7E3138" w:rsidR="00EE192B" w:rsidRPr="00DF2241" w:rsidRDefault="00EE192B" w:rsidP="00EE192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Regular" w:hAnsi="Bliss-Regular" w:cs="Bliss-Regular"/>
                <w:caps/>
                <w:color w:val="4C4C4C"/>
                <w:lang w:val="en-GB"/>
              </w:rPr>
              <w:t>26,259</w:t>
            </w:r>
          </w:p>
        </w:tc>
      </w:tr>
      <w:tr w:rsidR="00EE192B" w:rsidRPr="00DF2241" w14:paraId="6A8866B9" w14:textId="77777777" w:rsidTr="008E1504">
        <w:trPr>
          <w:trHeight w:val="190"/>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0FF5EA09" w14:textId="3C2E59CE" w:rsidR="00EE192B" w:rsidRPr="00DF2241" w:rsidRDefault="00EE192B" w:rsidP="00EE192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Regular" w:hAnsi="Bliss-Regular" w:cs="Bliss-Regular"/>
                <w:color w:val="4C4C4C"/>
                <w:lang w:val="en-GB"/>
              </w:rPr>
              <w:t xml:space="preserve">Carer’s Allowance </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66050B1E" w14:textId="060C44AD" w:rsidR="00EE192B" w:rsidRPr="00DF2241" w:rsidRDefault="00EE192B" w:rsidP="00EE192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Regular" w:hAnsi="Bliss-Regular" w:cs="Bliss-Regular"/>
                <w:caps/>
                <w:color w:val="4C4C4C"/>
                <w:lang w:val="en-GB"/>
              </w:rPr>
              <w:t>25,311</w:t>
            </w:r>
          </w:p>
        </w:tc>
      </w:tr>
      <w:tr w:rsidR="00EE192B" w:rsidRPr="00DF2241" w14:paraId="3A19543F" w14:textId="77777777" w:rsidTr="008E1504">
        <w:trPr>
          <w:trHeight w:val="168"/>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1081B3A2" w14:textId="1324026E" w:rsidR="00EE192B" w:rsidRDefault="00EE192B" w:rsidP="00EE192B">
            <w:pPr>
              <w:widowControl w:val="0"/>
              <w:suppressAutoHyphens/>
              <w:autoSpaceDE w:val="0"/>
              <w:autoSpaceDN w:val="0"/>
              <w:adjustRightInd w:val="0"/>
              <w:spacing w:line="300" w:lineRule="atLeast"/>
              <w:ind w:left="61"/>
              <w:textAlignment w:val="center"/>
              <w:rPr>
                <w:rFonts w:ascii="Bliss-Regular" w:hAnsi="Bliss-Regular" w:cs="Bliss-Regular"/>
                <w:color w:val="4C4C4C"/>
                <w:lang w:val="en-GB"/>
              </w:rPr>
            </w:pPr>
            <w:r>
              <w:rPr>
                <w:rFonts w:ascii="Bliss-Regular" w:hAnsi="Bliss-Regular" w:cs="Bliss-Regular"/>
                <w:color w:val="4C4C4C"/>
                <w:lang w:val="en-GB"/>
              </w:rPr>
              <w:t>Rent Supplement</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5AD50B24" w14:textId="6AD39B57" w:rsidR="00EE192B" w:rsidRDefault="00EE192B" w:rsidP="00EE192B">
            <w:pPr>
              <w:widowControl w:val="0"/>
              <w:suppressAutoHyphens/>
              <w:autoSpaceDE w:val="0"/>
              <w:autoSpaceDN w:val="0"/>
              <w:adjustRightInd w:val="0"/>
              <w:spacing w:line="300" w:lineRule="atLeast"/>
              <w:ind w:left="61"/>
              <w:textAlignment w:val="center"/>
              <w:rPr>
                <w:rFonts w:ascii="Bliss-Regular" w:hAnsi="Bliss-Regular" w:cs="Bliss-Regular"/>
                <w:caps/>
                <w:color w:val="4C4C4C"/>
                <w:lang w:val="en-GB"/>
              </w:rPr>
            </w:pPr>
            <w:r>
              <w:rPr>
                <w:rFonts w:ascii="Bliss-Regular" w:hAnsi="Bliss-Regular" w:cs="Bliss-Regular"/>
                <w:caps/>
                <w:color w:val="4C4C4C"/>
                <w:lang w:val="en-GB"/>
              </w:rPr>
              <w:t>24,685</w:t>
            </w:r>
          </w:p>
        </w:tc>
      </w:tr>
      <w:tr w:rsidR="00EE192B" w:rsidRPr="00DF2241" w14:paraId="263D2793" w14:textId="77777777" w:rsidTr="008E1504">
        <w:trPr>
          <w:trHeight w:val="20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149165B1" w14:textId="17AD7CAC" w:rsidR="00EE192B" w:rsidRDefault="00EE192B" w:rsidP="00EE192B">
            <w:pPr>
              <w:widowControl w:val="0"/>
              <w:suppressAutoHyphens/>
              <w:autoSpaceDE w:val="0"/>
              <w:autoSpaceDN w:val="0"/>
              <w:adjustRightInd w:val="0"/>
              <w:spacing w:line="300" w:lineRule="atLeast"/>
              <w:ind w:left="61"/>
              <w:textAlignment w:val="center"/>
              <w:rPr>
                <w:rFonts w:ascii="Bliss-Regular" w:hAnsi="Bliss-Regular" w:cs="Bliss-Regular"/>
                <w:color w:val="4C4C4C"/>
                <w:lang w:val="en-GB"/>
              </w:rPr>
            </w:pPr>
            <w:r>
              <w:rPr>
                <w:rFonts w:ascii="Bliss-Regular" w:hAnsi="Bliss-Regular" w:cs="Bliss-Regular"/>
                <w:color w:val="4C4C4C"/>
                <w:lang w:val="en-GB"/>
              </w:rPr>
              <w:t>Household Benefits Package</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28F6FC63" w14:textId="52FB5B94" w:rsidR="00EE192B" w:rsidRDefault="00EE192B" w:rsidP="00EE192B">
            <w:pPr>
              <w:widowControl w:val="0"/>
              <w:suppressAutoHyphens/>
              <w:autoSpaceDE w:val="0"/>
              <w:autoSpaceDN w:val="0"/>
              <w:adjustRightInd w:val="0"/>
              <w:spacing w:line="300" w:lineRule="atLeast"/>
              <w:ind w:left="61"/>
              <w:textAlignment w:val="center"/>
              <w:rPr>
                <w:rFonts w:ascii="Bliss-Regular" w:hAnsi="Bliss-Regular" w:cs="Bliss-Regular"/>
                <w:caps/>
                <w:color w:val="4C4C4C"/>
                <w:lang w:val="en-GB"/>
              </w:rPr>
            </w:pPr>
            <w:r>
              <w:rPr>
                <w:rFonts w:ascii="Bliss-Regular" w:hAnsi="Bliss-Regular" w:cs="Bliss-Regular"/>
                <w:caps/>
                <w:color w:val="4C4C4C"/>
                <w:lang w:val="en-GB"/>
              </w:rPr>
              <w:t>24,659</w:t>
            </w:r>
          </w:p>
        </w:tc>
      </w:tr>
      <w:tr w:rsidR="00EE192B" w:rsidRPr="00DF2241" w14:paraId="1CE24612" w14:textId="77777777" w:rsidTr="008E1504">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542109FA" w14:textId="618FF5BF" w:rsidR="00EE192B" w:rsidRDefault="00EE192B" w:rsidP="00EE192B">
            <w:pPr>
              <w:widowControl w:val="0"/>
              <w:suppressAutoHyphens/>
              <w:autoSpaceDE w:val="0"/>
              <w:autoSpaceDN w:val="0"/>
              <w:adjustRightInd w:val="0"/>
              <w:spacing w:line="300" w:lineRule="atLeast"/>
              <w:ind w:left="61"/>
              <w:textAlignment w:val="center"/>
              <w:rPr>
                <w:rFonts w:ascii="Bliss-Regular" w:hAnsi="Bliss-Regular" w:cs="Bliss-Regular"/>
                <w:color w:val="4C4C4C"/>
                <w:lang w:val="en-GB"/>
              </w:rPr>
            </w:pPr>
            <w:r>
              <w:rPr>
                <w:rFonts w:ascii="Bliss-Regular" w:hAnsi="Bliss-Regular" w:cs="Bliss-Regular"/>
                <w:color w:val="4C4C4C"/>
                <w:lang w:val="en-GB"/>
              </w:rPr>
              <w:t>Legal aid and advice</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128895AA" w14:textId="0FF52A17" w:rsidR="00EE192B" w:rsidRDefault="00EE192B" w:rsidP="00EE192B">
            <w:pPr>
              <w:widowControl w:val="0"/>
              <w:suppressAutoHyphens/>
              <w:autoSpaceDE w:val="0"/>
              <w:autoSpaceDN w:val="0"/>
              <w:adjustRightInd w:val="0"/>
              <w:spacing w:line="300" w:lineRule="atLeast"/>
              <w:ind w:left="61"/>
              <w:textAlignment w:val="center"/>
              <w:rPr>
                <w:rFonts w:ascii="Bliss-Regular" w:hAnsi="Bliss-Regular" w:cs="Bliss-Regular"/>
                <w:caps/>
                <w:color w:val="4C4C4C"/>
                <w:lang w:val="en-GB"/>
              </w:rPr>
            </w:pPr>
            <w:r>
              <w:rPr>
                <w:rFonts w:ascii="Bliss-Regular" w:hAnsi="Bliss-Regular" w:cs="Bliss-Regular"/>
                <w:caps/>
                <w:color w:val="4C4C4C"/>
                <w:lang w:val="en-GB"/>
              </w:rPr>
              <w:t>21,120</w:t>
            </w:r>
          </w:p>
        </w:tc>
      </w:tr>
      <w:tr w:rsidR="00AE79EA" w:rsidRPr="00DF2241" w14:paraId="6A088B50" w14:textId="77777777" w:rsidTr="008E1504">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21E527BB" w14:textId="68ABD9A3" w:rsidR="00AE79EA" w:rsidRDefault="00AE79EA" w:rsidP="00EE192B">
            <w:pPr>
              <w:widowControl w:val="0"/>
              <w:suppressAutoHyphens/>
              <w:autoSpaceDE w:val="0"/>
              <w:autoSpaceDN w:val="0"/>
              <w:adjustRightInd w:val="0"/>
              <w:spacing w:line="300" w:lineRule="atLeast"/>
              <w:ind w:left="61"/>
              <w:textAlignment w:val="center"/>
              <w:rPr>
                <w:rFonts w:ascii="Bliss-Regular" w:hAnsi="Bliss-Regular" w:cs="Bliss-Regular"/>
                <w:color w:val="4C4C4C"/>
                <w:lang w:val="en-GB"/>
              </w:rPr>
            </w:pPr>
            <w:r>
              <w:rPr>
                <w:rFonts w:ascii="Bliss-Regular" w:hAnsi="Bliss-Regular" w:cs="Bliss-Regular"/>
                <w:color w:val="4C4C4C"/>
                <w:lang w:val="en-GB"/>
              </w:rPr>
              <w:t>Fuel Allowance</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6F31F172" w14:textId="12C4B0A8" w:rsidR="00AE79EA" w:rsidRDefault="00596FC0" w:rsidP="00EE192B">
            <w:pPr>
              <w:widowControl w:val="0"/>
              <w:suppressAutoHyphens/>
              <w:autoSpaceDE w:val="0"/>
              <w:autoSpaceDN w:val="0"/>
              <w:adjustRightInd w:val="0"/>
              <w:spacing w:line="300" w:lineRule="atLeast"/>
              <w:ind w:left="61"/>
              <w:textAlignment w:val="center"/>
              <w:rPr>
                <w:rFonts w:ascii="Bliss-Regular" w:hAnsi="Bliss-Regular" w:cs="Bliss-Regular"/>
                <w:caps/>
                <w:color w:val="4C4C4C"/>
                <w:lang w:val="en-GB"/>
              </w:rPr>
            </w:pPr>
            <w:r>
              <w:rPr>
                <w:rFonts w:ascii="Bliss-Regular" w:hAnsi="Bliss-Regular" w:cs="Bliss-Regular"/>
                <w:caps/>
                <w:color w:val="4C4C4C"/>
                <w:lang w:val="en-GB"/>
              </w:rPr>
              <w:t>16,246</w:t>
            </w:r>
          </w:p>
        </w:tc>
      </w:tr>
      <w:tr w:rsidR="00AE79EA" w:rsidRPr="00DF2241" w14:paraId="0FEF4161" w14:textId="77777777" w:rsidTr="008E1504">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15E869A1" w14:textId="23C93349" w:rsidR="00AE79EA" w:rsidRDefault="00AE79EA" w:rsidP="00EE192B">
            <w:pPr>
              <w:widowControl w:val="0"/>
              <w:suppressAutoHyphens/>
              <w:autoSpaceDE w:val="0"/>
              <w:autoSpaceDN w:val="0"/>
              <w:adjustRightInd w:val="0"/>
              <w:spacing w:line="300" w:lineRule="atLeast"/>
              <w:ind w:left="61"/>
              <w:textAlignment w:val="center"/>
              <w:rPr>
                <w:rFonts w:ascii="Bliss-Regular" w:hAnsi="Bliss-Regular" w:cs="Bliss-Regular"/>
                <w:color w:val="4C4C4C"/>
                <w:lang w:val="en-GB"/>
              </w:rPr>
            </w:pPr>
            <w:r>
              <w:rPr>
                <w:rFonts w:ascii="Bliss-Regular" w:hAnsi="Bliss-Regular" w:cs="Bliss-Regular"/>
                <w:color w:val="4C4C4C"/>
                <w:lang w:val="en-GB"/>
              </w:rPr>
              <w:t>Illness Benefit</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1028FFF0" w14:textId="1EB9C8B8" w:rsidR="00AE79EA" w:rsidRDefault="00596FC0" w:rsidP="00EE192B">
            <w:pPr>
              <w:widowControl w:val="0"/>
              <w:suppressAutoHyphens/>
              <w:autoSpaceDE w:val="0"/>
              <w:autoSpaceDN w:val="0"/>
              <w:adjustRightInd w:val="0"/>
              <w:spacing w:line="300" w:lineRule="atLeast"/>
              <w:ind w:left="61"/>
              <w:textAlignment w:val="center"/>
              <w:rPr>
                <w:rFonts w:ascii="Bliss-Regular" w:hAnsi="Bliss-Regular" w:cs="Bliss-Regular"/>
                <w:caps/>
                <w:color w:val="4C4C4C"/>
                <w:lang w:val="en-GB"/>
              </w:rPr>
            </w:pPr>
            <w:r>
              <w:rPr>
                <w:rFonts w:ascii="Bliss-Regular" w:hAnsi="Bliss-Regular" w:cs="Bliss-Regular"/>
                <w:caps/>
                <w:color w:val="4C4C4C"/>
                <w:lang w:val="en-GB"/>
              </w:rPr>
              <w:t>16,017</w:t>
            </w:r>
          </w:p>
        </w:tc>
      </w:tr>
      <w:tr w:rsidR="00AE79EA" w:rsidRPr="00DF2241" w14:paraId="68C4A500" w14:textId="77777777" w:rsidTr="008E1504">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6CF8D6CE" w14:textId="619361C8" w:rsidR="00AE79EA" w:rsidRDefault="00AE79EA" w:rsidP="00EE192B">
            <w:pPr>
              <w:widowControl w:val="0"/>
              <w:suppressAutoHyphens/>
              <w:autoSpaceDE w:val="0"/>
              <w:autoSpaceDN w:val="0"/>
              <w:adjustRightInd w:val="0"/>
              <w:spacing w:line="300" w:lineRule="atLeast"/>
              <w:ind w:left="61"/>
              <w:textAlignment w:val="center"/>
              <w:rPr>
                <w:rFonts w:ascii="Bliss-Regular" w:hAnsi="Bliss-Regular" w:cs="Bliss-Regular"/>
                <w:color w:val="4C4C4C"/>
                <w:lang w:val="en-GB"/>
              </w:rPr>
            </w:pPr>
            <w:r>
              <w:rPr>
                <w:rFonts w:ascii="Bliss-Regular" w:hAnsi="Bliss-Regular" w:cs="Bliss-Regular"/>
                <w:color w:val="4C4C4C"/>
                <w:lang w:val="en-GB"/>
              </w:rPr>
              <w:t>Jobseeker’s Benefit</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21558464" w14:textId="5855EA59" w:rsidR="00AE79EA" w:rsidRDefault="00596FC0" w:rsidP="00EE192B">
            <w:pPr>
              <w:widowControl w:val="0"/>
              <w:suppressAutoHyphens/>
              <w:autoSpaceDE w:val="0"/>
              <w:autoSpaceDN w:val="0"/>
              <w:adjustRightInd w:val="0"/>
              <w:spacing w:line="300" w:lineRule="atLeast"/>
              <w:ind w:left="61"/>
              <w:textAlignment w:val="center"/>
              <w:rPr>
                <w:rFonts w:ascii="Bliss-Regular" w:hAnsi="Bliss-Regular" w:cs="Bliss-Regular"/>
                <w:caps/>
                <w:color w:val="4C4C4C"/>
                <w:lang w:val="en-GB"/>
              </w:rPr>
            </w:pPr>
            <w:r>
              <w:rPr>
                <w:rFonts w:ascii="Bliss-Regular" w:hAnsi="Bliss-Regular" w:cs="Bliss-Regular"/>
                <w:caps/>
                <w:color w:val="4C4C4C"/>
                <w:lang w:val="en-GB"/>
              </w:rPr>
              <w:t>15,425</w:t>
            </w:r>
          </w:p>
        </w:tc>
      </w:tr>
      <w:tr w:rsidR="00AE79EA" w:rsidRPr="00DF2241" w14:paraId="05C1D1C3" w14:textId="77777777" w:rsidTr="008E1504">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3698FE26" w14:textId="3F87D692" w:rsidR="00AE79EA" w:rsidRDefault="00AE79EA" w:rsidP="00EE192B">
            <w:pPr>
              <w:widowControl w:val="0"/>
              <w:suppressAutoHyphens/>
              <w:autoSpaceDE w:val="0"/>
              <w:autoSpaceDN w:val="0"/>
              <w:adjustRightInd w:val="0"/>
              <w:spacing w:line="300" w:lineRule="atLeast"/>
              <w:ind w:left="61"/>
              <w:textAlignment w:val="center"/>
              <w:rPr>
                <w:rFonts w:ascii="Bliss-Regular" w:hAnsi="Bliss-Regular" w:cs="Bliss-Regular"/>
                <w:color w:val="4C4C4C"/>
                <w:lang w:val="en-GB"/>
              </w:rPr>
            </w:pPr>
            <w:r>
              <w:rPr>
                <w:rFonts w:ascii="Bliss-Regular" w:hAnsi="Bliss-Regular" w:cs="Bliss-Regular"/>
                <w:color w:val="4C4C4C"/>
                <w:lang w:val="en-GB"/>
              </w:rPr>
              <w:t xml:space="preserve">Applying for local authority/social housing </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265AD59E" w14:textId="730C3850" w:rsidR="00AE79EA" w:rsidRDefault="00596FC0" w:rsidP="00EE192B">
            <w:pPr>
              <w:widowControl w:val="0"/>
              <w:suppressAutoHyphens/>
              <w:autoSpaceDE w:val="0"/>
              <w:autoSpaceDN w:val="0"/>
              <w:adjustRightInd w:val="0"/>
              <w:spacing w:line="300" w:lineRule="atLeast"/>
              <w:ind w:left="61"/>
              <w:textAlignment w:val="center"/>
              <w:rPr>
                <w:rFonts w:ascii="Bliss-Regular" w:hAnsi="Bliss-Regular" w:cs="Bliss-Regular"/>
                <w:caps/>
                <w:color w:val="4C4C4C"/>
                <w:lang w:val="en-GB"/>
              </w:rPr>
            </w:pPr>
            <w:r>
              <w:rPr>
                <w:rFonts w:ascii="Bliss-Regular" w:hAnsi="Bliss-Regular" w:cs="Bliss-Regular"/>
                <w:caps/>
                <w:color w:val="4C4C4C"/>
                <w:lang w:val="en-GB"/>
              </w:rPr>
              <w:t>15,409</w:t>
            </w:r>
          </w:p>
        </w:tc>
      </w:tr>
    </w:tbl>
    <w:p w14:paraId="37AC2FF8" w14:textId="77777777" w:rsidR="00EE192B" w:rsidRDefault="00EE192B" w:rsidP="0017559B">
      <w:pPr>
        <w:jc w:val="both"/>
      </w:pPr>
    </w:p>
    <w:p w14:paraId="3ACF4C3E" w14:textId="4B282611" w:rsidR="0017559B" w:rsidRDefault="0017559B" w:rsidP="0017559B">
      <w:pPr>
        <w:jc w:val="both"/>
      </w:pPr>
    </w:p>
    <w:p w14:paraId="498F56D7" w14:textId="77777777" w:rsidR="0017559B" w:rsidRDefault="0017559B" w:rsidP="0017559B">
      <w:pPr>
        <w:jc w:val="both"/>
      </w:pPr>
    </w:p>
    <w:p w14:paraId="5B28D841" w14:textId="00614887" w:rsidR="0017559B" w:rsidRDefault="0017559B" w:rsidP="0017559B">
      <w:pPr>
        <w:jc w:val="both"/>
      </w:pPr>
      <w:r>
        <w:lastRenderedPageBreak/>
        <w:t xml:space="preserve">Just under half of all queries were dealt with by services in 10 minutes or less </w:t>
      </w:r>
    </w:p>
    <w:p w14:paraId="22982E91" w14:textId="1A270132" w:rsidR="00D834DE" w:rsidRDefault="0017559B" w:rsidP="0017559B">
      <w:pPr>
        <w:jc w:val="both"/>
      </w:pPr>
      <w:r>
        <w:t xml:space="preserve">(264,066 or 46%). 234,337 (39%) took 11 – 20 minutes. 85,697 (14%) took </w:t>
      </w:r>
      <w:r>
        <w:br/>
        <w:t>21-40 minutes and 23,186 (4%) took over 40 minutes to deal with a query. These are similar percentages to 2014.</w:t>
      </w:r>
    </w:p>
    <w:p w14:paraId="6565A498" w14:textId="77777777" w:rsidR="0017559B" w:rsidRDefault="0017559B" w:rsidP="0017559B">
      <w:pPr>
        <w:jc w:val="both"/>
      </w:pPr>
    </w:p>
    <w:p w14:paraId="0768355C" w14:textId="77777777" w:rsidR="0017559B" w:rsidRDefault="0017559B" w:rsidP="0017559B">
      <w:pPr>
        <w:jc w:val="both"/>
      </w:pPr>
    </w:p>
    <w:p w14:paraId="3342F89D" w14:textId="77777777" w:rsidR="0017559B" w:rsidRDefault="0017559B" w:rsidP="0017559B">
      <w:pPr>
        <w:jc w:val="both"/>
        <w:rPr>
          <w:rFonts w:asciiTheme="majorHAnsi" w:eastAsiaTheme="majorEastAsia" w:hAnsiTheme="majorHAnsi" w:cstheme="majorBidi"/>
          <w:b/>
          <w:bCs/>
          <w:color w:val="4F81BD" w:themeColor="accent1"/>
        </w:rPr>
      </w:pPr>
      <w:r w:rsidRPr="0017559B">
        <w:rPr>
          <w:rFonts w:asciiTheme="majorHAnsi" w:eastAsiaTheme="majorEastAsia" w:hAnsiTheme="majorHAnsi" w:cstheme="majorBidi"/>
          <w:b/>
          <w:bCs/>
          <w:color w:val="4F81BD" w:themeColor="accent1"/>
        </w:rPr>
        <w:t xml:space="preserve">Key issue - Housing </w:t>
      </w:r>
    </w:p>
    <w:p w14:paraId="208CB7C7" w14:textId="77777777" w:rsidR="0017559B" w:rsidRDefault="0017559B" w:rsidP="0017559B">
      <w:pPr>
        <w:jc w:val="both"/>
      </w:pPr>
      <w:r>
        <w:t xml:space="preserve">Housing was in the national news throughout 2015 and this was </w:t>
      </w:r>
    </w:p>
    <w:p w14:paraId="51731898" w14:textId="77777777" w:rsidR="0017559B" w:rsidRDefault="0017559B" w:rsidP="0017559B">
      <w:pPr>
        <w:jc w:val="both"/>
      </w:pPr>
      <w:r>
        <w:t xml:space="preserve">matched in the level of housing queries presented to services and related </w:t>
      </w:r>
    </w:p>
    <w:p w14:paraId="47836E1D" w14:textId="77777777" w:rsidR="0017559B" w:rsidRDefault="0017559B" w:rsidP="0017559B">
      <w:pPr>
        <w:jc w:val="both"/>
      </w:pPr>
      <w:r>
        <w:t xml:space="preserve">social policy feedback. These queries covered a range of topics – local </w:t>
      </w:r>
    </w:p>
    <w:p w14:paraId="182421C9" w14:textId="1E34D1DE" w:rsidR="0017559B" w:rsidRDefault="0017559B" w:rsidP="0017559B">
      <w:pPr>
        <w:jc w:val="both"/>
      </w:pPr>
      <w:r>
        <w:t xml:space="preserve">authority and social housing, </w:t>
      </w:r>
      <w:r w:rsidR="005D3D2D">
        <w:t xml:space="preserve">homelessness, losing your home, </w:t>
      </w:r>
      <w:r>
        <w:t xml:space="preserve">emergency accommodation, renting a home. Many vulnerable and distressed callers </w:t>
      </w:r>
    </w:p>
    <w:p w14:paraId="3D30C7EE" w14:textId="77777777" w:rsidR="0017559B" w:rsidRDefault="0017559B" w:rsidP="0017559B">
      <w:pPr>
        <w:jc w:val="both"/>
      </w:pPr>
      <w:r>
        <w:t xml:space="preserve">were facing homelessness for the first time and needed a significant amount </w:t>
      </w:r>
    </w:p>
    <w:p w14:paraId="1372B9E0" w14:textId="77777777" w:rsidR="0017559B" w:rsidRDefault="0017559B" w:rsidP="0017559B">
      <w:pPr>
        <w:jc w:val="both"/>
      </w:pPr>
      <w:r>
        <w:t>of information, advice and in some cases advocacy on a range of housing-</w:t>
      </w:r>
    </w:p>
    <w:p w14:paraId="335173A2" w14:textId="77777777" w:rsidR="0017559B" w:rsidRDefault="0017559B" w:rsidP="0017559B">
      <w:pPr>
        <w:jc w:val="both"/>
      </w:pPr>
      <w:r>
        <w:t xml:space="preserve">related issues. Rent Supplement continued to be an area of particular </w:t>
      </w:r>
    </w:p>
    <w:p w14:paraId="56CDDC9A" w14:textId="77777777" w:rsidR="0017559B" w:rsidRDefault="0017559B" w:rsidP="0017559B">
      <w:pPr>
        <w:jc w:val="both"/>
      </w:pPr>
      <w:r>
        <w:t xml:space="preserve">concern during 2015 with queries increasing significantly. Rent Supplement </w:t>
      </w:r>
    </w:p>
    <w:p w14:paraId="43D3D19B" w14:textId="3294D61D" w:rsidR="0017559B" w:rsidRDefault="0017559B" w:rsidP="0017559B">
      <w:pPr>
        <w:jc w:val="both"/>
      </w:pPr>
      <w:r>
        <w:t>was the single issue most often logged by CISs in social policy returns.</w:t>
      </w:r>
    </w:p>
    <w:p w14:paraId="6CD62562" w14:textId="77777777" w:rsidR="00182A28" w:rsidRDefault="00182A28" w:rsidP="0017559B">
      <w:pPr>
        <w:jc w:val="both"/>
      </w:pPr>
    </w:p>
    <w:p w14:paraId="78E5462A" w14:textId="77777777" w:rsidR="00182A28" w:rsidRPr="002D3A60" w:rsidRDefault="00182A28" w:rsidP="0017559B">
      <w:pPr>
        <w:jc w:val="both"/>
      </w:pPr>
    </w:p>
    <w:tbl>
      <w:tblPr>
        <w:tblStyle w:val="TableGrid"/>
        <w:tblW w:w="8516" w:type="dxa"/>
        <w:tblLook w:val="04A0" w:firstRow="1" w:lastRow="0" w:firstColumn="1" w:lastColumn="0" w:noHBand="0" w:noVBand="1"/>
        <w:tblCaption w:val="CATEGORY QUERIES IN 2015 "/>
      </w:tblPr>
      <w:tblGrid>
        <w:gridCol w:w="4258"/>
        <w:gridCol w:w="4258"/>
      </w:tblGrid>
      <w:tr w:rsidR="00182A28" w14:paraId="36E72BED" w14:textId="77777777" w:rsidTr="00E80C48">
        <w:trPr>
          <w:trHeight w:val="543"/>
          <w:tblHeader/>
        </w:trPr>
        <w:tc>
          <w:tcPr>
            <w:tcW w:w="425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FFFFFF" w:themeColor="background1"/>
            </w:tcBorders>
            <w:shd w:val="clear" w:color="auto" w:fill="548DD4" w:themeFill="text2" w:themeFillTint="99"/>
            <w:vAlign w:val="center"/>
          </w:tcPr>
          <w:p w14:paraId="073E8BC1" w14:textId="1C04A288" w:rsidR="00182A28" w:rsidRPr="008B64A7" w:rsidRDefault="00182A28" w:rsidP="00122565">
            <w:pPr>
              <w:rPr>
                <w:rFonts w:ascii="Bliss-Regular" w:hAnsi="Bliss-Regular"/>
                <w:b/>
                <w:color w:val="FFFFFF" w:themeColor="background1"/>
                <w:sz w:val="24"/>
                <w:szCs w:val="24"/>
              </w:rPr>
            </w:pPr>
            <w:r w:rsidRPr="008B64A7">
              <w:rPr>
                <w:rFonts w:ascii="Bliss-Regular" w:hAnsi="Bliss-Regular"/>
                <w:b/>
                <w:color w:val="FFFFFF" w:themeColor="background1"/>
                <w:sz w:val="24"/>
                <w:szCs w:val="24"/>
              </w:rPr>
              <w:t>CATEGORY</w:t>
            </w:r>
          </w:p>
        </w:tc>
        <w:tc>
          <w:tcPr>
            <w:tcW w:w="4258" w:type="dxa"/>
            <w:tcBorders>
              <w:top w:val="single" w:sz="4" w:space="0" w:color="95B3D7" w:themeColor="accent1" w:themeTint="99"/>
              <w:left w:val="single" w:sz="4" w:space="0" w:color="FFFFFF" w:themeColor="background1"/>
              <w:bottom w:val="single" w:sz="4" w:space="0" w:color="95B3D7" w:themeColor="accent1" w:themeTint="99"/>
              <w:right w:val="single" w:sz="4" w:space="0" w:color="95B3D7" w:themeColor="accent1" w:themeTint="99"/>
            </w:tcBorders>
            <w:shd w:val="clear" w:color="auto" w:fill="548DD4" w:themeFill="text2" w:themeFillTint="99"/>
            <w:vAlign w:val="center"/>
          </w:tcPr>
          <w:p w14:paraId="0584135B" w14:textId="78DBF699" w:rsidR="00182A28" w:rsidRPr="008B64A7" w:rsidRDefault="00182A28" w:rsidP="00122565">
            <w:pPr>
              <w:rPr>
                <w:rFonts w:ascii="Bliss-Regular" w:hAnsi="Bliss-Regular"/>
                <w:b/>
                <w:color w:val="FFFFFF" w:themeColor="background1"/>
                <w:sz w:val="24"/>
                <w:szCs w:val="24"/>
              </w:rPr>
            </w:pPr>
            <w:r w:rsidRPr="008B64A7">
              <w:rPr>
                <w:rFonts w:ascii="Bliss-Regular" w:hAnsi="Bliss-Regular"/>
                <w:b/>
                <w:color w:val="FFFFFF" w:themeColor="background1"/>
                <w:sz w:val="24"/>
                <w:szCs w:val="24"/>
              </w:rPr>
              <w:t xml:space="preserve"> QUERIES IN 2015</w:t>
            </w:r>
          </w:p>
        </w:tc>
      </w:tr>
      <w:tr w:rsidR="00182A28" w14:paraId="2DA1D7A1" w14:textId="77777777" w:rsidTr="00122565">
        <w:trPr>
          <w:trHeight w:val="432"/>
        </w:trPr>
        <w:tc>
          <w:tcPr>
            <w:tcW w:w="425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5D8D00D5" w14:textId="29903874" w:rsidR="00182A28" w:rsidRPr="008332EC" w:rsidRDefault="00182A28" w:rsidP="00122565">
            <w:pPr>
              <w:rPr>
                <w:rFonts w:ascii="Bliss-Regular" w:hAnsi="Bliss-Regular"/>
                <w:sz w:val="24"/>
                <w:szCs w:val="24"/>
              </w:rPr>
            </w:pPr>
            <w:r w:rsidRPr="008332EC">
              <w:rPr>
                <w:rFonts w:ascii="Bliss-Regular" w:hAnsi="Bliss-Regular"/>
                <w:sz w:val="24"/>
                <w:szCs w:val="24"/>
              </w:rPr>
              <w:t>Social welfare</w:t>
            </w:r>
          </w:p>
        </w:tc>
        <w:tc>
          <w:tcPr>
            <w:tcW w:w="425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565CE23" w14:textId="416759EE" w:rsidR="00182A28" w:rsidRPr="008332EC" w:rsidRDefault="00182A28" w:rsidP="00122565">
            <w:pPr>
              <w:rPr>
                <w:rFonts w:ascii="Bliss-Regular" w:hAnsi="Bliss-Regular"/>
                <w:sz w:val="24"/>
                <w:szCs w:val="24"/>
              </w:rPr>
            </w:pPr>
            <w:r w:rsidRPr="008332EC">
              <w:rPr>
                <w:rFonts w:ascii="Bliss-Regular" w:hAnsi="Bliss-Regular"/>
                <w:sz w:val="24"/>
                <w:szCs w:val="24"/>
              </w:rPr>
              <w:t>457,887 (46%)</w:t>
            </w:r>
          </w:p>
        </w:tc>
      </w:tr>
      <w:tr w:rsidR="00182A28" w14:paraId="1287F655" w14:textId="77777777" w:rsidTr="00122565">
        <w:trPr>
          <w:trHeight w:val="411"/>
        </w:trPr>
        <w:tc>
          <w:tcPr>
            <w:tcW w:w="425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vAlign w:val="center"/>
          </w:tcPr>
          <w:p w14:paraId="34D9F6D5" w14:textId="1CD29123" w:rsidR="00182A28" w:rsidRPr="008332EC" w:rsidRDefault="00182A28" w:rsidP="00122565">
            <w:pPr>
              <w:rPr>
                <w:rFonts w:ascii="Bliss-Regular" w:hAnsi="Bliss-Regular"/>
                <w:sz w:val="24"/>
                <w:szCs w:val="24"/>
              </w:rPr>
            </w:pPr>
            <w:r w:rsidRPr="008332EC">
              <w:rPr>
                <w:rFonts w:ascii="Bliss-Regular" w:hAnsi="Bliss-Regular"/>
                <w:sz w:val="24"/>
                <w:szCs w:val="24"/>
              </w:rPr>
              <w:t>Health</w:t>
            </w:r>
          </w:p>
        </w:tc>
        <w:tc>
          <w:tcPr>
            <w:tcW w:w="425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vAlign w:val="center"/>
          </w:tcPr>
          <w:p w14:paraId="28DF1DD3" w14:textId="09E2078E" w:rsidR="00182A28" w:rsidRPr="008332EC" w:rsidRDefault="00182A28" w:rsidP="00122565">
            <w:pPr>
              <w:rPr>
                <w:rFonts w:ascii="Bliss-Regular" w:hAnsi="Bliss-Regular"/>
                <w:sz w:val="24"/>
                <w:szCs w:val="24"/>
              </w:rPr>
            </w:pPr>
            <w:r w:rsidRPr="008332EC">
              <w:rPr>
                <w:rFonts w:ascii="Bliss-Regular" w:hAnsi="Bliss-Regular"/>
                <w:sz w:val="24"/>
                <w:szCs w:val="24"/>
              </w:rPr>
              <w:t>79,945(8%)</w:t>
            </w:r>
          </w:p>
        </w:tc>
      </w:tr>
      <w:tr w:rsidR="00182A28" w14:paraId="2B6F04DA" w14:textId="77777777" w:rsidTr="00122565">
        <w:trPr>
          <w:trHeight w:val="403"/>
        </w:trPr>
        <w:tc>
          <w:tcPr>
            <w:tcW w:w="425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0501C3B8" w14:textId="55169AC5" w:rsidR="00182A28" w:rsidRPr="008332EC" w:rsidRDefault="00182A28" w:rsidP="00122565">
            <w:pPr>
              <w:rPr>
                <w:rFonts w:ascii="Bliss-Regular" w:hAnsi="Bliss-Regular"/>
                <w:sz w:val="24"/>
                <w:szCs w:val="24"/>
              </w:rPr>
            </w:pPr>
            <w:r w:rsidRPr="008332EC">
              <w:rPr>
                <w:rFonts w:ascii="Bliss-Regular" w:hAnsi="Bliss-Regular"/>
                <w:sz w:val="24"/>
                <w:szCs w:val="24"/>
              </w:rPr>
              <w:t>Employment</w:t>
            </w:r>
          </w:p>
        </w:tc>
        <w:tc>
          <w:tcPr>
            <w:tcW w:w="425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2FBE1D19" w14:textId="3F0D1AEB" w:rsidR="00182A28" w:rsidRPr="008332EC" w:rsidRDefault="00182A28" w:rsidP="00122565">
            <w:pPr>
              <w:rPr>
                <w:rFonts w:ascii="Bliss-Regular" w:hAnsi="Bliss-Regular"/>
                <w:sz w:val="24"/>
                <w:szCs w:val="24"/>
              </w:rPr>
            </w:pPr>
            <w:r w:rsidRPr="008332EC">
              <w:rPr>
                <w:rFonts w:ascii="Bliss-Regular" w:hAnsi="Bliss-Regular"/>
                <w:sz w:val="24"/>
                <w:szCs w:val="24"/>
              </w:rPr>
              <w:t>70,233(7%)</w:t>
            </w:r>
          </w:p>
        </w:tc>
      </w:tr>
      <w:tr w:rsidR="00182A28" w14:paraId="07B3B68A" w14:textId="77777777" w:rsidTr="00122565">
        <w:trPr>
          <w:trHeight w:val="422"/>
        </w:trPr>
        <w:tc>
          <w:tcPr>
            <w:tcW w:w="425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vAlign w:val="center"/>
          </w:tcPr>
          <w:p w14:paraId="5D19DE95" w14:textId="5F3C541A" w:rsidR="00182A28" w:rsidRPr="008332EC" w:rsidRDefault="00182A28" w:rsidP="00122565">
            <w:pPr>
              <w:rPr>
                <w:rFonts w:ascii="Bliss-Regular" w:hAnsi="Bliss-Regular"/>
                <w:sz w:val="24"/>
                <w:szCs w:val="24"/>
              </w:rPr>
            </w:pPr>
            <w:r w:rsidRPr="008332EC">
              <w:rPr>
                <w:rFonts w:ascii="Bliss-Regular" w:hAnsi="Bliss-Regular"/>
                <w:sz w:val="24"/>
                <w:szCs w:val="24"/>
              </w:rPr>
              <w:t>Money and Tax</w:t>
            </w:r>
          </w:p>
        </w:tc>
        <w:tc>
          <w:tcPr>
            <w:tcW w:w="425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vAlign w:val="center"/>
          </w:tcPr>
          <w:p w14:paraId="447CED98" w14:textId="3F489592" w:rsidR="00182A28" w:rsidRPr="008332EC" w:rsidRDefault="00182A28" w:rsidP="00122565">
            <w:pPr>
              <w:rPr>
                <w:rFonts w:ascii="Bliss-Regular" w:hAnsi="Bliss-Regular"/>
                <w:sz w:val="24"/>
                <w:szCs w:val="24"/>
              </w:rPr>
            </w:pPr>
            <w:r w:rsidRPr="008332EC">
              <w:rPr>
                <w:rFonts w:ascii="Bliss-Regular" w:hAnsi="Bliss-Regular"/>
                <w:sz w:val="24"/>
                <w:szCs w:val="24"/>
              </w:rPr>
              <w:t>65,159 (7%)</w:t>
            </w:r>
          </w:p>
        </w:tc>
      </w:tr>
      <w:tr w:rsidR="00182A28" w14:paraId="5965DC5D" w14:textId="77777777" w:rsidTr="00122565">
        <w:trPr>
          <w:trHeight w:val="414"/>
        </w:trPr>
        <w:tc>
          <w:tcPr>
            <w:tcW w:w="425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146E8934" w14:textId="28734FCD" w:rsidR="00182A28" w:rsidRPr="008332EC" w:rsidRDefault="00182A28" w:rsidP="00122565">
            <w:pPr>
              <w:rPr>
                <w:rFonts w:ascii="Bliss-Regular" w:hAnsi="Bliss-Regular"/>
                <w:sz w:val="24"/>
                <w:szCs w:val="24"/>
              </w:rPr>
            </w:pPr>
            <w:r w:rsidRPr="008332EC">
              <w:rPr>
                <w:rFonts w:ascii="Bliss-Regular" w:hAnsi="Bliss-Regular"/>
                <w:sz w:val="24"/>
                <w:szCs w:val="24"/>
              </w:rPr>
              <w:t>Local</w:t>
            </w:r>
          </w:p>
        </w:tc>
        <w:tc>
          <w:tcPr>
            <w:tcW w:w="425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14:paraId="6F9244CA" w14:textId="5E9EEAB6" w:rsidR="00182A28" w:rsidRPr="008332EC" w:rsidRDefault="00182A28" w:rsidP="00122565">
            <w:pPr>
              <w:rPr>
                <w:rFonts w:ascii="Bliss-Regular" w:hAnsi="Bliss-Regular"/>
                <w:sz w:val="24"/>
                <w:szCs w:val="24"/>
              </w:rPr>
            </w:pPr>
            <w:r w:rsidRPr="008332EC">
              <w:rPr>
                <w:rFonts w:ascii="Bliss-Regular" w:hAnsi="Bliss-Regular"/>
                <w:sz w:val="24"/>
                <w:szCs w:val="24"/>
              </w:rPr>
              <w:t>65,159 (7%)</w:t>
            </w:r>
          </w:p>
        </w:tc>
      </w:tr>
      <w:tr w:rsidR="00182A28" w14:paraId="66CE8657" w14:textId="77777777" w:rsidTr="00122565">
        <w:trPr>
          <w:trHeight w:val="421"/>
        </w:trPr>
        <w:tc>
          <w:tcPr>
            <w:tcW w:w="425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vAlign w:val="center"/>
          </w:tcPr>
          <w:p w14:paraId="33C3B3AD" w14:textId="6AC92397" w:rsidR="00182A28" w:rsidRPr="008332EC" w:rsidRDefault="00182A28" w:rsidP="00122565">
            <w:pPr>
              <w:rPr>
                <w:rFonts w:ascii="Bliss-Regular" w:hAnsi="Bliss-Regular"/>
                <w:sz w:val="24"/>
                <w:szCs w:val="24"/>
              </w:rPr>
            </w:pPr>
            <w:r w:rsidRPr="008332EC">
              <w:rPr>
                <w:rFonts w:ascii="Bliss-Regular" w:hAnsi="Bliss-Regular"/>
                <w:sz w:val="24"/>
                <w:szCs w:val="24"/>
              </w:rPr>
              <w:t>Housing</w:t>
            </w:r>
          </w:p>
        </w:tc>
        <w:tc>
          <w:tcPr>
            <w:tcW w:w="4258"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vAlign w:val="center"/>
          </w:tcPr>
          <w:p w14:paraId="75D0D028" w14:textId="119F3ECF" w:rsidR="00182A28" w:rsidRPr="008332EC" w:rsidRDefault="00182A28" w:rsidP="00122565">
            <w:pPr>
              <w:rPr>
                <w:rFonts w:ascii="Bliss-Regular" w:hAnsi="Bliss-Regular"/>
                <w:sz w:val="24"/>
                <w:szCs w:val="24"/>
              </w:rPr>
            </w:pPr>
            <w:r w:rsidRPr="008332EC">
              <w:rPr>
                <w:rFonts w:ascii="Bliss-Regular" w:hAnsi="Bliss-Regular"/>
                <w:sz w:val="24"/>
                <w:szCs w:val="24"/>
              </w:rPr>
              <w:t>59,205 (6%)</w:t>
            </w:r>
          </w:p>
        </w:tc>
      </w:tr>
    </w:tbl>
    <w:p w14:paraId="6E6523B9" w14:textId="39186B9D" w:rsidR="00182A28" w:rsidRPr="002D3A60" w:rsidRDefault="00182A28" w:rsidP="0017559B">
      <w:pPr>
        <w:jc w:val="both"/>
      </w:pPr>
    </w:p>
    <w:p w14:paraId="0167EBC6" w14:textId="58A95186" w:rsidR="0017559B" w:rsidRDefault="0017559B" w:rsidP="00384965">
      <w:pPr>
        <w:jc w:val="both"/>
        <w:rPr>
          <w:rFonts w:cstheme="minorHAnsi"/>
          <w:lang w:eastAsia="en-IE"/>
        </w:rPr>
      </w:pPr>
    </w:p>
    <w:p w14:paraId="2141BE6C" w14:textId="77777777" w:rsidR="005927C4" w:rsidRDefault="002D3A60" w:rsidP="0088691F">
      <w:pPr>
        <w:pStyle w:val="Heading3"/>
      </w:pPr>
      <w:bookmarkStart w:id="85" w:name="_Toc450922528"/>
      <w:bookmarkStart w:id="86" w:name="_Toc337126502"/>
      <w:r>
        <w:t>Caller profiles</w:t>
      </w:r>
      <w:bookmarkEnd w:id="85"/>
      <w:bookmarkEnd w:id="86"/>
    </w:p>
    <w:p w14:paraId="570F94E6" w14:textId="7233046E" w:rsidR="00EB640D" w:rsidRDefault="00EB640D" w:rsidP="005927C4">
      <w:r>
        <w:br/>
      </w:r>
      <w:r w:rsidRPr="0088691F">
        <w:t xml:space="preserve">Callers to CISs were predominately female (56%) with males making up 38% of callers. 5% were couples (a couple is listed as one caller in CIS records).  The gender profile of callers has not changed in recent years. </w:t>
      </w:r>
    </w:p>
    <w:p w14:paraId="08D80F5E" w14:textId="77777777" w:rsidR="00EB640D" w:rsidRDefault="00EB640D" w:rsidP="00EB640D"/>
    <w:p w14:paraId="0BD00FC7" w14:textId="77777777" w:rsidR="00EB640D" w:rsidRDefault="00EB640D" w:rsidP="00EB640D">
      <w:r>
        <w:t xml:space="preserve">Information on age was recorded for 73% (443,606) of callers in 2015.  Where age was recorded, 47% were in the 26-45 age group; 34% in the 46-65 age group; 14% were 66 years or over and 5% were 25 years or under.  </w:t>
      </w:r>
    </w:p>
    <w:p w14:paraId="63D2507A" w14:textId="77777777" w:rsidR="00EB640D" w:rsidRDefault="00EB640D" w:rsidP="00EB640D"/>
    <w:p w14:paraId="47F9FF10" w14:textId="77777777" w:rsidR="00EB640D" w:rsidRDefault="00EB640D" w:rsidP="00EB640D">
      <w:r>
        <w:t>Country of origin was recorded for 66% of callers (400,022) during 2015 and 21% of these were non-Irish (77,560) indicating that CISs have a high number of migrant users. Where nationality was known, the highest percentage of migrant users were Polish (18,734 - 23%), UK (6,198 - 7%), Nigerian (5,819 - 7%), Romanian (5,082 - 6%), Lithuanian (3,868 - 4%) and Afghan (3,439 - 4%).</w:t>
      </w:r>
    </w:p>
    <w:p w14:paraId="16665587" w14:textId="77777777" w:rsidR="00EB640D" w:rsidRDefault="00EB640D" w:rsidP="00EB640D"/>
    <w:p w14:paraId="6EEEE7DA" w14:textId="6A847075" w:rsidR="006D2585" w:rsidRPr="002D3A60" w:rsidRDefault="00EB640D" w:rsidP="00EB640D">
      <w:pPr>
        <w:rPr>
          <w:highlight w:val="yellow"/>
        </w:rPr>
      </w:pPr>
      <w:r>
        <w:lastRenderedPageBreak/>
        <w:t xml:space="preserve">In the last quarter of 2015 we introduced a new data field to collect information on Caller/Client Ethnicity.  This data will identify the ethnic groups that are accessing services and those that are not and will help in targeting resources where they are needed. Information providers were asked to ask callers an </w:t>
      </w:r>
      <w:r>
        <w:br/>
        <w:t xml:space="preserve">open-ended question relating to self- described ethnicity. In the period up to </w:t>
      </w:r>
      <w:r>
        <w:br/>
        <w:t>31 Dec 2015, 4,281 caller/query entries had ethnicity data completed.</w:t>
      </w:r>
    </w:p>
    <w:p w14:paraId="0587D011" w14:textId="77777777" w:rsidR="00DF138B" w:rsidRPr="002D3A60" w:rsidRDefault="00DF138B" w:rsidP="00DF138B">
      <w:pPr>
        <w:pStyle w:val="Heading3"/>
      </w:pPr>
      <w:bookmarkStart w:id="87" w:name="_Toc450922529"/>
      <w:bookmarkStart w:id="88" w:name="_Toc337126503"/>
      <w:bookmarkStart w:id="89" w:name="_Toc450922530"/>
      <w:bookmarkStart w:id="90" w:name="_Toc337126504"/>
      <w:r w:rsidRPr="002D3A60">
        <w:t>Key issue - accessing entitlements</w:t>
      </w:r>
      <w:bookmarkEnd w:id="87"/>
      <w:bookmarkEnd w:id="88"/>
    </w:p>
    <w:p w14:paraId="4645C430" w14:textId="77777777" w:rsidR="00DF138B" w:rsidRPr="00EB640D" w:rsidRDefault="00DF138B" w:rsidP="00DF138B">
      <w:r w:rsidRPr="00EB640D">
        <w:t xml:space="preserve">Our services report that callers’ situations are becoming increasingly </w:t>
      </w:r>
    </w:p>
    <w:p w14:paraId="7D843F20" w14:textId="77777777" w:rsidR="00DF138B" w:rsidRPr="00EB640D" w:rsidRDefault="00DF138B" w:rsidP="00DF138B">
      <w:r w:rsidRPr="00EB640D">
        <w:t xml:space="preserve">complex. Accessing social welfare payments, for example, may require a </w:t>
      </w:r>
    </w:p>
    <w:p w14:paraId="557698B9" w14:textId="77777777" w:rsidR="00DF138B" w:rsidRPr="00EB640D" w:rsidRDefault="00DF138B" w:rsidP="00DF138B">
      <w:r w:rsidRPr="00EB640D">
        <w:t xml:space="preserve">detailed analysis of options and a range of possibilities. Additionally the information needed by citizens to make informed decisions is often </w:t>
      </w:r>
    </w:p>
    <w:p w14:paraId="41CDD2D7" w14:textId="77777777" w:rsidR="00DF138B" w:rsidRPr="00EB640D" w:rsidRDefault="00DF138B" w:rsidP="00DF138B">
      <w:r w:rsidRPr="00EB640D">
        <w:t xml:space="preserve">available from a range of sources. People often face a wide range of </w:t>
      </w:r>
    </w:p>
    <w:p w14:paraId="101E4F96" w14:textId="77777777" w:rsidR="00DF138B" w:rsidRPr="00EB640D" w:rsidRDefault="00DF138B" w:rsidP="00DF138B">
      <w:r w:rsidRPr="00EB640D">
        <w:t xml:space="preserve">financial and personal challenges when choosing services. This makes </w:t>
      </w:r>
    </w:p>
    <w:p w14:paraId="75DFD9EC" w14:textId="77777777" w:rsidR="00DF138B" w:rsidRPr="00EB640D" w:rsidRDefault="00DF138B" w:rsidP="00DF138B">
      <w:r w:rsidRPr="00EB640D">
        <w:t xml:space="preserve">it critical that they can easily access information and advice about the </w:t>
      </w:r>
    </w:p>
    <w:p w14:paraId="27B827ED" w14:textId="77777777" w:rsidR="00DF138B" w:rsidRPr="00EB640D" w:rsidRDefault="00DF138B" w:rsidP="00DF138B">
      <w:r w:rsidRPr="00EB640D">
        <w:t xml:space="preserve">full range of public services – and that they can get advice and where </w:t>
      </w:r>
    </w:p>
    <w:p w14:paraId="5EE065DE" w14:textId="77777777" w:rsidR="00DF138B" w:rsidRPr="00EB640D" w:rsidRDefault="00DF138B" w:rsidP="00DF138B">
      <w:r w:rsidRPr="00EB640D">
        <w:t xml:space="preserve">necessary, advocacy, to help them take the best course of action for </w:t>
      </w:r>
    </w:p>
    <w:p w14:paraId="66207079" w14:textId="3FF8AAFA" w:rsidR="00DF138B" w:rsidRDefault="00DF138B" w:rsidP="00DF138B">
      <w:r>
        <w:t>their circumstances.</w:t>
      </w:r>
    </w:p>
    <w:p w14:paraId="64B2F1F2" w14:textId="77777777" w:rsidR="00DF138B" w:rsidRDefault="00DF138B" w:rsidP="00DF138B"/>
    <w:p w14:paraId="75F3C488" w14:textId="77777777" w:rsidR="00002F2B" w:rsidRDefault="00D834DE" w:rsidP="00002F2B">
      <w:pPr>
        <w:pStyle w:val="Heading3"/>
      </w:pPr>
      <w:r>
        <w:t>Where do callers go from our services?</w:t>
      </w:r>
      <w:bookmarkEnd w:id="89"/>
      <w:bookmarkEnd w:id="90"/>
    </w:p>
    <w:p w14:paraId="51D2218A" w14:textId="3C1C43E6" w:rsidR="00EB640D" w:rsidRPr="00002F2B" w:rsidRDefault="00EB640D" w:rsidP="00002F2B">
      <w:pPr>
        <w:rPr>
          <w:rFonts w:eastAsiaTheme="majorEastAsia"/>
        </w:rPr>
      </w:pPr>
      <w:r w:rsidRPr="00EB640D">
        <w:t>CISs make referrals to a broad range of agencies. In 2015, 28,932 referrals were made: 20% (5,849) were to Free Legal Advice Centres (FLAC), 9% (2,604) to a solicitor, 7% (1,902) to a local support group or service provider, 5</w:t>
      </w:r>
      <w:r>
        <w:t xml:space="preserve">% (1,453) to MABS, and 4% each </w:t>
      </w:r>
      <w:r w:rsidRPr="00EB640D">
        <w:t>to Threshold (1,234) and the National Employment Rights Authority (1,231).</w:t>
      </w:r>
    </w:p>
    <w:p w14:paraId="141E2AC6" w14:textId="711EE67A" w:rsidR="00231D6D" w:rsidRDefault="00EB640D" w:rsidP="00EB640D">
      <w:pPr>
        <w:pStyle w:val="NoSpacing"/>
        <w:rPr>
          <w:rFonts w:cs="Times New Roman"/>
        </w:rPr>
      </w:pPr>
      <w:r>
        <w:rPr>
          <w:rFonts w:eastAsiaTheme="minorEastAsia"/>
          <w:sz w:val="24"/>
          <w:szCs w:val="24"/>
          <w:lang w:val="en-US"/>
        </w:rPr>
        <w:br/>
      </w:r>
      <w:r w:rsidRPr="00EB640D">
        <w:rPr>
          <w:rFonts w:eastAsiaTheme="minorEastAsia"/>
          <w:sz w:val="24"/>
          <w:szCs w:val="24"/>
          <w:lang w:val="en-US"/>
        </w:rPr>
        <w:t>Other agencies referred to were Legal Aid Board (963), Citizen Application Support Service (548), Private Residential Tenancies Board (501), CAVA (483), other CIS (441), Competition and Consumer Protection Commission (430), Local Employment Service (417), Immigrant Council of Ireland (364), Treoir (356), Local Development Company (245), County Enterprise Boards (203).</w:t>
      </w:r>
    </w:p>
    <w:p w14:paraId="52EAF6D3" w14:textId="77777777" w:rsidR="00850973" w:rsidRPr="002D3A60" w:rsidRDefault="00850973" w:rsidP="007576EF"/>
    <w:p w14:paraId="1B0BCBB4" w14:textId="3754BBB9" w:rsidR="00850973" w:rsidRDefault="00850973" w:rsidP="00C74D7E">
      <w:pPr>
        <w:pStyle w:val="Heading2"/>
      </w:pPr>
      <w:bookmarkStart w:id="91" w:name="_Toc450922531"/>
      <w:bookmarkStart w:id="92" w:name="_Toc337126505"/>
      <w:r>
        <w:t>Social policy</w:t>
      </w:r>
      <w:bookmarkEnd w:id="91"/>
      <w:bookmarkEnd w:id="92"/>
    </w:p>
    <w:p w14:paraId="7EEF6D59" w14:textId="77777777" w:rsidR="000B633A" w:rsidRDefault="000B633A" w:rsidP="000B633A">
      <w:pPr>
        <w:tabs>
          <w:tab w:val="left" w:pos="7524"/>
        </w:tabs>
        <w:rPr>
          <w:rFonts w:cs="Arial"/>
          <w:bCs/>
          <w:spacing w:val="3"/>
          <w:lang w:val="en"/>
        </w:rPr>
      </w:pPr>
      <w:r w:rsidRPr="000B633A">
        <w:rPr>
          <w:rFonts w:cs="Arial"/>
          <w:bCs/>
          <w:spacing w:val="3"/>
          <w:lang w:val="en"/>
        </w:rPr>
        <w:t xml:space="preserve">Part of our legislative mandate is to support, promote and develop the provision of information on the effectiveness of current social policy and services and highlight issues which are of concern to users of those services. We do this by carrying out research and analysing the social policy issues returned by our delivery services. </w:t>
      </w:r>
    </w:p>
    <w:p w14:paraId="2E95B7CC" w14:textId="77777777" w:rsidR="000B633A" w:rsidRPr="000B633A" w:rsidRDefault="000B633A" w:rsidP="000B633A">
      <w:pPr>
        <w:tabs>
          <w:tab w:val="left" w:pos="7524"/>
        </w:tabs>
        <w:rPr>
          <w:rFonts w:cs="Arial"/>
          <w:bCs/>
          <w:spacing w:val="3"/>
          <w:lang w:val="en"/>
        </w:rPr>
      </w:pPr>
    </w:p>
    <w:p w14:paraId="4242DD41" w14:textId="77777777" w:rsidR="000B633A" w:rsidRDefault="000B633A" w:rsidP="000B633A">
      <w:pPr>
        <w:tabs>
          <w:tab w:val="left" w:pos="7524"/>
        </w:tabs>
        <w:rPr>
          <w:rFonts w:cs="Arial"/>
          <w:bCs/>
          <w:spacing w:val="3"/>
          <w:lang w:val="en"/>
        </w:rPr>
      </w:pPr>
      <w:r w:rsidRPr="000B633A">
        <w:rPr>
          <w:rFonts w:cs="Arial"/>
          <w:bCs/>
          <w:spacing w:val="3"/>
          <w:lang w:val="en"/>
        </w:rPr>
        <w:t xml:space="preserve">When information providers think that a query has social policy implications, they complete a social policy return. Taken together this data indicates emerging and recurrent topics and patterns, highlight access and administrative barriers and information gaps experienced by callers to CISs, and also gaps and inconsistencies in provision and anomalies in policy.  These indicative cases play a key part in the submissions we make and the research we carry out. The returns are also used to training information providers on how to develop case evidence. </w:t>
      </w:r>
    </w:p>
    <w:p w14:paraId="40B8E2E7" w14:textId="77777777" w:rsidR="000B633A" w:rsidRPr="000B633A" w:rsidRDefault="000B633A" w:rsidP="000B633A">
      <w:pPr>
        <w:tabs>
          <w:tab w:val="left" w:pos="7524"/>
        </w:tabs>
        <w:rPr>
          <w:rFonts w:cs="Arial"/>
          <w:bCs/>
          <w:spacing w:val="3"/>
          <w:lang w:val="en"/>
        </w:rPr>
      </w:pPr>
    </w:p>
    <w:p w14:paraId="1A2ECC13" w14:textId="77777777" w:rsidR="000B633A" w:rsidRDefault="000B633A" w:rsidP="000B633A">
      <w:pPr>
        <w:tabs>
          <w:tab w:val="left" w:pos="7524"/>
        </w:tabs>
        <w:rPr>
          <w:rFonts w:cs="Arial"/>
          <w:bCs/>
          <w:spacing w:val="3"/>
          <w:lang w:val="en"/>
        </w:rPr>
      </w:pPr>
      <w:r w:rsidRPr="000B633A">
        <w:rPr>
          <w:rFonts w:cs="Arial"/>
          <w:bCs/>
          <w:spacing w:val="3"/>
          <w:lang w:val="en"/>
        </w:rPr>
        <w:t xml:space="preserve">During 2015 3,782 returns were submitted to CIB, (3,056 from CIS and 726 from CIPS).  Sixty percent (60%) of returns highlighted administrative or operational issues around access to a payment or services. This indicates that these operational matters remain a key concern for people accessing benefits. We raise these issues with the Department of Social Protection directly using an administrative report.  The remaining 40% of SPRs were focused on policy anomalies or gaps in the provision of services.  </w:t>
      </w:r>
    </w:p>
    <w:p w14:paraId="0FE590F0" w14:textId="77777777" w:rsidR="000B633A" w:rsidRPr="000B633A" w:rsidRDefault="000B633A" w:rsidP="000B633A">
      <w:pPr>
        <w:tabs>
          <w:tab w:val="left" w:pos="7524"/>
        </w:tabs>
        <w:rPr>
          <w:rFonts w:cs="Arial"/>
          <w:bCs/>
          <w:spacing w:val="3"/>
          <w:lang w:val="en"/>
        </w:rPr>
      </w:pPr>
    </w:p>
    <w:p w14:paraId="1057B6FE" w14:textId="77777777" w:rsidR="000B633A" w:rsidRDefault="000B633A" w:rsidP="000B633A">
      <w:pPr>
        <w:tabs>
          <w:tab w:val="left" w:pos="7524"/>
        </w:tabs>
        <w:rPr>
          <w:rFonts w:cs="Arial"/>
          <w:bCs/>
          <w:spacing w:val="3"/>
          <w:lang w:val="en"/>
        </w:rPr>
      </w:pPr>
      <w:r w:rsidRPr="000B633A">
        <w:rPr>
          <w:rFonts w:cs="Arial"/>
          <w:bCs/>
          <w:spacing w:val="3"/>
          <w:lang w:val="en"/>
        </w:rPr>
        <w:t xml:space="preserve">The majority of social policy returns related to social welfare. Other categories with a significant number of returns included housing, health, education and training and money and tax. The new system of domestic water charges featured during the year, with returns related to water charges (and the associated Water Conservation Grant) featuring regularly during 2015 – with the majority of returns highlighting issues with the administration of the charges and the Grant. </w:t>
      </w:r>
    </w:p>
    <w:p w14:paraId="74F5F291" w14:textId="77777777" w:rsidR="000B633A" w:rsidRPr="000B633A" w:rsidRDefault="000B633A" w:rsidP="000B633A">
      <w:pPr>
        <w:tabs>
          <w:tab w:val="left" w:pos="7524"/>
        </w:tabs>
        <w:rPr>
          <w:rFonts w:cs="Arial"/>
          <w:bCs/>
          <w:spacing w:val="3"/>
          <w:lang w:val="en"/>
        </w:rPr>
      </w:pPr>
    </w:p>
    <w:p w14:paraId="1013E9B2" w14:textId="77777777" w:rsidR="000B633A" w:rsidRDefault="000B633A" w:rsidP="000B633A">
      <w:pPr>
        <w:tabs>
          <w:tab w:val="left" w:pos="7524"/>
        </w:tabs>
        <w:rPr>
          <w:rFonts w:cs="Arial"/>
          <w:bCs/>
          <w:spacing w:val="3"/>
          <w:lang w:val="en"/>
        </w:rPr>
      </w:pPr>
      <w:r w:rsidRPr="000B633A">
        <w:rPr>
          <w:rFonts w:cs="Arial"/>
          <w:bCs/>
          <w:spacing w:val="3"/>
          <w:lang w:val="en"/>
        </w:rPr>
        <w:t>The main issues highlighted during 2015 were:</w:t>
      </w:r>
    </w:p>
    <w:p w14:paraId="5549865B" w14:textId="77777777" w:rsidR="005113DA" w:rsidRPr="000B633A" w:rsidRDefault="005113DA" w:rsidP="000B633A">
      <w:pPr>
        <w:tabs>
          <w:tab w:val="left" w:pos="7524"/>
        </w:tabs>
        <w:rPr>
          <w:rFonts w:cs="Arial"/>
          <w:bCs/>
          <w:spacing w:val="3"/>
          <w:lang w:val="en"/>
        </w:rPr>
      </w:pPr>
    </w:p>
    <w:p w14:paraId="66F906B6" w14:textId="1E3A048F" w:rsidR="000B633A" w:rsidRPr="005113DA" w:rsidRDefault="000B633A" w:rsidP="005113DA">
      <w:pPr>
        <w:pStyle w:val="ListParagraph"/>
        <w:numPr>
          <w:ilvl w:val="0"/>
          <w:numId w:val="24"/>
        </w:numPr>
        <w:tabs>
          <w:tab w:val="left" w:pos="7524"/>
        </w:tabs>
        <w:rPr>
          <w:rFonts w:cs="Arial"/>
          <w:bCs/>
          <w:spacing w:val="3"/>
          <w:lang w:val="en"/>
        </w:rPr>
      </w:pPr>
      <w:r w:rsidRPr="005113DA">
        <w:rPr>
          <w:rFonts w:cs="Arial"/>
          <w:bCs/>
          <w:spacing w:val="3"/>
          <w:lang w:val="en"/>
        </w:rPr>
        <w:t xml:space="preserve">Rent Supplement </w:t>
      </w:r>
    </w:p>
    <w:p w14:paraId="00B4414E" w14:textId="77777777" w:rsidR="005113DA" w:rsidRPr="005113DA" w:rsidRDefault="005113DA" w:rsidP="005113DA">
      <w:pPr>
        <w:pStyle w:val="ListParagraph"/>
        <w:tabs>
          <w:tab w:val="left" w:pos="7524"/>
        </w:tabs>
        <w:ind w:left="426"/>
        <w:rPr>
          <w:rFonts w:cs="Arial"/>
          <w:bCs/>
          <w:spacing w:val="3"/>
          <w:lang w:val="en"/>
        </w:rPr>
      </w:pPr>
    </w:p>
    <w:p w14:paraId="7A836508" w14:textId="64C1D437" w:rsidR="000B633A" w:rsidRPr="005113DA" w:rsidRDefault="000B633A" w:rsidP="005113DA">
      <w:pPr>
        <w:pStyle w:val="ListParagraph"/>
        <w:numPr>
          <w:ilvl w:val="0"/>
          <w:numId w:val="24"/>
        </w:numPr>
        <w:tabs>
          <w:tab w:val="left" w:pos="7524"/>
        </w:tabs>
        <w:rPr>
          <w:rFonts w:cs="Arial"/>
          <w:bCs/>
          <w:spacing w:val="3"/>
          <w:lang w:val="en"/>
        </w:rPr>
      </w:pPr>
      <w:r w:rsidRPr="005113DA">
        <w:rPr>
          <w:rFonts w:cs="Arial"/>
          <w:bCs/>
          <w:spacing w:val="3"/>
          <w:lang w:val="en"/>
        </w:rPr>
        <w:t>Jobseeker’s Allowance</w:t>
      </w:r>
    </w:p>
    <w:p w14:paraId="55421F91" w14:textId="77777777" w:rsidR="005113DA" w:rsidRPr="005113DA" w:rsidRDefault="005113DA" w:rsidP="005113DA">
      <w:pPr>
        <w:tabs>
          <w:tab w:val="left" w:pos="7524"/>
        </w:tabs>
        <w:ind w:left="426"/>
        <w:rPr>
          <w:rFonts w:cs="Arial"/>
          <w:bCs/>
          <w:spacing w:val="3"/>
          <w:lang w:val="en"/>
        </w:rPr>
      </w:pPr>
    </w:p>
    <w:p w14:paraId="1DC7D9D9" w14:textId="5012E928" w:rsidR="000B633A" w:rsidRPr="005113DA" w:rsidRDefault="000B633A" w:rsidP="005113DA">
      <w:pPr>
        <w:pStyle w:val="ListParagraph"/>
        <w:numPr>
          <w:ilvl w:val="0"/>
          <w:numId w:val="24"/>
        </w:numPr>
        <w:tabs>
          <w:tab w:val="left" w:pos="7524"/>
        </w:tabs>
        <w:rPr>
          <w:rFonts w:cs="Arial"/>
          <w:bCs/>
          <w:spacing w:val="3"/>
          <w:lang w:val="en"/>
        </w:rPr>
      </w:pPr>
      <w:r w:rsidRPr="005113DA">
        <w:rPr>
          <w:rFonts w:cs="Arial"/>
          <w:bCs/>
          <w:spacing w:val="3"/>
          <w:lang w:val="en"/>
        </w:rPr>
        <w:t>Medical Card</w:t>
      </w:r>
    </w:p>
    <w:p w14:paraId="6167396D" w14:textId="77777777" w:rsidR="005113DA" w:rsidRPr="005113DA" w:rsidRDefault="005113DA" w:rsidP="005113DA">
      <w:pPr>
        <w:pStyle w:val="ListParagraph"/>
        <w:tabs>
          <w:tab w:val="left" w:pos="7524"/>
        </w:tabs>
        <w:ind w:left="426"/>
        <w:rPr>
          <w:rFonts w:cs="Arial"/>
          <w:bCs/>
          <w:spacing w:val="3"/>
          <w:lang w:val="en"/>
        </w:rPr>
      </w:pPr>
    </w:p>
    <w:p w14:paraId="3DD86514" w14:textId="3DA2A177" w:rsidR="005113DA" w:rsidRPr="005113DA" w:rsidRDefault="000B633A" w:rsidP="005113DA">
      <w:pPr>
        <w:pStyle w:val="ListParagraph"/>
        <w:numPr>
          <w:ilvl w:val="0"/>
          <w:numId w:val="24"/>
        </w:numPr>
        <w:tabs>
          <w:tab w:val="left" w:pos="7524"/>
        </w:tabs>
        <w:rPr>
          <w:rFonts w:cs="Arial"/>
          <w:bCs/>
          <w:spacing w:val="3"/>
          <w:lang w:val="en"/>
        </w:rPr>
      </w:pPr>
      <w:r w:rsidRPr="005113DA">
        <w:rPr>
          <w:rFonts w:cs="Arial"/>
          <w:bCs/>
          <w:spacing w:val="3"/>
          <w:lang w:val="en"/>
        </w:rPr>
        <w:t>Disability Allowance</w:t>
      </w:r>
    </w:p>
    <w:p w14:paraId="74B3D781" w14:textId="77777777" w:rsidR="005113DA" w:rsidRPr="005113DA" w:rsidRDefault="005113DA" w:rsidP="005113DA">
      <w:pPr>
        <w:pStyle w:val="ListParagraph"/>
        <w:tabs>
          <w:tab w:val="left" w:pos="7524"/>
        </w:tabs>
        <w:ind w:left="426"/>
        <w:rPr>
          <w:rFonts w:cs="Arial"/>
          <w:bCs/>
          <w:spacing w:val="3"/>
          <w:lang w:val="en"/>
        </w:rPr>
      </w:pPr>
    </w:p>
    <w:p w14:paraId="046A6795" w14:textId="62BCB05A" w:rsidR="000B633A" w:rsidRPr="005113DA" w:rsidRDefault="000B633A" w:rsidP="005113DA">
      <w:pPr>
        <w:pStyle w:val="ListParagraph"/>
        <w:numPr>
          <w:ilvl w:val="0"/>
          <w:numId w:val="24"/>
        </w:numPr>
        <w:tabs>
          <w:tab w:val="left" w:pos="7524"/>
        </w:tabs>
        <w:rPr>
          <w:rFonts w:cs="Arial"/>
          <w:bCs/>
          <w:spacing w:val="3"/>
          <w:lang w:val="en"/>
        </w:rPr>
      </w:pPr>
      <w:r w:rsidRPr="005113DA">
        <w:rPr>
          <w:rFonts w:cs="Arial"/>
          <w:bCs/>
          <w:spacing w:val="3"/>
          <w:lang w:val="en"/>
        </w:rPr>
        <w:t>Family Income Supplement</w:t>
      </w:r>
    </w:p>
    <w:p w14:paraId="3D7C4054" w14:textId="77777777" w:rsidR="005113DA" w:rsidRPr="005113DA" w:rsidRDefault="005113DA" w:rsidP="005113DA">
      <w:pPr>
        <w:pStyle w:val="ListParagraph"/>
        <w:tabs>
          <w:tab w:val="left" w:pos="7524"/>
        </w:tabs>
        <w:ind w:left="426"/>
        <w:rPr>
          <w:rFonts w:cs="Arial"/>
          <w:bCs/>
          <w:spacing w:val="3"/>
          <w:lang w:val="en"/>
        </w:rPr>
      </w:pPr>
    </w:p>
    <w:p w14:paraId="01147827" w14:textId="53D0C082" w:rsidR="000B633A" w:rsidRPr="005113DA" w:rsidRDefault="000B633A" w:rsidP="005113DA">
      <w:pPr>
        <w:pStyle w:val="ListParagraph"/>
        <w:numPr>
          <w:ilvl w:val="0"/>
          <w:numId w:val="24"/>
        </w:numPr>
        <w:tabs>
          <w:tab w:val="left" w:pos="7524"/>
        </w:tabs>
        <w:rPr>
          <w:rFonts w:cs="Arial"/>
          <w:bCs/>
          <w:spacing w:val="3"/>
          <w:lang w:val="en"/>
        </w:rPr>
      </w:pPr>
      <w:r w:rsidRPr="005113DA">
        <w:rPr>
          <w:rFonts w:cs="Arial"/>
          <w:bCs/>
          <w:spacing w:val="3"/>
          <w:lang w:val="en"/>
        </w:rPr>
        <w:t>Water Charges</w:t>
      </w:r>
    </w:p>
    <w:p w14:paraId="231936C0" w14:textId="77777777" w:rsidR="005113DA" w:rsidRPr="000B633A" w:rsidRDefault="005113DA" w:rsidP="005113DA">
      <w:pPr>
        <w:tabs>
          <w:tab w:val="left" w:pos="7524"/>
        </w:tabs>
        <w:ind w:left="426" w:firstLine="142"/>
        <w:rPr>
          <w:rFonts w:cs="Arial"/>
          <w:bCs/>
          <w:spacing w:val="3"/>
          <w:lang w:val="en"/>
        </w:rPr>
      </w:pPr>
    </w:p>
    <w:p w14:paraId="09522C6A" w14:textId="4B0AF45C" w:rsidR="000B633A" w:rsidRPr="005113DA" w:rsidRDefault="000B633A" w:rsidP="005113DA">
      <w:pPr>
        <w:pStyle w:val="ListParagraph"/>
        <w:numPr>
          <w:ilvl w:val="0"/>
          <w:numId w:val="24"/>
        </w:numPr>
        <w:tabs>
          <w:tab w:val="left" w:pos="7524"/>
        </w:tabs>
        <w:rPr>
          <w:rFonts w:cs="Arial"/>
          <w:bCs/>
          <w:spacing w:val="3"/>
          <w:lang w:val="en"/>
        </w:rPr>
      </w:pPr>
      <w:r w:rsidRPr="005113DA">
        <w:rPr>
          <w:rFonts w:cs="Arial"/>
          <w:bCs/>
          <w:spacing w:val="3"/>
          <w:lang w:val="en"/>
        </w:rPr>
        <w:t>Water Conservation Grant</w:t>
      </w:r>
    </w:p>
    <w:p w14:paraId="3B4FF313" w14:textId="77777777" w:rsidR="005113DA" w:rsidRPr="000B633A" w:rsidRDefault="005113DA" w:rsidP="005113DA">
      <w:pPr>
        <w:tabs>
          <w:tab w:val="left" w:pos="7524"/>
        </w:tabs>
        <w:ind w:firstLine="142"/>
        <w:rPr>
          <w:rFonts w:cs="Arial"/>
          <w:bCs/>
          <w:spacing w:val="3"/>
          <w:lang w:val="en"/>
        </w:rPr>
      </w:pPr>
    </w:p>
    <w:p w14:paraId="474DB133" w14:textId="0641CE46" w:rsidR="005113DA" w:rsidRPr="005113DA" w:rsidRDefault="000B633A" w:rsidP="005113DA">
      <w:pPr>
        <w:pStyle w:val="ListParagraph"/>
        <w:numPr>
          <w:ilvl w:val="0"/>
          <w:numId w:val="24"/>
        </w:numPr>
        <w:tabs>
          <w:tab w:val="left" w:pos="7524"/>
        </w:tabs>
        <w:rPr>
          <w:rFonts w:cs="Arial"/>
          <w:bCs/>
          <w:spacing w:val="3"/>
          <w:lang w:val="en"/>
        </w:rPr>
      </w:pPr>
      <w:r w:rsidRPr="005113DA">
        <w:rPr>
          <w:rFonts w:cs="Arial"/>
          <w:bCs/>
          <w:spacing w:val="3"/>
          <w:lang w:val="en"/>
        </w:rPr>
        <w:t>Homelessness</w:t>
      </w:r>
    </w:p>
    <w:p w14:paraId="6066EF62" w14:textId="77777777" w:rsidR="005113DA" w:rsidRPr="000B633A" w:rsidRDefault="005113DA" w:rsidP="005113DA">
      <w:pPr>
        <w:tabs>
          <w:tab w:val="left" w:pos="7524"/>
        </w:tabs>
        <w:ind w:firstLine="142"/>
        <w:rPr>
          <w:rFonts w:cs="Arial"/>
          <w:bCs/>
          <w:spacing w:val="3"/>
          <w:lang w:val="en"/>
        </w:rPr>
      </w:pPr>
    </w:p>
    <w:p w14:paraId="02ECCB23" w14:textId="75C4C014" w:rsidR="000B633A" w:rsidRPr="005113DA" w:rsidRDefault="000B633A" w:rsidP="005113DA">
      <w:pPr>
        <w:pStyle w:val="ListParagraph"/>
        <w:numPr>
          <w:ilvl w:val="0"/>
          <w:numId w:val="24"/>
        </w:numPr>
        <w:tabs>
          <w:tab w:val="left" w:pos="7524"/>
        </w:tabs>
        <w:rPr>
          <w:rFonts w:cs="Arial"/>
          <w:bCs/>
          <w:spacing w:val="3"/>
          <w:lang w:val="en"/>
        </w:rPr>
      </w:pPr>
      <w:r w:rsidRPr="005113DA">
        <w:rPr>
          <w:rFonts w:cs="Arial"/>
          <w:bCs/>
          <w:spacing w:val="3"/>
          <w:lang w:val="en"/>
        </w:rPr>
        <w:t>Illness Benefit</w:t>
      </w:r>
    </w:p>
    <w:p w14:paraId="67FA5A7E" w14:textId="77777777" w:rsidR="005113DA" w:rsidRPr="000B633A" w:rsidRDefault="005113DA" w:rsidP="005113DA">
      <w:pPr>
        <w:tabs>
          <w:tab w:val="left" w:pos="7524"/>
        </w:tabs>
        <w:ind w:firstLine="142"/>
        <w:rPr>
          <w:rFonts w:cs="Arial"/>
          <w:bCs/>
          <w:spacing w:val="3"/>
          <w:lang w:val="en"/>
        </w:rPr>
      </w:pPr>
    </w:p>
    <w:p w14:paraId="5139B9B2" w14:textId="239D1186" w:rsidR="000B633A" w:rsidRPr="005113DA" w:rsidRDefault="000B633A" w:rsidP="005113DA">
      <w:pPr>
        <w:pStyle w:val="ListParagraph"/>
        <w:numPr>
          <w:ilvl w:val="0"/>
          <w:numId w:val="24"/>
        </w:numPr>
        <w:tabs>
          <w:tab w:val="left" w:pos="7524"/>
        </w:tabs>
        <w:rPr>
          <w:rFonts w:cs="Arial"/>
          <w:bCs/>
          <w:spacing w:val="3"/>
          <w:lang w:val="en"/>
        </w:rPr>
      </w:pPr>
      <w:r w:rsidRPr="005113DA">
        <w:rPr>
          <w:rFonts w:cs="Arial"/>
          <w:bCs/>
          <w:spacing w:val="3"/>
          <w:lang w:val="en"/>
        </w:rPr>
        <w:t>One-Parent Family Payment</w:t>
      </w:r>
    </w:p>
    <w:p w14:paraId="2389D9A9" w14:textId="77777777" w:rsidR="000B633A" w:rsidRPr="000B633A" w:rsidRDefault="000B633A" w:rsidP="005113DA">
      <w:pPr>
        <w:tabs>
          <w:tab w:val="left" w:pos="7524"/>
        </w:tabs>
        <w:ind w:firstLine="142"/>
        <w:rPr>
          <w:rFonts w:cs="Arial"/>
          <w:bCs/>
          <w:spacing w:val="3"/>
          <w:lang w:val="en"/>
        </w:rPr>
      </w:pPr>
    </w:p>
    <w:p w14:paraId="4B280DFD" w14:textId="6836DFA9" w:rsidR="00C4767C" w:rsidRPr="002D3A60" w:rsidRDefault="00C4767C" w:rsidP="005113DA">
      <w:pPr>
        <w:ind w:firstLine="142"/>
      </w:pPr>
    </w:p>
    <w:p w14:paraId="5B8AB257" w14:textId="77777777" w:rsidR="00DF138B" w:rsidRPr="002C3779" w:rsidRDefault="00DF138B" w:rsidP="00DF138B">
      <w:pPr>
        <w:pStyle w:val="Heading3"/>
      </w:pPr>
      <w:bookmarkStart w:id="93" w:name="_Toc450922532"/>
      <w:bookmarkStart w:id="94" w:name="_Toc337126506"/>
      <w:r w:rsidRPr="002C3779">
        <w:t>Eustace Patterson report</w:t>
      </w:r>
      <w:bookmarkEnd w:id="93"/>
      <w:bookmarkEnd w:id="94"/>
    </w:p>
    <w:p w14:paraId="72E89DA0" w14:textId="77777777" w:rsidR="00DF138B" w:rsidRDefault="00DF138B" w:rsidP="00DF138B">
      <w:pPr>
        <w:rPr>
          <w:rFonts w:cs="Arial"/>
        </w:rPr>
      </w:pPr>
      <w:r w:rsidRPr="000B633A">
        <w:rPr>
          <w:rFonts w:cs="Arial"/>
        </w:rPr>
        <w:t>There is variance across the CIS network in terms of the number of callers, the number of queries being dealt with, the level of advocacy being engaged in and the number of social policy returns submitted.  In 2015 we commissioned research to take an in-depth look at how services deal with client needs and query processing.</w:t>
      </w:r>
    </w:p>
    <w:p w14:paraId="60F40426" w14:textId="77777777" w:rsidR="00DF138B" w:rsidRPr="000B633A" w:rsidRDefault="00DF138B" w:rsidP="00DF138B">
      <w:pPr>
        <w:rPr>
          <w:rFonts w:cs="Arial"/>
        </w:rPr>
      </w:pPr>
    </w:p>
    <w:p w14:paraId="0C501DEB" w14:textId="77777777" w:rsidR="00DF138B" w:rsidRDefault="00DF138B" w:rsidP="00DF138B">
      <w:pPr>
        <w:rPr>
          <w:rFonts w:cs="Arial"/>
        </w:rPr>
      </w:pPr>
      <w:r w:rsidRPr="000B633A">
        <w:rPr>
          <w:rFonts w:cs="Arial"/>
        </w:rPr>
        <w:lastRenderedPageBreak/>
        <w:t xml:space="preserve">The Eustace Patterson report CIS Clients, Processes and Outcomes, 2015 and the supplementary report Advocacy Provision within the CIS Network looked at work within CISs in the context of the increasing complexity of cases and a need for more precise data on interventions and outcomes for clients. There was a high level of engagement with the research from the network during the year. </w:t>
      </w:r>
    </w:p>
    <w:p w14:paraId="78987A5D" w14:textId="77777777" w:rsidR="00DF138B" w:rsidRPr="000B633A" w:rsidRDefault="00DF138B" w:rsidP="00DF138B">
      <w:pPr>
        <w:rPr>
          <w:rFonts w:cs="Arial"/>
        </w:rPr>
      </w:pPr>
    </w:p>
    <w:p w14:paraId="0C9B3242" w14:textId="77777777" w:rsidR="00DF138B" w:rsidRDefault="00DF138B" w:rsidP="00DF138B">
      <w:pPr>
        <w:rPr>
          <w:rFonts w:cs="Arial"/>
        </w:rPr>
      </w:pPr>
      <w:r w:rsidRPr="000B633A">
        <w:rPr>
          <w:rFonts w:cs="Arial"/>
        </w:rPr>
        <w:t xml:space="preserve">The research findings indicate that there is variation in the way that services work and no one obvious way that fits all. There is some variation in the stages of query processing from reception to exit. </w:t>
      </w:r>
    </w:p>
    <w:p w14:paraId="38E3B3D1" w14:textId="77777777" w:rsidR="00DF138B" w:rsidRPr="000B633A" w:rsidRDefault="00DF138B" w:rsidP="00DF138B">
      <w:pPr>
        <w:rPr>
          <w:rFonts w:cs="Arial"/>
        </w:rPr>
      </w:pPr>
    </w:p>
    <w:p w14:paraId="5AFCCEC3" w14:textId="1276285A" w:rsidR="00735233" w:rsidRDefault="00DF138B" w:rsidP="00DF138B">
      <w:pPr>
        <w:rPr>
          <w:rFonts w:cs="Arial"/>
        </w:rPr>
      </w:pPr>
      <w:r w:rsidRPr="000B633A">
        <w:rPr>
          <w:rFonts w:cs="Arial"/>
        </w:rPr>
        <w:t>The overall conclusion of the research is that CISs benefit a wide spectrum of people and are responsive to client needs, with many responding to the specific needs of their local community, particularly in terms of social inclusion and vulnerability. The supplementary research piece on advocacy provision within the network set out to map the level of advocacy offering across the CIS network, and in all locations. Recommendations from the reports will be implemented in 2016.</w:t>
      </w:r>
    </w:p>
    <w:p w14:paraId="59F6CCDA" w14:textId="77777777" w:rsidR="00DF138B" w:rsidRPr="002D3A60" w:rsidRDefault="00DF138B" w:rsidP="00DF138B"/>
    <w:p w14:paraId="14D3E0CA" w14:textId="13B011D9" w:rsidR="007576EF" w:rsidRPr="00735233" w:rsidRDefault="0003494D" w:rsidP="004A77FF">
      <w:pPr>
        <w:pStyle w:val="Heading2"/>
        <w:rPr>
          <w:lang w:val="en"/>
        </w:rPr>
      </w:pPr>
      <w:bookmarkStart w:id="95" w:name="_Toc450922533"/>
      <w:bookmarkStart w:id="96" w:name="_Toc337126507"/>
      <w:r w:rsidRPr="00735233">
        <w:rPr>
          <w:lang w:val="en"/>
        </w:rPr>
        <w:t>Advocacy</w:t>
      </w:r>
      <w:bookmarkEnd w:id="95"/>
      <w:bookmarkEnd w:id="96"/>
    </w:p>
    <w:p w14:paraId="6C6D0021" w14:textId="77777777" w:rsidR="000B633A" w:rsidRDefault="000B633A" w:rsidP="000B633A">
      <w:pPr>
        <w:rPr>
          <w:lang w:val="en-GB"/>
        </w:rPr>
      </w:pPr>
      <w:r w:rsidRPr="000B633A">
        <w:rPr>
          <w:lang w:val="en-GB"/>
        </w:rPr>
        <w:t xml:space="preserve">As the complexity of queries increases, the majority of services report that they are directing more resources to advocacy work each year. Many development managers note also the challenges they face in balancing the demand for advocacy with the resources available to them. </w:t>
      </w:r>
    </w:p>
    <w:p w14:paraId="780E74BB" w14:textId="77777777" w:rsidR="000B633A" w:rsidRPr="000B633A" w:rsidRDefault="000B633A" w:rsidP="000B633A">
      <w:pPr>
        <w:rPr>
          <w:lang w:val="en-GB"/>
        </w:rPr>
      </w:pPr>
    </w:p>
    <w:p w14:paraId="2CAAD100" w14:textId="77777777" w:rsidR="000B633A" w:rsidRDefault="000B633A" w:rsidP="000B633A">
      <w:pPr>
        <w:rPr>
          <w:lang w:val="en-GB"/>
        </w:rPr>
      </w:pPr>
      <w:r w:rsidRPr="000B633A">
        <w:rPr>
          <w:lang w:val="en-GB"/>
        </w:rPr>
        <w:t>Five Advocacy Support Workers (ASWs) are employed nationally to support advocacy across the CIS network - as an integrated part of the services they offer to the public. The ASWs are employed by Clondalkin CIS, Longford CIS, Offaly CIS, West Cork CIS and Clare CIS. ASWs coach and mentor CIS staff in the processes and skills of advocacy work (data gathering skills, case recording, negotiation, representation and preparation for third party complaints/hearings and appeals) and facilitate case reviews with information providers and development managers.  In 2015 the CIS Advocacy INFONET was launched. This makes standards, polices and practice resources available online.</w:t>
      </w:r>
    </w:p>
    <w:p w14:paraId="5DA10F4F" w14:textId="77777777" w:rsidR="000B633A" w:rsidRPr="000B633A" w:rsidRDefault="000B633A" w:rsidP="000B633A">
      <w:pPr>
        <w:rPr>
          <w:lang w:val="en-GB"/>
        </w:rPr>
      </w:pPr>
    </w:p>
    <w:p w14:paraId="3020ACC4" w14:textId="77777777" w:rsidR="000B633A" w:rsidRDefault="000B633A" w:rsidP="000B633A">
      <w:pPr>
        <w:rPr>
          <w:lang w:val="en-GB"/>
        </w:rPr>
      </w:pPr>
      <w:r w:rsidRPr="000B633A">
        <w:rPr>
          <w:lang w:val="en-GB"/>
        </w:rPr>
        <w:t xml:space="preserve">Services dealt with 9,267 once off advocacy queries nationally - just under 1% of queries and over 2,200 advocacy cases - an average of 52 cases per service a year. Fifty nine percent (59%) of these cases were social welfare, 20% were employment related and housing accounted for 7%. </w:t>
      </w:r>
    </w:p>
    <w:p w14:paraId="06D540C4" w14:textId="77777777" w:rsidR="000B633A" w:rsidRPr="000B633A" w:rsidRDefault="000B633A" w:rsidP="000B633A">
      <w:pPr>
        <w:rPr>
          <w:lang w:val="en-GB"/>
        </w:rPr>
      </w:pPr>
    </w:p>
    <w:p w14:paraId="54A27187" w14:textId="7090A4C8" w:rsidR="0051746C" w:rsidRDefault="000B633A" w:rsidP="000B633A">
      <w:pPr>
        <w:rPr>
          <w:lang w:val="en-GB"/>
        </w:rPr>
      </w:pPr>
      <w:r w:rsidRPr="000B633A">
        <w:rPr>
          <w:lang w:val="en-GB"/>
        </w:rPr>
        <w:t>The most significant area of advocacy was negotiation, either through letter/email or over the phone, on behalf of the client (57%), while preparation for an appeal submission represented 20% of advocacy work.</w:t>
      </w:r>
    </w:p>
    <w:p w14:paraId="095E24EA" w14:textId="77777777" w:rsidR="00527BA4" w:rsidRPr="002D3A60" w:rsidRDefault="00527BA4" w:rsidP="000B633A"/>
    <w:p w14:paraId="13B70C87" w14:textId="77777777" w:rsidR="00C4767C" w:rsidRDefault="0051746C" w:rsidP="00211B60">
      <w:pPr>
        <w:pStyle w:val="Heading3"/>
        <w:rPr>
          <w:lang w:val="ga-IE"/>
        </w:rPr>
      </w:pPr>
      <w:bookmarkStart w:id="97" w:name="_Toc337126508"/>
      <w:bookmarkStart w:id="98" w:name="_Toc450922534"/>
      <w:r w:rsidRPr="0051746C">
        <w:rPr>
          <w:lang w:val="ga-IE"/>
        </w:rPr>
        <w:t>Volunteering in Citizens Information Services</w:t>
      </w:r>
      <w:bookmarkEnd w:id="97"/>
      <w:r w:rsidRPr="0051746C">
        <w:rPr>
          <w:lang w:val="ga-IE"/>
        </w:rPr>
        <w:t xml:space="preserve"> </w:t>
      </w:r>
    </w:p>
    <w:bookmarkEnd w:id="98"/>
    <w:p w14:paraId="13246442" w14:textId="0FBBA289" w:rsidR="00644175" w:rsidRPr="002D3A60" w:rsidRDefault="009619AB" w:rsidP="009619AB">
      <w:pPr>
        <w:jc w:val="both"/>
        <w:rPr>
          <w:lang w:val="en-GB"/>
        </w:rPr>
      </w:pPr>
      <w:r w:rsidRPr="002D3A60">
        <w:rPr>
          <w:lang w:val="en-GB"/>
        </w:rPr>
        <w:t xml:space="preserve">There are currently </w:t>
      </w:r>
      <w:r w:rsidRPr="002D3A60">
        <w:t>1,089 volunteers (120.37 whole-time equivalen</w:t>
      </w:r>
      <w:r w:rsidR="009B3732" w:rsidRPr="002D3A60">
        <w:t>t posts) working in CISs nationwide.</w:t>
      </w:r>
      <w:r w:rsidR="00644175" w:rsidRPr="002D3A60">
        <w:rPr>
          <w:lang w:val="en-GB"/>
        </w:rPr>
        <w:t xml:space="preserve"> </w:t>
      </w:r>
    </w:p>
    <w:p w14:paraId="504B79FB" w14:textId="77777777" w:rsidR="00644175" w:rsidRPr="002D3A60" w:rsidRDefault="00644175" w:rsidP="009619AB">
      <w:pPr>
        <w:jc w:val="both"/>
        <w:rPr>
          <w:lang w:val="en-GB"/>
        </w:rPr>
      </w:pPr>
    </w:p>
    <w:p w14:paraId="50E67D6C" w14:textId="401330FF" w:rsidR="00211B60" w:rsidRPr="002D3A60" w:rsidRDefault="00211B60" w:rsidP="00211B60">
      <w:pPr>
        <w:rPr>
          <w:lang w:val="en-IE"/>
        </w:rPr>
      </w:pPr>
      <w:r w:rsidRPr="002D3A60">
        <w:rPr>
          <w:lang w:val="en-IE"/>
        </w:rPr>
        <w:lastRenderedPageBreak/>
        <w:t xml:space="preserve">The National Strategy on Volunteers in Citizens Information Services 2012-2015 aimed to further recognise volunteers and to strengthen the volunteer role. </w:t>
      </w:r>
      <w:r w:rsidRPr="002D3A60">
        <w:rPr>
          <w:iCs/>
        </w:rPr>
        <w:t>A review of the volunteer strategy was initiated in the latter half of 2015 and, following consultation, it is planned to have a revised volunteer strategy in place for mid- 2016.</w:t>
      </w:r>
      <w:r w:rsidRPr="002D3A60">
        <w:rPr>
          <w:lang w:val="en-GB"/>
        </w:rPr>
        <w:t xml:space="preserve"> The revised strategy will incorporate the changes to the training landscape including the new Essential Training for Information Providers (ETIP) and e-learning programmes.</w:t>
      </w:r>
      <w:r w:rsidRPr="002D3A60">
        <w:t xml:space="preserve"> </w:t>
      </w:r>
      <w:r w:rsidRPr="002D3A60">
        <w:rPr>
          <w:lang w:val="en-GB"/>
        </w:rPr>
        <w:t xml:space="preserve">One of the recommendations of the Strategy was ‘recognising and valuing volunteers, through regional and national events’. A </w:t>
      </w:r>
      <w:r w:rsidR="006C31BC">
        <w:rPr>
          <w:lang w:val="en-GB"/>
        </w:rPr>
        <w:t>national event was held in 2015 (see over page)</w:t>
      </w:r>
    </w:p>
    <w:p w14:paraId="5823F7B3" w14:textId="77777777" w:rsidR="00DF138B" w:rsidRDefault="00DF138B" w:rsidP="00DF138B">
      <w:pPr>
        <w:pStyle w:val="Heading3"/>
      </w:pPr>
      <w:bookmarkStart w:id="99" w:name="_Toc450922535"/>
      <w:bookmarkStart w:id="100" w:name="_Toc337126509"/>
    </w:p>
    <w:p w14:paraId="32218713" w14:textId="77777777" w:rsidR="00DF138B" w:rsidRPr="002C3779" w:rsidRDefault="00DF138B" w:rsidP="00DF138B">
      <w:pPr>
        <w:pStyle w:val="Heading3"/>
      </w:pPr>
      <w:r w:rsidRPr="002C3779">
        <w:t>Volunteers and Citizens Information</w:t>
      </w:r>
      <w:bookmarkEnd w:id="99"/>
      <w:bookmarkEnd w:id="100"/>
    </w:p>
    <w:p w14:paraId="4B47BB1E" w14:textId="77777777" w:rsidR="00DF138B" w:rsidRDefault="00DF138B" w:rsidP="00DF138B">
      <w:r w:rsidRPr="005663CE">
        <w:t xml:space="preserve">Volunteers have played an invaluable role in Citizens Information Services since  the inception of the first community information centres in the late 1960s. While all services have paid staff, a strong commitment to volunteerism has been  retained. This has meant that a connection to their local communities remains  core to the Citizens Information Service.  </w:t>
      </w:r>
    </w:p>
    <w:p w14:paraId="19E25839" w14:textId="77777777" w:rsidR="00DF138B" w:rsidRPr="005663CE" w:rsidRDefault="00DF138B" w:rsidP="00DF138B"/>
    <w:p w14:paraId="1B5F52E2" w14:textId="77777777" w:rsidR="00DF138B" w:rsidRDefault="00DF138B" w:rsidP="00DF138B">
      <w:r w:rsidRPr="005663CE">
        <w:t>In addition to their core day-to-day work – principally as information givers, but also as receptionists and as board or committee members – many volunteers bring professional experience to specialist roles. Specialisms include representative advocacy, complex query support in particular areas of expertise, social policy work, PR and marketing work, administration, production of newsletters and the organisation of local events. Many experienced volunteers work as local centre  co-ordinators, which involves recruiting, mentoring, training, supporting and rostering voluntary staff.</w:t>
      </w:r>
    </w:p>
    <w:p w14:paraId="32FB6937" w14:textId="77777777" w:rsidR="00DF138B" w:rsidRPr="005663CE" w:rsidRDefault="00DF138B" w:rsidP="00DF138B"/>
    <w:p w14:paraId="135F092E" w14:textId="720036E6" w:rsidR="009B3732" w:rsidRPr="002D3A60" w:rsidRDefault="00DF138B" w:rsidP="00DF138B">
      <w:pPr>
        <w:rPr>
          <w:lang w:val="en-IE"/>
        </w:rPr>
      </w:pPr>
      <w:r w:rsidRPr="005663CE">
        <w:t>Many volunteers have given years of dedicated service in CISs. We also support  CISs to recognise the contribution of their volunteers at local events. Volunteers  are presented with certificates and crystal bowls for five-year and ten-year voluntary service achievements.</w:t>
      </w:r>
    </w:p>
    <w:p w14:paraId="522DACA7" w14:textId="77777777" w:rsidR="00A16358" w:rsidRDefault="00211B60" w:rsidP="00A16358">
      <w:pPr>
        <w:pStyle w:val="Heading3"/>
        <w:rPr>
          <w:lang w:val="en-GB"/>
        </w:rPr>
      </w:pPr>
      <w:bookmarkStart w:id="101" w:name="_Toc450922536"/>
      <w:bookmarkStart w:id="102" w:name="_Toc337126510"/>
      <w:r>
        <w:rPr>
          <w:lang w:val="en-GB"/>
        </w:rPr>
        <w:t>Celebrating volunteers</w:t>
      </w:r>
      <w:bookmarkEnd w:id="101"/>
      <w:bookmarkEnd w:id="102"/>
    </w:p>
    <w:p w14:paraId="584289A1" w14:textId="2AF4A223" w:rsidR="006874CE" w:rsidRPr="00A16358" w:rsidRDefault="00FC1086" w:rsidP="00A16358">
      <w:pPr>
        <w:rPr>
          <w:lang w:val="en-GB"/>
        </w:rPr>
      </w:pPr>
      <w:r w:rsidRPr="00A16358">
        <w:t>Over 250 Citizens Information volunteers were honoured at a national celebration held in Dublin Castle</w:t>
      </w:r>
      <w:r w:rsidR="006874CE" w:rsidRPr="00A16358">
        <w:t xml:space="preserve"> in December</w:t>
      </w:r>
      <w:r w:rsidRPr="00A16358">
        <w:t xml:space="preserve">. It marked the dedicated work of the many volunteers throughout the CIS network who make a real difference to so many lives. </w:t>
      </w:r>
      <w:r w:rsidR="006874CE" w:rsidRPr="00A16358">
        <w:t>A panel of speakers contributed their insights and appreciation of the volunteering role and this was followed by lunch and a programme of entertainment. Key speakers on the day included Sr. Stanislaus Kennedy, Minister of State Kevin Humphries, TD and Ms. Alice Leahy (Trust).</w:t>
      </w:r>
    </w:p>
    <w:p w14:paraId="16E16CDF" w14:textId="77777777" w:rsidR="006874CE" w:rsidRPr="002D3A60" w:rsidRDefault="006874CE" w:rsidP="006874CE">
      <w:pPr>
        <w:rPr>
          <w:iCs/>
          <w:lang w:val="en-IE"/>
        </w:rPr>
      </w:pPr>
    </w:p>
    <w:p w14:paraId="6D7C21C4" w14:textId="61263570" w:rsidR="00FC1086" w:rsidRPr="002D3A60" w:rsidRDefault="006874CE" w:rsidP="006874CE">
      <w:pPr>
        <w:rPr>
          <w:lang w:val="en-IE"/>
        </w:rPr>
      </w:pPr>
      <w:r w:rsidRPr="002D3A60">
        <w:rPr>
          <w:iCs/>
          <w:lang w:val="en-IE"/>
        </w:rPr>
        <w:t>The event also provided volunteers with an opportunity to meet up and network with volunteers from other services. A specially designed volunteer pin was launched at the event, and this will be available to all CIS volunteers.</w:t>
      </w:r>
    </w:p>
    <w:p w14:paraId="3C167110" w14:textId="77777777" w:rsidR="006E4831" w:rsidRPr="002D3A60" w:rsidRDefault="006E4831"/>
    <w:p w14:paraId="43FC551E" w14:textId="4AE0D668" w:rsidR="006E4831" w:rsidRDefault="006E4831" w:rsidP="00BC793C">
      <w:pPr>
        <w:pStyle w:val="Heading3"/>
      </w:pPr>
      <w:bookmarkStart w:id="103" w:name="_Toc450922537"/>
      <w:bookmarkStart w:id="104" w:name="_Toc337126511"/>
      <w:r>
        <w:t>Specialist services</w:t>
      </w:r>
      <w:bookmarkEnd w:id="103"/>
      <w:bookmarkEnd w:id="104"/>
    </w:p>
    <w:p w14:paraId="3F425C12" w14:textId="7FABA2D7" w:rsidR="00434C24" w:rsidRDefault="006E4831" w:rsidP="006E4831">
      <w:r w:rsidRPr="002D3A60">
        <w:t>All CIS</w:t>
      </w:r>
      <w:r w:rsidR="00D9005C" w:rsidRPr="002D3A60">
        <w:t xml:space="preserve">s </w:t>
      </w:r>
      <w:r w:rsidRPr="002D3A60">
        <w:t>provide</w:t>
      </w:r>
      <w:r w:rsidRPr="002D3A60">
        <w:rPr>
          <w:iCs/>
        </w:rPr>
        <w:t xml:space="preserve"> specialist services to clients</w:t>
      </w:r>
      <w:r w:rsidR="0088401B" w:rsidRPr="002D3A60">
        <w:rPr>
          <w:iCs/>
        </w:rPr>
        <w:t xml:space="preserve"> - some directly funded by CIB</w:t>
      </w:r>
      <w:r w:rsidRPr="002D3A60">
        <w:rPr>
          <w:iCs/>
        </w:rPr>
        <w:t>. Generally the CIS host</w:t>
      </w:r>
      <w:r w:rsidR="00D9005C" w:rsidRPr="002D3A60">
        <w:rPr>
          <w:iCs/>
        </w:rPr>
        <w:t xml:space="preserve">s </w:t>
      </w:r>
      <w:r w:rsidRPr="002D3A60">
        <w:rPr>
          <w:iCs/>
        </w:rPr>
        <w:t>clinic</w:t>
      </w:r>
      <w:r w:rsidR="00D9005C" w:rsidRPr="002D3A60">
        <w:rPr>
          <w:iCs/>
        </w:rPr>
        <w:t>s</w:t>
      </w:r>
      <w:r w:rsidRPr="002D3A60">
        <w:rPr>
          <w:iCs/>
        </w:rPr>
        <w:t xml:space="preserve"> in their</w:t>
      </w:r>
      <w:r w:rsidR="00D9005C" w:rsidRPr="002D3A60">
        <w:rPr>
          <w:iCs/>
        </w:rPr>
        <w:t xml:space="preserve"> offices and organise</w:t>
      </w:r>
      <w:r w:rsidRPr="002D3A60">
        <w:rPr>
          <w:iCs/>
        </w:rPr>
        <w:t xml:space="preserve"> referral</w:t>
      </w:r>
      <w:r w:rsidR="00D9005C" w:rsidRPr="002D3A60">
        <w:rPr>
          <w:iCs/>
        </w:rPr>
        <w:t xml:space="preserve">s and </w:t>
      </w:r>
      <w:r w:rsidR="00D9005C" w:rsidRPr="002D3A60">
        <w:rPr>
          <w:iCs/>
        </w:rPr>
        <w:lastRenderedPageBreak/>
        <w:t>appointments for clients.</w:t>
      </w:r>
      <w:r w:rsidR="00260FAC">
        <w:rPr>
          <w:iCs/>
        </w:rPr>
        <w:t xml:space="preserve"> Sp</w:t>
      </w:r>
      <w:r w:rsidRPr="002D3A60">
        <w:t>eci</w:t>
      </w:r>
      <w:r w:rsidR="0088401B" w:rsidRPr="002D3A60">
        <w:t>alist services provided include</w:t>
      </w:r>
      <w:r w:rsidRPr="002D3A60">
        <w:t xml:space="preserve"> FLAC, Family Mediation, Threshold, Immigration advice, Focus Ireland, CASS, CAVA, Women’s Aid, Ombudsman and addiction services.</w:t>
      </w:r>
      <w:r w:rsidR="00D9005C" w:rsidRPr="002D3A60">
        <w:t xml:space="preserve"> These services reflect the increasing complexity of queries coming into services as well as the increasing diversity of Irish society.</w:t>
      </w:r>
    </w:p>
    <w:p w14:paraId="23ED2D4B" w14:textId="77777777" w:rsidR="007830E7" w:rsidRDefault="007830E7" w:rsidP="006E4831">
      <w:pPr>
        <w:rPr>
          <w:iCs/>
        </w:rPr>
      </w:pPr>
    </w:p>
    <w:p w14:paraId="35856EAE" w14:textId="77777777" w:rsidR="00DF138B" w:rsidRPr="002C3779" w:rsidRDefault="00DF138B" w:rsidP="00DF138B">
      <w:pPr>
        <w:pStyle w:val="Heading3"/>
        <w:rPr>
          <w:lang w:val="en-GB"/>
        </w:rPr>
      </w:pPr>
      <w:r w:rsidRPr="002C3779">
        <w:rPr>
          <w:lang w:val="en-GB"/>
        </w:rPr>
        <w:t>Spotlight on specialist services</w:t>
      </w:r>
    </w:p>
    <w:p w14:paraId="5AF3D509" w14:textId="77777777" w:rsidR="00DF138B" w:rsidRDefault="00DF138B" w:rsidP="00DF138B">
      <w:pPr>
        <w:rPr>
          <w:spacing w:val="-5"/>
          <w:lang w:val="en-GB"/>
        </w:rPr>
      </w:pPr>
      <w:r w:rsidRPr="000779ED">
        <w:rPr>
          <w:spacing w:val="-5"/>
          <w:lang w:val="en-GB"/>
        </w:rPr>
        <w:t>All CISs have at least one Free Legal Advice Clinic (FLAC), staffed by volunteer solicitors. More than 15,000 appointments were offered in over 80 FLAC clinics during 2015. The remainder of the clinics are managed directly by the hosting CIS. FLAC also provides a number of supports and training events. Family law, employment, and debt issues are the most common queries.</w:t>
      </w:r>
    </w:p>
    <w:p w14:paraId="5740B394" w14:textId="77777777" w:rsidR="00DF138B" w:rsidRPr="000779ED" w:rsidRDefault="00DF138B" w:rsidP="00DF138B">
      <w:pPr>
        <w:rPr>
          <w:spacing w:val="-5"/>
          <w:lang w:val="en-GB"/>
        </w:rPr>
      </w:pPr>
    </w:p>
    <w:p w14:paraId="68361186" w14:textId="77777777" w:rsidR="00DF138B" w:rsidRDefault="00DF138B" w:rsidP="00DF138B">
      <w:pPr>
        <w:rPr>
          <w:spacing w:val="-5"/>
          <w:lang w:val="en-GB"/>
        </w:rPr>
      </w:pPr>
      <w:r w:rsidRPr="000779ED">
        <w:rPr>
          <w:spacing w:val="-5"/>
          <w:lang w:val="en-GB"/>
        </w:rPr>
        <w:t>CAVA clinics offer a free, confidential and independent financial service with volunteer accountants for business people in financial difficulty. CAVA deals with the promotion of its service and also coordinates the clinics and recruits and trains the volunteer accountants. Most CAVA clinics are held in CIS offices (21) although a number are hosted by MABS. A total of 816 appointments (an annual increase of 4%) were offered and 80 volunteer accountants are supporting the service.  Further development is planned for 2016, including a drive to develop more clinics.</w:t>
      </w:r>
    </w:p>
    <w:p w14:paraId="7D4B3CEF" w14:textId="77777777" w:rsidR="00DF138B" w:rsidRPr="000779ED" w:rsidRDefault="00DF138B" w:rsidP="00DF138B">
      <w:pPr>
        <w:rPr>
          <w:spacing w:val="-5"/>
          <w:lang w:val="en-GB"/>
        </w:rPr>
      </w:pPr>
    </w:p>
    <w:p w14:paraId="3D13A3F3" w14:textId="4A6D954F" w:rsidR="00DF138B" w:rsidRPr="00260FAC" w:rsidRDefault="00DF138B" w:rsidP="00DF138B">
      <w:pPr>
        <w:rPr>
          <w:iCs/>
        </w:rPr>
      </w:pPr>
      <w:r w:rsidRPr="000779ED">
        <w:rPr>
          <w:spacing w:val="-5"/>
          <w:lang w:val="en-GB"/>
        </w:rPr>
        <w:t>The Citizenship Application Support Service (CASS) emerged from a recognised need to promote better understanding of the citizenship application process in Ireland. The CASS is provided by New Communities Partnership (NCP) and CASS clinics are now hosted by nine CISs, most of them in the Dublin region. NCP also provide training and support for information providers and for advocates in the CIS network.</w:t>
      </w:r>
    </w:p>
    <w:p w14:paraId="1FFBCAC6" w14:textId="0D109667" w:rsidR="000C6B20" w:rsidRPr="002D3A60" w:rsidRDefault="000C6B20" w:rsidP="000C6B20">
      <w:r w:rsidRPr="002D3A60">
        <w:br w:type="page"/>
      </w:r>
    </w:p>
    <w:p w14:paraId="20751524" w14:textId="77777777" w:rsidR="005732BC" w:rsidRDefault="005732BC" w:rsidP="007073B5">
      <w:pPr>
        <w:pStyle w:val="Heading1"/>
      </w:pPr>
      <w:bookmarkStart w:id="105" w:name="_Toc438544255"/>
      <w:bookmarkStart w:id="106" w:name="_Toc438544291"/>
      <w:bookmarkStart w:id="107" w:name="_Toc337126513"/>
      <w:bookmarkStart w:id="108" w:name="_Toc337126573"/>
      <w:r>
        <w:lastRenderedPageBreak/>
        <w:t>Citizens Information Phone Service</w:t>
      </w:r>
      <w:bookmarkEnd w:id="105"/>
      <w:bookmarkEnd w:id="106"/>
      <w:bookmarkEnd w:id="107"/>
      <w:bookmarkEnd w:id="108"/>
    </w:p>
    <w:p w14:paraId="7CCFE544" w14:textId="77777777" w:rsidR="0088401B" w:rsidRPr="002D3A60" w:rsidRDefault="0088401B" w:rsidP="0088401B"/>
    <w:p w14:paraId="68389DB3" w14:textId="77777777" w:rsidR="0088401B" w:rsidRPr="002D3A60" w:rsidRDefault="005732BC" w:rsidP="005732BC">
      <w:r w:rsidRPr="002D3A60">
        <w:t>The Citizens Information Phone Service (CIPS) provides a comprehensive and confidential information service (based in Cork). The telephone service is provided Monday to Friday from 9am to 8pm. CIPS also provides ‘Live Advisor’, an instant web chat service for people with hearing and speech difficulties. This is open from 9am until 5pm weekdays. Members of the public calling the service generally pay national call rates from</w:t>
      </w:r>
      <w:r w:rsidR="0088401B" w:rsidRPr="002D3A60">
        <w:t xml:space="preserve"> either a landline or a mobile.</w:t>
      </w:r>
    </w:p>
    <w:p w14:paraId="2216B952" w14:textId="77777777" w:rsidR="0088401B" w:rsidRPr="002D3A60" w:rsidRDefault="0088401B" w:rsidP="005732BC"/>
    <w:p w14:paraId="3BC3DF71" w14:textId="0CA8B242" w:rsidR="005732BC" w:rsidRPr="002D3A60" w:rsidRDefault="005732BC" w:rsidP="005732BC">
      <w:r w:rsidRPr="002D3A60">
        <w:t>CIPS receives 100% of its funding from the Citizens Information Board and received a grant of just under €</w:t>
      </w:r>
      <w:r w:rsidR="00D108C3" w:rsidRPr="002D3A60">
        <w:t>1</w:t>
      </w:r>
      <w:r w:rsidR="0088401B" w:rsidRPr="002D3A60">
        <w:t>.</w:t>
      </w:r>
      <w:r w:rsidR="00D108C3" w:rsidRPr="002D3A60">
        <w:t>2</w:t>
      </w:r>
      <w:r w:rsidR="0088401B" w:rsidRPr="002D3A60">
        <w:t>5</w:t>
      </w:r>
      <w:r w:rsidR="000C6B20" w:rsidRPr="002D3A60">
        <w:t xml:space="preserve"> </w:t>
      </w:r>
      <w:r w:rsidRPr="002D3A60">
        <w:t>million in 201</w:t>
      </w:r>
      <w:r w:rsidR="000C6B20" w:rsidRPr="002D3A60">
        <w:t>5</w:t>
      </w:r>
      <w:r w:rsidRPr="002D3A60">
        <w:t>.</w:t>
      </w:r>
      <w:r w:rsidR="00D108C3" w:rsidRPr="002D3A60">
        <w:t xml:space="preserve"> </w:t>
      </w:r>
      <w:r w:rsidR="00D108C3" w:rsidRPr="002D3A60">
        <w:rPr>
          <w:lang w:val="en-IE"/>
        </w:rPr>
        <w:t xml:space="preserve">The bulk of this is spent on employee costs (close to €1.1m).  </w:t>
      </w:r>
    </w:p>
    <w:p w14:paraId="645FCFC9" w14:textId="77777777" w:rsidR="005732BC" w:rsidRPr="002D3A60" w:rsidRDefault="005732BC" w:rsidP="005732BC"/>
    <w:p w14:paraId="7CFB0BBC" w14:textId="4575B0AE" w:rsidR="000778F4" w:rsidRDefault="005732BC" w:rsidP="005927C4">
      <w:pPr>
        <w:pStyle w:val="Heading2"/>
      </w:pPr>
      <w:bookmarkStart w:id="109" w:name="_Toc450922540"/>
      <w:bookmarkStart w:id="110" w:name="_Toc337126514"/>
      <w:r>
        <w:t>CIPS – staffing and statistics</w:t>
      </w:r>
      <w:bookmarkEnd w:id="109"/>
      <w:bookmarkEnd w:id="110"/>
    </w:p>
    <w:p w14:paraId="635C11D6" w14:textId="77777777" w:rsidR="005927C4" w:rsidRPr="005927C4" w:rsidRDefault="005927C4" w:rsidP="005927C4"/>
    <w:p w14:paraId="7B4E8FD1" w14:textId="74769637" w:rsidR="00E106F4" w:rsidRPr="002D3A60" w:rsidRDefault="00D108C3" w:rsidP="00D2776A">
      <w:pPr>
        <w:rPr>
          <w:lang w:val="en-IE"/>
        </w:rPr>
      </w:pPr>
      <w:r w:rsidRPr="002D3A60">
        <w:rPr>
          <w:lang w:val="en-IE"/>
        </w:rPr>
        <w:t>In 2015, CIPS’ information o</w:t>
      </w:r>
      <w:r w:rsidR="00E106F4" w:rsidRPr="002D3A60">
        <w:rPr>
          <w:lang w:val="en-IE"/>
        </w:rPr>
        <w:t>fficers answered 154,441 requests for information and advice from the public, of which 153,136 were telephone queries, 5</w:t>
      </w:r>
      <w:r w:rsidR="007D7B7F" w:rsidRPr="002D3A60">
        <w:rPr>
          <w:lang w:val="en-IE"/>
        </w:rPr>
        <w:t>95 emails and</w:t>
      </w:r>
      <w:r w:rsidR="00E106F4" w:rsidRPr="002D3A60">
        <w:rPr>
          <w:lang w:val="en-IE"/>
        </w:rPr>
        <w:t xml:space="preserve"> 710 Live Advisor (web chat).</w:t>
      </w:r>
    </w:p>
    <w:p w14:paraId="424DE437" w14:textId="77777777" w:rsidR="004126F5" w:rsidRDefault="004126F5" w:rsidP="009F123D">
      <w:pPr>
        <w:pStyle w:val="BasicParagraph"/>
        <w:suppressAutoHyphens/>
        <w:rPr>
          <w:rFonts w:ascii="Bliss-Light" w:hAnsi="Bliss-Light" w:cs="Bliss-Light"/>
          <w:b/>
          <w:sz w:val="18"/>
          <w:szCs w:val="18"/>
        </w:rPr>
      </w:pPr>
    </w:p>
    <w:p w14:paraId="008EBBEC" w14:textId="098773A2" w:rsidR="00E106F4" w:rsidRPr="002D3A60" w:rsidRDefault="00E106F4" w:rsidP="00E106F4">
      <w:r w:rsidRPr="002D3A60">
        <w:t xml:space="preserve">The level of caller demand for CIPS services continues to be an ongoing challenge, </w:t>
      </w:r>
      <w:r w:rsidR="000045DE" w:rsidRPr="002D3A60">
        <w:t xml:space="preserve">as </w:t>
      </w:r>
      <w:r w:rsidRPr="002D3A60">
        <w:t>demand continues to e</w:t>
      </w:r>
      <w:r w:rsidR="000045DE" w:rsidRPr="002D3A60">
        <w:t xml:space="preserve">xceed CIPS resourcing capacity with </w:t>
      </w:r>
      <w:r w:rsidRPr="002D3A60">
        <w:t>current staffing levels.</w:t>
      </w:r>
      <w:r w:rsidR="00D2776A" w:rsidRPr="002D3A60">
        <w:t xml:space="preserve"> </w:t>
      </w:r>
      <w:r w:rsidRPr="002D3A60">
        <w:t xml:space="preserve">Calls offered to the service were down 5.7% in in 2015 compared with 2014.  </w:t>
      </w:r>
    </w:p>
    <w:p w14:paraId="7ECBFB90" w14:textId="77777777" w:rsidR="00E106F4" w:rsidRPr="002D3A60" w:rsidRDefault="00E106F4" w:rsidP="00E106F4"/>
    <w:p w14:paraId="16B69DE8" w14:textId="32EC63D9" w:rsidR="007D7B7F" w:rsidRPr="002D3A60" w:rsidRDefault="00D2776A" w:rsidP="007D7B7F">
      <w:pPr>
        <w:rPr>
          <w:lang w:val="en-IE"/>
        </w:rPr>
      </w:pPr>
      <w:r w:rsidRPr="002D3A60">
        <w:t>Social w</w:t>
      </w:r>
      <w:r w:rsidR="00E106F4" w:rsidRPr="002D3A60">
        <w:t xml:space="preserve">elfare continues to be the </w:t>
      </w:r>
      <w:r w:rsidRPr="002D3A60">
        <w:t>main query category accounting for</w:t>
      </w:r>
      <w:r w:rsidR="00E106F4" w:rsidRPr="002D3A60">
        <w:t xml:space="preserve"> 46% of total calls answered</w:t>
      </w:r>
      <w:r w:rsidR="0088401B" w:rsidRPr="002D3A60">
        <w:t xml:space="preserve">. </w:t>
      </w:r>
      <w:r w:rsidR="007D7B7F" w:rsidRPr="002D3A60">
        <w:rPr>
          <w:lang w:val="en-IE"/>
        </w:rPr>
        <w:t xml:space="preserve">The second highest query category during 2015 was the Employment category (14.6%) followed by Money and Tax (6.6%). </w:t>
      </w:r>
    </w:p>
    <w:p w14:paraId="0164FB98" w14:textId="77777777" w:rsidR="00E106F4" w:rsidRPr="002D3A60" w:rsidRDefault="00E106F4" w:rsidP="00E106F4"/>
    <w:p w14:paraId="1A14AC3F" w14:textId="627603AC" w:rsidR="00E106F4" w:rsidRPr="002D3A60" w:rsidRDefault="00E106F4" w:rsidP="00E106F4">
      <w:r w:rsidRPr="002D3A60">
        <w:t xml:space="preserve">CIPS did not undertake any promotion or formal advertising campaigns in 2015 with the exception of four adverts in ‘Big Issue’ magazine and </w:t>
      </w:r>
      <w:r w:rsidR="004918D5" w:rsidRPr="002D3A60">
        <w:t xml:space="preserve">attendance </w:t>
      </w:r>
      <w:r w:rsidRPr="002D3A60">
        <w:t xml:space="preserve">at </w:t>
      </w:r>
      <w:r w:rsidR="004918D5" w:rsidRPr="002D3A60">
        <w:t xml:space="preserve">the </w:t>
      </w:r>
      <w:r w:rsidRPr="002D3A60">
        <w:t>2015 Ploughing Championships (in conjunction with CIB).</w:t>
      </w:r>
      <w:r w:rsidR="00367771" w:rsidRPr="002D3A60">
        <w:t xml:space="preserve"> </w:t>
      </w:r>
    </w:p>
    <w:p w14:paraId="26209EF1" w14:textId="77777777" w:rsidR="00E106F4" w:rsidRPr="002D3A60" w:rsidRDefault="00E106F4" w:rsidP="00E106F4"/>
    <w:p w14:paraId="41974D39" w14:textId="7ECA3DE2" w:rsidR="00D2688F" w:rsidRPr="002D3A60" w:rsidRDefault="00E106F4" w:rsidP="00E106F4">
      <w:r w:rsidRPr="002D3A60">
        <w:t xml:space="preserve">The abandoned call rate for 2015 was 18% which is down from 24% in 2014.  Calls answered by the service were up 1.5% in 2015.   In addition to this average talk time was 8 seconds higher </w:t>
      </w:r>
      <w:r w:rsidR="00367771" w:rsidRPr="002D3A60">
        <w:t>- this</w:t>
      </w:r>
      <w:r w:rsidRPr="002D3A60">
        <w:t xml:space="preserve"> factor directly impacts on</w:t>
      </w:r>
      <w:r w:rsidR="00D2688F" w:rsidRPr="002D3A60">
        <w:t xml:space="preserve"> the number of calls answered.</w:t>
      </w:r>
    </w:p>
    <w:p w14:paraId="31D9CFAD" w14:textId="5FE931FA" w:rsidR="00D2688F" w:rsidRPr="002D3A60" w:rsidRDefault="00D2688F" w:rsidP="00D2688F">
      <w:pPr>
        <w:spacing w:line="360" w:lineRule="auto"/>
        <w:rPr>
          <w:rFonts w:cs="Arial"/>
        </w:rPr>
      </w:pPr>
    </w:p>
    <w:p w14:paraId="482D8748" w14:textId="77777777" w:rsidR="00582BC1" w:rsidRDefault="00D2688F" w:rsidP="00E106F4">
      <w:r w:rsidRPr="002D3A60">
        <w:t>During 2015, the average score of 97% was the same as in previous years.  The highest call rating was maintained and the lowest call rating increased to 64%.  It is to be noted that the lowest call rating was due to a single incident and in general, call quality has been found to be very high.</w:t>
      </w:r>
    </w:p>
    <w:p w14:paraId="68C8B05E" w14:textId="77777777" w:rsidR="00095A82" w:rsidRDefault="00095A82" w:rsidP="00E106F4"/>
    <w:p w14:paraId="7622FF74" w14:textId="77777777" w:rsidR="00095A82" w:rsidRDefault="00095A82" w:rsidP="00E106F4"/>
    <w:p w14:paraId="37AF0844" w14:textId="77777777" w:rsidR="00095A82" w:rsidRDefault="00095A82" w:rsidP="00E106F4"/>
    <w:p w14:paraId="50DCEDBF" w14:textId="77777777" w:rsidR="00095A82" w:rsidRDefault="00095A82" w:rsidP="00E106F4"/>
    <w:p w14:paraId="2C5D3380" w14:textId="77777777" w:rsidR="00E93155" w:rsidRDefault="00E93155" w:rsidP="00E106F4"/>
    <w:p w14:paraId="0E8D7857" w14:textId="77777777" w:rsidR="00E93155" w:rsidRDefault="00E93155" w:rsidP="00E106F4"/>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Caption w:val="Phone calls table"/>
      </w:tblPr>
      <w:tblGrid>
        <w:gridCol w:w="773"/>
        <w:gridCol w:w="1396"/>
        <w:gridCol w:w="1317"/>
        <w:gridCol w:w="1623"/>
        <w:gridCol w:w="1204"/>
        <w:gridCol w:w="1124"/>
        <w:gridCol w:w="1079"/>
      </w:tblGrid>
      <w:tr w:rsidR="008E5D06" w14:paraId="5D75BD29" w14:textId="77777777" w:rsidTr="00E80C48">
        <w:trPr>
          <w:trHeight w:val="1201"/>
          <w:tblHeader/>
        </w:trPr>
        <w:tc>
          <w:tcPr>
            <w:tcW w:w="1216" w:type="dxa"/>
            <w:shd w:val="clear" w:color="auto" w:fill="4F81BD" w:themeFill="accent1"/>
            <w:vAlign w:val="center"/>
          </w:tcPr>
          <w:p w14:paraId="766F3F21" w14:textId="7FA53517" w:rsidR="00582BC1" w:rsidRPr="00EF5ECC" w:rsidRDefault="008E5D06" w:rsidP="00EF5ECC">
            <w:pPr>
              <w:rPr>
                <w:rFonts w:ascii="Bliss-Regular" w:hAnsi="Bliss-Regular"/>
                <w:color w:val="FFFFFF" w:themeColor="background1"/>
                <w:sz w:val="24"/>
                <w:szCs w:val="24"/>
              </w:rPr>
            </w:pPr>
            <w:r w:rsidRPr="00EF5ECC">
              <w:rPr>
                <w:rFonts w:ascii="Bliss-Regular" w:hAnsi="Bliss-Regular"/>
                <w:color w:val="FFFFFF" w:themeColor="background1"/>
                <w:sz w:val="24"/>
                <w:szCs w:val="24"/>
              </w:rPr>
              <w:lastRenderedPageBreak/>
              <w:t>YEAR</w:t>
            </w:r>
          </w:p>
        </w:tc>
        <w:tc>
          <w:tcPr>
            <w:tcW w:w="1216" w:type="dxa"/>
            <w:shd w:val="clear" w:color="auto" w:fill="B8CCE4" w:themeFill="accent1" w:themeFillTint="66"/>
            <w:vAlign w:val="center"/>
          </w:tcPr>
          <w:p w14:paraId="7FF29EB9" w14:textId="77777777" w:rsidR="00582BC1" w:rsidRPr="00EF5ECC" w:rsidRDefault="008E5D06" w:rsidP="00EF5ECC">
            <w:pPr>
              <w:rPr>
                <w:rFonts w:ascii="Bliss-Regular" w:hAnsi="Bliss-Regular"/>
                <w:color w:val="FFFFFF" w:themeColor="background1"/>
                <w:sz w:val="24"/>
                <w:szCs w:val="24"/>
              </w:rPr>
            </w:pPr>
            <w:r w:rsidRPr="00EF5ECC">
              <w:rPr>
                <w:rFonts w:ascii="Bliss-Regular" w:hAnsi="Bliss-Regular"/>
                <w:color w:val="FFFFFF" w:themeColor="background1"/>
                <w:sz w:val="24"/>
                <w:szCs w:val="24"/>
              </w:rPr>
              <w:t>TOTAL</w:t>
            </w:r>
          </w:p>
          <w:p w14:paraId="7C30FD7D" w14:textId="77777777" w:rsidR="008E5D06" w:rsidRPr="00EF5ECC" w:rsidRDefault="008E5D06" w:rsidP="00EF5ECC">
            <w:pPr>
              <w:rPr>
                <w:rFonts w:ascii="Bliss-Regular" w:hAnsi="Bliss-Regular"/>
                <w:color w:val="FFFFFF" w:themeColor="background1"/>
                <w:sz w:val="24"/>
                <w:szCs w:val="24"/>
              </w:rPr>
            </w:pPr>
            <w:r w:rsidRPr="00EF5ECC">
              <w:rPr>
                <w:rFonts w:ascii="Bliss-Regular" w:hAnsi="Bliss-Regular"/>
                <w:color w:val="FFFFFF" w:themeColor="background1"/>
                <w:sz w:val="24"/>
                <w:szCs w:val="24"/>
              </w:rPr>
              <w:t>CALLS</w:t>
            </w:r>
          </w:p>
          <w:p w14:paraId="24D5C755" w14:textId="1C0048F6" w:rsidR="008E5D06" w:rsidRPr="00EF5ECC" w:rsidRDefault="008E5D06" w:rsidP="00EF5ECC">
            <w:pPr>
              <w:rPr>
                <w:rFonts w:ascii="Bliss-Regular" w:hAnsi="Bliss-Regular"/>
                <w:color w:val="FFFFFF" w:themeColor="background1"/>
                <w:sz w:val="24"/>
                <w:szCs w:val="24"/>
              </w:rPr>
            </w:pPr>
            <w:r w:rsidRPr="00EF5ECC">
              <w:rPr>
                <w:rFonts w:ascii="Bliss-Regular" w:hAnsi="Bliss-Regular"/>
                <w:color w:val="FFFFFF" w:themeColor="background1"/>
                <w:sz w:val="24"/>
                <w:szCs w:val="24"/>
              </w:rPr>
              <w:t>ANSWERED</w:t>
            </w:r>
          </w:p>
        </w:tc>
        <w:tc>
          <w:tcPr>
            <w:tcW w:w="1216" w:type="dxa"/>
            <w:shd w:val="clear" w:color="auto" w:fill="4F81BD" w:themeFill="accent1"/>
            <w:vAlign w:val="center"/>
          </w:tcPr>
          <w:p w14:paraId="51FBB40C" w14:textId="77777777" w:rsidR="00582BC1" w:rsidRPr="00EF5ECC" w:rsidRDefault="008E5D06" w:rsidP="00EF5ECC">
            <w:pPr>
              <w:rPr>
                <w:rFonts w:ascii="Bliss-Regular" w:hAnsi="Bliss-Regular"/>
                <w:color w:val="FFFFFF" w:themeColor="background1"/>
                <w:sz w:val="24"/>
                <w:szCs w:val="24"/>
              </w:rPr>
            </w:pPr>
            <w:r w:rsidRPr="00EF5ECC">
              <w:rPr>
                <w:rFonts w:ascii="Bliss-Regular" w:hAnsi="Bliss-Regular"/>
                <w:color w:val="FFFFFF" w:themeColor="background1"/>
                <w:sz w:val="24"/>
                <w:szCs w:val="24"/>
              </w:rPr>
              <w:t>NUMBER</w:t>
            </w:r>
          </w:p>
          <w:p w14:paraId="384CC28C" w14:textId="1B7DAD78" w:rsidR="008E5D06" w:rsidRPr="00EF5ECC" w:rsidRDefault="008E5D06" w:rsidP="00EF5ECC">
            <w:pPr>
              <w:rPr>
                <w:rFonts w:ascii="Bliss-Regular" w:hAnsi="Bliss-Regular"/>
                <w:color w:val="FFFFFF" w:themeColor="background1"/>
                <w:sz w:val="24"/>
                <w:szCs w:val="24"/>
              </w:rPr>
            </w:pPr>
            <w:r w:rsidRPr="00EF5ECC">
              <w:rPr>
                <w:rFonts w:ascii="Bliss-Regular" w:hAnsi="Bliss-Regular"/>
                <w:color w:val="FFFFFF" w:themeColor="background1"/>
                <w:sz w:val="24"/>
                <w:szCs w:val="24"/>
              </w:rPr>
              <w:t>OF CALLS ASSESSED</w:t>
            </w:r>
          </w:p>
        </w:tc>
        <w:tc>
          <w:tcPr>
            <w:tcW w:w="1217" w:type="dxa"/>
            <w:shd w:val="clear" w:color="auto" w:fill="B8CCE4" w:themeFill="accent1" w:themeFillTint="66"/>
            <w:vAlign w:val="center"/>
          </w:tcPr>
          <w:p w14:paraId="3F748AD8" w14:textId="77777777" w:rsidR="00582BC1" w:rsidRPr="00EF5ECC" w:rsidRDefault="008E5D06" w:rsidP="00EF5ECC">
            <w:pPr>
              <w:rPr>
                <w:rFonts w:ascii="Bliss-Regular" w:hAnsi="Bliss-Regular"/>
                <w:color w:val="FFFFFF" w:themeColor="background1"/>
                <w:sz w:val="24"/>
                <w:szCs w:val="24"/>
              </w:rPr>
            </w:pPr>
            <w:r w:rsidRPr="00EF5ECC">
              <w:rPr>
                <w:rFonts w:ascii="Bliss-Regular" w:hAnsi="Bliss-Regular"/>
                <w:color w:val="FFFFFF" w:themeColor="background1"/>
                <w:sz w:val="24"/>
                <w:szCs w:val="24"/>
              </w:rPr>
              <w:t>PERCENTAGE</w:t>
            </w:r>
          </w:p>
          <w:p w14:paraId="0063FAF7" w14:textId="77777777" w:rsidR="008E5D06" w:rsidRPr="00EF5ECC" w:rsidRDefault="008E5D06" w:rsidP="00EF5ECC">
            <w:pPr>
              <w:rPr>
                <w:rFonts w:ascii="Bliss-Regular" w:hAnsi="Bliss-Regular"/>
                <w:color w:val="FFFFFF" w:themeColor="background1"/>
                <w:sz w:val="24"/>
                <w:szCs w:val="24"/>
              </w:rPr>
            </w:pPr>
            <w:r w:rsidRPr="00EF5ECC">
              <w:rPr>
                <w:rFonts w:ascii="Bliss-Regular" w:hAnsi="Bliss-Regular"/>
                <w:color w:val="FFFFFF" w:themeColor="background1"/>
                <w:sz w:val="24"/>
                <w:szCs w:val="24"/>
              </w:rPr>
              <w:t>OFCALLS</w:t>
            </w:r>
          </w:p>
          <w:p w14:paraId="73D05750" w14:textId="01BB83CB" w:rsidR="008E5D06" w:rsidRPr="00EF5ECC" w:rsidRDefault="008E5D06" w:rsidP="00EF5ECC">
            <w:pPr>
              <w:rPr>
                <w:rFonts w:ascii="Bliss-Regular" w:hAnsi="Bliss-Regular"/>
                <w:color w:val="FFFFFF" w:themeColor="background1"/>
                <w:sz w:val="24"/>
                <w:szCs w:val="24"/>
              </w:rPr>
            </w:pPr>
            <w:r w:rsidRPr="00EF5ECC">
              <w:rPr>
                <w:rFonts w:ascii="Bliss-Regular" w:hAnsi="Bliss-Regular"/>
                <w:color w:val="FFFFFF" w:themeColor="background1"/>
                <w:sz w:val="24"/>
                <w:szCs w:val="24"/>
              </w:rPr>
              <w:t>ASSESSED</w:t>
            </w:r>
          </w:p>
        </w:tc>
        <w:tc>
          <w:tcPr>
            <w:tcW w:w="1217" w:type="dxa"/>
            <w:shd w:val="clear" w:color="auto" w:fill="4F81BD" w:themeFill="accent1"/>
            <w:vAlign w:val="center"/>
          </w:tcPr>
          <w:p w14:paraId="11BBB35C" w14:textId="77777777" w:rsidR="00582BC1" w:rsidRPr="00EF5ECC" w:rsidRDefault="008E5D06" w:rsidP="00EF5ECC">
            <w:pPr>
              <w:rPr>
                <w:rFonts w:ascii="Bliss-Regular" w:hAnsi="Bliss-Regular"/>
                <w:color w:val="FFFFFF" w:themeColor="background1"/>
                <w:sz w:val="24"/>
                <w:szCs w:val="24"/>
              </w:rPr>
            </w:pPr>
            <w:r w:rsidRPr="00EF5ECC">
              <w:rPr>
                <w:rFonts w:ascii="Bliss-Regular" w:hAnsi="Bliss-Regular"/>
                <w:color w:val="FFFFFF" w:themeColor="background1"/>
                <w:sz w:val="24"/>
                <w:szCs w:val="24"/>
              </w:rPr>
              <w:t>AVERAGE</w:t>
            </w:r>
          </w:p>
          <w:p w14:paraId="6F40794F" w14:textId="77777777" w:rsidR="008E5D06" w:rsidRPr="00EF5ECC" w:rsidRDefault="008E5D06" w:rsidP="00EF5ECC">
            <w:pPr>
              <w:rPr>
                <w:rFonts w:ascii="Bliss-Regular" w:hAnsi="Bliss-Regular"/>
                <w:color w:val="FFFFFF" w:themeColor="background1"/>
                <w:sz w:val="24"/>
                <w:szCs w:val="24"/>
              </w:rPr>
            </w:pPr>
            <w:r w:rsidRPr="00EF5ECC">
              <w:rPr>
                <w:rFonts w:ascii="Bliss-Regular" w:hAnsi="Bliss-Regular"/>
                <w:color w:val="FFFFFF" w:themeColor="background1"/>
                <w:sz w:val="24"/>
                <w:szCs w:val="24"/>
              </w:rPr>
              <w:t>CALL</w:t>
            </w:r>
          </w:p>
          <w:p w14:paraId="1AB28BD4" w14:textId="5D6E88C5" w:rsidR="008E5D06" w:rsidRPr="00EF5ECC" w:rsidRDefault="008E5D06" w:rsidP="00EF5ECC">
            <w:pPr>
              <w:rPr>
                <w:rFonts w:ascii="Bliss-Regular" w:hAnsi="Bliss-Regular"/>
                <w:color w:val="FFFFFF" w:themeColor="background1"/>
                <w:sz w:val="24"/>
                <w:szCs w:val="24"/>
              </w:rPr>
            </w:pPr>
            <w:r w:rsidRPr="00EF5ECC">
              <w:rPr>
                <w:rFonts w:ascii="Bliss-Regular" w:hAnsi="Bliss-Regular"/>
                <w:color w:val="FFFFFF" w:themeColor="background1"/>
                <w:sz w:val="24"/>
                <w:szCs w:val="24"/>
              </w:rPr>
              <w:t>RATING</w:t>
            </w:r>
          </w:p>
        </w:tc>
        <w:tc>
          <w:tcPr>
            <w:tcW w:w="1217" w:type="dxa"/>
            <w:shd w:val="clear" w:color="auto" w:fill="B8CCE4" w:themeFill="accent1" w:themeFillTint="66"/>
            <w:vAlign w:val="center"/>
          </w:tcPr>
          <w:p w14:paraId="7481CD52" w14:textId="77777777" w:rsidR="00582BC1" w:rsidRPr="00EF5ECC" w:rsidRDefault="008E5D06" w:rsidP="00EF5ECC">
            <w:pPr>
              <w:rPr>
                <w:rFonts w:ascii="Bliss-Regular" w:hAnsi="Bliss-Regular"/>
                <w:color w:val="FFFFFF" w:themeColor="background1"/>
                <w:sz w:val="24"/>
                <w:szCs w:val="24"/>
              </w:rPr>
            </w:pPr>
            <w:r w:rsidRPr="00EF5ECC">
              <w:rPr>
                <w:rFonts w:ascii="Bliss-Regular" w:hAnsi="Bliss-Regular"/>
                <w:color w:val="FFFFFF" w:themeColor="background1"/>
                <w:sz w:val="24"/>
                <w:szCs w:val="24"/>
              </w:rPr>
              <w:t>HIGHEST CALL</w:t>
            </w:r>
          </w:p>
          <w:p w14:paraId="4EAB0FEB" w14:textId="764492F7" w:rsidR="008E5D06" w:rsidRPr="00EF5ECC" w:rsidRDefault="008E5D06" w:rsidP="00EF5ECC">
            <w:pPr>
              <w:rPr>
                <w:rFonts w:ascii="Bliss-Regular" w:hAnsi="Bliss-Regular"/>
                <w:color w:val="FFFFFF" w:themeColor="background1"/>
                <w:sz w:val="24"/>
                <w:szCs w:val="24"/>
              </w:rPr>
            </w:pPr>
            <w:r w:rsidRPr="00EF5ECC">
              <w:rPr>
                <w:rFonts w:ascii="Bliss-Regular" w:hAnsi="Bliss-Regular"/>
                <w:color w:val="FFFFFF" w:themeColor="background1"/>
                <w:sz w:val="24"/>
                <w:szCs w:val="24"/>
              </w:rPr>
              <w:t>RATING</w:t>
            </w:r>
          </w:p>
        </w:tc>
        <w:tc>
          <w:tcPr>
            <w:tcW w:w="1217" w:type="dxa"/>
            <w:shd w:val="clear" w:color="auto" w:fill="4F81BD" w:themeFill="accent1"/>
            <w:vAlign w:val="center"/>
          </w:tcPr>
          <w:p w14:paraId="3FC70085" w14:textId="77777777" w:rsidR="00582BC1" w:rsidRPr="00EF5ECC" w:rsidRDefault="008E5D06" w:rsidP="00EF5ECC">
            <w:pPr>
              <w:rPr>
                <w:rFonts w:ascii="Bliss-Regular" w:hAnsi="Bliss-Regular"/>
                <w:color w:val="FFFFFF" w:themeColor="background1"/>
                <w:sz w:val="24"/>
                <w:szCs w:val="24"/>
              </w:rPr>
            </w:pPr>
            <w:r w:rsidRPr="00EF5ECC">
              <w:rPr>
                <w:rFonts w:ascii="Bliss-Regular" w:hAnsi="Bliss-Regular"/>
                <w:color w:val="FFFFFF" w:themeColor="background1"/>
                <w:sz w:val="24"/>
                <w:szCs w:val="24"/>
              </w:rPr>
              <w:t>LOWEST</w:t>
            </w:r>
          </w:p>
          <w:p w14:paraId="537CE619" w14:textId="77777777" w:rsidR="008E5D06" w:rsidRPr="00EF5ECC" w:rsidRDefault="008E5D06" w:rsidP="00EF5ECC">
            <w:pPr>
              <w:rPr>
                <w:rFonts w:ascii="Bliss-Regular" w:hAnsi="Bliss-Regular"/>
                <w:color w:val="FFFFFF" w:themeColor="background1"/>
                <w:sz w:val="24"/>
                <w:szCs w:val="24"/>
              </w:rPr>
            </w:pPr>
            <w:r w:rsidRPr="00EF5ECC">
              <w:rPr>
                <w:rFonts w:ascii="Bliss-Regular" w:hAnsi="Bliss-Regular"/>
                <w:color w:val="FFFFFF" w:themeColor="background1"/>
                <w:sz w:val="24"/>
                <w:szCs w:val="24"/>
              </w:rPr>
              <w:t>CALL</w:t>
            </w:r>
          </w:p>
          <w:p w14:paraId="138E844A" w14:textId="435B40C5" w:rsidR="008E5D06" w:rsidRPr="00EF5ECC" w:rsidRDefault="008E5D06" w:rsidP="00EF5ECC">
            <w:pPr>
              <w:rPr>
                <w:rFonts w:ascii="Bliss-Regular" w:hAnsi="Bliss-Regular"/>
                <w:color w:val="FFFFFF" w:themeColor="background1"/>
                <w:sz w:val="24"/>
                <w:szCs w:val="24"/>
              </w:rPr>
            </w:pPr>
            <w:r w:rsidRPr="00EF5ECC">
              <w:rPr>
                <w:rFonts w:ascii="Bliss-Regular" w:hAnsi="Bliss-Regular"/>
                <w:color w:val="FFFFFF" w:themeColor="background1"/>
                <w:sz w:val="24"/>
                <w:szCs w:val="24"/>
              </w:rPr>
              <w:t>RATING</w:t>
            </w:r>
          </w:p>
        </w:tc>
      </w:tr>
      <w:tr w:rsidR="008E5D06" w14:paraId="366F9373" w14:textId="77777777" w:rsidTr="00341C06">
        <w:trPr>
          <w:trHeight w:val="552"/>
        </w:trPr>
        <w:tc>
          <w:tcPr>
            <w:tcW w:w="1216" w:type="dxa"/>
            <w:vAlign w:val="center"/>
          </w:tcPr>
          <w:p w14:paraId="08E6A32B" w14:textId="1ED09704" w:rsidR="00582BC1" w:rsidRPr="008E5D06" w:rsidRDefault="008E5D06" w:rsidP="00EF5ECC">
            <w:pPr>
              <w:rPr>
                <w:rFonts w:ascii="Bliss-Regular" w:hAnsi="Bliss-Regular"/>
                <w:sz w:val="24"/>
                <w:szCs w:val="24"/>
              </w:rPr>
            </w:pPr>
            <w:r w:rsidRPr="008E5D06">
              <w:rPr>
                <w:rFonts w:ascii="Bliss-Regular" w:hAnsi="Bliss-Regular"/>
                <w:sz w:val="24"/>
                <w:szCs w:val="24"/>
              </w:rPr>
              <w:t>2015</w:t>
            </w:r>
          </w:p>
        </w:tc>
        <w:tc>
          <w:tcPr>
            <w:tcW w:w="1216" w:type="dxa"/>
            <w:shd w:val="clear" w:color="auto" w:fill="B8CCE4" w:themeFill="accent1" w:themeFillTint="66"/>
            <w:vAlign w:val="center"/>
          </w:tcPr>
          <w:p w14:paraId="130E50DC" w14:textId="433E38F0" w:rsidR="00582BC1" w:rsidRPr="008E5D06" w:rsidRDefault="008E5D06" w:rsidP="00EF5ECC">
            <w:pPr>
              <w:rPr>
                <w:rFonts w:ascii="Bliss-Regular" w:hAnsi="Bliss-Regular"/>
                <w:sz w:val="24"/>
                <w:szCs w:val="24"/>
              </w:rPr>
            </w:pPr>
            <w:r w:rsidRPr="008E5D06">
              <w:rPr>
                <w:rFonts w:ascii="Bliss-Regular" w:hAnsi="Bliss-Regular"/>
                <w:sz w:val="24"/>
                <w:szCs w:val="24"/>
              </w:rPr>
              <w:t>152,136</w:t>
            </w:r>
          </w:p>
        </w:tc>
        <w:tc>
          <w:tcPr>
            <w:tcW w:w="1216" w:type="dxa"/>
            <w:vAlign w:val="center"/>
          </w:tcPr>
          <w:p w14:paraId="2740D028" w14:textId="451B29C7" w:rsidR="00582BC1" w:rsidRPr="008E5D06" w:rsidRDefault="008E5D06" w:rsidP="00EF5ECC">
            <w:pPr>
              <w:rPr>
                <w:rFonts w:ascii="Bliss-Regular" w:hAnsi="Bliss-Regular"/>
                <w:sz w:val="24"/>
                <w:szCs w:val="24"/>
              </w:rPr>
            </w:pPr>
            <w:r w:rsidRPr="008E5D06">
              <w:rPr>
                <w:rFonts w:ascii="Bliss-Regular" w:hAnsi="Bliss-Regular"/>
                <w:sz w:val="24"/>
                <w:szCs w:val="24"/>
              </w:rPr>
              <w:t>731</w:t>
            </w:r>
          </w:p>
        </w:tc>
        <w:tc>
          <w:tcPr>
            <w:tcW w:w="1217" w:type="dxa"/>
            <w:shd w:val="clear" w:color="auto" w:fill="B8CCE4" w:themeFill="accent1" w:themeFillTint="66"/>
            <w:vAlign w:val="center"/>
          </w:tcPr>
          <w:p w14:paraId="7C7E45E6" w14:textId="3E1E81EC" w:rsidR="00582BC1" w:rsidRPr="008E5D06" w:rsidRDefault="008E5D06" w:rsidP="00EF5ECC">
            <w:pPr>
              <w:rPr>
                <w:rFonts w:ascii="Bliss-Regular" w:hAnsi="Bliss-Regular"/>
                <w:sz w:val="24"/>
                <w:szCs w:val="24"/>
              </w:rPr>
            </w:pPr>
            <w:r w:rsidRPr="008E5D06">
              <w:rPr>
                <w:rFonts w:ascii="Bliss-Regular" w:hAnsi="Bliss-Regular"/>
                <w:sz w:val="24"/>
                <w:szCs w:val="24"/>
              </w:rPr>
              <w:t>0.47%</w:t>
            </w:r>
          </w:p>
        </w:tc>
        <w:tc>
          <w:tcPr>
            <w:tcW w:w="1217" w:type="dxa"/>
            <w:vAlign w:val="center"/>
          </w:tcPr>
          <w:p w14:paraId="134C91AD" w14:textId="336B1147" w:rsidR="00582BC1" w:rsidRPr="008E5D06" w:rsidRDefault="008E5D06" w:rsidP="00EF5ECC">
            <w:pPr>
              <w:rPr>
                <w:rFonts w:ascii="Bliss-Regular" w:hAnsi="Bliss-Regular"/>
                <w:sz w:val="24"/>
                <w:szCs w:val="24"/>
              </w:rPr>
            </w:pPr>
            <w:r w:rsidRPr="008E5D06">
              <w:rPr>
                <w:rFonts w:ascii="Bliss-Regular" w:hAnsi="Bliss-Regular"/>
                <w:sz w:val="24"/>
                <w:szCs w:val="24"/>
              </w:rPr>
              <w:t>97%</w:t>
            </w:r>
          </w:p>
        </w:tc>
        <w:tc>
          <w:tcPr>
            <w:tcW w:w="1217" w:type="dxa"/>
            <w:shd w:val="clear" w:color="auto" w:fill="B8CCE4" w:themeFill="accent1" w:themeFillTint="66"/>
            <w:vAlign w:val="center"/>
          </w:tcPr>
          <w:p w14:paraId="7B7D5CE8" w14:textId="2D82A2C4" w:rsidR="00582BC1" w:rsidRPr="008E5D06" w:rsidRDefault="008E5D06" w:rsidP="00EF5ECC">
            <w:pPr>
              <w:rPr>
                <w:rFonts w:ascii="Bliss-Regular" w:hAnsi="Bliss-Regular"/>
                <w:sz w:val="24"/>
                <w:szCs w:val="24"/>
              </w:rPr>
            </w:pPr>
            <w:r w:rsidRPr="008E5D06">
              <w:rPr>
                <w:rFonts w:ascii="Bliss-Regular" w:hAnsi="Bliss-Regular"/>
                <w:sz w:val="24"/>
                <w:szCs w:val="24"/>
              </w:rPr>
              <w:t>100%</w:t>
            </w:r>
          </w:p>
        </w:tc>
        <w:tc>
          <w:tcPr>
            <w:tcW w:w="1217" w:type="dxa"/>
            <w:vAlign w:val="center"/>
          </w:tcPr>
          <w:p w14:paraId="13621FED" w14:textId="07AB081B" w:rsidR="00582BC1" w:rsidRPr="008E5D06" w:rsidRDefault="008E5D06" w:rsidP="00EF5ECC">
            <w:pPr>
              <w:rPr>
                <w:rFonts w:ascii="Bliss-Regular" w:hAnsi="Bliss-Regular"/>
                <w:sz w:val="24"/>
                <w:szCs w:val="24"/>
              </w:rPr>
            </w:pPr>
            <w:r w:rsidRPr="008E5D06">
              <w:rPr>
                <w:rFonts w:ascii="Bliss-Regular" w:hAnsi="Bliss-Regular"/>
                <w:sz w:val="24"/>
                <w:szCs w:val="24"/>
              </w:rPr>
              <w:t>64%</w:t>
            </w:r>
          </w:p>
        </w:tc>
      </w:tr>
    </w:tbl>
    <w:p w14:paraId="6F785B2E" w14:textId="5B60EC0D" w:rsidR="005732BC" w:rsidRDefault="000778F4" w:rsidP="00A75197">
      <w:pPr>
        <w:pStyle w:val="Heading1"/>
      </w:pPr>
      <w:bookmarkStart w:id="111" w:name="_Toc438544256"/>
      <w:bookmarkStart w:id="112" w:name="_Toc438544292"/>
      <w:bookmarkStart w:id="113" w:name="_Toc337126515"/>
      <w:bookmarkStart w:id="114" w:name="_Toc337126574"/>
      <w:r>
        <w:t xml:space="preserve">The Money </w:t>
      </w:r>
      <w:r w:rsidR="005732BC">
        <w:t>Advice and</w:t>
      </w:r>
      <w:r w:rsidR="008B72AF">
        <w:t xml:space="preserve"> </w:t>
      </w:r>
      <w:r w:rsidR="005732BC">
        <w:t>Budgeting</w:t>
      </w:r>
      <w:r w:rsidR="008B72AF">
        <w:t xml:space="preserve"> </w:t>
      </w:r>
      <w:r w:rsidR="005732BC">
        <w:t>Service</w:t>
      </w:r>
      <w:bookmarkEnd w:id="111"/>
      <w:bookmarkEnd w:id="112"/>
      <w:bookmarkEnd w:id="113"/>
      <w:bookmarkEnd w:id="114"/>
      <w:r w:rsidR="005732BC">
        <w:t xml:space="preserve"> </w:t>
      </w:r>
    </w:p>
    <w:p w14:paraId="774ED6B0" w14:textId="77777777" w:rsidR="005732BC" w:rsidRPr="002D3A60" w:rsidRDefault="005732BC" w:rsidP="005732BC"/>
    <w:p w14:paraId="6D44E00D" w14:textId="5EA3906C" w:rsidR="0034347D" w:rsidRDefault="0034347D" w:rsidP="0034347D">
      <w:r>
        <w:rPr>
          <w:rFonts w:hint="eastAsia"/>
        </w:rPr>
        <w:t xml:space="preserve">The Money Advice and Budgeting Service (MABS) provides a free, confidential, non-judgemental and independent service countrywide for people with debt problems or over-indebtedness. MABS emphasises practical, budget-based measures to help people with debt </w:t>
      </w:r>
      <w:r w:rsidR="007B0A70">
        <w:rPr>
          <w:rFonts w:hint="eastAsia"/>
        </w:rPr>
        <w:t xml:space="preserve">difficulties, in particular low </w:t>
      </w:r>
      <w:r>
        <w:rPr>
          <w:rFonts w:hint="eastAsia"/>
        </w:rPr>
        <w:t>income families and individuals. MABS also  provides education on budgeting and money management in local communities.</w:t>
      </w:r>
    </w:p>
    <w:p w14:paraId="0F25BAC2" w14:textId="77777777" w:rsidR="00A56F1F" w:rsidRDefault="00A56F1F" w:rsidP="0034347D"/>
    <w:p w14:paraId="06544225" w14:textId="77777777" w:rsidR="0034347D" w:rsidRDefault="0034347D" w:rsidP="0034347D">
      <w:r>
        <w:rPr>
          <w:rFonts w:hint="eastAsia"/>
        </w:rPr>
        <w:t xml:space="preserve">The Money Advice and Budgeting Service is made up of a network of 53 companies (51 local companies and 2 national companies, MABSndl and National Traveller MABS). Many of the local companies offer outreach services to clients who cannot access the main offices easily. </w:t>
      </w:r>
    </w:p>
    <w:p w14:paraId="5CAA5FB0" w14:textId="77777777" w:rsidR="00A56F1F" w:rsidRDefault="00A56F1F" w:rsidP="0034347D"/>
    <w:p w14:paraId="697A3CD0" w14:textId="77777777" w:rsidR="0034347D" w:rsidRDefault="0034347D" w:rsidP="0034347D">
      <w:r>
        <w:rPr>
          <w:rFonts w:hint="eastAsia"/>
        </w:rPr>
        <w:t xml:space="preserve">Each MABS is run by a company limited by guarantee. Each company is an independent legal entity with a board of directors drawn from local voluntary and statutory services and community groups. </w:t>
      </w:r>
    </w:p>
    <w:p w14:paraId="0A759A3A" w14:textId="77777777" w:rsidR="00A56F1F" w:rsidRDefault="00A56F1F" w:rsidP="0034347D"/>
    <w:p w14:paraId="117BDA52" w14:textId="25EF2EFF" w:rsidR="0034347D" w:rsidRDefault="0034347D" w:rsidP="0034347D">
      <w:r>
        <w:rPr>
          <w:rFonts w:hint="eastAsia"/>
        </w:rPr>
        <w:t>MABS National Development Limited (MABSndl) is a central support service which provides technical support for casework, money management education</w:t>
      </w:r>
      <w:r w:rsidR="007B0A70">
        <w:rPr>
          <w:rFonts w:hint="eastAsia"/>
        </w:rPr>
        <w:t xml:space="preserve"> and training to MABS companies</w:t>
      </w:r>
      <w:r w:rsidR="007B0A70">
        <w:rPr>
          <w:rStyle w:val="FootnoteReference"/>
          <w:rFonts w:hint="eastAsia"/>
        </w:rPr>
        <w:footnoteReference w:id="9"/>
      </w:r>
      <w:r>
        <w:rPr>
          <w:rFonts w:hint="eastAsia"/>
        </w:rPr>
        <w:t>. MABSndl is responsible for the MABS website (mabs.ie) and the MABS national helpline.</w:t>
      </w:r>
    </w:p>
    <w:p w14:paraId="244F1F6F" w14:textId="77777777" w:rsidR="00A56F1F" w:rsidRDefault="00A56F1F" w:rsidP="0034347D"/>
    <w:p w14:paraId="57733EB3" w14:textId="77777777" w:rsidR="0034347D" w:rsidRDefault="0034347D" w:rsidP="0034347D">
      <w:r>
        <w:rPr>
          <w:rFonts w:hint="eastAsia"/>
        </w:rPr>
        <w:t xml:space="preserve">National Traveller MABS was established in 2005. It advocates for the financial inclusion of Travellers (and other marginalised groups) to help them access legal and affordable savings and credit. </w:t>
      </w:r>
    </w:p>
    <w:p w14:paraId="462F6C00" w14:textId="77777777" w:rsidR="00A56F1F" w:rsidRDefault="00A56F1F" w:rsidP="0034347D"/>
    <w:p w14:paraId="1A344C64" w14:textId="7B393ABB" w:rsidR="00B26BB5" w:rsidRDefault="0034347D" w:rsidP="0034347D">
      <w:r>
        <w:rPr>
          <w:rFonts w:hint="eastAsia"/>
        </w:rPr>
        <w:t>MABS saw 17,305 new clients in 2015 and the MABS helpline had 19,092 calls. The 51 MABS services and National Traveller MABS received just under 15 million euro in direct funding from the Citizens Information Board in 2015. MABSndl received just under 2.4 million euro to support the MABS companies. See Appendix 5 for full details of funding to individual companies.</w:t>
      </w:r>
    </w:p>
    <w:p w14:paraId="1E8564AB" w14:textId="77777777" w:rsidR="00067B23" w:rsidRDefault="00067B23" w:rsidP="000778F4">
      <w:pPr>
        <w:pStyle w:val="Heading3"/>
        <w:rPr>
          <w:rFonts w:asciiTheme="minorHAnsi" w:eastAsiaTheme="minorEastAsia" w:hAnsiTheme="minorHAnsi" w:cstheme="minorBidi"/>
          <w:b w:val="0"/>
          <w:bCs w:val="0"/>
          <w:color w:val="auto"/>
        </w:rPr>
      </w:pPr>
      <w:bookmarkStart w:id="115" w:name="_Toc450922542"/>
      <w:bookmarkStart w:id="116" w:name="_Toc337126516"/>
    </w:p>
    <w:p w14:paraId="2B970454" w14:textId="77777777" w:rsidR="00027626" w:rsidRDefault="00027626" w:rsidP="00027626"/>
    <w:p w14:paraId="5B8DC987" w14:textId="77777777" w:rsidR="00027626" w:rsidRPr="00027626" w:rsidRDefault="00027626" w:rsidP="00027626"/>
    <w:p w14:paraId="2BBE4C9A" w14:textId="77777777" w:rsidR="00067B23" w:rsidRPr="00067B23" w:rsidRDefault="00067B23" w:rsidP="00067B23"/>
    <w:p w14:paraId="3581E096" w14:textId="770111AE" w:rsidR="005732BC" w:rsidRDefault="006B6262" w:rsidP="000778F4">
      <w:pPr>
        <w:pStyle w:val="Heading3"/>
      </w:pPr>
      <w:r>
        <w:lastRenderedPageBreak/>
        <w:t>MABS staffing</w:t>
      </w:r>
      <w:bookmarkEnd w:id="115"/>
      <w:bookmarkEnd w:id="116"/>
    </w:p>
    <w:p w14:paraId="6B63F5E8" w14:textId="77777777" w:rsidR="005D3D2D" w:rsidRDefault="005732BC" w:rsidP="00343A9D">
      <w:r w:rsidRPr="002D3A60">
        <w:t>The 51 MABS companies nationally are staffed by 46 money advice co-</w:t>
      </w:r>
      <w:r w:rsidR="000778F4" w:rsidRPr="002D3A60">
        <w:t>o</w:t>
      </w:r>
      <w:r w:rsidRPr="002D3A60">
        <w:t>rdinators</w:t>
      </w:r>
      <w:r w:rsidR="000778F4" w:rsidRPr="002D3A60">
        <w:rPr>
          <w:rStyle w:val="FootnoteReference"/>
        </w:rPr>
        <w:footnoteReference w:id="10"/>
      </w:r>
      <w:r w:rsidR="00343A9D" w:rsidRPr="002D3A60">
        <w:t xml:space="preserve">, 97 money advisers and </w:t>
      </w:r>
      <w:r w:rsidRPr="002D3A60">
        <w:t xml:space="preserve">60 administrators </w:t>
      </w:r>
      <w:r w:rsidR="00923294" w:rsidRPr="002D3A60">
        <w:t>(202.1</w:t>
      </w:r>
      <w:r w:rsidR="00343A9D" w:rsidRPr="002D3A60">
        <w:t>4</w:t>
      </w:r>
      <w:r w:rsidRPr="002D3A60">
        <w:t xml:space="preserve"> whole-time equivalent posts). </w:t>
      </w:r>
    </w:p>
    <w:p w14:paraId="7C9653F1" w14:textId="74DDB153" w:rsidR="00343A9D" w:rsidRPr="002D3A60" w:rsidRDefault="00343A9D" w:rsidP="00343A9D">
      <w:r w:rsidRPr="002D3A60">
        <w:t>In addition</w:t>
      </w:r>
      <w:r w:rsidR="009C78CC">
        <w:t>,</w:t>
      </w:r>
      <w:r w:rsidRPr="002D3A60">
        <w:t xml:space="preserve"> there </w:t>
      </w:r>
      <w:r w:rsidR="0066245A" w:rsidRPr="002D3A60">
        <w:t xml:space="preserve">are </w:t>
      </w:r>
      <w:r w:rsidRPr="002D3A60">
        <w:t xml:space="preserve">12 temporary (2-year contract) resource money advisers and 23.5 dedicated mortgage arrears advisors (under the DMA MABS project). In total </w:t>
      </w:r>
      <w:r w:rsidR="004560DE" w:rsidRPr="002D3A60">
        <w:t xml:space="preserve">237.64 </w:t>
      </w:r>
      <w:r w:rsidRPr="002D3A60">
        <w:t>whole time equivalent staff were employed by the 51 MABS companies</w:t>
      </w:r>
      <w:r w:rsidR="0066245A" w:rsidRPr="002D3A60">
        <w:t xml:space="preserve"> in 2015</w:t>
      </w:r>
      <w:r w:rsidRPr="002D3A60">
        <w:t xml:space="preserve">.  </w:t>
      </w:r>
    </w:p>
    <w:p w14:paraId="00D9E180" w14:textId="77777777" w:rsidR="006B6262" w:rsidRPr="002D3A60" w:rsidRDefault="006B6262" w:rsidP="006B6262"/>
    <w:p w14:paraId="43FDED8C" w14:textId="77777777" w:rsidR="00DF138B" w:rsidRPr="002C3779" w:rsidRDefault="00DF138B" w:rsidP="00DF138B">
      <w:pPr>
        <w:pStyle w:val="Heading3"/>
      </w:pPr>
      <w:r w:rsidRPr="002C3779">
        <w:t xml:space="preserve">The MABS Helpline - </w:t>
      </w:r>
      <w:r w:rsidRPr="002C3779">
        <w:rPr>
          <w:lang w:val="en"/>
        </w:rPr>
        <w:t>0761 07 2000</w:t>
      </w:r>
    </w:p>
    <w:p w14:paraId="7F8EDC29" w14:textId="77777777" w:rsidR="00DF138B" w:rsidRPr="002D3A60" w:rsidRDefault="00DF138B" w:rsidP="00DF138B">
      <w:r w:rsidRPr="002D3A60">
        <w:rPr>
          <w:lang w:val="en"/>
        </w:rPr>
        <w:t xml:space="preserve">MABS Helpline advisers give advice and support on many money management and debt issues, and can also provide MABS self-help materials. </w:t>
      </w:r>
      <w:r w:rsidRPr="002D3A60">
        <w:t>The MABS Helpline received 19,092 calls up to the end of December 2015 - down over 10% on last year’s calls (21,349).  Helpline calls increased in the first quarter of 2015, then dropped for the next two quarters</w:t>
      </w:r>
      <w:r>
        <w:t xml:space="preserve"> before increasing</w:t>
      </w:r>
      <w:r w:rsidRPr="002D3A60">
        <w:t xml:space="preserve"> in the last quarter of the year.</w:t>
      </w:r>
    </w:p>
    <w:p w14:paraId="7AB8C72C" w14:textId="77777777" w:rsidR="001C1CB0" w:rsidRDefault="001C1CB0" w:rsidP="001C1CB0"/>
    <w:p w14:paraId="65CAFE19" w14:textId="77777777" w:rsidR="00DF138B" w:rsidRDefault="00DF138B" w:rsidP="00DF138B">
      <w:pPr>
        <w:pStyle w:val="Heading3"/>
      </w:pPr>
      <w:r w:rsidRPr="002C3779">
        <w:t>How MABS helps</w:t>
      </w:r>
    </w:p>
    <w:p w14:paraId="3782F4F3" w14:textId="77777777" w:rsidR="00DF138B" w:rsidRPr="0003074F" w:rsidRDefault="00DF138B" w:rsidP="00DF138B">
      <w:r w:rsidRPr="0003074F">
        <w:rPr>
          <w:lang w:val="en"/>
        </w:rPr>
        <w:t xml:space="preserve">Money advisors work with clients with a wide range of personal debts, including: </w:t>
      </w:r>
    </w:p>
    <w:p w14:paraId="35FBEF63" w14:textId="77777777" w:rsidR="00DF138B" w:rsidRPr="00012CFC" w:rsidRDefault="00DF138B" w:rsidP="00DF138B">
      <w:pPr>
        <w:spacing w:before="100" w:beforeAutospacing="1" w:after="100" w:afterAutospacing="1"/>
        <w:rPr>
          <w:lang w:val="en"/>
        </w:rPr>
      </w:pPr>
      <w:r w:rsidRPr="00012CFC">
        <w:rPr>
          <w:rFonts w:hint="cs"/>
          <w:lang w:val="en"/>
        </w:rPr>
        <w:t>•</w:t>
      </w:r>
      <w:r w:rsidRPr="00012CFC">
        <w:rPr>
          <w:lang w:val="en"/>
        </w:rPr>
        <w:tab/>
        <w:t>Mortgage arrears</w:t>
      </w:r>
    </w:p>
    <w:p w14:paraId="1D1B6C07" w14:textId="77777777" w:rsidR="00DF138B" w:rsidRPr="00012CFC" w:rsidRDefault="00DF138B" w:rsidP="00DF138B">
      <w:pPr>
        <w:spacing w:before="100" w:beforeAutospacing="1" w:after="100" w:afterAutospacing="1"/>
        <w:rPr>
          <w:lang w:val="en"/>
        </w:rPr>
      </w:pPr>
      <w:r w:rsidRPr="00012CFC">
        <w:rPr>
          <w:rFonts w:hint="cs"/>
          <w:lang w:val="en"/>
        </w:rPr>
        <w:t>•</w:t>
      </w:r>
      <w:r w:rsidRPr="00012CFC">
        <w:rPr>
          <w:lang w:val="en"/>
        </w:rPr>
        <w:tab/>
        <w:t>Personal loans</w:t>
      </w:r>
    </w:p>
    <w:p w14:paraId="400C11D3" w14:textId="77777777" w:rsidR="00DF138B" w:rsidRPr="00012CFC" w:rsidRDefault="00DF138B" w:rsidP="00DF138B">
      <w:pPr>
        <w:spacing w:before="100" w:beforeAutospacing="1" w:after="100" w:afterAutospacing="1"/>
        <w:rPr>
          <w:lang w:val="en"/>
        </w:rPr>
      </w:pPr>
      <w:r w:rsidRPr="00012CFC">
        <w:rPr>
          <w:rFonts w:hint="cs"/>
          <w:lang w:val="en"/>
        </w:rPr>
        <w:t>•</w:t>
      </w:r>
      <w:r w:rsidRPr="00012CFC">
        <w:rPr>
          <w:lang w:val="en"/>
        </w:rPr>
        <w:tab/>
        <w:t>Utilities arrears</w:t>
      </w:r>
    </w:p>
    <w:p w14:paraId="2A1497DB" w14:textId="77777777" w:rsidR="00DF138B" w:rsidRPr="00012CFC" w:rsidRDefault="00DF138B" w:rsidP="00DF138B">
      <w:pPr>
        <w:spacing w:before="100" w:beforeAutospacing="1" w:after="100" w:afterAutospacing="1"/>
        <w:rPr>
          <w:lang w:val="en"/>
        </w:rPr>
      </w:pPr>
      <w:r w:rsidRPr="00012CFC">
        <w:rPr>
          <w:rFonts w:hint="cs"/>
          <w:lang w:val="en"/>
        </w:rPr>
        <w:t>•</w:t>
      </w:r>
      <w:r w:rsidRPr="00012CFC">
        <w:rPr>
          <w:lang w:val="en"/>
        </w:rPr>
        <w:tab/>
        <w:t>Credit card debt</w:t>
      </w:r>
    </w:p>
    <w:p w14:paraId="73127BFB" w14:textId="77777777" w:rsidR="00DF138B" w:rsidRPr="00012CFC" w:rsidRDefault="00DF138B" w:rsidP="00DF138B">
      <w:pPr>
        <w:spacing w:before="100" w:beforeAutospacing="1" w:after="100" w:afterAutospacing="1"/>
        <w:rPr>
          <w:lang w:val="en"/>
        </w:rPr>
      </w:pPr>
      <w:r w:rsidRPr="00012CFC">
        <w:rPr>
          <w:rFonts w:hint="cs"/>
          <w:lang w:val="en"/>
        </w:rPr>
        <w:t>•</w:t>
      </w:r>
      <w:r w:rsidRPr="00012CFC">
        <w:rPr>
          <w:lang w:val="en"/>
        </w:rPr>
        <w:tab/>
        <w:t>Hire purchases</w:t>
      </w:r>
    </w:p>
    <w:p w14:paraId="272B3AB4" w14:textId="77777777" w:rsidR="00DF138B" w:rsidRPr="00012CFC" w:rsidRDefault="00DF138B" w:rsidP="00DF138B">
      <w:pPr>
        <w:spacing w:before="100" w:beforeAutospacing="1" w:after="100" w:afterAutospacing="1"/>
        <w:rPr>
          <w:lang w:val="en"/>
        </w:rPr>
      </w:pPr>
      <w:r w:rsidRPr="00012CFC">
        <w:rPr>
          <w:rFonts w:hint="cs"/>
          <w:lang w:val="en"/>
        </w:rPr>
        <w:t>•</w:t>
      </w:r>
      <w:r w:rsidRPr="00012CFC">
        <w:rPr>
          <w:lang w:val="en"/>
        </w:rPr>
        <w:tab/>
        <w:t>Rent arrears</w:t>
      </w:r>
    </w:p>
    <w:p w14:paraId="4077E23C" w14:textId="77777777" w:rsidR="00DF138B" w:rsidRPr="00012CFC" w:rsidRDefault="00DF138B" w:rsidP="00DF138B">
      <w:pPr>
        <w:spacing w:before="100" w:beforeAutospacing="1" w:after="100" w:afterAutospacing="1"/>
        <w:rPr>
          <w:lang w:val="en"/>
        </w:rPr>
      </w:pPr>
      <w:r w:rsidRPr="00012CFC">
        <w:rPr>
          <w:rFonts w:hint="cs"/>
          <w:lang w:val="en"/>
        </w:rPr>
        <w:t>•</w:t>
      </w:r>
      <w:r w:rsidRPr="00012CFC">
        <w:rPr>
          <w:lang w:val="en"/>
        </w:rPr>
        <w:tab/>
        <w:t>Court fines</w:t>
      </w:r>
    </w:p>
    <w:p w14:paraId="522EDF47" w14:textId="77777777" w:rsidR="00DF138B" w:rsidRPr="00012CFC" w:rsidRDefault="00DF138B" w:rsidP="00DF138B">
      <w:pPr>
        <w:spacing w:before="100" w:beforeAutospacing="1" w:after="100" w:afterAutospacing="1"/>
        <w:rPr>
          <w:lang w:val="en"/>
        </w:rPr>
      </w:pPr>
      <w:r w:rsidRPr="00012CFC">
        <w:rPr>
          <w:rFonts w:hint="cs"/>
          <w:lang w:val="en"/>
        </w:rPr>
        <w:t>•</w:t>
      </w:r>
      <w:r w:rsidRPr="00012CFC">
        <w:rPr>
          <w:lang w:val="en"/>
        </w:rPr>
        <w:tab/>
        <w:t>Catalogue debts</w:t>
      </w:r>
    </w:p>
    <w:p w14:paraId="6B388B92" w14:textId="77777777" w:rsidR="00DF138B" w:rsidRPr="00012CFC" w:rsidRDefault="00DF138B" w:rsidP="00DF138B">
      <w:pPr>
        <w:spacing w:before="100" w:beforeAutospacing="1" w:after="100" w:afterAutospacing="1"/>
        <w:rPr>
          <w:lang w:val="en"/>
        </w:rPr>
      </w:pPr>
      <w:r w:rsidRPr="00012CFC">
        <w:rPr>
          <w:rFonts w:hint="cs"/>
          <w:lang w:val="en"/>
        </w:rPr>
        <w:t>•</w:t>
      </w:r>
      <w:r w:rsidRPr="00012CFC">
        <w:rPr>
          <w:lang w:val="en"/>
        </w:rPr>
        <w:tab/>
        <w:t>Sub-prime loans</w:t>
      </w:r>
    </w:p>
    <w:p w14:paraId="734F45A4" w14:textId="77777777" w:rsidR="00DF138B" w:rsidRPr="002D3A60" w:rsidRDefault="00DF138B" w:rsidP="00DF138B">
      <w:pPr>
        <w:spacing w:before="100" w:beforeAutospacing="1" w:after="100" w:afterAutospacing="1"/>
        <w:rPr>
          <w:lang w:val="en"/>
        </w:rPr>
      </w:pPr>
      <w:r w:rsidRPr="00012CFC">
        <w:rPr>
          <w:rFonts w:hint="cs"/>
          <w:lang w:val="en"/>
        </w:rPr>
        <w:t>•</w:t>
      </w:r>
      <w:r w:rsidRPr="00012CFC">
        <w:rPr>
          <w:lang w:val="en"/>
        </w:rPr>
        <w:tab/>
        <w:t>Legal moneylenders</w:t>
      </w:r>
    </w:p>
    <w:p w14:paraId="4C4DF55E" w14:textId="432F8A1B" w:rsidR="00DF138B" w:rsidRPr="002D3A60" w:rsidRDefault="00DF138B" w:rsidP="00DF138B">
      <w:r w:rsidRPr="002D3A60">
        <w:rPr>
          <w:lang w:val="en"/>
        </w:rPr>
        <w:t>Many clients have more than one type of debt. MABS looks at each client's situation as a whole and seek to find solutions that provide the best possible outcome for that client.</w:t>
      </w:r>
    </w:p>
    <w:p w14:paraId="3F7711F8" w14:textId="77777777" w:rsidR="00512899" w:rsidRPr="002D3A60" w:rsidRDefault="00512899" w:rsidP="001C1CB0"/>
    <w:p w14:paraId="5A62EB77" w14:textId="401870F3" w:rsidR="005732BC" w:rsidRDefault="00670500" w:rsidP="000778F4">
      <w:pPr>
        <w:pStyle w:val="Heading3"/>
      </w:pPr>
      <w:bookmarkStart w:id="117" w:name="_Toc450922545"/>
      <w:bookmarkStart w:id="118" w:name="_Toc337126519"/>
      <w:r>
        <w:lastRenderedPageBreak/>
        <w:t>MABS client</w:t>
      </w:r>
      <w:r w:rsidR="008B3F3F">
        <w:t xml:space="preserve"> profile</w:t>
      </w:r>
      <w:bookmarkEnd w:id="117"/>
      <w:bookmarkEnd w:id="118"/>
    </w:p>
    <w:p w14:paraId="4ED52997" w14:textId="77777777" w:rsidR="002C3779" w:rsidRPr="002D3A60" w:rsidRDefault="002C3779" w:rsidP="002C3779">
      <w:r w:rsidRPr="002D3A60">
        <w:t>In 2015, 17,302 new clients were seen by MABS which represents a slight increase on 2014 (0.44%). A further 2,688 sought information about budgeting and money management - down 11% on previous year</w:t>
      </w:r>
    </w:p>
    <w:p w14:paraId="62A956B4" w14:textId="77777777" w:rsidR="002C3779" w:rsidRPr="002D3A60" w:rsidRDefault="002C3779" w:rsidP="002C3779"/>
    <w:p w14:paraId="157010DC" w14:textId="77777777" w:rsidR="002C3779" w:rsidRPr="002D3A60" w:rsidRDefault="002C3779" w:rsidP="002C3779">
      <w:r w:rsidRPr="002D3A60">
        <w:t xml:space="preserve">The total active client caseload on the 31st of December 2015 was 17,773 (a decrease of 11.8% on 2014 end of year active client figures (20,161). </w:t>
      </w:r>
    </w:p>
    <w:p w14:paraId="6E4DF763" w14:textId="77777777" w:rsidR="008B3F3F" w:rsidRPr="002D3A60" w:rsidRDefault="008B3F3F" w:rsidP="008B3F3F"/>
    <w:p w14:paraId="39C80785" w14:textId="2681EBB9" w:rsidR="0037014D" w:rsidRPr="002D3A60" w:rsidRDefault="0037014D" w:rsidP="0037014D">
      <w:pPr>
        <w:rPr>
          <w:lang w:val="en-IE"/>
        </w:rPr>
      </w:pPr>
      <w:r w:rsidRPr="002D3A60">
        <w:rPr>
          <w:lang w:val="en-IE"/>
        </w:rPr>
        <w:t xml:space="preserve">Just over half (53%) of new clients were aged between 41-65 with 39% aged between 26-40 and just over half (54%) were female. </w:t>
      </w:r>
    </w:p>
    <w:p w14:paraId="49D541FF" w14:textId="749D6B66" w:rsidR="0037014D" w:rsidRPr="002D3A60" w:rsidRDefault="0037014D" w:rsidP="0037014D">
      <w:pPr>
        <w:rPr>
          <w:b/>
          <w:u w:val="single"/>
          <w:lang w:val="en-IE"/>
        </w:rPr>
      </w:pPr>
    </w:p>
    <w:p w14:paraId="1551B4D2" w14:textId="2B1F15A1" w:rsidR="0037014D" w:rsidRPr="002D3A60" w:rsidRDefault="005C3208" w:rsidP="0037014D">
      <w:pPr>
        <w:rPr>
          <w:lang w:val="en-IE"/>
        </w:rPr>
      </w:pPr>
      <w:r w:rsidRPr="002D3A60">
        <w:rPr>
          <w:lang w:val="en-IE"/>
        </w:rPr>
        <w:t xml:space="preserve">Twenty two percent (22%) of clients are </w:t>
      </w:r>
      <w:r w:rsidR="0037014D" w:rsidRPr="002D3A60">
        <w:rPr>
          <w:lang w:val="en-IE"/>
        </w:rPr>
        <w:t>married with children</w:t>
      </w:r>
      <w:r w:rsidRPr="002D3A60">
        <w:rPr>
          <w:lang w:val="en-IE"/>
        </w:rPr>
        <w:t>,</w:t>
      </w:r>
      <w:r w:rsidR="0037014D" w:rsidRPr="002D3A60">
        <w:rPr>
          <w:lang w:val="en-IE"/>
        </w:rPr>
        <w:t xml:space="preserve"> </w:t>
      </w:r>
      <w:r w:rsidRPr="002D3A60">
        <w:rPr>
          <w:lang w:val="en-IE"/>
        </w:rPr>
        <w:t xml:space="preserve">21% are </w:t>
      </w:r>
      <w:r w:rsidR="0037014D" w:rsidRPr="002D3A60">
        <w:rPr>
          <w:lang w:val="en-IE"/>
        </w:rPr>
        <w:t xml:space="preserve">single </w:t>
      </w:r>
      <w:r w:rsidRPr="002D3A60">
        <w:rPr>
          <w:lang w:val="en-IE"/>
        </w:rPr>
        <w:t xml:space="preserve">and 12% are </w:t>
      </w:r>
      <w:r w:rsidR="0037014D" w:rsidRPr="002D3A60">
        <w:rPr>
          <w:lang w:val="en-IE"/>
        </w:rPr>
        <w:t xml:space="preserve">single with children (12%).  </w:t>
      </w:r>
      <w:r w:rsidRPr="002D3A60">
        <w:rPr>
          <w:lang w:val="en-IE"/>
        </w:rPr>
        <w:t>Twenty four percent (</w:t>
      </w:r>
      <w:r w:rsidR="0037014D" w:rsidRPr="002D3A60">
        <w:rPr>
          <w:lang w:val="en-IE"/>
        </w:rPr>
        <w:t>24%</w:t>
      </w:r>
      <w:r w:rsidRPr="002D3A60">
        <w:rPr>
          <w:lang w:val="en-IE"/>
        </w:rPr>
        <w:t>)</w:t>
      </w:r>
      <w:r w:rsidR="0037014D" w:rsidRPr="002D3A60">
        <w:rPr>
          <w:lang w:val="en-IE"/>
        </w:rPr>
        <w:t xml:space="preserve"> are separated</w:t>
      </w:r>
      <w:r w:rsidRPr="002D3A60">
        <w:rPr>
          <w:lang w:val="en-IE"/>
        </w:rPr>
        <w:t xml:space="preserve">, </w:t>
      </w:r>
      <w:r w:rsidR="0037014D" w:rsidRPr="002D3A60">
        <w:rPr>
          <w:lang w:val="en-IE"/>
        </w:rPr>
        <w:t xml:space="preserve">divorced or widowed. </w:t>
      </w:r>
    </w:p>
    <w:p w14:paraId="0200A597" w14:textId="77777777" w:rsidR="00670500" w:rsidRPr="002D3A60" w:rsidRDefault="00670500" w:rsidP="00670500"/>
    <w:p w14:paraId="17B12ECF" w14:textId="6AA438AE" w:rsidR="006B6262" w:rsidRDefault="00652354" w:rsidP="006B6262">
      <w:r w:rsidRPr="002D3A60">
        <w:t xml:space="preserve">The average recorded debt of </w:t>
      </w:r>
      <w:r w:rsidR="006B6262" w:rsidRPr="002D3A60">
        <w:t>new clients using the service is €46,700 – this is an increase on the average at the end of 2014. The total amount owed by new clients at the end of 2015 based on the debt they had when they first came to the MABS, amounted to €808 million with 27% of recorded debts related to personal loans, 22% utility debts, 21% credit card debt and mortgage debt 16.2%. The remainder are a mix of moneylending debts, hire purchase loans, rent arrears, catalogue debt, fines and sub- prime debt. Forty five percent (45%) of new clients are mortgaged.</w:t>
      </w:r>
    </w:p>
    <w:p w14:paraId="7CA8C370" w14:textId="77777777" w:rsidR="007F27D3" w:rsidRPr="002D3A60" w:rsidRDefault="007F27D3" w:rsidP="006B6262"/>
    <w:p w14:paraId="7F7A03FD" w14:textId="77777777" w:rsidR="00A75197" w:rsidRDefault="006B6262" w:rsidP="00A75197">
      <w:pPr>
        <w:pStyle w:val="Heading3"/>
      </w:pPr>
      <w:bookmarkStart w:id="119" w:name="_Toc450922546"/>
      <w:bookmarkStart w:id="120" w:name="_Toc337126520"/>
      <w:r w:rsidRPr="006B6262">
        <w:t>Waiting times</w:t>
      </w:r>
      <w:bookmarkEnd w:id="119"/>
      <w:bookmarkEnd w:id="120"/>
    </w:p>
    <w:p w14:paraId="61A609E3" w14:textId="71D1388E" w:rsidR="00014545" w:rsidRPr="002D3A60" w:rsidRDefault="00014545" w:rsidP="00A75197">
      <w:r w:rsidRPr="002D3A60">
        <w:rPr>
          <w:color w:val="000000"/>
        </w:rPr>
        <w:t xml:space="preserve">The average waiting </w:t>
      </w:r>
      <w:r w:rsidR="00DC3B57" w:rsidRPr="002D3A60">
        <w:rPr>
          <w:color w:val="000000"/>
        </w:rPr>
        <w:t xml:space="preserve">time </w:t>
      </w:r>
      <w:r w:rsidRPr="002D3A60">
        <w:rPr>
          <w:color w:val="000000"/>
        </w:rPr>
        <w:t xml:space="preserve">for a client appointment with a Money Adviser on the </w:t>
      </w:r>
      <w:r w:rsidR="005C3208" w:rsidRPr="002D3A60">
        <w:rPr>
          <w:color w:val="000000"/>
        </w:rPr>
        <w:t xml:space="preserve">31 </w:t>
      </w:r>
      <w:r w:rsidRPr="002D3A60">
        <w:rPr>
          <w:color w:val="000000"/>
        </w:rPr>
        <w:t>December</w:t>
      </w:r>
      <w:r w:rsidR="005C3208" w:rsidRPr="002D3A60">
        <w:rPr>
          <w:color w:val="000000"/>
        </w:rPr>
        <w:t xml:space="preserve"> 2015</w:t>
      </w:r>
      <w:r w:rsidRPr="002D3A60">
        <w:rPr>
          <w:color w:val="000000"/>
        </w:rPr>
        <w:t xml:space="preserve"> was </w:t>
      </w:r>
      <w:r w:rsidRPr="002D3A60">
        <w:rPr>
          <w:bCs/>
          <w:color w:val="000000"/>
        </w:rPr>
        <w:t>2.74 weeks.  </w:t>
      </w:r>
      <w:r w:rsidR="005C3208" w:rsidRPr="002D3A60">
        <w:rPr>
          <w:color w:val="000000"/>
        </w:rPr>
        <w:t xml:space="preserve"> </w:t>
      </w:r>
      <w:r w:rsidR="009704C0" w:rsidRPr="002D3A60">
        <w:rPr>
          <w:color w:val="000000"/>
        </w:rPr>
        <w:t>N</w:t>
      </w:r>
      <w:r w:rsidRPr="002D3A60">
        <w:t xml:space="preserve">umbers on waiting lists nationally have </w:t>
      </w:r>
      <w:r w:rsidR="003738E8" w:rsidRPr="002D3A60">
        <w:t xml:space="preserve">halved over the last two years (from </w:t>
      </w:r>
      <w:r w:rsidRPr="002D3A60">
        <w:t xml:space="preserve">898 </w:t>
      </w:r>
      <w:r w:rsidR="003738E8" w:rsidRPr="002D3A60">
        <w:t xml:space="preserve">in 2013 to </w:t>
      </w:r>
      <w:r w:rsidRPr="002D3A60">
        <w:t>492 by December 2015</w:t>
      </w:r>
      <w:r w:rsidR="003738E8" w:rsidRPr="002D3A60">
        <w:t>)</w:t>
      </w:r>
      <w:r w:rsidRPr="002D3A60">
        <w:t>.</w:t>
      </w:r>
    </w:p>
    <w:p w14:paraId="39D630CB" w14:textId="77777777" w:rsidR="00014545" w:rsidRPr="002D3A60" w:rsidRDefault="00014545" w:rsidP="00A75197">
      <w:pPr>
        <w:rPr>
          <w:color w:val="1F497D"/>
        </w:rPr>
      </w:pPr>
    </w:p>
    <w:p w14:paraId="691AA1BA" w14:textId="341A298F" w:rsidR="00014545" w:rsidRDefault="00014545" w:rsidP="00014545">
      <w:r w:rsidRPr="002D3A60">
        <w:t xml:space="preserve">A total of </w:t>
      </w:r>
      <w:r w:rsidR="009704C0" w:rsidRPr="002D3A60">
        <w:rPr>
          <w:bCs/>
        </w:rPr>
        <w:t>3,240 emergency c</w:t>
      </w:r>
      <w:r w:rsidRPr="002D3A60">
        <w:rPr>
          <w:bCs/>
        </w:rPr>
        <w:t>lients</w:t>
      </w:r>
      <w:r w:rsidRPr="002D3A60">
        <w:t xml:space="preserve"> (seen without a waiting period) were dealt with during 2015 with the highest number of emergency clients presenting during the month of June (331).  There has </w:t>
      </w:r>
      <w:r w:rsidR="00ED533F" w:rsidRPr="002D3A60">
        <w:t>been</w:t>
      </w:r>
      <w:r w:rsidR="00ED533F">
        <w:t xml:space="preserve"> a </w:t>
      </w:r>
      <w:r w:rsidRPr="002D3A60">
        <w:t xml:space="preserve">significant </w:t>
      </w:r>
      <w:r w:rsidRPr="00B8589E">
        <w:t>increase</w:t>
      </w:r>
      <w:r w:rsidRPr="00ED533F">
        <w:t xml:space="preserve"> </w:t>
      </w:r>
      <w:r w:rsidRPr="002D3A60">
        <w:t xml:space="preserve">in the throughput of emergency clients to MABS services in 2015 up from 2,870 at the end of 2014 (13% increase). </w:t>
      </w:r>
    </w:p>
    <w:p w14:paraId="715E9DF0" w14:textId="77777777" w:rsidR="007F27D3" w:rsidRPr="002D3A60" w:rsidRDefault="007F27D3" w:rsidP="00014545"/>
    <w:p w14:paraId="26D6F824" w14:textId="77777777" w:rsidR="00014545" w:rsidRPr="002D3A60" w:rsidRDefault="00014545" w:rsidP="005732BC"/>
    <w:p w14:paraId="26B21222" w14:textId="77777777" w:rsidR="00A75197" w:rsidRDefault="00795370" w:rsidP="00A75197">
      <w:pPr>
        <w:pStyle w:val="Heading3"/>
        <w:rPr>
          <w:lang w:val="en-GB"/>
        </w:rPr>
      </w:pPr>
      <w:bookmarkStart w:id="121" w:name="_Toc450922547"/>
      <w:bookmarkStart w:id="122" w:name="_Toc337126521"/>
      <w:r>
        <w:rPr>
          <w:lang w:val="en-GB"/>
        </w:rPr>
        <w:t>Approved Intermediary Service</w:t>
      </w:r>
      <w:bookmarkEnd w:id="121"/>
      <w:bookmarkEnd w:id="122"/>
    </w:p>
    <w:p w14:paraId="49F0A96C" w14:textId="5D2A1FD1" w:rsidR="002C3779" w:rsidRPr="002D3A60" w:rsidRDefault="002C3779" w:rsidP="00A75197">
      <w:pPr>
        <w:rPr>
          <w:lang w:val="en-GB"/>
        </w:rPr>
      </w:pPr>
      <w:r w:rsidRPr="002D3A60">
        <w:rPr>
          <w:lang w:val="en-GB"/>
        </w:rPr>
        <w:t>MABS provides an Approved Intermediary Service throughout its network of services. Approved Intermediaries</w:t>
      </w:r>
      <w:r w:rsidR="00117222" w:rsidRPr="002D3A60">
        <w:rPr>
          <w:lang w:val="en-GB"/>
        </w:rPr>
        <w:t xml:space="preserve"> (AIs)</w:t>
      </w:r>
      <w:r w:rsidRPr="002D3A60">
        <w:rPr>
          <w:lang w:val="en-GB"/>
        </w:rPr>
        <w:t xml:space="preserve"> are authorised by the Insolvency Service of Ireland (ISI) to submit applications for Debt Relief Notices (DRNs) on behalf of eligible debtors.</w:t>
      </w:r>
      <w:r w:rsidR="00117222" w:rsidRPr="002D3A60">
        <w:rPr>
          <w:lang w:val="en-GB"/>
        </w:rPr>
        <w:t xml:space="preserve"> </w:t>
      </w:r>
      <w:r w:rsidR="007B6A12" w:rsidRPr="002D3A60">
        <w:rPr>
          <w:lang w:val="en-GB"/>
        </w:rPr>
        <w:t xml:space="preserve">Debtors can only apply for a DRN through an AI. </w:t>
      </w:r>
    </w:p>
    <w:p w14:paraId="30A07185" w14:textId="77777777" w:rsidR="002C3779" w:rsidRPr="002D3A60" w:rsidRDefault="002C3779" w:rsidP="00795370">
      <w:pPr>
        <w:jc w:val="both"/>
        <w:rPr>
          <w:lang w:val="en-GB"/>
        </w:rPr>
      </w:pPr>
    </w:p>
    <w:p w14:paraId="54F6B5B9" w14:textId="77777777" w:rsidR="007B6A12" w:rsidRPr="002D3A60" w:rsidRDefault="00795370" w:rsidP="00795370">
      <w:pPr>
        <w:jc w:val="both"/>
        <w:rPr>
          <w:lang w:val="en-GB"/>
        </w:rPr>
      </w:pPr>
      <w:r w:rsidRPr="002D3A60">
        <w:rPr>
          <w:lang w:val="en-GB"/>
        </w:rPr>
        <w:t xml:space="preserve">The Approved Intermediary Service </w:t>
      </w:r>
      <w:r w:rsidR="00E568D9" w:rsidRPr="002D3A60">
        <w:rPr>
          <w:lang w:val="en-GB"/>
        </w:rPr>
        <w:t xml:space="preserve">was </w:t>
      </w:r>
      <w:r w:rsidRPr="002D3A60">
        <w:rPr>
          <w:lang w:val="en-GB"/>
        </w:rPr>
        <w:t xml:space="preserve">fully mainstreamed over the course of 2015. All 51 MABS services are now registered with </w:t>
      </w:r>
      <w:r w:rsidR="002C3779" w:rsidRPr="002D3A60">
        <w:rPr>
          <w:lang w:val="en-GB"/>
        </w:rPr>
        <w:t>ISI.</w:t>
      </w:r>
      <w:r w:rsidR="007B6A12" w:rsidRPr="002D3A60">
        <w:rPr>
          <w:lang w:val="en-GB"/>
        </w:rPr>
        <w:t xml:space="preserve"> </w:t>
      </w:r>
      <w:r w:rsidR="002C3779" w:rsidRPr="002D3A60">
        <w:rPr>
          <w:lang w:val="en-GB"/>
        </w:rPr>
        <w:t>Nine AI support w</w:t>
      </w:r>
      <w:r w:rsidRPr="002D3A60">
        <w:rPr>
          <w:lang w:val="en-GB"/>
        </w:rPr>
        <w:t xml:space="preserve">orkers helped to support the transition period by mentoring AIs with their first DRN applications.  Forty-five out of the </w:t>
      </w:r>
      <w:r w:rsidR="00117222" w:rsidRPr="002D3A60">
        <w:rPr>
          <w:lang w:val="en-GB"/>
        </w:rPr>
        <w:t xml:space="preserve">51 </w:t>
      </w:r>
      <w:r w:rsidRPr="002D3A60">
        <w:rPr>
          <w:lang w:val="en-GB"/>
        </w:rPr>
        <w:t>MABS ser</w:t>
      </w:r>
      <w:r w:rsidR="00E568D9" w:rsidRPr="002D3A60">
        <w:rPr>
          <w:lang w:val="en-GB"/>
        </w:rPr>
        <w:t>vices had completed at least a p</w:t>
      </w:r>
      <w:r w:rsidRPr="002D3A60">
        <w:rPr>
          <w:lang w:val="en-GB"/>
        </w:rPr>
        <w:t>re-</w:t>
      </w:r>
      <w:r w:rsidR="00E568D9" w:rsidRPr="002D3A60">
        <w:rPr>
          <w:lang w:val="en-GB"/>
        </w:rPr>
        <w:t>s</w:t>
      </w:r>
      <w:r w:rsidRPr="002D3A60">
        <w:rPr>
          <w:lang w:val="en-GB"/>
        </w:rPr>
        <w:t>tatutory appointment with a potential DRN client by December 2015.</w:t>
      </w:r>
    </w:p>
    <w:p w14:paraId="66B056F7" w14:textId="77777777" w:rsidR="007B6A12" w:rsidRPr="002D3A60" w:rsidRDefault="007B6A12" w:rsidP="00795370">
      <w:pPr>
        <w:jc w:val="both"/>
        <w:rPr>
          <w:lang w:val="en-GB"/>
        </w:rPr>
      </w:pPr>
    </w:p>
    <w:p w14:paraId="0B742017" w14:textId="160523E4" w:rsidR="00795370" w:rsidRPr="002D3A60" w:rsidRDefault="007B6A12" w:rsidP="00795370">
      <w:pPr>
        <w:jc w:val="both"/>
        <w:rPr>
          <w:lang w:val="en-GB"/>
        </w:rPr>
      </w:pPr>
      <w:r w:rsidRPr="002D3A60">
        <w:rPr>
          <w:lang w:val="en-GB"/>
        </w:rPr>
        <w:t>In 2015, 252 DRNS submitted by MABS companies on behalf of eligible debtors were granted by the courts. In October 2015 the threshold for a DRN increased to €35,000 which brought increased interest from clients.</w:t>
      </w:r>
    </w:p>
    <w:p w14:paraId="283D579C" w14:textId="77777777" w:rsidR="00CC0947" w:rsidRDefault="00CC0947" w:rsidP="005732BC">
      <w:pPr>
        <w:rPr>
          <w:b/>
          <w:i/>
          <w:lang w:val="en-GB"/>
        </w:rPr>
      </w:pPr>
    </w:p>
    <w:p w14:paraId="26AD2C60" w14:textId="77777777" w:rsidR="00D01D5D" w:rsidRPr="002D3A60" w:rsidRDefault="00D01D5D" w:rsidP="005732BC">
      <w:pPr>
        <w:rPr>
          <w:b/>
          <w:i/>
          <w:lang w:val="en-GB"/>
        </w:rPr>
      </w:pPr>
    </w:p>
    <w:p w14:paraId="20AEC6C2" w14:textId="700F4949" w:rsidR="00CC0947" w:rsidRDefault="00CC0947" w:rsidP="009E4F38">
      <w:pPr>
        <w:pStyle w:val="Heading3"/>
        <w:rPr>
          <w:lang w:val="en-GB"/>
        </w:rPr>
      </w:pPr>
      <w:bookmarkStart w:id="123" w:name="_Toc337126522"/>
      <w:bookmarkStart w:id="124" w:name="_Toc450922548"/>
      <w:r>
        <w:rPr>
          <w:lang w:val="en-GB"/>
        </w:rPr>
        <w:t xml:space="preserve">Dedicated Mortgage Arrears </w:t>
      </w:r>
      <w:r w:rsidR="007B6A12">
        <w:rPr>
          <w:lang w:val="en-GB"/>
        </w:rPr>
        <w:t xml:space="preserve">Advice </w:t>
      </w:r>
      <w:r>
        <w:rPr>
          <w:lang w:val="en-GB"/>
        </w:rPr>
        <w:t>Service</w:t>
      </w:r>
      <w:bookmarkEnd w:id="123"/>
      <w:r w:rsidR="009E4F38">
        <w:rPr>
          <w:lang w:val="en-GB"/>
        </w:rPr>
        <w:t xml:space="preserve"> </w:t>
      </w:r>
      <w:bookmarkEnd w:id="124"/>
    </w:p>
    <w:p w14:paraId="171B769A" w14:textId="77777777" w:rsidR="00D4612B" w:rsidRDefault="00D4612B" w:rsidP="00D4612B">
      <w:pPr>
        <w:jc w:val="both"/>
        <w:rPr>
          <w:lang w:val="en-GB"/>
        </w:rPr>
      </w:pPr>
      <w:r w:rsidRPr="003C3A3F">
        <w:rPr>
          <w:rFonts w:hint="eastAsia"/>
          <w:lang w:val="en-GB"/>
        </w:rPr>
        <w:t xml:space="preserve">In May 2015 the Government announced that MABS would be tasked with developing  a dedicated service to support people in mortgage arrears. During the year MABS worked intensively to establish a dedicated confidential, free, and independent mortgage arrears advice service. </w:t>
      </w:r>
    </w:p>
    <w:p w14:paraId="42E3F5EB" w14:textId="77777777" w:rsidR="003C3A3F" w:rsidRPr="003C3A3F" w:rsidRDefault="003C3A3F" w:rsidP="00D4612B">
      <w:pPr>
        <w:jc w:val="both"/>
        <w:rPr>
          <w:lang w:val="en-GB"/>
        </w:rPr>
      </w:pPr>
    </w:p>
    <w:p w14:paraId="13A1BA8E" w14:textId="77777777" w:rsidR="00D4612B" w:rsidRDefault="00D4612B" w:rsidP="00D4612B">
      <w:pPr>
        <w:jc w:val="both"/>
        <w:rPr>
          <w:lang w:val="en-GB"/>
        </w:rPr>
      </w:pPr>
      <w:r w:rsidRPr="003C3A3F">
        <w:rPr>
          <w:rFonts w:hint="eastAsia"/>
          <w:lang w:val="en-GB"/>
        </w:rPr>
        <w:t>Expressions of interest and recruitment amongst existing Money Advice staff for the dedicated posts began immediately in June 2015. Sixteen posts were filled by December 2015. By the end of the year 23.5 Dedicated Mortgage Arrears (DMA) advisors had been selected and allocated to services for a three-year period and backfill Money Advice staff had also been recruited through open competition.</w:t>
      </w:r>
    </w:p>
    <w:p w14:paraId="3E5E03E6" w14:textId="77777777" w:rsidR="003C3A3F" w:rsidRPr="003C3A3F" w:rsidRDefault="003C3A3F" w:rsidP="00D4612B">
      <w:pPr>
        <w:jc w:val="both"/>
        <w:rPr>
          <w:lang w:val="en-GB"/>
        </w:rPr>
      </w:pPr>
    </w:p>
    <w:p w14:paraId="3E7E8D70" w14:textId="77777777" w:rsidR="00D4612B" w:rsidRDefault="00D4612B" w:rsidP="00D4612B">
      <w:pPr>
        <w:jc w:val="both"/>
        <w:rPr>
          <w:lang w:val="en-GB"/>
        </w:rPr>
      </w:pPr>
      <w:r w:rsidRPr="003C3A3F">
        <w:rPr>
          <w:rFonts w:hint="eastAsia"/>
          <w:lang w:val="en-GB"/>
        </w:rPr>
        <w:t>DMA advisors focus only on late stage mortgage cases. Their role includes:</w:t>
      </w:r>
    </w:p>
    <w:p w14:paraId="37C86BFE" w14:textId="77777777" w:rsidR="003C3A3F" w:rsidRPr="003C3A3F" w:rsidRDefault="003C3A3F" w:rsidP="00D4612B">
      <w:pPr>
        <w:jc w:val="both"/>
        <w:rPr>
          <w:lang w:val="en-GB"/>
        </w:rPr>
      </w:pPr>
    </w:p>
    <w:p w14:paraId="1804CFD7" w14:textId="77777777" w:rsidR="00D4612B" w:rsidRDefault="00D4612B" w:rsidP="003C3A3F">
      <w:pPr>
        <w:pStyle w:val="ListParagraph"/>
        <w:numPr>
          <w:ilvl w:val="0"/>
          <w:numId w:val="20"/>
        </w:numPr>
        <w:jc w:val="both"/>
        <w:rPr>
          <w:lang w:val="en-GB"/>
        </w:rPr>
      </w:pPr>
      <w:r w:rsidRPr="003C3A3F">
        <w:rPr>
          <w:rFonts w:hint="eastAsia"/>
          <w:lang w:val="en-GB"/>
        </w:rPr>
        <w:t>Case management of complex and urgent mortgage cases</w:t>
      </w:r>
    </w:p>
    <w:p w14:paraId="036D6171" w14:textId="77777777" w:rsidR="003C3A3F" w:rsidRDefault="003C3A3F" w:rsidP="003C3A3F">
      <w:pPr>
        <w:pStyle w:val="ListParagraph"/>
        <w:jc w:val="both"/>
        <w:rPr>
          <w:lang w:val="en-GB"/>
        </w:rPr>
      </w:pPr>
    </w:p>
    <w:p w14:paraId="39E3F427" w14:textId="77777777" w:rsidR="003C3A3F" w:rsidRDefault="00D4612B" w:rsidP="00D4612B">
      <w:pPr>
        <w:pStyle w:val="ListParagraph"/>
        <w:numPr>
          <w:ilvl w:val="0"/>
          <w:numId w:val="20"/>
        </w:numPr>
        <w:jc w:val="both"/>
        <w:rPr>
          <w:lang w:val="en-GB"/>
        </w:rPr>
      </w:pPr>
      <w:r w:rsidRPr="003C3A3F">
        <w:rPr>
          <w:rFonts w:hint="eastAsia"/>
          <w:lang w:val="en-GB"/>
        </w:rPr>
        <w:t>Review and analysis of alternative repayment options</w:t>
      </w:r>
    </w:p>
    <w:p w14:paraId="01262AA1" w14:textId="77777777" w:rsidR="003C3A3F" w:rsidRPr="003C3A3F" w:rsidRDefault="003C3A3F" w:rsidP="003C3A3F">
      <w:pPr>
        <w:jc w:val="both"/>
        <w:rPr>
          <w:lang w:val="en-GB"/>
        </w:rPr>
      </w:pPr>
    </w:p>
    <w:p w14:paraId="01880DEE" w14:textId="791A4DC3" w:rsidR="00D4612B" w:rsidRDefault="00D4612B" w:rsidP="00D4612B">
      <w:pPr>
        <w:pStyle w:val="ListParagraph"/>
        <w:numPr>
          <w:ilvl w:val="0"/>
          <w:numId w:val="20"/>
        </w:numPr>
        <w:jc w:val="both"/>
        <w:rPr>
          <w:lang w:val="en-GB"/>
        </w:rPr>
      </w:pPr>
      <w:r w:rsidRPr="003C3A3F">
        <w:rPr>
          <w:rFonts w:hint="eastAsia"/>
          <w:lang w:val="en-GB"/>
        </w:rPr>
        <w:t>Identification and implementation of optimal mutually acceptable, affordable and sustainable solutions in consultation with all parties</w:t>
      </w:r>
    </w:p>
    <w:p w14:paraId="380B192A" w14:textId="77777777" w:rsidR="003C3A3F" w:rsidRPr="003C3A3F" w:rsidRDefault="003C3A3F" w:rsidP="003C3A3F">
      <w:pPr>
        <w:jc w:val="both"/>
        <w:rPr>
          <w:lang w:val="en-GB"/>
        </w:rPr>
      </w:pPr>
    </w:p>
    <w:p w14:paraId="5B8B1D9B" w14:textId="77777777" w:rsidR="00D4612B" w:rsidRDefault="00D4612B" w:rsidP="00D4612B">
      <w:pPr>
        <w:pStyle w:val="ListParagraph"/>
        <w:numPr>
          <w:ilvl w:val="0"/>
          <w:numId w:val="20"/>
        </w:numPr>
        <w:jc w:val="both"/>
        <w:rPr>
          <w:lang w:val="en-GB"/>
        </w:rPr>
      </w:pPr>
      <w:r w:rsidRPr="003C3A3F">
        <w:rPr>
          <w:rFonts w:hint="eastAsia"/>
          <w:lang w:val="en-GB"/>
        </w:rPr>
        <w:t>Implementation of strategies to achieve final resolutions for clients</w:t>
      </w:r>
    </w:p>
    <w:p w14:paraId="5193682F" w14:textId="77777777" w:rsidR="003C3A3F" w:rsidRPr="003C3A3F" w:rsidRDefault="003C3A3F" w:rsidP="003C3A3F">
      <w:pPr>
        <w:jc w:val="both"/>
        <w:rPr>
          <w:lang w:val="en-GB"/>
        </w:rPr>
      </w:pPr>
    </w:p>
    <w:p w14:paraId="02FB9B5B" w14:textId="77777777" w:rsidR="00D4612B" w:rsidRDefault="00D4612B" w:rsidP="00D4612B">
      <w:pPr>
        <w:pStyle w:val="ListParagraph"/>
        <w:numPr>
          <w:ilvl w:val="0"/>
          <w:numId w:val="20"/>
        </w:numPr>
        <w:jc w:val="both"/>
        <w:rPr>
          <w:lang w:val="en-GB"/>
        </w:rPr>
      </w:pPr>
      <w:r w:rsidRPr="003C3A3F">
        <w:rPr>
          <w:rFonts w:hint="eastAsia"/>
          <w:lang w:val="en-GB"/>
        </w:rPr>
        <w:t>Advocacy on behalf of clients and negotiation with creditors</w:t>
      </w:r>
    </w:p>
    <w:p w14:paraId="033A2392" w14:textId="77777777" w:rsidR="003C3A3F" w:rsidRPr="003C3A3F" w:rsidRDefault="003C3A3F" w:rsidP="003C3A3F">
      <w:pPr>
        <w:jc w:val="both"/>
        <w:rPr>
          <w:lang w:val="en-GB"/>
        </w:rPr>
      </w:pPr>
    </w:p>
    <w:p w14:paraId="09839B0C" w14:textId="77777777" w:rsidR="00D4612B" w:rsidRPr="003C3A3F" w:rsidRDefault="00D4612B" w:rsidP="00D4612B">
      <w:pPr>
        <w:pStyle w:val="ListParagraph"/>
        <w:numPr>
          <w:ilvl w:val="0"/>
          <w:numId w:val="20"/>
        </w:numPr>
        <w:jc w:val="both"/>
        <w:rPr>
          <w:lang w:val="en-GB"/>
        </w:rPr>
      </w:pPr>
      <w:r w:rsidRPr="003C3A3F">
        <w:rPr>
          <w:rFonts w:hint="eastAsia"/>
          <w:lang w:val="en-GB"/>
        </w:rPr>
        <w:t>Support and education of clients to become more financially independent in the long term</w:t>
      </w:r>
    </w:p>
    <w:p w14:paraId="260B462E" w14:textId="77777777" w:rsidR="00C4767C" w:rsidRPr="002D3A60" w:rsidRDefault="00C4767C" w:rsidP="00CC0947">
      <w:pPr>
        <w:jc w:val="both"/>
        <w:rPr>
          <w:b/>
          <w:lang w:val="en-GB"/>
        </w:rPr>
      </w:pPr>
    </w:p>
    <w:p w14:paraId="0A714052" w14:textId="77777777" w:rsidR="00713384" w:rsidRDefault="00713384" w:rsidP="00713384">
      <w:pPr>
        <w:pStyle w:val="Heading3"/>
      </w:pPr>
      <w:bookmarkStart w:id="125" w:name="_Toc450922550"/>
      <w:bookmarkStart w:id="126" w:name="_Toc337126524"/>
      <w:r w:rsidRPr="00117222">
        <w:rPr>
          <w:rStyle w:val="Heading3Char"/>
          <w:b/>
          <w:bCs/>
        </w:rPr>
        <w:t>Court mentoring</w:t>
      </w:r>
      <w:r w:rsidRPr="00117222">
        <w:t xml:space="preserve"> </w:t>
      </w:r>
      <w:r>
        <w:t>service</w:t>
      </w:r>
    </w:p>
    <w:p w14:paraId="35BD34A6" w14:textId="77777777" w:rsidR="00713384" w:rsidRPr="00A75197" w:rsidRDefault="00713384" w:rsidP="00713384">
      <w:r w:rsidRPr="00A75197">
        <w:rPr>
          <w:lang w:val="en-GB"/>
        </w:rPr>
        <w:t xml:space="preserve">As repossession lists grew in the courts and many MABS clients entered the legal process a number of MABS companies began attending at court repossession hearings, both to support their own clients and to try and meet new clients who had not engaged with either the banks or MABS previously. A pilot was conducted in six courts with the Insolvency Service of Ireland in the summer of 2015 and was subsequently rolled out nationally. County Registrars have been made aware of the scheme and, in general, announce the presence of MABS and the ISI representatives as well as, on occasion, adjourning cases and directly referring clients to MABS. </w:t>
      </w:r>
    </w:p>
    <w:p w14:paraId="13CBBF29" w14:textId="77777777" w:rsidR="00713384" w:rsidRDefault="00713384" w:rsidP="00603BD4">
      <w:pPr>
        <w:pStyle w:val="Heading3"/>
      </w:pPr>
    </w:p>
    <w:p w14:paraId="2D077B85" w14:textId="77777777" w:rsidR="00603BD4" w:rsidRDefault="005732BC" w:rsidP="00603BD4">
      <w:pPr>
        <w:pStyle w:val="Heading3"/>
      </w:pPr>
      <w:r>
        <w:t>Resource Money Adviser Programme</w:t>
      </w:r>
      <w:bookmarkEnd w:id="125"/>
      <w:bookmarkEnd w:id="126"/>
    </w:p>
    <w:p w14:paraId="6B0E7728" w14:textId="7AECD728" w:rsidR="00153DEF" w:rsidRDefault="00153DEF" w:rsidP="00603BD4">
      <w:r>
        <w:rPr>
          <w:rFonts w:hint="eastAsia"/>
        </w:rPr>
        <w:t xml:space="preserve">Since 2009, 12 whole-time equivalent temporary Resource Money Adviser (RMA) posts have been assigned to MABS on rolling two-year contracts. RMAs are a team of qualified money advisers who work 60% of their time for the service that employs them and 40% as a national remote telephone support for MABS services. The RMA programme aimed to provide a flexible resource that could be allocated when needed to a MABS company experiencing high demand, waiting times or staff shortages. </w:t>
      </w:r>
    </w:p>
    <w:p w14:paraId="3DEE6A3D" w14:textId="77777777" w:rsidR="00BD5ACA" w:rsidRDefault="00BD5ACA" w:rsidP="00153DEF"/>
    <w:p w14:paraId="24FE2AE6" w14:textId="77777777" w:rsidR="00153DEF" w:rsidRDefault="00153DEF" w:rsidP="00153DEF">
      <w:r>
        <w:rPr>
          <w:rFonts w:hint="eastAsia"/>
        </w:rPr>
        <w:t>The current two-year contracts came to an end in spring 2016. In anticipation of this CIB undertook a review of the programme which included an online survey and focus groups with RMAs, Money Advice co-ordinators (MACs), MABSndl and CIB staff.</w:t>
      </w:r>
    </w:p>
    <w:p w14:paraId="45C08CA6" w14:textId="77777777" w:rsidR="00153DEF" w:rsidRDefault="00153DEF" w:rsidP="00153DEF">
      <w:r>
        <w:rPr>
          <w:rFonts w:hint="eastAsia"/>
        </w:rPr>
        <w:t xml:space="preserve">The recommendations from the review proposed that the 12 whole-time equivalent posts be made permanent and converted to six Money Advisers to remain with their employing service and six Relief Money Advisers to work within a defined  geographic region. </w:t>
      </w:r>
    </w:p>
    <w:p w14:paraId="7E6E7056" w14:textId="77777777" w:rsidR="00BD5ACA" w:rsidRDefault="00BD5ACA" w:rsidP="00153DEF"/>
    <w:p w14:paraId="06E0A702" w14:textId="77777777" w:rsidR="00153DEF" w:rsidRDefault="00153DEF" w:rsidP="00153DEF">
      <w:r>
        <w:rPr>
          <w:rFonts w:hint="eastAsia"/>
        </w:rPr>
        <w:t xml:space="preserve">In the summer of 2015 CIB and MABSndl piloted a three-month Relief Money Adviser model. MABSndl co-ordinated  the pilot and prepared a report on the pilot which concluded that the model of a national team of relief money advisors  worked. </w:t>
      </w:r>
    </w:p>
    <w:p w14:paraId="4B937351" w14:textId="73739E03" w:rsidR="00EE4DEA" w:rsidRDefault="00153DEF" w:rsidP="00153DEF">
      <w:r>
        <w:rPr>
          <w:rFonts w:hint="eastAsia"/>
        </w:rPr>
        <w:t>The recommendations of the report were approved by the Board of CIB. The implementation of the recommendations has already begun with a transition  by existing Resource Money Advisers to their new posts in early 2016.</w:t>
      </w:r>
    </w:p>
    <w:p w14:paraId="2A1C48C5" w14:textId="77777777" w:rsidR="00B71ABF" w:rsidRPr="002D3A60" w:rsidRDefault="00B71ABF" w:rsidP="00153DEF"/>
    <w:p w14:paraId="6A3FB7E1" w14:textId="77777777" w:rsidR="00713384" w:rsidRDefault="00713384" w:rsidP="00713384">
      <w:pPr>
        <w:pStyle w:val="Heading3"/>
      </w:pPr>
      <w:bookmarkStart w:id="127" w:name="_Toc450922552"/>
      <w:bookmarkStart w:id="128" w:name="_Toc337126527"/>
      <w:bookmarkStart w:id="129" w:name="_Toc337126575"/>
      <w:r w:rsidRPr="00584A60">
        <w:t>Personal Microcredit Scheme</w:t>
      </w:r>
    </w:p>
    <w:p w14:paraId="297E25C1" w14:textId="77777777" w:rsidR="00713384" w:rsidRPr="00B71ABF" w:rsidRDefault="00713384" w:rsidP="00713384">
      <w:r w:rsidRPr="00B71ABF">
        <w:t xml:space="preserve">In late 2013, the Citizens Information Board submitted a proposal to the Minister for Social Protection on the need to develop a scheme to help people on low incomes who are unable to access low cost credit and who, increasingly, are availing of money lenders. The proposal followed a period of consultation and discussion with interested stakeholders including MABS, credit unions, non-governmental organisations and the Social Finance Foundation.  </w:t>
      </w:r>
    </w:p>
    <w:p w14:paraId="677B2FFB" w14:textId="77777777" w:rsidR="00713384" w:rsidRPr="00B71ABF" w:rsidRDefault="00713384" w:rsidP="00713384"/>
    <w:p w14:paraId="7BECAC56" w14:textId="77777777" w:rsidR="00713384" w:rsidRPr="00B71ABF" w:rsidRDefault="00713384" w:rsidP="00713384">
      <w:r w:rsidRPr="00B71ABF">
        <w:t>A pilot scheme was launched in November 2015 through over 30 credit unions. The scheme aims to move people away from the use of high cost moneylenders by giving easy access to low cost personal loans.  The pilot scheme also aimed to target groups traditionally excluded from mainstream credit and give these people the opportunity to become full credit union members. Loans under the pilot initiative are available to people getting certain social welfare payments who make repayments through the Household Budget Scheme.  Loan values range from €100 to €2,000 and a maximum interest rate of 12% (12.68% APR) applies.</w:t>
      </w:r>
    </w:p>
    <w:p w14:paraId="419C5E9F" w14:textId="77777777" w:rsidR="00713384" w:rsidRPr="00B71ABF" w:rsidRDefault="00713384" w:rsidP="00713384"/>
    <w:p w14:paraId="26E6CB83" w14:textId="77777777" w:rsidR="00713384" w:rsidRPr="00B71ABF" w:rsidRDefault="00713384" w:rsidP="00713384">
      <w:r w:rsidRPr="00B71ABF">
        <w:t>By the end of 2015 over 1,000  borrowers had used the scheme.</w:t>
      </w:r>
    </w:p>
    <w:p w14:paraId="7F1A1A95" w14:textId="77777777" w:rsidR="00713384" w:rsidRDefault="00713384" w:rsidP="00713384"/>
    <w:p w14:paraId="277AB699" w14:textId="77777777" w:rsidR="00713384" w:rsidRDefault="00713384" w:rsidP="00713384">
      <w:pPr>
        <w:pStyle w:val="Heading2"/>
      </w:pPr>
      <w:r>
        <w:lastRenderedPageBreak/>
        <w:t>MABS Case Management System (CMS)</w:t>
      </w:r>
    </w:p>
    <w:p w14:paraId="29BBD7C9" w14:textId="77777777" w:rsidR="00713384" w:rsidRPr="00B71ABF" w:rsidRDefault="00713384" w:rsidP="00713384">
      <w:r w:rsidRPr="00B71ABF">
        <w:t xml:space="preserve">Robust data collection, analysis and case management are key to carrying out and reporting on the activities of MABS. The development of a Case Management System (CMS) for MABS is a key priority of CIB’s data strategy.  During 2015. MABS worked with CIB to define high level business requirements for the new system and to begin the tendering and procurement process.  A number of business analysis workshops were held with MABS user groups and subject matter experts. The Business Requirements Document (BRD), which sets out the business needs and expectations of the new system was completed during 2015 and submitted to the Project Board and subsequently to the Office of Government Procurement (OGP).  </w:t>
      </w:r>
    </w:p>
    <w:p w14:paraId="26520972" w14:textId="77777777" w:rsidR="00713384" w:rsidRPr="00B71ABF" w:rsidRDefault="00713384" w:rsidP="00713384"/>
    <w:p w14:paraId="73BB0F1D" w14:textId="34412292" w:rsidR="00713384" w:rsidRPr="005927C4" w:rsidRDefault="00713384" w:rsidP="005927C4">
      <w:pPr>
        <w:rPr>
          <w:b/>
        </w:rPr>
      </w:pPr>
      <w:r w:rsidRPr="005927C4">
        <w:rPr>
          <w:b/>
        </w:rPr>
        <w:t>The OGP published a Request for Tenders Framework (RFT) in November last year, to establish a multi-supplier framework. On foot of this, a mini competition will be held in early 2016 to award the contract to a company that will design and deliver the new system.</w:t>
      </w:r>
    </w:p>
    <w:p w14:paraId="1A46840A" w14:textId="77777777" w:rsidR="005732BC" w:rsidRDefault="005732BC" w:rsidP="00876EFC">
      <w:pPr>
        <w:pStyle w:val="Heading1"/>
      </w:pPr>
      <w:r>
        <w:t>National Traveller MABS</w:t>
      </w:r>
      <w:bookmarkEnd w:id="127"/>
      <w:bookmarkEnd w:id="128"/>
      <w:bookmarkEnd w:id="129"/>
    </w:p>
    <w:p w14:paraId="2A3DEFF1" w14:textId="77777777" w:rsidR="005927C4" w:rsidRPr="005927C4" w:rsidRDefault="005927C4" w:rsidP="005927C4"/>
    <w:p w14:paraId="0BEC1769" w14:textId="77777777" w:rsidR="00BF6C31" w:rsidRDefault="00BF6C31" w:rsidP="001762E2">
      <w:pPr>
        <w:rPr>
          <w:lang w:val="en-GB"/>
        </w:rPr>
      </w:pPr>
      <w:bookmarkStart w:id="130" w:name="_Toc445482328"/>
      <w:bookmarkStart w:id="131" w:name="_Toc445482624"/>
      <w:r w:rsidRPr="00BF6C31">
        <w:rPr>
          <w:lang w:val="en-GB"/>
        </w:rPr>
        <w:t>National Traveller MABS (NTMABS) highlights issues of overindebtedness and exclusion from financial institutions, and makes appropriate responses through its research and policy work. NTMABS aims to empower the Traveller community. It works to establish ways for the Traveller community to access legal and affordable savings and credit and builds capacity within the community through its community education work. NTMABS acts as a support to both MABS and the Traveller community to ensure ease of access for Travellers to the service.</w:t>
      </w:r>
    </w:p>
    <w:p w14:paraId="0EFE3F31" w14:textId="77777777" w:rsidR="00FD45A8" w:rsidRPr="00BF6C31" w:rsidRDefault="00FD45A8" w:rsidP="001762E2">
      <w:pPr>
        <w:rPr>
          <w:lang w:val="en-GB"/>
        </w:rPr>
      </w:pPr>
    </w:p>
    <w:p w14:paraId="732256E3" w14:textId="77777777" w:rsidR="00FD45A8" w:rsidRDefault="00BF6C31" w:rsidP="001762E2">
      <w:pPr>
        <w:rPr>
          <w:lang w:val="en-GB"/>
        </w:rPr>
      </w:pPr>
      <w:r w:rsidRPr="00BF6C31">
        <w:rPr>
          <w:lang w:val="en-GB"/>
        </w:rPr>
        <w:t xml:space="preserve">National Traveller MABS (NTMABS) continued to support community education initiatives for the Traveller community with a particular focus on young travellers. Also in 2015 NTMABS published a review of the Caravan Loan Guarantee Scheme. As a result NTMABS submitted a proposal to CIB and MABSndl to support the establishment of a Central MABS Caravan Loan Guarantee Fund which would guarantee credit union loans towards the purchase of caravans for long-term living. </w:t>
      </w:r>
    </w:p>
    <w:p w14:paraId="7B4AE118" w14:textId="076C4A04" w:rsidR="00BF6C31" w:rsidRPr="00BF6C31" w:rsidRDefault="00BF6C31" w:rsidP="001762E2">
      <w:pPr>
        <w:rPr>
          <w:lang w:val="en-GB"/>
        </w:rPr>
      </w:pPr>
      <w:r w:rsidRPr="00BF6C31">
        <w:rPr>
          <w:lang w:val="en-GB"/>
        </w:rPr>
        <w:t xml:space="preserve"> </w:t>
      </w:r>
    </w:p>
    <w:p w14:paraId="51DC3264" w14:textId="67DBB7AD" w:rsidR="009B1481" w:rsidRDefault="00BF6C31" w:rsidP="001762E2">
      <w:pPr>
        <w:rPr>
          <w:lang w:val="en-GB"/>
        </w:rPr>
      </w:pPr>
      <w:r w:rsidRPr="00BF6C31">
        <w:rPr>
          <w:lang w:val="en-GB"/>
        </w:rPr>
        <w:t>NTMABS continues to produce The Tharie Times and N</w:t>
      </w:r>
      <w:r w:rsidR="00FD45A8">
        <w:rPr>
          <w:lang w:val="en-GB"/>
        </w:rPr>
        <w:t xml:space="preserve">ational Traveller News as well </w:t>
      </w:r>
      <w:r w:rsidRPr="00BF6C31">
        <w:rPr>
          <w:lang w:val="en-GB"/>
        </w:rPr>
        <w:t>as maintaining a website, Twitter and Facebook pages. In September NTMABS celebrated 10 years in operation at the Irish Film Centre in Temple Bar. The National Traveller MABS ‘Three Small Changes’ campaign aimed at improving Travellers access to financial services was launched in September 2015. The campaign uses real-life stories to showcase positive steps Travellers and service providers can take to promote better money management.</w:t>
      </w:r>
    </w:p>
    <w:p w14:paraId="0B54A742" w14:textId="77777777" w:rsidR="009B7695" w:rsidRDefault="009B7695" w:rsidP="001762E2">
      <w:pPr>
        <w:rPr>
          <w:lang w:val="en-GB"/>
        </w:rPr>
      </w:pPr>
    </w:p>
    <w:p w14:paraId="655664C5" w14:textId="77777777" w:rsidR="009B7695" w:rsidRPr="00BF6C31" w:rsidRDefault="009B7695" w:rsidP="001762E2">
      <w:pPr>
        <w:rPr>
          <w:b/>
        </w:rPr>
      </w:pPr>
    </w:p>
    <w:bookmarkEnd w:id="130"/>
    <w:bookmarkEnd w:id="131"/>
    <w:p w14:paraId="7E0D7B7C" w14:textId="77777777" w:rsidR="009A1157" w:rsidRPr="002D3A60" w:rsidRDefault="009A1157" w:rsidP="009A1157">
      <w:pPr>
        <w:rPr>
          <w:lang w:val="en-GB"/>
        </w:rPr>
      </w:pPr>
    </w:p>
    <w:p w14:paraId="664745AC" w14:textId="3A086005" w:rsidR="009A1157" w:rsidRPr="002D3A60" w:rsidRDefault="00CB7A07" w:rsidP="009A1157">
      <w:pPr>
        <w:rPr>
          <w:b/>
          <w:lang w:val="en-GB"/>
        </w:rPr>
      </w:pPr>
      <w:r>
        <w:rPr>
          <w:b/>
          <w:lang w:val="en-GB"/>
        </w:rPr>
        <w:t xml:space="preserve">The history of </w:t>
      </w:r>
      <w:r w:rsidR="009A1157" w:rsidRPr="002D3A60">
        <w:rPr>
          <w:b/>
          <w:lang w:val="en-GB"/>
        </w:rPr>
        <w:t>Citizens Information</w:t>
      </w:r>
    </w:p>
    <w:p w14:paraId="5748BA9D" w14:textId="77777777" w:rsidR="009A1157" w:rsidRPr="002D3A60" w:rsidRDefault="009A1157" w:rsidP="009A1157">
      <w:pPr>
        <w:rPr>
          <w:b/>
          <w:lang w:val="en-GB"/>
        </w:rPr>
      </w:pPr>
    </w:p>
    <w:p w14:paraId="0CD9CDAE" w14:textId="77777777" w:rsidR="00ED08BB" w:rsidRDefault="009A1157" w:rsidP="009A1157">
      <w:pPr>
        <w:rPr>
          <w:lang w:val="en-IE"/>
        </w:rPr>
      </w:pPr>
      <w:r w:rsidRPr="002D3A60">
        <w:rPr>
          <w:lang w:val="en-IE"/>
        </w:rPr>
        <w:lastRenderedPageBreak/>
        <w:t>In the late 1960s organisations such as Muintir na Tíre set up early community information centres. In 1974 the National Social Service Council began to develop a network of voluntary community information centres countrywide.  Over time individual Citizen Information Centres were grouped into county-based Citizen Information Services.</w:t>
      </w:r>
    </w:p>
    <w:p w14:paraId="60B467FA" w14:textId="77777777" w:rsidR="00ED08BB" w:rsidRDefault="00ED08BB" w:rsidP="009A1157">
      <w:pPr>
        <w:rPr>
          <w:lang w:val="en-IE"/>
        </w:rPr>
      </w:pPr>
    </w:p>
    <w:p w14:paraId="1C2BFECA" w14:textId="0EC2C2B6" w:rsidR="009A1157" w:rsidRDefault="009A1157" w:rsidP="009A1157">
      <w:pPr>
        <w:rPr>
          <w:lang w:val="en-IE"/>
        </w:rPr>
      </w:pPr>
      <w:r w:rsidRPr="002D3A60">
        <w:rPr>
          <w:lang w:val="en-IE"/>
        </w:rPr>
        <w:t xml:space="preserve">In 1995 responsibility for the National Social Service Board was transferred from the Department of Health to the Department of Social Welfare (DSW). The DSW agreed to fund the employment of core staff (initially development managers followed by a small number of information staff) for a number of services identified by NSSB as key services. In the 1990s the CISs began to employ full-time development managers and later information officers to support the local volunteer effort. The drive to extend the service nationwide and its purpose were summarised by the minister at the time: </w:t>
      </w:r>
    </w:p>
    <w:p w14:paraId="7F913811" w14:textId="77777777" w:rsidR="00E728CD" w:rsidRPr="002D3A60" w:rsidRDefault="00E728CD" w:rsidP="009A1157">
      <w:pPr>
        <w:rPr>
          <w:lang w:val="en-IE"/>
        </w:rPr>
      </w:pPr>
    </w:p>
    <w:p w14:paraId="5EDA587C" w14:textId="77777777" w:rsidR="009A1157" w:rsidRPr="002D3A60" w:rsidRDefault="009A1157" w:rsidP="009A1157">
      <w:pPr>
        <w:rPr>
          <w:lang w:val="en-IE"/>
        </w:rPr>
      </w:pPr>
      <w:r w:rsidRPr="002D3A60">
        <w:rPr>
          <w:i/>
          <w:iCs/>
          <w:lang w:val="en-IE"/>
        </w:rPr>
        <w:t xml:space="preserve">“My own conviction that local access to independent, impartial and accurate information on social services is a basic right of every citizen.” </w:t>
      </w:r>
    </w:p>
    <w:p w14:paraId="7981635C" w14:textId="77777777" w:rsidR="009A1157" w:rsidRDefault="009A1157" w:rsidP="009A1157">
      <w:pPr>
        <w:rPr>
          <w:i/>
          <w:iCs/>
          <w:lang w:val="en-IE"/>
        </w:rPr>
      </w:pPr>
      <w:r w:rsidRPr="002D3A60">
        <w:rPr>
          <w:i/>
          <w:iCs/>
          <w:lang w:val="en-IE"/>
        </w:rPr>
        <w:t xml:space="preserve">Minister Proinsias De Rossa (Dáil debates 471, 20th November 1996) </w:t>
      </w:r>
    </w:p>
    <w:p w14:paraId="243591C1" w14:textId="77777777" w:rsidR="00132577" w:rsidRDefault="00132577" w:rsidP="009A1157">
      <w:pPr>
        <w:rPr>
          <w:i/>
          <w:iCs/>
          <w:lang w:val="en-IE"/>
        </w:rPr>
      </w:pPr>
    </w:p>
    <w:p w14:paraId="1786AA07" w14:textId="77777777" w:rsidR="00132577" w:rsidRDefault="00132577" w:rsidP="00132577">
      <w:pPr>
        <w:rPr>
          <w:lang w:val="en-GB"/>
        </w:rPr>
      </w:pPr>
      <w:r w:rsidRPr="00132577">
        <w:rPr>
          <w:lang w:val="en-GB"/>
        </w:rPr>
        <w:t>In 2015 several CISs celebrated 40 years of dedicated service to their communities.</w:t>
      </w:r>
    </w:p>
    <w:p w14:paraId="1403AB9C" w14:textId="77777777" w:rsidR="002F0E80" w:rsidRDefault="002F0E80" w:rsidP="00132577">
      <w:pPr>
        <w:rPr>
          <w:lang w:val="en-GB"/>
        </w:rPr>
      </w:pPr>
    </w:p>
    <w:p w14:paraId="6BDB3911" w14:textId="77777777" w:rsidR="002F0E80" w:rsidRDefault="002F0E80" w:rsidP="00132577">
      <w:pPr>
        <w:rPr>
          <w:lang w:val="en-GB"/>
        </w:rPr>
      </w:pPr>
    </w:p>
    <w:p w14:paraId="54292042" w14:textId="77777777" w:rsidR="002F0E80" w:rsidRPr="00132577" w:rsidRDefault="002F0E80" w:rsidP="00132577">
      <w:pPr>
        <w:rPr>
          <w:lang w:val="en-GB"/>
        </w:rPr>
      </w:pPr>
    </w:p>
    <w:p w14:paraId="053F83A1" w14:textId="43F17AAA" w:rsidR="005732BC" w:rsidRPr="00710594" w:rsidRDefault="00C94B51" w:rsidP="00710594">
      <w:pPr>
        <w:pStyle w:val="Heading1"/>
        <w:rPr>
          <w:lang w:val="en-IE"/>
        </w:rPr>
      </w:pPr>
      <w:bookmarkStart w:id="132" w:name="_Toc438544257"/>
      <w:bookmarkStart w:id="133" w:name="_Toc438544293"/>
      <w:bookmarkStart w:id="134" w:name="_Toc337126528"/>
      <w:bookmarkStart w:id="135" w:name="_Toc337126576"/>
      <w:r w:rsidRPr="007073B5">
        <w:t xml:space="preserve">The National </w:t>
      </w:r>
      <w:r w:rsidR="005732BC" w:rsidRPr="007073B5">
        <w:t>Advocacy Service</w:t>
      </w:r>
      <w:bookmarkEnd w:id="132"/>
      <w:bookmarkEnd w:id="133"/>
      <w:bookmarkEnd w:id="134"/>
      <w:bookmarkEnd w:id="135"/>
    </w:p>
    <w:p w14:paraId="259A8759" w14:textId="2110AADE" w:rsidR="008469F0" w:rsidRPr="002D3A60" w:rsidRDefault="005732BC" w:rsidP="008469F0">
      <w:pPr>
        <w:rPr>
          <w:lang w:val="en-IE"/>
        </w:rPr>
      </w:pPr>
      <w:r w:rsidRPr="002D3A60">
        <w:t>The N</w:t>
      </w:r>
      <w:r w:rsidR="008469F0" w:rsidRPr="002D3A60">
        <w:t>ational Advocacy Service (NAS)</w:t>
      </w:r>
      <w:r w:rsidRPr="002D3A60">
        <w:t xml:space="preserve"> </w:t>
      </w:r>
      <w:r w:rsidR="008469F0" w:rsidRPr="002D3A60">
        <w:rPr>
          <w:lang w:val="en-IE"/>
        </w:rPr>
        <w:t xml:space="preserve">provides professional advocates to represent people with disabilities.  It works with people who </w:t>
      </w:r>
      <w:r w:rsidR="008F0EA2" w:rsidRPr="002D3A60">
        <w:rPr>
          <w:lang w:val="en-IE"/>
        </w:rPr>
        <w:t xml:space="preserve">are </w:t>
      </w:r>
      <w:r w:rsidR="008469F0" w:rsidRPr="002D3A60">
        <w:rPr>
          <w:lang w:val="en-IE"/>
        </w:rPr>
        <w:t xml:space="preserve">isolated or whose needs are not being met, who have no-one to represent them and need the </w:t>
      </w:r>
      <w:r w:rsidR="008F0EA2" w:rsidRPr="002D3A60">
        <w:rPr>
          <w:lang w:val="en-IE"/>
        </w:rPr>
        <w:t xml:space="preserve">help </w:t>
      </w:r>
      <w:r w:rsidR="008469F0" w:rsidRPr="002D3A60">
        <w:rPr>
          <w:lang w:val="en-IE"/>
        </w:rPr>
        <w:t>of an independent advocate.</w:t>
      </w:r>
    </w:p>
    <w:p w14:paraId="30FD69A8" w14:textId="77777777" w:rsidR="005732BC" w:rsidRPr="002D3A60" w:rsidRDefault="005732BC" w:rsidP="005732BC"/>
    <w:p w14:paraId="5A314093" w14:textId="395F3FCA" w:rsidR="002B51B9" w:rsidRPr="00065008" w:rsidRDefault="005732BC" w:rsidP="00065008">
      <w:pPr>
        <w:rPr>
          <w:lang w:val="en-IE"/>
        </w:rPr>
      </w:pPr>
      <w:r w:rsidRPr="002D3A60">
        <w:t>Th</w:t>
      </w:r>
      <w:r w:rsidR="008469F0" w:rsidRPr="002D3A60">
        <w:t xml:space="preserve">e National Advocacy Service is </w:t>
      </w:r>
      <w:r w:rsidRPr="002D3A60">
        <w:t>provided through four regions and a national office (based in Dublin). NAS received just over 3 million euro in direct funding from the Ci</w:t>
      </w:r>
      <w:r w:rsidR="00D356D4" w:rsidRPr="002D3A60">
        <w:t>tizens Information Board in 2015</w:t>
      </w:r>
      <w:r w:rsidRPr="002D3A60">
        <w:t xml:space="preserve"> (see</w:t>
      </w:r>
      <w:r w:rsidR="00C94B51" w:rsidRPr="002D3A60">
        <w:t xml:space="preserve"> Appendix 5 for full details). </w:t>
      </w:r>
      <w:r w:rsidR="00D356D4" w:rsidRPr="002D3A60">
        <w:t xml:space="preserve">Approximately 80% of this budget is allocated to staff. </w:t>
      </w:r>
      <w:r w:rsidR="007A1665" w:rsidRPr="002D3A60">
        <w:rPr>
          <w:lang w:val="en-IE"/>
        </w:rPr>
        <w:t xml:space="preserve">NAS is staffed by a national manager, four regional managers, seven senior advocates, 28 advocates and five administrators (45 whole-time equivalents). </w:t>
      </w:r>
      <w:r w:rsidR="002274C1">
        <w:br/>
      </w:r>
    </w:p>
    <w:p w14:paraId="55C56A61" w14:textId="77777777" w:rsidR="007A1665" w:rsidRPr="002D3A60" w:rsidRDefault="007A1665" w:rsidP="007A1665">
      <w:pPr>
        <w:rPr>
          <w:lang w:val="en"/>
        </w:rPr>
      </w:pPr>
      <w:r w:rsidRPr="002D3A60">
        <w:rPr>
          <w:lang w:val="en"/>
        </w:rPr>
        <w:t xml:space="preserve">Over one thousand people (1288) engaged in an advocacy process with NAS during 2015. At the end of the year, 595 of these people transferred into 2016 casework </w:t>
      </w:r>
      <w:r w:rsidRPr="002D3A60">
        <w:t>indicating the ongoing support many vulnerable people need</w:t>
      </w:r>
      <w:r w:rsidRPr="002D3A60">
        <w:rPr>
          <w:lang w:val="en"/>
        </w:rPr>
        <w:t xml:space="preserve">. </w:t>
      </w:r>
    </w:p>
    <w:p w14:paraId="1692AF0F" w14:textId="77777777" w:rsidR="0051746C" w:rsidRPr="002D3A60" w:rsidRDefault="0051746C" w:rsidP="002B51B9">
      <w:pPr>
        <w:rPr>
          <w:lang w:val="en-IE"/>
        </w:rPr>
      </w:pPr>
    </w:p>
    <w:p w14:paraId="3DD158B4" w14:textId="14529E34" w:rsidR="002B51B9" w:rsidRPr="002D3A60" w:rsidRDefault="002B51B9" w:rsidP="002B51B9">
      <w:pPr>
        <w:rPr>
          <w:lang w:val="en-IE"/>
        </w:rPr>
      </w:pPr>
    </w:p>
    <w:tbl>
      <w:tblPr>
        <w:tblW w:w="0" w:type="auto"/>
        <w:tblInd w:w="64" w:type="dxa"/>
        <w:tblLayout w:type="fixed"/>
        <w:tblCellMar>
          <w:left w:w="0" w:type="dxa"/>
          <w:right w:w="0" w:type="dxa"/>
        </w:tblCellMar>
        <w:tblLook w:val="0000" w:firstRow="0" w:lastRow="0" w:firstColumn="0" w:lastColumn="0" w:noHBand="0" w:noVBand="0"/>
      </w:tblPr>
      <w:tblGrid>
        <w:gridCol w:w="3875"/>
        <w:gridCol w:w="1111"/>
        <w:gridCol w:w="1111"/>
        <w:gridCol w:w="1110"/>
        <w:gridCol w:w="1111"/>
      </w:tblGrid>
      <w:tr w:rsidR="00DF2241" w:rsidRPr="00DF2241" w14:paraId="69FD196E" w14:textId="77777777" w:rsidTr="00C06603">
        <w:trPr>
          <w:trHeight w:val="656"/>
          <w:tblHeader/>
        </w:trPr>
        <w:tc>
          <w:tcPr>
            <w:tcW w:w="3875" w:type="dxa"/>
            <w:tcBorders>
              <w:top w:val="single" w:sz="6" w:space="0" w:color="00CBE5"/>
              <w:left w:val="single" w:sz="6" w:space="0" w:color="00CBE5"/>
              <w:bottom w:val="single" w:sz="6" w:space="0" w:color="00CBE5"/>
              <w:right w:val="single" w:sz="6" w:space="0" w:color="FFFFFF"/>
            </w:tcBorders>
            <w:shd w:val="clear" w:color="00CBE5" w:fill="548DD4" w:themeFill="text2" w:themeFillTint="99"/>
            <w:tcMar>
              <w:top w:w="64" w:type="dxa"/>
              <w:left w:w="64" w:type="dxa"/>
              <w:bottom w:w="64" w:type="dxa"/>
              <w:right w:w="64" w:type="dxa"/>
            </w:tcMar>
            <w:vAlign w:val="center"/>
          </w:tcPr>
          <w:p w14:paraId="46E3F746"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Bold" w:hAnsi="Bliss-Bold" w:cs="Bliss-Bold"/>
                <w:b/>
                <w:bCs/>
                <w:caps/>
                <w:color w:val="FFFFFF"/>
                <w:sz w:val="26"/>
                <w:szCs w:val="26"/>
                <w:lang w:val="en-GB"/>
              </w:rPr>
              <w:t>NAS client statistics</w:t>
            </w:r>
          </w:p>
        </w:tc>
        <w:tc>
          <w:tcPr>
            <w:tcW w:w="1111" w:type="dxa"/>
            <w:tcBorders>
              <w:top w:val="single" w:sz="6" w:space="0" w:color="00CBE5"/>
              <w:left w:val="single" w:sz="6" w:space="0" w:color="FFFFFF"/>
              <w:bottom w:val="single" w:sz="6" w:space="0" w:color="00CBE5"/>
              <w:right w:val="single" w:sz="6" w:space="0" w:color="00CBE5"/>
            </w:tcBorders>
            <w:shd w:val="clear" w:color="00CBE5" w:fill="548DD4" w:themeFill="text2" w:themeFillTint="99"/>
            <w:tcMar>
              <w:top w:w="64" w:type="dxa"/>
              <w:left w:w="64" w:type="dxa"/>
              <w:bottom w:w="64" w:type="dxa"/>
              <w:right w:w="64" w:type="dxa"/>
            </w:tcMar>
            <w:vAlign w:val="center"/>
          </w:tcPr>
          <w:p w14:paraId="329224A1"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Bold" w:hAnsi="Bliss-Bold" w:cs="Bliss-Bold"/>
                <w:b/>
                <w:bCs/>
                <w:caps/>
                <w:color w:val="FFFFFF"/>
                <w:sz w:val="26"/>
                <w:szCs w:val="26"/>
                <w:lang w:val="en-GB"/>
              </w:rPr>
              <w:t>2012</w:t>
            </w:r>
          </w:p>
        </w:tc>
        <w:tc>
          <w:tcPr>
            <w:tcW w:w="1111" w:type="dxa"/>
            <w:tcBorders>
              <w:top w:val="single" w:sz="6" w:space="0" w:color="00CBE5"/>
              <w:left w:val="single" w:sz="6" w:space="0" w:color="00CBE5"/>
              <w:bottom w:val="single" w:sz="6" w:space="0" w:color="00CBE5"/>
              <w:right w:val="single" w:sz="6" w:space="0" w:color="00CBE5"/>
            </w:tcBorders>
            <w:shd w:val="clear" w:color="00CBE5" w:fill="548DD4" w:themeFill="text2" w:themeFillTint="99"/>
            <w:tcMar>
              <w:top w:w="64" w:type="dxa"/>
              <w:left w:w="64" w:type="dxa"/>
              <w:bottom w:w="64" w:type="dxa"/>
              <w:right w:w="64" w:type="dxa"/>
            </w:tcMar>
            <w:vAlign w:val="center"/>
          </w:tcPr>
          <w:p w14:paraId="2B93F30E"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Bold" w:hAnsi="Bliss-Bold" w:cs="Bliss-Bold"/>
                <w:b/>
                <w:bCs/>
                <w:caps/>
                <w:color w:val="FFFFFF"/>
                <w:sz w:val="26"/>
                <w:szCs w:val="26"/>
                <w:lang w:val="en-GB"/>
              </w:rPr>
              <w:t>2013</w:t>
            </w:r>
          </w:p>
        </w:tc>
        <w:tc>
          <w:tcPr>
            <w:tcW w:w="1110" w:type="dxa"/>
            <w:tcBorders>
              <w:top w:val="single" w:sz="6" w:space="0" w:color="00CBE5"/>
              <w:left w:val="single" w:sz="6" w:space="0" w:color="00CBE5"/>
              <w:bottom w:val="single" w:sz="6" w:space="0" w:color="00CBE5"/>
              <w:right w:val="single" w:sz="6" w:space="0" w:color="00CBE5"/>
            </w:tcBorders>
            <w:shd w:val="clear" w:color="00CBE5" w:fill="548DD4" w:themeFill="text2" w:themeFillTint="99"/>
            <w:tcMar>
              <w:top w:w="64" w:type="dxa"/>
              <w:left w:w="64" w:type="dxa"/>
              <w:bottom w:w="64" w:type="dxa"/>
              <w:right w:w="64" w:type="dxa"/>
            </w:tcMar>
            <w:vAlign w:val="center"/>
          </w:tcPr>
          <w:p w14:paraId="65E02D43"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Bold" w:hAnsi="Bliss-Bold" w:cs="Bliss-Bold"/>
                <w:b/>
                <w:bCs/>
                <w:caps/>
                <w:color w:val="FFFFFF"/>
                <w:sz w:val="26"/>
                <w:szCs w:val="26"/>
                <w:lang w:val="en-GB"/>
              </w:rPr>
              <w:t>2014</w:t>
            </w:r>
          </w:p>
        </w:tc>
        <w:tc>
          <w:tcPr>
            <w:tcW w:w="1111" w:type="dxa"/>
            <w:tcBorders>
              <w:top w:val="single" w:sz="6" w:space="0" w:color="00CBE5"/>
              <w:left w:val="single" w:sz="6" w:space="0" w:color="00CBE5"/>
              <w:bottom w:val="single" w:sz="6" w:space="0" w:color="00CBE5"/>
              <w:right w:val="single" w:sz="6" w:space="0" w:color="00CBE5"/>
            </w:tcBorders>
            <w:shd w:val="clear" w:color="00CBE5" w:fill="548DD4" w:themeFill="text2" w:themeFillTint="99"/>
            <w:tcMar>
              <w:top w:w="64" w:type="dxa"/>
              <w:left w:w="64" w:type="dxa"/>
              <w:bottom w:w="64" w:type="dxa"/>
              <w:right w:w="64" w:type="dxa"/>
            </w:tcMar>
            <w:vAlign w:val="center"/>
          </w:tcPr>
          <w:p w14:paraId="643540A0"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Bold" w:hAnsi="Bliss-Bold" w:cs="Bliss-Bold"/>
                <w:b/>
                <w:bCs/>
                <w:caps/>
                <w:color w:val="FFFFFF"/>
                <w:sz w:val="26"/>
                <w:szCs w:val="26"/>
                <w:lang w:val="en-GB"/>
              </w:rPr>
              <w:t>2015</w:t>
            </w:r>
          </w:p>
        </w:tc>
      </w:tr>
      <w:tr w:rsidR="00DF2241" w:rsidRPr="00DF2241" w14:paraId="720076A4" w14:textId="77777777">
        <w:trPr>
          <w:trHeight w:val="656"/>
        </w:trPr>
        <w:tc>
          <w:tcPr>
            <w:tcW w:w="3875"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2DC592F7"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olor w:val="4C4C4C"/>
                <w:lang w:val="en-GB"/>
              </w:rPr>
              <w:lastRenderedPageBreak/>
              <w:t>Clients at start of year</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0FA3C6D4"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573</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190F763B"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667</w:t>
            </w:r>
          </w:p>
        </w:tc>
        <w:tc>
          <w:tcPr>
            <w:tcW w:w="1110"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0137664A"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671</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455BE8D8"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592</w:t>
            </w:r>
          </w:p>
        </w:tc>
      </w:tr>
      <w:tr w:rsidR="00DF2241" w:rsidRPr="00DF2241" w14:paraId="7CA26B63" w14:textId="77777777" w:rsidTr="00707A70">
        <w:trPr>
          <w:trHeight w:val="656"/>
        </w:trPr>
        <w:tc>
          <w:tcPr>
            <w:tcW w:w="3875"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16D46485"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olor w:val="4C4C4C"/>
                <w:lang w:val="en-GB"/>
              </w:rPr>
              <w:t>Total client numbers during the year</w:t>
            </w:r>
          </w:p>
        </w:tc>
        <w:tc>
          <w:tcPr>
            <w:tcW w:w="1111"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6D210E5E"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1068</w:t>
            </w:r>
          </w:p>
        </w:tc>
        <w:tc>
          <w:tcPr>
            <w:tcW w:w="1111"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28311400"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1063</w:t>
            </w:r>
          </w:p>
        </w:tc>
        <w:tc>
          <w:tcPr>
            <w:tcW w:w="1110"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7DD9148B"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1013</w:t>
            </w:r>
          </w:p>
        </w:tc>
        <w:tc>
          <w:tcPr>
            <w:tcW w:w="1111"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0BF622D1"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959</w:t>
            </w:r>
          </w:p>
        </w:tc>
      </w:tr>
      <w:tr w:rsidR="00DF2241" w:rsidRPr="00DF2241" w14:paraId="673B2108" w14:textId="77777777">
        <w:trPr>
          <w:trHeight w:val="656"/>
        </w:trPr>
        <w:tc>
          <w:tcPr>
            <w:tcW w:w="3875"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7DFEAF65"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olor w:val="4C4C4C"/>
                <w:lang w:val="en-GB"/>
              </w:rPr>
              <w:t xml:space="preserve">New cases </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2E9BAE67"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495</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257E70DF"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397</w:t>
            </w:r>
          </w:p>
        </w:tc>
        <w:tc>
          <w:tcPr>
            <w:tcW w:w="1110"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7EBCF17A"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342</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3188C6B0"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367</w:t>
            </w:r>
          </w:p>
        </w:tc>
      </w:tr>
      <w:tr w:rsidR="00DF2241" w:rsidRPr="00DF2241" w14:paraId="4A030CC7" w14:textId="77777777" w:rsidTr="00707A70">
        <w:trPr>
          <w:trHeight w:val="656"/>
        </w:trPr>
        <w:tc>
          <w:tcPr>
            <w:tcW w:w="3875"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626F1A9A" w14:textId="18952EDC" w:rsidR="00DF2241" w:rsidRPr="00DF2241" w:rsidRDefault="00E35569"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Regular" w:hAnsi="Bliss-Regular" w:cs="Bliss-Regular"/>
                <w:color w:val="4C4C4C"/>
                <w:lang w:val="en-GB"/>
              </w:rPr>
              <w:t xml:space="preserve">Closed </w:t>
            </w:r>
            <w:r w:rsidR="00DF2241" w:rsidRPr="00DF2241">
              <w:rPr>
                <w:rFonts w:ascii="Bliss-Regular" w:hAnsi="Bliss-Regular" w:cs="Bliss-Regular"/>
                <w:color w:val="4C4C4C"/>
                <w:lang w:val="en-GB"/>
              </w:rPr>
              <w:t>cases</w:t>
            </w:r>
          </w:p>
        </w:tc>
        <w:tc>
          <w:tcPr>
            <w:tcW w:w="1111"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5B5C78F5"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411</w:t>
            </w:r>
          </w:p>
        </w:tc>
        <w:tc>
          <w:tcPr>
            <w:tcW w:w="1111"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0599483E"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399</w:t>
            </w:r>
          </w:p>
        </w:tc>
        <w:tc>
          <w:tcPr>
            <w:tcW w:w="1110"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647521F3"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423</w:t>
            </w:r>
          </w:p>
        </w:tc>
        <w:tc>
          <w:tcPr>
            <w:tcW w:w="1111"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7CA466A7"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369</w:t>
            </w:r>
          </w:p>
        </w:tc>
      </w:tr>
      <w:tr w:rsidR="00DF2241" w:rsidRPr="00DF2241" w14:paraId="552E14BA" w14:textId="77777777">
        <w:trPr>
          <w:trHeight w:val="656"/>
        </w:trPr>
        <w:tc>
          <w:tcPr>
            <w:tcW w:w="3875"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720E0EB9"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olor w:val="4C4C4C"/>
                <w:lang w:val="en-GB"/>
              </w:rPr>
              <w:t>Initial enquiries</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2057C6A5"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872</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626C7018"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861</w:t>
            </w:r>
          </w:p>
        </w:tc>
        <w:tc>
          <w:tcPr>
            <w:tcW w:w="1110"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751545D9"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768</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4C257CB5"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1288</w:t>
            </w:r>
          </w:p>
        </w:tc>
      </w:tr>
      <w:tr w:rsidR="00DF2241" w:rsidRPr="00DF2241" w14:paraId="0834B34B" w14:textId="77777777" w:rsidTr="00707A70">
        <w:trPr>
          <w:trHeight w:val="656"/>
        </w:trPr>
        <w:tc>
          <w:tcPr>
            <w:tcW w:w="3875"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63DE0FC4"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olor w:val="4C4C4C"/>
                <w:lang w:val="en-GB"/>
              </w:rPr>
              <w:t>People on waiting list</w:t>
            </w:r>
          </w:p>
        </w:tc>
        <w:tc>
          <w:tcPr>
            <w:tcW w:w="1111"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590FB721" w14:textId="77777777" w:rsidR="00DF2241" w:rsidRPr="00DF2241" w:rsidRDefault="00DF2241" w:rsidP="00DF2241">
            <w:pPr>
              <w:widowControl w:val="0"/>
              <w:autoSpaceDE w:val="0"/>
              <w:autoSpaceDN w:val="0"/>
              <w:adjustRightInd w:val="0"/>
              <w:rPr>
                <w:rFonts w:ascii="Bliss-Bold" w:hAnsi="Bliss-Bold" w:cs="Times New Roman"/>
              </w:rPr>
            </w:pPr>
          </w:p>
        </w:tc>
        <w:tc>
          <w:tcPr>
            <w:tcW w:w="1111"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4AF16087" w14:textId="77777777" w:rsidR="00DF2241" w:rsidRPr="00DF2241" w:rsidRDefault="00DF2241" w:rsidP="00DF2241">
            <w:pPr>
              <w:widowControl w:val="0"/>
              <w:autoSpaceDE w:val="0"/>
              <w:autoSpaceDN w:val="0"/>
              <w:adjustRightInd w:val="0"/>
              <w:rPr>
                <w:rFonts w:ascii="Bliss-Bold" w:hAnsi="Bliss-Bold" w:cs="Times New Roman"/>
              </w:rPr>
            </w:pPr>
          </w:p>
        </w:tc>
        <w:tc>
          <w:tcPr>
            <w:tcW w:w="1110"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2910F855" w14:textId="77777777" w:rsidR="00DF2241" w:rsidRPr="00DF2241" w:rsidRDefault="00DF2241" w:rsidP="00DF2241">
            <w:pPr>
              <w:widowControl w:val="0"/>
              <w:autoSpaceDE w:val="0"/>
              <w:autoSpaceDN w:val="0"/>
              <w:adjustRightInd w:val="0"/>
              <w:rPr>
                <w:rFonts w:ascii="Bliss-Bold" w:hAnsi="Bliss-Bold" w:cs="Times New Roman"/>
              </w:rPr>
            </w:pPr>
          </w:p>
        </w:tc>
        <w:tc>
          <w:tcPr>
            <w:tcW w:w="1111"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0B138DD4" w14:textId="77777777" w:rsidR="00DF2241" w:rsidRPr="00DF2241" w:rsidRDefault="00DF2241" w:rsidP="00DF2241">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Regular" w:hAnsi="Bliss-Regular" w:cs="Bliss-Regular"/>
                <w:caps/>
                <w:color w:val="4C4C4C"/>
                <w:lang w:val="en-GB"/>
              </w:rPr>
              <w:t>154</w:t>
            </w:r>
          </w:p>
        </w:tc>
      </w:tr>
    </w:tbl>
    <w:p w14:paraId="6FFC49D4" w14:textId="77777777" w:rsidR="002B51B9" w:rsidRPr="002D3A60" w:rsidRDefault="002B51B9" w:rsidP="002B51B9">
      <w:pPr>
        <w:rPr>
          <w:lang w:val="en-IE"/>
        </w:rPr>
      </w:pPr>
    </w:p>
    <w:p w14:paraId="3C7B7473" w14:textId="77777777" w:rsidR="001F7DC6" w:rsidRPr="002D3A60" w:rsidRDefault="00496205" w:rsidP="001F7DC6">
      <w:pPr>
        <w:rPr>
          <w:lang w:val="en-IE"/>
        </w:rPr>
      </w:pPr>
      <w:r w:rsidRPr="002D3A60">
        <w:rPr>
          <w:bCs/>
          <w:lang w:val="en-IE"/>
        </w:rPr>
        <w:t xml:space="preserve">The service focuses on the most vulnerable people with disabilities, including </w:t>
      </w:r>
      <w:r w:rsidR="009704C0" w:rsidRPr="002D3A60">
        <w:rPr>
          <w:bCs/>
          <w:lang w:val="en-IE"/>
        </w:rPr>
        <w:t xml:space="preserve">people </w:t>
      </w:r>
      <w:r w:rsidRPr="002D3A60">
        <w:rPr>
          <w:bCs/>
          <w:lang w:val="en-IE"/>
        </w:rPr>
        <w:t>who are</w:t>
      </w:r>
      <w:r w:rsidR="007A1665" w:rsidRPr="002D3A60">
        <w:rPr>
          <w:bCs/>
          <w:lang w:val="en-IE"/>
        </w:rPr>
        <w:t xml:space="preserve"> i</w:t>
      </w:r>
      <w:r w:rsidRPr="002D3A60">
        <w:rPr>
          <w:lang w:val="en-IE"/>
        </w:rPr>
        <w:t>solated in the community</w:t>
      </w:r>
      <w:r w:rsidR="007A1665" w:rsidRPr="002D3A60">
        <w:rPr>
          <w:lang w:val="en-IE"/>
        </w:rPr>
        <w:t>, l</w:t>
      </w:r>
      <w:r w:rsidRPr="002D3A60">
        <w:rPr>
          <w:lang w:val="en-IE"/>
        </w:rPr>
        <w:t>iving in inappropriate accommodation</w:t>
      </w:r>
      <w:r w:rsidR="007A1665" w:rsidRPr="002D3A60">
        <w:rPr>
          <w:lang w:val="en-IE"/>
        </w:rPr>
        <w:t>, u</w:t>
      </w:r>
      <w:r w:rsidRPr="002D3A60">
        <w:rPr>
          <w:lang w:val="en-IE"/>
        </w:rPr>
        <w:t>nconnected to services</w:t>
      </w:r>
      <w:r w:rsidR="007A1665" w:rsidRPr="002D3A60">
        <w:rPr>
          <w:lang w:val="en-IE"/>
        </w:rPr>
        <w:t xml:space="preserve"> a</w:t>
      </w:r>
      <w:r w:rsidRPr="002D3A60">
        <w:rPr>
          <w:lang w:val="en-IE"/>
        </w:rPr>
        <w:t xml:space="preserve">nd people with communication differences who may find it difficult to represent themselves. </w:t>
      </w:r>
      <w:r w:rsidR="001F7DC6" w:rsidRPr="002D3A60">
        <w:rPr>
          <w:lang w:val="en-IE"/>
        </w:rPr>
        <w:t>When an advocate works with an individual, empowerment is a key component of the work. By building confidence and capacity, the person may, over time become willing and able to express their needs. Therefore, self-advocacy is an essential element of any advocacy plan.</w:t>
      </w:r>
    </w:p>
    <w:p w14:paraId="672F3FD5" w14:textId="77777777" w:rsidR="001F7DC6" w:rsidRPr="002D3A60" w:rsidRDefault="001F7DC6" w:rsidP="001F7DC6">
      <w:pPr>
        <w:rPr>
          <w:lang w:val="en-IE"/>
        </w:rPr>
      </w:pPr>
    </w:p>
    <w:p w14:paraId="1F2A5790" w14:textId="05AA600F" w:rsidR="002B51B9" w:rsidRPr="002D3A60" w:rsidRDefault="007A1665" w:rsidP="002B51B9">
      <w:pPr>
        <w:rPr>
          <w:lang w:val="en-IE"/>
        </w:rPr>
      </w:pPr>
      <w:r w:rsidRPr="002D3A60">
        <w:rPr>
          <w:lang w:val="en-IE"/>
        </w:rPr>
        <w:t xml:space="preserve">In 2015, 44% of NAS cases </w:t>
      </w:r>
      <w:r w:rsidR="00841AA9" w:rsidRPr="002D3A60">
        <w:rPr>
          <w:lang w:val="en-IE"/>
        </w:rPr>
        <w:t xml:space="preserve">related to </w:t>
      </w:r>
      <w:r w:rsidRPr="002D3A60">
        <w:rPr>
          <w:lang w:val="en-IE"/>
        </w:rPr>
        <w:t xml:space="preserve">people with intellectual and learning disabilities followed by people with physical disabilities (22%), people with mental health difficulties (20%) and people with autistic spectrum and sensory disabilities (14%).  </w:t>
      </w:r>
      <w:r w:rsidR="002B51B9" w:rsidRPr="002D3A60">
        <w:rPr>
          <w:lang w:val="en-IE"/>
        </w:rPr>
        <w:t xml:space="preserve">Most of the people who accessed NAS </w:t>
      </w:r>
      <w:r w:rsidR="00841AA9" w:rsidRPr="002D3A60">
        <w:rPr>
          <w:lang w:val="en-IE"/>
        </w:rPr>
        <w:t xml:space="preserve">during the year </w:t>
      </w:r>
      <w:r w:rsidR="002B51B9" w:rsidRPr="002D3A60">
        <w:rPr>
          <w:lang w:val="en-IE"/>
        </w:rPr>
        <w:t>lived in residential services – traditional institutions, ‘group homes’, mental health wards and supported accommodation. Many people were living in nursing homes and with family. Self-refe</w:t>
      </w:r>
      <w:r w:rsidR="00496205" w:rsidRPr="002D3A60">
        <w:rPr>
          <w:lang w:val="en-IE"/>
        </w:rPr>
        <w:t xml:space="preserve">rrals and </w:t>
      </w:r>
      <w:r w:rsidR="00841AA9" w:rsidRPr="002D3A60">
        <w:rPr>
          <w:lang w:val="en-IE"/>
        </w:rPr>
        <w:t xml:space="preserve">people </w:t>
      </w:r>
      <w:r w:rsidR="00496205" w:rsidRPr="002D3A60">
        <w:rPr>
          <w:lang w:val="en-IE"/>
        </w:rPr>
        <w:t>supported by h</w:t>
      </w:r>
      <w:r w:rsidR="002B51B9" w:rsidRPr="002D3A60">
        <w:rPr>
          <w:lang w:val="en-IE"/>
        </w:rPr>
        <w:t xml:space="preserve">ealth professionals and service providers was the </w:t>
      </w:r>
      <w:r w:rsidR="00841AA9" w:rsidRPr="002D3A60">
        <w:rPr>
          <w:lang w:val="en-IE"/>
        </w:rPr>
        <w:t>predominant method of referral to NAS.</w:t>
      </w:r>
      <w:r w:rsidR="002B51B9" w:rsidRPr="002D3A60">
        <w:rPr>
          <w:lang w:val="en-IE"/>
        </w:rPr>
        <w:t xml:space="preserve"> </w:t>
      </w:r>
    </w:p>
    <w:p w14:paraId="366DF0BA" w14:textId="77777777" w:rsidR="002B51B9" w:rsidRPr="002D3A60" w:rsidRDefault="002B51B9" w:rsidP="002B51B9">
      <w:pPr>
        <w:rPr>
          <w:b/>
          <w:lang w:val="en-IE"/>
        </w:rPr>
      </w:pPr>
    </w:p>
    <w:p w14:paraId="32B8D900" w14:textId="7433DA57" w:rsidR="002B51B9" w:rsidRDefault="007A1665" w:rsidP="002B51B9">
      <w:pPr>
        <w:rPr>
          <w:lang w:val="en-IE"/>
        </w:rPr>
      </w:pPr>
      <w:r w:rsidRPr="002D3A60">
        <w:rPr>
          <w:lang w:val="en-IE"/>
        </w:rPr>
        <w:t xml:space="preserve">NAS clients required support across a variety of areas but </w:t>
      </w:r>
      <w:r w:rsidR="002B51B9" w:rsidRPr="002D3A60">
        <w:rPr>
          <w:lang w:val="en-IE"/>
        </w:rPr>
        <w:t>key areas</w:t>
      </w:r>
      <w:r w:rsidRPr="002D3A60">
        <w:rPr>
          <w:lang w:val="en-IE"/>
        </w:rPr>
        <w:t xml:space="preserve"> in 2015 included:</w:t>
      </w:r>
      <w:r w:rsidR="002B51B9" w:rsidRPr="002D3A60">
        <w:rPr>
          <w:lang w:val="en-IE"/>
        </w:rPr>
        <w:t xml:space="preserve"> </w:t>
      </w:r>
    </w:p>
    <w:p w14:paraId="6652DAB2" w14:textId="77777777" w:rsidR="0018670B" w:rsidRPr="002D3A60" w:rsidRDefault="0018670B" w:rsidP="002B51B9">
      <w:pPr>
        <w:rPr>
          <w:lang w:val="en-IE"/>
        </w:rPr>
      </w:pPr>
    </w:p>
    <w:p w14:paraId="7869AF23" w14:textId="26D7E635" w:rsidR="002B51B9" w:rsidRDefault="002B51B9" w:rsidP="001A0B02">
      <w:pPr>
        <w:numPr>
          <w:ilvl w:val="0"/>
          <w:numId w:val="3"/>
        </w:numPr>
        <w:rPr>
          <w:lang w:val="en-IE"/>
        </w:rPr>
      </w:pPr>
      <w:r w:rsidRPr="002D3A60">
        <w:rPr>
          <w:lang w:val="en-IE"/>
        </w:rPr>
        <w:t xml:space="preserve">Support  in accessing important personal information - care plan, transition </w:t>
      </w:r>
      <w:r w:rsidR="00905905" w:rsidRPr="002D3A60">
        <w:rPr>
          <w:lang w:val="en-IE"/>
        </w:rPr>
        <w:t>plan, personal outcome measures</w:t>
      </w:r>
      <w:r w:rsidRPr="002D3A60">
        <w:rPr>
          <w:lang w:val="en-IE"/>
        </w:rPr>
        <w:t>, person centred planning documents</w:t>
      </w:r>
    </w:p>
    <w:p w14:paraId="139CBD87" w14:textId="77777777" w:rsidR="0018670B" w:rsidRPr="002D3A60" w:rsidRDefault="0018670B" w:rsidP="0018670B">
      <w:pPr>
        <w:ind w:left="780"/>
        <w:rPr>
          <w:lang w:val="en-IE"/>
        </w:rPr>
      </w:pPr>
    </w:p>
    <w:p w14:paraId="0970BF43" w14:textId="7A4C1534" w:rsidR="002B51B9" w:rsidRDefault="002B51B9" w:rsidP="001A0B02">
      <w:pPr>
        <w:numPr>
          <w:ilvl w:val="0"/>
          <w:numId w:val="3"/>
        </w:numPr>
        <w:rPr>
          <w:lang w:val="en-IE"/>
        </w:rPr>
      </w:pPr>
      <w:r w:rsidRPr="002D3A60">
        <w:rPr>
          <w:lang w:val="en-IE"/>
        </w:rPr>
        <w:t xml:space="preserve">Support in expressing  </w:t>
      </w:r>
      <w:r w:rsidR="00841AA9" w:rsidRPr="002D3A60">
        <w:rPr>
          <w:lang w:val="en-IE"/>
        </w:rPr>
        <w:t>preference to ensure</w:t>
      </w:r>
      <w:r w:rsidRPr="002D3A60">
        <w:rPr>
          <w:lang w:val="en-IE"/>
        </w:rPr>
        <w:t xml:space="preserve"> input to decisions</w:t>
      </w:r>
    </w:p>
    <w:p w14:paraId="7F1F95DE" w14:textId="77777777" w:rsidR="0018670B" w:rsidRPr="002D3A60" w:rsidRDefault="0018670B" w:rsidP="0018670B">
      <w:pPr>
        <w:rPr>
          <w:lang w:val="en-IE"/>
        </w:rPr>
      </w:pPr>
    </w:p>
    <w:p w14:paraId="4566363F" w14:textId="5B0BCD2D" w:rsidR="002B51B9" w:rsidRDefault="002B51B9" w:rsidP="001A0B02">
      <w:pPr>
        <w:numPr>
          <w:ilvl w:val="0"/>
          <w:numId w:val="3"/>
        </w:numPr>
        <w:rPr>
          <w:lang w:val="en-IE"/>
        </w:rPr>
      </w:pPr>
      <w:r w:rsidRPr="002D3A60">
        <w:rPr>
          <w:lang w:val="en-IE"/>
        </w:rPr>
        <w:lastRenderedPageBreak/>
        <w:t>S</w:t>
      </w:r>
      <w:r w:rsidR="00905905" w:rsidRPr="002D3A60">
        <w:rPr>
          <w:lang w:val="en-IE"/>
        </w:rPr>
        <w:t>upport  in understanding  legal/</w:t>
      </w:r>
      <w:r w:rsidRPr="002D3A60">
        <w:rPr>
          <w:lang w:val="en-IE"/>
        </w:rPr>
        <w:t>appeal processes to ensure the person’s preference was heard in these processes</w:t>
      </w:r>
    </w:p>
    <w:p w14:paraId="23AD9BB5" w14:textId="77777777" w:rsidR="0018670B" w:rsidRPr="002D3A60" w:rsidRDefault="0018670B" w:rsidP="0018670B">
      <w:pPr>
        <w:ind w:left="780"/>
        <w:rPr>
          <w:lang w:val="en-IE"/>
        </w:rPr>
      </w:pPr>
    </w:p>
    <w:p w14:paraId="7D3BDE9B" w14:textId="6ECB209F" w:rsidR="002B51B9" w:rsidRPr="002D3A60" w:rsidRDefault="002B51B9" w:rsidP="001A0B02">
      <w:pPr>
        <w:numPr>
          <w:ilvl w:val="0"/>
          <w:numId w:val="3"/>
        </w:numPr>
        <w:rPr>
          <w:lang w:val="en-IE"/>
        </w:rPr>
      </w:pPr>
      <w:r w:rsidRPr="002D3A60">
        <w:rPr>
          <w:lang w:val="en-IE"/>
        </w:rPr>
        <w:t>Support about where and with whom to share accommodation when moving from residential to community living.</w:t>
      </w:r>
    </w:p>
    <w:p w14:paraId="32D43084" w14:textId="77777777" w:rsidR="00496205" w:rsidRPr="002D3A60" w:rsidRDefault="00496205" w:rsidP="002B51B9">
      <w:pPr>
        <w:rPr>
          <w:lang w:val="en"/>
        </w:rPr>
      </w:pPr>
    </w:p>
    <w:p w14:paraId="3668D3D7" w14:textId="5E1F5C27" w:rsidR="00235417" w:rsidRPr="002D3A60" w:rsidRDefault="00235417">
      <w:r w:rsidRPr="002D3A60">
        <w:br w:type="page"/>
      </w:r>
    </w:p>
    <w:p w14:paraId="32DD7C97" w14:textId="5E9E7359" w:rsidR="005732BC" w:rsidRDefault="00763D30" w:rsidP="007073B5">
      <w:pPr>
        <w:pStyle w:val="Heading1"/>
      </w:pPr>
      <w:bookmarkStart w:id="136" w:name="_Toc438544258"/>
      <w:bookmarkStart w:id="137" w:name="_Toc438544294"/>
      <w:bookmarkStart w:id="138" w:name="_Toc337126529"/>
      <w:bookmarkStart w:id="139" w:name="_Toc337126577"/>
      <w:r>
        <w:lastRenderedPageBreak/>
        <w:t xml:space="preserve">The Sign </w:t>
      </w:r>
      <w:r w:rsidR="005732BC">
        <w:t>Language</w:t>
      </w:r>
      <w:r w:rsidR="008B72AF">
        <w:t xml:space="preserve"> </w:t>
      </w:r>
      <w:r w:rsidR="005732BC">
        <w:t>Interpreting Service</w:t>
      </w:r>
      <w:bookmarkEnd w:id="136"/>
      <w:bookmarkEnd w:id="137"/>
      <w:bookmarkEnd w:id="138"/>
      <w:bookmarkEnd w:id="139"/>
    </w:p>
    <w:p w14:paraId="760171B6" w14:textId="77777777" w:rsidR="005732BC" w:rsidRPr="002D3A60" w:rsidRDefault="005732BC" w:rsidP="005732BC"/>
    <w:p w14:paraId="14810423" w14:textId="3E002D33" w:rsidR="005732BC" w:rsidRDefault="005732BC" w:rsidP="00C5671C">
      <w:r w:rsidRPr="002D3A60">
        <w:t>The Sign Language Interpreting Service (SLIS) seeks to ensure that quality interpretation services are available to Deaf people in Ireland so they can access public and social services.</w:t>
      </w:r>
    </w:p>
    <w:p w14:paraId="27D2D439" w14:textId="77777777" w:rsidR="002D3A60" w:rsidRPr="002D3A60" w:rsidRDefault="002D3A60" w:rsidP="00C5671C"/>
    <w:p w14:paraId="34887208" w14:textId="3B04D384" w:rsidR="005732BC" w:rsidRDefault="00D26EBE" w:rsidP="005732BC">
      <w:r w:rsidRPr="002D3A60">
        <w:rPr>
          <w:lang w:val="en-IE"/>
        </w:rPr>
        <w:t>SLIS is a limited company, managed by a Board of Directors, comprising of representatives from key national stakeholders such as CIB, DeafHear and the Deaf community</w:t>
      </w:r>
      <w:r w:rsidRPr="002D3A60">
        <w:t>. SLIS received €275,000</w:t>
      </w:r>
      <w:r w:rsidR="004C344B" w:rsidRPr="002D3A60">
        <w:t xml:space="preserve"> in direct funding from the Citizens Information Board in 2015.</w:t>
      </w:r>
    </w:p>
    <w:p w14:paraId="7C2A02AA" w14:textId="0A6896A0" w:rsidR="005732BC" w:rsidRPr="002D3A60" w:rsidRDefault="005732BC" w:rsidP="005732BC"/>
    <w:p w14:paraId="745C7302" w14:textId="77777777" w:rsidR="006605A1" w:rsidRDefault="006605A1" w:rsidP="005927C4">
      <w:pPr>
        <w:pStyle w:val="Heading2"/>
      </w:pPr>
      <w:bookmarkStart w:id="140" w:name="_Toc450922557"/>
      <w:bookmarkStart w:id="141" w:name="_Toc337126530"/>
      <w:r w:rsidRPr="006605A1">
        <w:t>The Irish Remote Interpreting Service (IRIS)</w:t>
      </w:r>
      <w:bookmarkEnd w:id="140"/>
      <w:bookmarkEnd w:id="141"/>
    </w:p>
    <w:p w14:paraId="5E2521F2" w14:textId="77777777" w:rsidR="005927C4" w:rsidRPr="005927C4" w:rsidRDefault="005927C4" w:rsidP="005927C4"/>
    <w:p w14:paraId="19B4FB5B" w14:textId="391C5314" w:rsidR="006605A1" w:rsidRPr="002D3A60" w:rsidRDefault="006605A1" w:rsidP="006605A1">
      <w:r w:rsidRPr="002D3A60">
        <w:t xml:space="preserve">The Irish Remote Interpreting Service (IRIS) offers a video-link service to a live Irish Sign Language interpreter. In 2015, IRIS expanded its service provision to offer a 5-day service (Monday - Friday from 10am-4pm) and during the year managed 1,223 assignments. This is a 30% increase in volume compared to 2014.  </w:t>
      </w:r>
    </w:p>
    <w:p w14:paraId="17F236A2" w14:textId="77777777" w:rsidR="006605A1" w:rsidRPr="002D3A60" w:rsidRDefault="006605A1" w:rsidP="006605A1">
      <w:pPr>
        <w:rPr>
          <w:b/>
          <w:bCs/>
        </w:rPr>
      </w:pPr>
    </w:p>
    <w:p w14:paraId="51942DA2" w14:textId="77777777" w:rsidR="005927C4" w:rsidRPr="005927C4" w:rsidRDefault="004C344B" w:rsidP="005927C4">
      <w:pPr>
        <w:pStyle w:val="Heading2"/>
      </w:pPr>
      <w:bookmarkStart w:id="142" w:name="_Toc450922558"/>
      <w:bookmarkStart w:id="143" w:name="_Toc337126531"/>
      <w:r w:rsidRPr="005927C4">
        <w:t>Referral and access service</w:t>
      </w:r>
      <w:bookmarkEnd w:id="142"/>
      <w:bookmarkEnd w:id="143"/>
    </w:p>
    <w:p w14:paraId="365349C9" w14:textId="3CA78F32" w:rsidR="00AD292E" w:rsidRPr="00124B16" w:rsidRDefault="00FF5ABB" w:rsidP="00124B16">
      <w:r>
        <w:br/>
      </w:r>
      <w:r w:rsidR="00AD292E" w:rsidRPr="00124B16">
        <w:t xml:space="preserve">SLIS provides a referral service by putting booking clients (mainly public service providers) in touch with suitably qualified interpreters. In 2015 SLIS answered 1,229 requests to meet specific sign language interpreting needs. Access to health settings accounted for 33% of these requests. </w:t>
      </w:r>
    </w:p>
    <w:p w14:paraId="1DF98A9F" w14:textId="77777777" w:rsidR="00AD292E" w:rsidRPr="00AD292E" w:rsidRDefault="00AD292E" w:rsidP="00124B16">
      <w:pPr>
        <w:rPr>
          <w:lang w:val="en-GB"/>
        </w:rPr>
      </w:pPr>
    </w:p>
    <w:p w14:paraId="34426BE0" w14:textId="77777777" w:rsidR="00AD292E" w:rsidRDefault="00AD292E" w:rsidP="00124B16">
      <w:pPr>
        <w:rPr>
          <w:lang w:val="en-GB"/>
        </w:rPr>
      </w:pPr>
      <w:r w:rsidRPr="00AD292E">
        <w:rPr>
          <w:lang w:val="en-GB"/>
        </w:rPr>
        <w:t>In some cases, the support is to overcome an access barrier or issue to ensure an interpreter is present in the first place, in keeping with disability and equality legislation.  Such cases tend to take more time and are known as ‘Access Referrals’ (291 cases or 24% of referrals in 2015 compared to 15% (159 cases) in 2014). Some of these are expressed as complaints.  SLIS dealt with 34 complaints in 2015 from Deaf and other individuals about the availability or quality of sign language interpreting. This is a major increase on 2014 (25 complaints).</w:t>
      </w:r>
    </w:p>
    <w:p w14:paraId="0947BA06" w14:textId="77777777" w:rsidR="00AD292E" w:rsidRPr="00AD292E" w:rsidRDefault="00AD292E" w:rsidP="00124B16">
      <w:pPr>
        <w:rPr>
          <w:lang w:val="en-GB"/>
        </w:rPr>
      </w:pPr>
    </w:p>
    <w:p w14:paraId="733151A1" w14:textId="77777777" w:rsidR="00AD292E" w:rsidRDefault="00AD292E" w:rsidP="00124B16">
      <w:pPr>
        <w:rPr>
          <w:lang w:val="en-GB"/>
        </w:rPr>
      </w:pPr>
      <w:r w:rsidRPr="00AD292E">
        <w:rPr>
          <w:lang w:val="en-GB"/>
        </w:rPr>
        <w:t xml:space="preserve">In 2015, it was estimated that there were fewer than 50 working Irish Sign Language interpreters offering service to a Deaf community of 5,000. This pool of interpreters is not considered enough to provide Deaf people with routine access to public, social and health services, especially in rural areas.  </w:t>
      </w:r>
    </w:p>
    <w:p w14:paraId="1FB83DDE" w14:textId="77777777" w:rsidR="00AD292E" w:rsidRPr="00AD292E" w:rsidRDefault="00AD292E" w:rsidP="00124B16">
      <w:pPr>
        <w:rPr>
          <w:lang w:val="en-GB"/>
        </w:rPr>
      </w:pPr>
    </w:p>
    <w:p w14:paraId="461584D9" w14:textId="77777777" w:rsidR="00AD292E" w:rsidRDefault="00AD292E" w:rsidP="00124B16">
      <w:pPr>
        <w:rPr>
          <w:lang w:val="en-GB"/>
        </w:rPr>
      </w:pPr>
      <w:r w:rsidRPr="00AD292E">
        <w:rPr>
          <w:lang w:val="en-GB"/>
        </w:rPr>
        <w:t xml:space="preserve">During the year 53 calls and texts were made to the 24/7 Emergency helpline seeking interpreters in urgent or crisis situations. SLIS spent </w:t>
      </w:r>
      <w:r w:rsidRPr="00AD292E">
        <w:rPr>
          <w:rFonts w:cs="EuroSansStd-Regular"/>
          <w:lang w:val="en-GB"/>
        </w:rPr>
        <w:t></w:t>
      </w:r>
      <w:r w:rsidRPr="00AD292E">
        <w:rPr>
          <w:lang w:val="en-GB"/>
        </w:rPr>
        <w:t xml:space="preserve">3,136 from the social interpreting fund to cover interpreting for funerals and hardship cases. </w:t>
      </w:r>
    </w:p>
    <w:p w14:paraId="7A2A1E46" w14:textId="77777777" w:rsidR="00AD292E" w:rsidRPr="00AD292E" w:rsidRDefault="00AD292E" w:rsidP="00124B16">
      <w:pPr>
        <w:rPr>
          <w:lang w:val="en-GB"/>
        </w:rPr>
      </w:pPr>
    </w:p>
    <w:p w14:paraId="65787959" w14:textId="77777777" w:rsidR="00EE54C4" w:rsidRDefault="00AD292E" w:rsidP="00124B16">
      <w:pPr>
        <w:rPr>
          <w:lang w:val="en-GB"/>
        </w:rPr>
      </w:pPr>
      <w:r w:rsidRPr="00AD292E">
        <w:rPr>
          <w:lang w:val="en-GB"/>
        </w:rPr>
        <w:t xml:space="preserve">Demand for access to medical interpreting continues to increase. Demand also increased for legal and social interpreting, but by a smaller margin. Demand </w:t>
      </w:r>
      <w:r w:rsidRPr="00AD292E">
        <w:rPr>
          <w:lang w:val="en-GB"/>
        </w:rPr>
        <w:lastRenderedPageBreak/>
        <w:t xml:space="preserve">decreased in the last year in the areas of education and training and voluntary sector services. </w:t>
      </w:r>
    </w:p>
    <w:p w14:paraId="6A1F796F" w14:textId="77777777" w:rsidR="00EE54C4" w:rsidRDefault="00EE54C4" w:rsidP="00AD292E">
      <w:pPr>
        <w:rPr>
          <w:lang w:val="en-GB"/>
        </w:rPr>
      </w:pPr>
      <w:r>
        <w:rPr>
          <w:lang w:val="en-GB"/>
        </w:rPr>
        <w:t xml:space="preserve">                     </w:t>
      </w:r>
    </w:p>
    <w:p w14:paraId="4653D010" w14:textId="5D39EF36" w:rsidR="000C3635" w:rsidRPr="000C3635" w:rsidRDefault="00516D06" w:rsidP="000C3635">
      <w:pPr>
        <w:rPr>
          <w:lang w:val="en-GB"/>
        </w:rPr>
      </w:pPr>
      <w:r w:rsidRPr="002D3A60">
        <w:br w:type="page"/>
      </w:r>
    </w:p>
    <w:p w14:paraId="60A7900C" w14:textId="28E4666B" w:rsidR="000C3635" w:rsidRDefault="000C3635" w:rsidP="004116D8">
      <w:pPr>
        <w:pStyle w:val="Heading1"/>
      </w:pPr>
      <w:bookmarkStart w:id="144" w:name="_Toc337126532"/>
      <w:bookmarkStart w:id="145" w:name="_Toc337126578"/>
      <w:bookmarkStart w:id="146" w:name="_Toc438544267"/>
      <w:bookmarkStart w:id="147" w:name="_Toc438544303"/>
      <w:r>
        <w:lastRenderedPageBreak/>
        <w:t>Appendices</w:t>
      </w:r>
      <w:bookmarkEnd w:id="144"/>
      <w:bookmarkEnd w:id="145"/>
    </w:p>
    <w:p w14:paraId="106E9D00" w14:textId="77777777" w:rsidR="000C3635" w:rsidRPr="000C3635" w:rsidRDefault="000C3635" w:rsidP="000C3635"/>
    <w:tbl>
      <w:tblPr>
        <w:tblW w:w="0" w:type="auto"/>
        <w:tblInd w:w="170" w:type="dxa"/>
        <w:tblLayout w:type="fixed"/>
        <w:tblCellMar>
          <w:left w:w="0" w:type="dxa"/>
          <w:right w:w="0" w:type="dxa"/>
        </w:tblCellMar>
        <w:tblLook w:val="0000" w:firstRow="0" w:lastRow="0" w:firstColumn="0" w:lastColumn="0" w:noHBand="0" w:noVBand="0"/>
      </w:tblPr>
      <w:tblGrid>
        <w:gridCol w:w="4932"/>
        <w:gridCol w:w="3402"/>
      </w:tblGrid>
      <w:tr w:rsidR="000C3635" w:rsidRPr="000C3635" w14:paraId="47B60D94" w14:textId="77777777">
        <w:trPr>
          <w:trHeight w:val="60"/>
        </w:trPr>
        <w:tc>
          <w:tcPr>
            <w:tcW w:w="4932" w:type="dxa"/>
            <w:tcBorders>
              <w:top w:val="single" w:sz="4" w:space="0" w:color="7FFF00"/>
              <w:left w:val="single" w:sz="6" w:space="0" w:color="7FFF00"/>
              <w:bottom w:val="single" w:sz="4" w:space="0" w:color="7FFF00"/>
              <w:right w:val="single" w:sz="6" w:space="0" w:color="auto"/>
            </w:tcBorders>
            <w:shd w:val="solid" w:color="FFFFFF" w:fill="auto"/>
            <w:tcMar>
              <w:top w:w="181" w:type="dxa"/>
              <w:left w:w="170" w:type="dxa"/>
              <w:bottom w:w="181" w:type="dxa"/>
              <w:right w:w="170" w:type="dxa"/>
            </w:tcMar>
            <w:vAlign w:val="center"/>
          </w:tcPr>
          <w:p w14:paraId="4703B08C" w14:textId="77777777" w:rsidR="000C3635" w:rsidRPr="000C3635" w:rsidRDefault="000C3635" w:rsidP="000C3635">
            <w:pPr>
              <w:widowControl w:val="0"/>
              <w:autoSpaceDE w:val="0"/>
              <w:autoSpaceDN w:val="0"/>
              <w:adjustRightInd w:val="0"/>
              <w:spacing w:line="288" w:lineRule="auto"/>
              <w:textAlignment w:val="center"/>
              <w:rPr>
                <w:rFonts w:ascii="Bliss-Regular" w:hAnsi="Bliss-Regular" w:cs="Times New Roman"/>
                <w:color w:val="000000"/>
                <w:lang w:val="en-GB"/>
              </w:rPr>
            </w:pPr>
            <w:r w:rsidRPr="000C3635">
              <w:rPr>
                <w:rFonts w:ascii="Bliss-Regular" w:hAnsi="Bliss-Regular" w:cs="Bliss-Regular"/>
                <w:color w:val="4C4C4C"/>
                <w:u w:color="7FFF00"/>
                <w:lang w:val="en-GB"/>
              </w:rPr>
              <w:t>Appendix 1: Customer Service Charter</w:t>
            </w:r>
          </w:p>
        </w:tc>
        <w:tc>
          <w:tcPr>
            <w:tcW w:w="3402" w:type="dxa"/>
            <w:tcBorders>
              <w:top w:val="single" w:sz="4" w:space="0" w:color="7FFF00"/>
              <w:left w:val="single" w:sz="6" w:space="0" w:color="auto"/>
              <w:bottom w:val="single" w:sz="4" w:space="0" w:color="7FFF00"/>
              <w:right w:val="single" w:sz="6" w:space="0" w:color="auto"/>
            </w:tcBorders>
            <w:shd w:val="solid" w:color="FFFFFF" w:fill="auto"/>
            <w:tcMar>
              <w:top w:w="181" w:type="dxa"/>
              <w:left w:w="170" w:type="dxa"/>
              <w:bottom w:w="181" w:type="dxa"/>
              <w:right w:w="170" w:type="dxa"/>
            </w:tcMar>
            <w:vAlign w:val="center"/>
          </w:tcPr>
          <w:p w14:paraId="7398CB24" w14:textId="77777777" w:rsidR="000C3635" w:rsidRPr="000C3635" w:rsidRDefault="000C3635" w:rsidP="000C3635">
            <w:pPr>
              <w:widowControl w:val="0"/>
              <w:autoSpaceDE w:val="0"/>
              <w:autoSpaceDN w:val="0"/>
              <w:adjustRightInd w:val="0"/>
              <w:spacing w:line="288" w:lineRule="auto"/>
              <w:jc w:val="right"/>
              <w:textAlignment w:val="center"/>
              <w:rPr>
                <w:rFonts w:ascii="Bliss-Regular" w:hAnsi="Bliss-Regular" w:cs="Times New Roman"/>
                <w:color w:val="000000"/>
                <w:lang w:val="en-GB"/>
              </w:rPr>
            </w:pPr>
            <w:r w:rsidRPr="000C3635">
              <w:rPr>
                <w:rFonts w:ascii="Bliss-Regular" w:hAnsi="Bliss-Regular" w:cs="Bliss-Regular"/>
                <w:caps/>
                <w:color w:val="4C4C4C"/>
                <w:lang w:val="en-GB"/>
              </w:rPr>
              <w:t>75</w:t>
            </w:r>
          </w:p>
        </w:tc>
      </w:tr>
      <w:tr w:rsidR="000C3635" w:rsidRPr="000C3635" w14:paraId="69194391" w14:textId="77777777">
        <w:trPr>
          <w:trHeight w:val="578"/>
        </w:trPr>
        <w:tc>
          <w:tcPr>
            <w:tcW w:w="4932" w:type="dxa"/>
            <w:tcBorders>
              <w:top w:val="single" w:sz="4" w:space="0" w:color="7FFF00"/>
              <w:left w:val="single" w:sz="6" w:space="0" w:color="7FFF00"/>
              <w:bottom w:val="single" w:sz="4" w:space="0" w:color="7FFF00"/>
              <w:right w:val="single" w:sz="6" w:space="0" w:color="auto"/>
            </w:tcBorders>
            <w:shd w:val="solid" w:color="FFFFFF" w:fill="auto"/>
            <w:tcMar>
              <w:top w:w="181" w:type="dxa"/>
              <w:left w:w="170" w:type="dxa"/>
              <w:bottom w:w="181" w:type="dxa"/>
              <w:right w:w="170" w:type="dxa"/>
            </w:tcMar>
            <w:vAlign w:val="center"/>
          </w:tcPr>
          <w:p w14:paraId="2E33B704" w14:textId="77777777" w:rsidR="000C3635" w:rsidRPr="000C3635" w:rsidRDefault="000C3635" w:rsidP="000C3635">
            <w:pPr>
              <w:widowControl w:val="0"/>
              <w:autoSpaceDE w:val="0"/>
              <w:autoSpaceDN w:val="0"/>
              <w:adjustRightInd w:val="0"/>
              <w:spacing w:line="288" w:lineRule="auto"/>
              <w:textAlignment w:val="center"/>
              <w:rPr>
                <w:rFonts w:ascii="Bliss-Regular" w:hAnsi="Bliss-Regular" w:cs="Times New Roman"/>
                <w:color w:val="000000"/>
                <w:lang w:val="en-GB"/>
              </w:rPr>
            </w:pPr>
            <w:r w:rsidRPr="000C3635">
              <w:rPr>
                <w:rFonts w:ascii="Bliss-Regular" w:hAnsi="Bliss-Regular" w:cs="Bliss-Regular"/>
                <w:color w:val="4C4C4C"/>
                <w:u w:color="7FFF00"/>
                <w:lang w:val="en-GB"/>
              </w:rPr>
              <w:t>Appendix 2: Board members 2015</w:t>
            </w:r>
          </w:p>
        </w:tc>
        <w:tc>
          <w:tcPr>
            <w:tcW w:w="3402" w:type="dxa"/>
            <w:tcBorders>
              <w:top w:val="single" w:sz="4" w:space="0" w:color="7FFF00"/>
              <w:left w:val="single" w:sz="6" w:space="0" w:color="auto"/>
              <w:bottom w:val="single" w:sz="4" w:space="0" w:color="7FFF00"/>
              <w:right w:val="single" w:sz="6" w:space="0" w:color="auto"/>
            </w:tcBorders>
            <w:shd w:val="solid" w:color="FFFFFF" w:fill="auto"/>
            <w:tcMar>
              <w:top w:w="181" w:type="dxa"/>
              <w:left w:w="170" w:type="dxa"/>
              <w:bottom w:w="181" w:type="dxa"/>
              <w:right w:w="170" w:type="dxa"/>
            </w:tcMar>
            <w:vAlign w:val="center"/>
          </w:tcPr>
          <w:p w14:paraId="1100DC8A" w14:textId="77777777" w:rsidR="000C3635" w:rsidRPr="000C3635" w:rsidRDefault="000C3635" w:rsidP="000C3635">
            <w:pPr>
              <w:widowControl w:val="0"/>
              <w:autoSpaceDE w:val="0"/>
              <w:autoSpaceDN w:val="0"/>
              <w:adjustRightInd w:val="0"/>
              <w:spacing w:line="288" w:lineRule="auto"/>
              <w:jc w:val="right"/>
              <w:textAlignment w:val="center"/>
              <w:rPr>
                <w:rFonts w:ascii="Bliss-Regular" w:hAnsi="Bliss-Regular" w:cs="Times New Roman"/>
                <w:color w:val="000000"/>
                <w:lang w:val="en-GB"/>
              </w:rPr>
            </w:pPr>
            <w:r w:rsidRPr="000C3635">
              <w:rPr>
                <w:rFonts w:ascii="Bliss-Regular" w:hAnsi="Bliss-Regular" w:cs="Bliss-Regular"/>
                <w:caps/>
                <w:color w:val="4C4C4C"/>
                <w:u w:color="7FFF00"/>
                <w:lang w:val="en-GB"/>
              </w:rPr>
              <w:t>79</w:t>
            </w:r>
          </w:p>
        </w:tc>
      </w:tr>
      <w:tr w:rsidR="000C3635" w:rsidRPr="000C3635" w14:paraId="35EFA47A" w14:textId="77777777">
        <w:trPr>
          <w:trHeight w:val="571"/>
        </w:trPr>
        <w:tc>
          <w:tcPr>
            <w:tcW w:w="4932" w:type="dxa"/>
            <w:tcBorders>
              <w:top w:val="single" w:sz="4" w:space="0" w:color="7FFF00"/>
              <w:left w:val="single" w:sz="6" w:space="0" w:color="7FFF00"/>
              <w:bottom w:val="single" w:sz="4" w:space="0" w:color="7FFF00"/>
              <w:right w:val="single" w:sz="6" w:space="0" w:color="auto"/>
            </w:tcBorders>
            <w:shd w:val="solid" w:color="FFFFFF" w:fill="auto"/>
            <w:tcMar>
              <w:top w:w="181" w:type="dxa"/>
              <w:left w:w="170" w:type="dxa"/>
              <w:bottom w:w="181" w:type="dxa"/>
              <w:right w:w="170" w:type="dxa"/>
            </w:tcMar>
            <w:vAlign w:val="center"/>
          </w:tcPr>
          <w:p w14:paraId="0941FCAD" w14:textId="77777777" w:rsidR="000C3635" w:rsidRPr="000C3635" w:rsidRDefault="000C3635" w:rsidP="000C3635">
            <w:pPr>
              <w:widowControl w:val="0"/>
              <w:autoSpaceDE w:val="0"/>
              <w:autoSpaceDN w:val="0"/>
              <w:adjustRightInd w:val="0"/>
              <w:spacing w:line="288" w:lineRule="auto"/>
              <w:textAlignment w:val="center"/>
              <w:rPr>
                <w:rFonts w:ascii="Bliss-Regular" w:hAnsi="Bliss-Regular" w:cs="Times New Roman"/>
                <w:color w:val="000000"/>
                <w:lang w:val="en-GB"/>
              </w:rPr>
            </w:pPr>
            <w:r w:rsidRPr="000C3635">
              <w:rPr>
                <w:rFonts w:ascii="Bliss-Regular" w:hAnsi="Bliss-Regular" w:cs="Bliss-Regular"/>
                <w:color w:val="4C4C4C"/>
                <w:u w:color="7FFF00"/>
                <w:lang w:val="en-GB"/>
              </w:rPr>
              <w:t xml:space="preserve">Appendix 3: </w:t>
            </w:r>
            <w:r w:rsidRPr="000C3635">
              <w:rPr>
                <w:rFonts w:ascii="Bliss-Light" w:hAnsi="Bliss-Light" w:cs="Bliss-Light"/>
                <w:color w:val="4C4C4C"/>
                <w:lang w:val="en-GB"/>
              </w:rPr>
              <w:t>Service teams and structure</w:t>
            </w:r>
          </w:p>
        </w:tc>
        <w:tc>
          <w:tcPr>
            <w:tcW w:w="3402" w:type="dxa"/>
            <w:tcBorders>
              <w:top w:val="single" w:sz="4" w:space="0" w:color="7FFF00"/>
              <w:left w:val="single" w:sz="6" w:space="0" w:color="auto"/>
              <w:bottom w:val="single" w:sz="4" w:space="0" w:color="7FFF00"/>
              <w:right w:val="single" w:sz="6" w:space="0" w:color="auto"/>
            </w:tcBorders>
            <w:shd w:val="solid" w:color="FFFFFF" w:fill="auto"/>
            <w:tcMar>
              <w:top w:w="181" w:type="dxa"/>
              <w:left w:w="170" w:type="dxa"/>
              <w:bottom w:w="181" w:type="dxa"/>
              <w:right w:w="170" w:type="dxa"/>
            </w:tcMar>
            <w:vAlign w:val="center"/>
          </w:tcPr>
          <w:p w14:paraId="43873B02" w14:textId="77777777" w:rsidR="000C3635" w:rsidRPr="000C3635" w:rsidRDefault="000C3635" w:rsidP="000C3635">
            <w:pPr>
              <w:widowControl w:val="0"/>
              <w:autoSpaceDE w:val="0"/>
              <w:autoSpaceDN w:val="0"/>
              <w:adjustRightInd w:val="0"/>
              <w:spacing w:line="288" w:lineRule="auto"/>
              <w:jc w:val="right"/>
              <w:textAlignment w:val="center"/>
              <w:rPr>
                <w:rFonts w:ascii="Bliss-Regular" w:hAnsi="Bliss-Regular" w:cs="Times New Roman"/>
                <w:color w:val="000000"/>
                <w:lang w:val="en-GB"/>
              </w:rPr>
            </w:pPr>
            <w:r w:rsidRPr="000C3635">
              <w:rPr>
                <w:rFonts w:ascii="Bliss-Light" w:hAnsi="Bliss-Light" w:cs="Bliss-Light"/>
                <w:caps/>
                <w:color w:val="4C4C4C"/>
                <w:lang w:val="en-GB"/>
              </w:rPr>
              <w:t>80</w:t>
            </w:r>
          </w:p>
        </w:tc>
      </w:tr>
      <w:tr w:rsidR="000C3635" w:rsidRPr="000C3635" w14:paraId="3389C7C9" w14:textId="77777777">
        <w:trPr>
          <w:trHeight w:val="60"/>
        </w:trPr>
        <w:tc>
          <w:tcPr>
            <w:tcW w:w="4932" w:type="dxa"/>
            <w:tcBorders>
              <w:top w:val="single" w:sz="4" w:space="0" w:color="7FFF00"/>
              <w:left w:val="single" w:sz="6" w:space="0" w:color="7FFF00"/>
              <w:bottom w:val="single" w:sz="4" w:space="0" w:color="7FFF00"/>
              <w:right w:val="single" w:sz="6" w:space="0" w:color="auto"/>
            </w:tcBorders>
            <w:shd w:val="solid" w:color="FFFFFF" w:fill="auto"/>
            <w:tcMar>
              <w:top w:w="181" w:type="dxa"/>
              <w:left w:w="170" w:type="dxa"/>
              <w:bottom w:w="181" w:type="dxa"/>
              <w:right w:w="170" w:type="dxa"/>
            </w:tcMar>
            <w:vAlign w:val="center"/>
          </w:tcPr>
          <w:p w14:paraId="4585B39D" w14:textId="77777777" w:rsidR="000C3635" w:rsidRPr="000C3635" w:rsidRDefault="000C3635" w:rsidP="000C3635">
            <w:pPr>
              <w:widowControl w:val="0"/>
              <w:autoSpaceDE w:val="0"/>
              <w:autoSpaceDN w:val="0"/>
              <w:adjustRightInd w:val="0"/>
              <w:spacing w:line="288" w:lineRule="auto"/>
              <w:textAlignment w:val="center"/>
              <w:rPr>
                <w:rFonts w:ascii="Bliss-Regular" w:hAnsi="Bliss-Regular" w:cs="Times New Roman"/>
                <w:color w:val="000000"/>
                <w:lang w:val="en-GB"/>
              </w:rPr>
            </w:pPr>
            <w:r w:rsidRPr="000C3635">
              <w:rPr>
                <w:rFonts w:ascii="Bliss-Regular" w:hAnsi="Bliss-Regular" w:cs="Bliss-Regular"/>
                <w:color w:val="4C4C4C"/>
                <w:u w:color="7FFF00"/>
                <w:lang w:val="en-GB"/>
              </w:rPr>
              <w:t xml:space="preserve">Appendix 4: </w:t>
            </w:r>
            <w:r w:rsidRPr="000C3635">
              <w:rPr>
                <w:rFonts w:ascii="Bliss-Light" w:hAnsi="Bliss-Light" w:cs="Bliss-Light"/>
                <w:color w:val="4C4C4C"/>
                <w:lang w:val="en-GB"/>
              </w:rPr>
              <w:t>Citizens Information Board offices</w:t>
            </w:r>
          </w:p>
        </w:tc>
        <w:tc>
          <w:tcPr>
            <w:tcW w:w="3402" w:type="dxa"/>
            <w:tcBorders>
              <w:top w:val="single" w:sz="4" w:space="0" w:color="7FFF00"/>
              <w:left w:val="single" w:sz="6" w:space="0" w:color="auto"/>
              <w:bottom w:val="single" w:sz="4" w:space="0" w:color="7FFF00"/>
              <w:right w:val="single" w:sz="6" w:space="0" w:color="auto"/>
            </w:tcBorders>
            <w:shd w:val="solid" w:color="FFFFFF" w:fill="auto"/>
            <w:tcMar>
              <w:top w:w="181" w:type="dxa"/>
              <w:left w:w="170" w:type="dxa"/>
              <w:bottom w:w="181" w:type="dxa"/>
              <w:right w:w="170" w:type="dxa"/>
            </w:tcMar>
            <w:vAlign w:val="center"/>
          </w:tcPr>
          <w:p w14:paraId="354858F7" w14:textId="77777777" w:rsidR="000C3635" w:rsidRPr="000C3635" w:rsidRDefault="000C3635" w:rsidP="000C3635">
            <w:pPr>
              <w:widowControl w:val="0"/>
              <w:autoSpaceDE w:val="0"/>
              <w:autoSpaceDN w:val="0"/>
              <w:adjustRightInd w:val="0"/>
              <w:spacing w:line="288" w:lineRule="auto"/>
              <w:jc w:val="right"/>
              <w:textAlignment w:val="center"/>
              <w:rPr>
                <w:rFonts w:ascii="Bliss-Regular" w:hAnsi="Bliss-Regular" w:cs="Times New Roman"/>
                <w:color w:val="000000"/>
                <w:lang w:val="en-GB"/>
              </w:rPr>
            </w:pPr>
            <w:r w:rsidRPr="000C3635">
              <w:rPr>
                <w:rFonts w:ascii="Bliss-Light" w:hAnsi="Bliss-Light" w:cs="Bliss-Light"/>
                <w:caps/>
                <w:color w:val="4C4C4C"/>
                <w:lang w:val="en-GB"/>
              </w:rPr>
              <w:t>84</w:t>
            </w:r>
          </w:p>
        </w:tc>
      </w:tr>
      <w:tr w:rsidR="000C3635" w:rsidRPr="000C3635" w14:paraId="0734D225" w14:textId="77777777">
        <w:trPr>
          <w:trHeight w:val="60"/>
        </w:trPr>
        <w:tc>
          <w:tcPr>
            <w:tcW w:w="4932" w:type="dxa"/>
            <w:tcBorders>
              <w:top w:val="single" w:sz="4" w:space="0" w:color="7FFF00"/>
              <w:left w:val="single" w:sz="6" w:space="0" w:color="7FFF00"/>
              <w:bottom w:val="single" w:sz="6" w:space="0" w:color="auto"/>
              <w:right w:val="single" w:sz="6" w:space="0" w:color="auto"/>
            </w:tcBorders>
            <w:shd w:val="solid" w:color="FFFFFF" w:fill="auto"/>
            <w:tcMar>
              <w:top w:w="181" w:type="dxa"/>
              <w:left w:w="170" w:type="dxa"/>
              <w:bottom w:w="181" w:type="dxa"/>
              <w:right w:w="170" w:type="dxa"/>
            </w:tcMar>
            <w:vAlign w:val="center"/>
          </w:tcPr>
          <w:p w14:paraId="47C22B82" w14:textId="77777777" w:rsidR="000C3635" w:rsidRPr="000C3635" w:rsidRDefault="000C3635" w:rsidP="000C3635">
            <w:pPr>
              <w:widowControl w:val="0"/>
              <w:autoSpaceDE w:val="0"/>
              <w:autoSpaceDN w:val="0"/>
              <w:adjustRightInd w:val="0"/>
              <w:spacing w:line="288" w:lineRule="auto"/>
              <w:textAlignment w:val="center"/>
              <w:rPr>
                <w:rFonts w:ascii="Bliss-Regular" w:hAnsi="Bliss-Regular" w:cs="Times New Roman"/>
                <w:color w:val="000000"/>
                <w:lang w:val="en-GB"/>
              </w:rPr>
            </w:pPr>
            <w:r w:rsidRPr="000C3635">
              <w:rPr>
                <w:rFonts w:ascii="Bliss-Regular" w:hAnsi="Bliss-Regular" w:cs="Bliss-Regular"/>
                <w:color w:val="4C4C4C"/>
                <w:u w:color="7FFF00"/>
                <w:lang w:val="en-GB"/>
              </w:rPr>
              <w:t>Appendix 5: Grants in 2015</w:t>
            </w:r>
          </w:p>
        </w:tc>
        <w:tc>
          <w:tcPr>
            <w:tcW w:w="3402" w:type="dxa"/>
            <w:tcBorders>
              <w:top w:val="single" w:sz="4" w:space="0" w:color="7FFF00"/>
              <w:left w:val="single" w:sz="6" w:space="0" w:color="auto"/>
              <w:bottom w:val="single" w:sz="6" w:space="0" w:color="auto"/>
              <w:right w:val="single" w:sz="6" w:space="0" w:color="auto"/>
            </w:tcBorders>
            <w:shd w:val="solid" w:color="FFFFFF" w:fill="auto"/>
            <w:tcMar>
              <w:top w:w="181" w:type="dxa"/>
              <w:left w:w="170" w:type="dxa"/>
              <w:bottom w:w="181" w:type="dxa"/>
              <w:right w:w="170" w:type="dxa"/>
            </w:tcMar>
            <w:vAlign w:val="center"/>
          </w:tcPr>
          <w:p w14:paraId="7F0BEA9F" w14:textId="77777777" w:rsidR="000C3635" w:rsidRPr="000C3635" w:rsidRDefault="000C3635" w:rsidP="000C3635">
            <w:pPr>
              <w:widowControl w:val="0"/>
              <w:autoSpaceDE w:val="0"/>
              <w:autoSpaceDN w:val="0"/>
              <w:adjustRightInd w:val="0"/>
              <w:spacing w:line="288" w:lineRule="auto"/>
              <w:jc w:val="right"/>
              <w:textAlignment w:val="center"/>
              <w:rPr>
                <w:rFonts w:ascii="Bliss-Regular" w:hAnsi="Bliss-Regular" w:cs="Times New Roman"/>
                <w:color w:val="000000"/>
                <w:lang w:val="en-GB"/>
              </w:rPr>
            </w:pPr>
            <w:r w:rsidRPr="000C3635">
              <w:rPr>
                <w:rFonts w:ascii="Bliss-Regular" w:hAnsi="Bliss-Regular" w:cs="Bliss-Regular"/>
                <w:caps/>
                <w:color w:val="4C4C4C"/>
                <w:u w:color="7FFF00"/>
                <w:lang w:val="en-GB"/>
              </w:rPr>
              <w:t>85</w:t>
            </w:r>
          </w:p>
        </w:tc>
      </w:tr>
    </w:tbl>
    <w:p w14:paraId="174E10BA" w14:textId="77777777" w:rsidR="000C3635" w:rsidRPr="000C3635" w:rsidRDefault="000C3635" w:rsidP="000C3635"/>
    <w:p w14:paraId="68DF80BA" w14:textId="5DE35680" w:rsidR="003008FE" w:rsidRDefault="003008FE" w:rsidP="004116D8">
      <w:pPr>
        <w:pStyle w:val="Heading1"/>
      </w:pPr>
      <w:bookmarkStart w:id="148" w:name="_Toc337126533"/>
      <w:bookmarkStart w:id="149" w:name="_Toc337126579"/>
      <w:r>
        <w:t>Appendix 1:</w:t>
      </w:r>
      <w:r w:rsidR="00493DD5">
        <w:t xml:space="preserve"> Customer </w:t>
      </w:r>
      <w:r>
        <w:t>Service Charter</w:t>
      </w:r>
      <w:bookmarkEnd w:id="146"/>
      <w:bookmarkEnd w:id="147"/>
      <w:bookmarkEnd w:id="148"/>
      <w:bookmarkEnd w:id="149"/>
    </w:p>
    <w:p w14:paraId="615A532F" w14:textId="77777777" w:rsidR="003008FE" w:rsidRPr="002D3A60" w:rsidRDefault="003008FE" w:rsidP="003008FE"/>
    <w:p w14:paraId="61361654" w14:textId="077254F8" w:rsidR="003008FE" w:rsidRPr="002D3A60" w:rsidRDefault="003008FE" w:rsidP="003008FE">
      <w:r w:rsidRPr="002D3A60">
        <w:t>The Citizens Information Board provides independent information, advice and advocacy on public and social services through citizensinformation.ie, the Citizens Information Phone Service and the network of Citizens Information Services. We are responsible for the Money Advice and Budgeting Service (MABS) and provide the National Advocacy Service for people with disabilities. We put the citizen at the centre of everything we</w:t>
      </w:r>
      <w:r w:rsidR="008B72AF" w:rsidRPr="002D3A60">
        <w:t xml:space="preserve"> </w:t>
      </w:r>
      <w:r w:rsidRPr="002D3A60">
        <w:t>do and this Charter sets out the principles that underpin</w:t>
      </w:r>
      <w:r w:rsidR="008B72AF" w:rsidRPr="002D3A60">
        <w:t xml:space="preserve"> </w:t>
      </w:r>
      <w:r w:rsidRPr="002D3A60">
        <w:t xml:space="preserve">our services. </w:t>
      </w:r>
    </w:p>
    <w:p w14:paraId="73036FB3" w14:textId="77777777" w:rsidR="003008FE" w:rsidRPr="002D3A60" w:rsidRDefault="003008FE" w:rsidP="003008FE"/>
    <w:p w14:paraId="65E12867" w14:textId="77777777" w:rsidR="003008FE" w:rsidRPr="002D3A60" w:rsidRDefault="003008FE" w:rsidP="00774548">
      <w:pPr>
        <w:rPr>
          <w:rFonts w:cs="Times New Roman"/>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437"/>
        <w:gridCol w:w="4773"/>
      </w:tblGrid>
      <w:tr w:rsidR="00774548" w:rsidRPr="00774548" w14:paraId="3467B795" w14:textId="77777777" w:rsidTr="00774548">
        <w:trPr>
          <w:trHeight w:val="3342"/>
        </w:trPr>
        <w:tc>
          <w:tcPr>
            <w:tcW w:w="3437" w:type="dxa"/>
            <w:tcMar>
              <w:top w:w="340" w:type="dxa"/>
              <w:left w:w="0" w:type="dxa"/>
              <w:bottom w:w="80" w:type="dxa"/>
              <w:right w:w="113" w:type="dxa"/>
            </w:tcMar>
          </w:tcPr>
          <w:p w14:paraId="2BEC4758" w14:textId="2AA9F4C1" w:rsidR="003008FE" w:rsidRPr="002D3A60" w:rsidRDefault="003008FE" w:rsidP="00774548">
            <w:pPr>
              <w:rPr>
                <w:rFonts w:cs="Times New Roman"/>
              </w:rPr>
            </w:pPr>
            <w:r w:rsidRPr="002D3A60">
              <w:rPr>
                <w:rFonts w:cs="Times New Roman"/>
                <w:b/>
              </w:rPr>
              <w:t>1. Clear, comprehensive and accurate information</w:t>
            </w:r>
            <w:r w:rsidRPr="002D3A60">
              <w:rPr>
                <w:rFonts w:cs="Times New Roman"/>
              </w:rPr>
              <w:br/>
            </w:r>
            <w:r w:rsidRPr="002D3A60">
              <w:rPr>
                <w:rFonts w:cs="Times New Roman"/>
              </w:rPr>
              <w:br/>
              <w:t>We will provide clear and detailed information about public and social services to help you identify your needs and access your entitlements.</w:t>
            </w:r>
          </w:p>
        </w:tc>
        <w:tc>
          <w:tcPr>
            <w:tcW w:w="4773" w:type="dxa"/>
            <w:tcMar>
              <w:top w:w="340" w:type="dxa"/>
              <w:left w:w="170" w:type="dxa"/>
              <w:bottom w:w="80" w:type="dxa"/>
              <w:right w:w="113" w:type="dxa"/>
            </w:tcMar>
          </w:tcPr>
          <w:p w14:paraId="2279C42D" w14:textId="77777777" w:rsidR="003008FE" w:rsidRPr="002D3A60" w:rsidRDefault="003008FE" w:rsidP="00774548">
            <w:pPr>
              <w:rPr>
                <w:rFonts w:cs="Times New Roman"/>
                <w:lang w:val="en-GB"/>
              </w:rPr>
            </w:pPr>
            <w:r w:rsidRPr="002D3A60">
              <w:rPr>
                <w:rFonts w:cs="Times New Roman"/>
                <w:spacing w:val="-1"/>
                <w:lang w:val="en-GB"/>
              </w:rPr>
              <w:t xml:space="preserve">The public can obtain information face-to-face in Citizens Information Services, on the telephone from the Citizens Information Phone Service and online from the citizensinformation.ie website and associated microsites. In addition, the Citizens Information Board provides QQI-accredited training programmes. Accredited training for information providers helps to ensure quality in information provision. The Money Advice and Budgeting Service (MABS) provides money advice and budgeting services to people with problem debt. </w:t>
            </w:r>
          </w:p>
        </w:tc>
      </w:tr>
      <w:tr w:rsidR="00774548" w:rsidRPr="00774548" w14:paraId="744F90C6" w14:textId="77777777" w:rsidTr="00774548">
        <w:trPr>
          <w:trHeight w:val="2545"/>
        </w:trPr>
        <w:tc>
          <w:tcPr>
            <w:tcW w:w="3437" w:type="dxa"/>
            <w:tcMar>
              <w:top w:w="340" w:type="dxa"/>
              <w:left w:w="0" w:type="dxa"/>
              <w:bottom w:w="80" w:type="dxa"/>
              <w:right w:w="113" w:type="dxa"/>
            </w:tcMar>
          </w:tcPr>
          <w:p w14:paraId="09FAA2AD" w14:textId="14238866" w:rsidR="003008FE" w:rsidRPr="002D3A60" w:rsidRDefault="003008FE" w:rsidP="00774548">
            <w:pPr>
              <w:rPr>
                <w:rFonts w:cs="Times New Roman"/>
              </w:rPr>
            </w:pPr>
            <w:r w:rsidRPr="002D3A60">
              <w:rPr>
                <w:rFonts w:cs="Times New Roman"/>
                <w:b/>
              </w:rPr>
              <w:lastRenderedPageBreak/>
              <w:t>2. Prompt, courteous and efficient responses</w:t>
            </w:r>
            <w:r w:rsidRPr="002D3A60">
              <w:rPr>
                <w:rFonts w:cs="Times New Roman"/>
              </w:rPr>
              <w:br/>
            </w:r>
            <w:r w:rsidRPr="002D3A60">
              <w:rPr>
                <w:rFonts w:cs="Times New Roman"/>
              </w:rPr>
              <w:br/>
              <w:t xml:space="preserve">We will be responsive to </w:t>
            </w:r>
            <w:r w:rsidRPr="002D3A60">
              <w:rPr>
                <w:rFonts w:cs="Times New Roman"/>
              </w:rPr>
              <w:br/>
              <w:t xml:space="preserve">your needs and we will </w:t>
            </w:r>
            <w:r w:rsidRPr="002D3A60">
              <w:rPr>
                <w:rFonts w:cs="Times New Roman"/>
              </w:rPr>
              <w:br/>
              <w:t xml:space="preserve">deliver our services </w:t>
            </w:r>
            <w:r w:rsidRPr="002D3A60">
              <w:rPr>
                <w:rFonts w:cs="Times New Roman"/>
              </w:rPr>
              <w:br/>
              <w:t xml:space="preserve">sensitively and efficiently. </w:t>
            </w:r>
          </w:p>
        </w:tc>
        <w:tc>
          <w:tcPr>
            <w:tcW w:w="4773" w:type="dxa"/>
            <w:tcMar>
              <w:top w:w="340" w:type="dxa"/>
              <w:left w:w="170" w:type="dxa"/>
              <w:bottom w:w="80" w:type="dxa"/>
              <w:right w:w="113" w:type="dxa"/>
            </w:tcMar>
          </w:tcPr>
          <w:p w14:paraId="6F3F8EA0" w14:textId="77777777" w:rsidR="003008FE" w:rsidRPr="002D3A60" w:rsidRDefault="003008FE" w:rsidP="00774548">
            <w:pPr>
              <w:rPr>
                <w:rFonts w:cs="Times New Roman"/>
                <w:lang w:val="en-GB"/>
              </w:rPr>
            </w:pPr>
            <w:r w:rsidRPr="00FC5F2C">
              <w:rPr>
                <w:rFonts w:cs="Times New Roman"/>
                <w:lang w:val="en-GB"/>
              </w:rPr>
              <w:t xml:space="preserve">The </w:t>
            </w:r>
            <w:r w:rsidRPr="00FC5F2C">
              <w:rPr>
                <w:rFonts w:cs="Times New Roman"/>
                <w:iCs/>
                <w:lang w:val="en-GB"/>
              </w:rPr>
              <w:t>Customer Service Action Plan and the Customer Communications and Customer Complaints Procedures</w:t>
            </w:r>
            <w:r w:rsidRPr="002D3A60">
              <w:rPr>
                <w:rFonts w:cs="Times New Roman"/>
                <w:lang w:val="en-GB"/>
              </w:rPr>
              <w:t xml:space="preserve"> set out principles of good communications practice. The Citizens Information Board’s switchboard remains open from 9am to 5.30pm Monday to Thursday and to 5pm on Friday. The Citizens Information Phone Service operates from 9am to 8pm on Monday to Friday.</w:t>
            </w:r>
          </w:p>
        </w:tc>
      </w:tr>
      <w:tr w:rsidR="00774548" w:rsidRPr="00774548" w14:paraId="2BCBD838" w14:textId="77777777" w:rsidTr="00774548">
        <w:trPr>
          <w:trHeight w:val="1695"/>
        </w:trPr>
        <w:tc>
          <w:tcPr>
            <w:tcW w:w="3437" w:type="dxa"/>
            <w:tcMar>
              <w:top w:w="340" w:type="dxa"/>
              <w:left w:w="0" w:type="dxa"/>
              <w:bottom w:w="80" w:type="dxa"/>
              <w:right w:w="113" w:type="dxa"/>
            </w:tcMar>
          </w:tcPr>
          <w:p w14:paraId="2B71F77D" w14:textId="61E41F79" w:rsidR="003008FE" w:rsidRPr="002D3A60" w:rsidRDefault="003008FE" w:rsidP="00774548">
            <w:pPr>
              <w:rPr>
                <w:rFonts w:cs="Times New Roman"/>
              </w:rPr>
            </w:pPr>
            <w:r w:rsidRPr="002D3A60">
              <w:rPr>
                <w:rFonts w:cs="Times New Roman"/>
                <w:b/>
              </w:rPr>
              <w:t>3. Equality and diversity</w:t>
            </w:r>
            <w:r w:rsidRPr="002D3A60">
              <w:rPr>
                <w:rFonts w:cs="Times New Roman"/>
              </w:rPr>
              <w:br/>
            </w:r>
            <w:r w:rsidRPr="002D3A60">
              <w:rPr>
                <w:rFonts w:cs="Times New Roman"/>
              </w:rPr>
              <w:br/>
              <w:t xml:space="preserve">We will respect diversity </w:t>
            </w:r>
            <w:r w:rsidRPr="002D3A60">
              <w:rPr>
                <w:rFonts w:cs="Times New Roman"/>
              </w:rPr>
              <w:br/>
              <w:t xml:space="preserve">and ensure your right to </w:t>
            </w:r>
            <w:r w:rsidRPr="002D3A60">
              <w:rPr>
                <w:rFonts w:cs="Times New Roman"/>
              </w:rPr>
              <w:br/>
              <w:t>equal treatment.</w:t>
            </w:r>
          </w:p>
        </w:tc>
        <w:tc>
          <w:tcPr>
            <w:tcW w:w="4773" w:type="dxa"/>
            <w:tcMar>
              <w:top w:w="340" w:type="dxa"/>
              <w:left w:w="170" w:type="dxa"/>
              <w:bottom w:w="80" w:type="dxa"/>
              <w:right w:w="113" w:type="dxa"/>
            </w:tcMar>
          </w:tcPr>
          <w:p w14:paraId="4E303E1E" w14:textId="2804F804" w:rsidR="003008FE" w:rsidRPr="002D3A60" w:rsidRDefault="003008FE" w:rsidP="00100A58">
            <w:pPr>
              <w:rPr>
                <w:rFonts w:cs="Times New Roman"/>
                <w:lang w:val="en-GB"/>
              </w:rPr>
            </w:pPr>
            <w:r w:rsidRPr="002D3A60">
              <w:rPr>
                <w:rFonts w:cs="Times New Roman"/>
                <w:lang w:val="en-GB"/>
              </w:rPr>
              <w:t>In 201</w:t>
            </w:r>
            <w:r w:rsidR="00100A58" w:rsidRPr="002D3A60">
              <w:rPr>
                <w:rFonts w:cs="Times New Roman"/>
                <w:lang w:val="en-GB"/>
              </w:rPr>
              <w:t>5</w:t>
            </w:r>
            <w:r w:rsidRPr="002D3A60">
              <w:rPr>
                <w:rFonts w:cs="Times New Roman"/>
                <w:lang w:val="en-GB"/>
              </w:rPr>
              <w:t xml:space="preserve"> the Citizens Information Board worked with other agencies to ensure that information reached a range of customer groups including older people, people with disabilities, lone parents, migrants and migrant workers.</w:t>
            </w:r>
          </w:p>
        </w:tc>
      </w:tr>
      <w:tr w:rsidR="00774548" w:rsidRPr="00774548" w14:paraId="4A03FBA7" w14:textId="77777777" w:rsidTr="00774548">
        <w:trPr>
          <w:trHeight w:val="1782"/>
        </w:trPr>
        <w:tc>
          <w:tcPr>
            <w:tcW w:w="3437" w:type="dxa"/>
            <w:tcMar>
              <w:top w:w="340" w:type="dxa"/>
              <w:left w:w="0" w:type="dxa"/>
              <w:bottom w:w="80" w:type="dxa"/>
              <w:right w:w="113" w:type="dxa"/>
            </w:tcMar>
          </w:tcPr>
          <w:p w14:paraId="4632B595" w14:textId="157E68FA" w:rsidR="003008FE" w:rsidRPr="002D3A60" w:rsidRDefault="003008FE" w:rsidP="00774548">
            <w:pPr>
              <w:rPr>
                <w:rFonts w:cs="Times New Roman"/>
              </w:rPr>
            </w:pPr>
            <w:r w:rsidRPr="002D3A60">
              <w:rPr>
                <w:rFonts w:cs="Times New Roman"/>
                <w:b/>
              </w:rPr>
              <w:t>4. Choice</w:t>
            </w:r>
            <w:r w:rsidRPr="002D3A60">
              <w:rPr>
                <w:rFonts w:cs="Times New Roman"/>
              </w:rPr>
              <w:t xml:space="preserve"> </w:t>
            </w:r>
            <w:r w:rsidRPr="002D3A60">
              <w:rPr>
                <w:rFonts w:cs="Times New Roman"/>
              </w:rPr>
              <w:br/>
            </w:r>
            <w:r w:rsidRPr="002D3A60">
              <w:rPr>
                <w:rFonts w:cs="Times New Roman"/>
              </w:rPr>
              <w:br/>
              <w:t xml:space="preserve">We will plan and deliver our services so you can access </w:t>
            </w:r>
            <w:r w:rsidRPr="002D3A60">
              <w:rPr>
                <w:rFonts w:cs="Times New Roman"/>
              </w:rPr>
              <w:br/>
              <w:t xml:space="preserve">them in the way that suits </w:t>
            </w:r>
            <w:r w:rsidRPr="002D3A60">
              <w:rPr>
                <w:rFonts w:cs="Times New Roman"/>
              </w:rPr>
              <w:br/>
              <w:t>you best.</w:t>
            </w:r>
          </w:p>
        </w:tc>
        <w:tc>
          <w:tcPr>
            <w:tcW w:w="4773" w:type="dxa"/>
            <w:tcMar>
              <w:top w:w="340" w:type="dxa"/>
              <w:left w:w="170" w:type="dxa"/>
              <w:bottom w:w="80" w:type="dxa"/>
              <w:right w:w="113" w:type="dxa"/>
            </w:tcMar>
          </w:tcPr>
          <w:p w14:paraId="226CFBC8" w14:textId="77777777" w:rsidR="003008FE" w:rsidRPr="002D3A60" w:rsidRDefault="003008FE" w:rsidP="00774548">
            <w:pPr>
              <w:rPr>
                <w:rFonts w:cs="Times New Roman"/>
                <w:lang w:val="en-GB"/>
              </w:rPr>
            </w:pPr>
            <w:r w:rsidRPr="002D3A60">
              <w:rPr>
                <w:rFonts w:cs="Times New Roman"/>
                <w:lang w:val="en-GB"/>
              </w:rPr>
              <w:t xml:space="preserve">Customers can access Citizens Information </w:t>
            </w:r>
            <w:r w:rsidRPr="002D3A60">
              <w:rPr>
                <w:rFonts w:cs="Times New Roman"/>
                <w:lang w:val="en-GB"/>
              </w:rPr>
              <w:br/>
              <w:t xml:space="preserve">and MABS services in a variety of ways – online, by telephone and face-to-face. The MABS service is delivered in three ways. </w:t>
            </w:r>
          </w:p>
        </w:tc>
      </w:tr>
      <w:tr w:rsidR="00774548" w:rsidRPr="00774548" w14:paraId="624DDB27" w14:textId="77777777" w:rsidTr="00774548">
        <w:trPr>
          <w:trHeight w:val="2522"/>
        </w:trPr>
        <w:tc>
          <w:tcPr>
            <w:tcW w:w="3437" w:type="dxa"/>
            <w:tcMar>
              <w:top w:w="340" w:type="dxa"/>
              <w:left w:w="0" w:type="dxa"/>
              <w:bottom w:w="80" w:type="dxa"/>
              <w:right w:w="113" w:type="dxa"/>
            </w:tcMar>
          </w:tcPr>
          <w:p w14:paraId="16DF40F6" w14:textId="60D5F6A5" w:rsidR="003008FE" w:rsidRPr="002D3A60" w:rsidRDefault="003008FE" w:rsidP="00774548">
            <w:pPr>
              <w:rPr>
                <w:rFonts w:cs="Times New Roman"/>
              </w:rPr>
            </w:pPr>
            <w:r w:rsidRPr="002D3A60">
              <w:rPr>
                <w:rFonts w:cs="Times New Roman"/>
                <w:b/>
              </w:rPr>
              <w:t>5. Access</w:t>
            </w:r>
            <w:r w:rsidRPr="002D3A60">
              <w:rPr>
                <w:rFonts w:cs="Times New Roman"/>
              </w:rPr>
              <w:t xml:space="preserve"> </w:t>
            </w:r>
            <w:r w:rsidRPr="002D3A60">
              <w:rPr>
                <w:rFonts w:cs="Times New Roman"/>
              </w:rPr>
              <w:br/>
            </w:r>
            <w:r w:rsidRPr="002D3A60">
              <w:rPr>
                <w:rFonts w:cs="Times New Roman"/>
              </w:rPr>
              <w:br/>
              <w:t xml:space="preserve">We will ensure that all our </w:t>
            </w:r>
            <w:r w:rsidRPr="002D3A60">
              <w:rPr>
                <w:rFonts w:cs="Times New Roman"/>
              </w:rPr>
              <w:br/>
              <w:t xml:space="preserve">services and offices are </w:t>
            </w:r>
            <w:r w:rsidRPr="002D3A60">
              <w:rPr>
                <w:rFonts w:cs="Times New Roman"/>
              </w:rPr>
              <w:br/>
              <w:t xml:space="preserve">fully accessible. </w:t>
            </w:r>
          </w:p>
        </w:tc>
        <w:tc>
          <w:tcPr>
            <w:tcW w:w="4773" w:type="dxa"/>
            <w:tcMar>
              <w:top w:w="340" w:type="dxa"/>
              <w:left w:w="170" w:type="dxa"/>
              <w:bottom w:w="80" w:type="dxa"/>
              <w:right w:w="113" w:type="dxa"/>
            </w:tcMar>
          </w:tcPr>
          <w:p w14:paraId="0DCBE647" w14:textId="77777777" w:rsidR="003008FE" w:rsidRPr="002D3A60" w:rsidRDefault="003008FE" w:rsidP="00774548">
            <w:pPr>
              <w:rPr>
                <w:rFonts w:cs="Times New Roman"/>
                <w:lang w:val="en-GB"/>
              </w:rPr>
            </w:pPr>
            <w:r w:rsidRPr="002D3A60">
              <w:rPr>
                <w:rFonts w:cs="Times New Roman"/>
                <w:lang w:val="en-GB"/>
              </w:rPr>
              <w:t xml:space="preserve">The Citizens Information Board occupies fully accessible offices in George’s Quay House, Townsend Street, Dublin 2. All regional offices and Citizens Information Centres meet service delivery accessibility standards. The Citizens Information website has been designed to be accessible to all users, including those with disabilities using assistive technology software such as screen readers and is now fully responsive to various devices. The citizensinformation.ie website complies with the WAI (Web Accessibility Initiative) Web Content Accessibility Guidelines, as developed by the World Wide Web Consortium. The corporate website (citizensinformationboard.ie) also meets the guidelines. Contact our Access officer, Helen Brougham at accessofficer@ciboard.ie. </w:t>
            </w:r>
          </w:p>
        </w:tc>
      </w:tr>
      <w:tr w:rsidR="00774548" w:rsidRPr="00774548" w14:paraId="13715294" w14:textId="77777777" w:rsidTr="00774548">
        <w:trPr>
          <w:trHeight w:val="2881"/>
        </w:trPr>
        <w:tc>
          <w:tcPr>
            <w:tcW w:w="3437" w:type="dxa"/>
            <w:tcMar>
              <w:top w:w="340" w:type="dxa"/>
              <w:left w:w="0" w:type="dxa"/>
              <w:bottom w:w="80" w:type="dxa"/>
              <w:right w:w="113" w:type="dxa"/>
            </w:tcMar>
          </w:tcPr>
          <w:p w14:paraId="5FDD4B32" w14:textId="33B62A9E" w:rsidR="003008FE" w:rsidRPr="002D3A60" w:rsidRDefault="003008FE" w:rsidP="00774548">
            <w:pPr>
              <w:rPr>
                <w:rFonts w:cs="Times New Roman"/>
              </w:rPr>
            </w:pPr>
            <w:r w:rsidRPr="002D3A60">
              <w:rPr>
                <w:rFonts w:cs="Times New Roman"/>
                <w:b/>
              </w:rPr>
              <w:lastRenderedPageBreak/>
              <w:t>6. Official languages</w:t>
            </w:r>
            <w:r w:rsidRPr="002D3A60">
              <w:rPr>
                <w:rFonts w:cs="Times New Roman"/>
              </w:rPr>
              <w:br/>
            </w:r>
            <w:r w:rsidRPr="002D3A60">
              <w:rPr>
                <w:rFonts w:cs="Times New Roman"/>
              </w:rPr>
              <w:br/>
              <w:t xml:space="preserve">We will provide our services through Irish and/or </w:t>
            </w:r>
            <w:r w:rsidRPr="002D3A60">
              <w:rPr>
                <w:rFonts w:cs="Times New Roman"/>
              </w:rPr>
              <w:br/>
              <w:t>bilingually where required.</w:t>
            </w:r>
          </w:p>
        </w:tc>
        <w:tc>
          <w:tcPr>
            <w:tcW w:w="4773" w:type="dxa"/>
            <w:tcMar>
              <w:top w:w="340" w:type="dxa"/>
              <w:left w:w="170" w:type="dxa"/>
              <w:bottom w:w="80" w:type="dxa"/>
              <w:right w:w="113" w:type="dxa"/>
            </w:tcMar>
          </w:tcPr>
          <w:p w14:paraId="479AA9CF" w14:textId="61AB7988" w:rsidR="003008FE" w:rsidRPr="002D3A60" w:rsidRDefault="003008FE" w:rsidP="00100A58">
            <w:pPr>
              <w:rPr>
                <w:rFonts w:cs="Times New Roman"/>
                <w:lang w:val="en-GB"/>
              </w:rPr>
            </w:pPr>
            <w:r w:rsidRPr="002D3A60">
              <w:rPr>
                <w:rFonts w:cs="Times New Roman"/>
                <w:lang w:val="en-GB"/>
              </w:rPr>
              <w:t>Information on citizensinformation.ie, keepingyourhome.ie and gettingbacktowork.ie is available in English and Irish with some documents available in other languages (French, Polish, and Romanian). The Citizens Information Board has an Irish Language Scheme in accordance with Section 11 of the Official Languages Act 2003. The Act aims to ensure better availability and a higher standard of public services through Irish.</w:t>
            </w:r>
          </w:p>
        </w:tc>
      </w:tr>
      <w:tr w:rsidR="00774548" w:rsidRPr="00774548" w14:paraId="0E52F652" w14:textId="77777777" w:rsidTr="00774548">
        <w:trPr>
          <w:trHeight w:val="1653"/>
        </w:trPr>
        <w:tc>
          <w:tcPr>
            <w:tcW w:w="3437" w:type="dxa"/>
            <w:tcMar>
              <w:top w:w="340" w:type="dxa"/>
              <w:left w:w="0" w:type="dxa"/>
              <w:bottom w:w="80" w:type="dxa"/>
              <w:right w:w="113" w:type="dxa"/>
            </w:tcMar>
          </w:tcPr>
          <w:p w14:paraId="7D79AC36" w14:textId="05A530DA" w:rsidR="003008FE" w:rsidRPr="002D3A60" w:rsidRDefault="003008FE" w:rsidP="00774548">
            <w:pPr>
              <w:rPr>
                <w:rFonts w:cs="Times New Roman"/>
              </w:rPr>
            </w:pPr>
            <w:r w:rsidRPr="002D3A60">
              <w:rPr>
                <w:rFonts w:cs="Times New Roman"/>
                <w:b/>
              </w:rPr>
              <w:t>7. Consultation and evaluation</w:t>
            </w:r>
            <w:r w:rsidRPr="002D3A60">
              <w:rPr>
                <w:rFonts w:cs="Times New Roman"/>
              </w:rPr>
              <w:br/>
            </w:r>
            <w:r w:rsidRPr="002D3A60">
              <w:rPr>
                <w:rFonts w:cs="Times New Roman"/>
              </w:rPr>
              <w:br/>
              <w:t>We will consult with you to establish your needs when developing, delivering and evaluating our services.</w:t>
            </w:r>
          </w:p>
          <w:p w14:paraId="3FD09984" w14:textId="77777777" w:rsidR="003008FE" w:rsidRPr="00774548" w:rsidRDefault="003008FE" w:rsidP="00774548">
            <w:pPr>
              <w:rPr>
                <w:rFonts w:ascii="Times New Roman" w:hAnsi="Times New Roman" w:cs="Times New Roman"/>
              </w:rPr>
            </w:pPr>
          </w:p>
        </w:tc>
        <w:tc>
          <w:tcPr>
            <w:tcW w:w="4773" w:type="dxa"/>
            <w:tcMar>
              <w:top w:w="340" w:type="dxa"/>
              <w:left w:w="170" w:type="dxa"/>
              <w:bottom w:w="80" w:type="dxa"/>
              <w:right w:w="113" w:type="dxa"/>
            </w:tcMar>
          </w:tcPr>
          <w:p w14:paraId="409E2735" w14:textId="0B8E56B4" w:rsidR="003008FE" w:rsidRPr="002D3A60" w:rsidRDefault="003008FE" w:rsidP="00905983">
            <w:pPr>
              <w:rPr>
                <w:rFonts w:cs="Times New Roman"/>
                <w:lang w:val="en-GB"/>
              </w:rPr>
            </w:pPr>
            <w:r w:rsidRPr="002D3A60">
              <w:rPr>
                <w:rFonts w:cs="Times New Roman"/>
                <w:lang w:val="en-GB"/>
              </w:rPr>
              <w:t xml:space="preserve">Project groups consisting of representatives from the Citizens Information Board and delivery </w:t>
            </w:r>
            <w:r w:rsidR="00905983">
              <w:rPr>
                <w:rFonts w:cs="Times New Roman"/>
                <w:lang w:val="en-GB"/>
              </w:rPr>
              <w:t xml:space="preserve">services </w:t>
            </w:r>
            <w:r w:rsidRPr="002D3A60">
              <w:rPr>
                <w:rFonts w:cs="Times New Roman"/>
                <w:lang w:val="en-GB"/>
              </w:rPr>
              <w:t xml:space="preserve">worked together on a range of issues related to the development of the network and the delivery of services on the ground. </w:t>
            </w:r>
          </w:p>
        </w:tc>
      </w:tr>
      <w:tr w:rsidR="00774548" w:rsidRPr="00774548" w14:paraId="755FD3D4" w14:textId="77777777" w:rsidTr="00774548">
        <w:trPr>
          <w:trHeight w:val="1640"/>
        </w:trPr>
        <w:tc>
          <w:tcPr>
            <w:tcW w:w="3437" w:type="dxa"/>
            <w:tcMar>
              <w:top w:w="340" w:type="dxa"/>
              <w:left w:w="0" w:type="dxa"/>
              <w:bottom w:w="80" w:type="dxa"/>
              <w:right w:w="57" w:type="dxa"/>
            </w:tcMar>
          </w:tcPr>
          <w:p w14:paraId="318489D1" w14:textId="03820A90" w:rsidR="003008FE" w:rsidRPr="002D3A60" w:rsidRDefault="00774548" w:rsidP="00774548">
            <w:pPr>
              <w:rPr>
                <w:rFonts w:cs="Times New Roman"/>
              </w:rPr>
            </w:pPr>
            <w:r w:rsidRPr="002D3A60">
              <w:rPr>
                <w:rFonts w:cs="Times New Roman"/>
                <w:b/>
              </w:rPr>
              <w:t>8</w:t>
            </w:r>
            <w:r w:rsidR="003008FE" w:rsidRPr="002D3A60">
              <w:rPr>
                <w:rFonts w:cs="Times New Roman"/>
                <w:b/>
              </w:rPr>
              <w:t>. Internal customers</w:t>
            </w:r>
            <w:r w:rsidR="003008FE" w:rsidRPr="002D3A60">
              <w:rPr>
                <w:rFonts w:cs="Times New Roman"/>
              </w:rPr>
              <w:br/>
            </w:r>
            <w:r w:rsidR="003008FE" w:rsidRPr="002D3A60">
              <w:rPr>
                <w:rFonts w:cs="Times New Roman"/>
              </w:rPr>
              <w:br/>
              <w:t xml:space="preserve">We will support our staff to ensure that they provide an excellent service to one </w:t>
            </w:r>
            <w:r w:rsidR="003008FE" w:rsidRPr="002D3A60">
              <w:rPr>
                <w:rFonts w:cs="Times New Roman"/>
              </w:rPr>
              <w:br/>
              <w:t>another and to you.</w:t>
            </w:r>
          </w:p>
        </w:tc>
        <w:tc>
          <w:tcPr>
            <w:tcW w:w="4773" w:type="dxa"/>
            <w:tcMar>
              <w:top w:w="340" w:type="dxa"/>
              <w:left w:w="170" w:type="dxa"/>
              <w:bottom w:w="80" w:type="dxa"/>
              <w:right w:w="113" w:type="dxa"/>
            </w:tcMar>
          </w:tcPr>
          <w:p w14:paraId="44A7D33E" w14:textId="77777777" w:rsidR="003008FE" w:rsidRPr="002D3A60" w:rsidRDefault="003008FE" w:rsidP="00774548">
            <w:pPr>
              <w:rPr>
                <w:rFonts w:cs="Times New Roman"/>
                <w:lang w:val="en-GB"/>
              </w:rPr>
            </w:pPr>
            <w:r w:rsidRPr="002D3A60">
              <w:rPr>
                <w:rFonts w:cs="Times New Roman"/>
                <w:lang w:val="en-GB"/>
              </w:rPr>
              <w:t>The Partnership approach is used within the Citizens Information Board as a forum for consultation and discussion in relation to the Citizens Information Board’s business and how it is carried out.</w:t>
            </w:r>
          </w:p>
        </w:tc>
      </w:tr>
      <w:tr w:rsidR="003008FE" w:rsidRPr="00774548" w14:paraId="124C4DD4" w14:textId="77777777" w:rsidTr="00774548">
        <w:trPr>
          <w:trHeight w:val="6419"/>
        </w:trPr>
        <w:tc>
          <w:tcPr>
            <w:tcW w:w="3437" w:type="dxa"/>
            <w:tcMar>
              <w:top w:w="340" w:type="dxa"/>
              <w:left w:w="0" w:type="dxa"/>
              <w:bottom w:w="80" w:type="dxa"/>
              <w:right w:w="57" w:type="dxa"/>
            </w:tcMar>
          </w:tcPr>
          <w:p w14:paraId="784E51D7" w14:textId="2D91615E" w:rsidR="003008FE" w:rsidRPr="002D3A60" w:rsidRDefault="003008FE" w:rsidP="00774548">
            <w:pPr>
              <w:rPr>
                <w:rFonts w:cs="Times New Roman"/>
                <w:color w:val="000000"/>
              </w:rPr>
            </w:pPr>
            <w:r w:rsidRPr="002D3A60">
              <w:rPr>
                <w:rFonts w:cs="Times New Roman"/>
                <w:b/>
              </w:rPr>
              <w:lastRenderedPageBreak/>
              <w:t>9. Co-ordination</w:t>
            </w:r>
            <w:r w:rsidRPr="002D3A60">
              <w:rPr>
                <w:rFonts w:cs="Times New Roman"/>
              </w:rPr>
              <w:br/>
            </w:r>
            <w:r w:rsidRPr="002D3A60">
              <w:rPr>
                <w:rFonts w:cs="Times New Roman"/>
              </w:rPr>
              <w:br/>
              <w:t xml:space="preserve">We will work closely with </w:t>
            </w:r>
            <w:r w:rsidRPr="002D3A60">
              <w:rPr>
                <w:rFonts w:cs="Times New Roman"/>
              </w:rPr>
              <w:br/>
              <w:t xml:space="preserve">other organisations to </w:t>
            </w:r>
            <w:r w:rsidRPr="002D3A60">
              <w:rPr>
                <w:rFonts w:cs="Times New Roman"/>
              </w:rPr>
              <w:br/>
              <w:t xml:space="preserve">deliver citizen-focused </w:t>
            </w:r>
            <w:r w:rsidRPr="002D3A60">
              <w:rPr>
                <w:rFonts w:cs="Times New Roman"/>
              </w:rPr>
              <w:br/>
              <w:t>public services.</w:t>
            </w:r>
          </w:p>
        </w:tc>
        <w:tc>
          <w:tcPr>
            <w:tcW w:w="4773" w:type="dxa"/>
            <w:tcMar>
              <w:top w:w="340" w:type="dxa"/>
              <w:left w:w="170" w:type="dxa"/>
              <w:bottom w:w="80" w:type="dxa"/>
              <w:right w:w="113" w:type="dxa"/>
            </w:tcMar>
          </w:tcPr>
          <w:p w14:paraId="6FA69F9C" w14:textId="3A61E258" w:rsidR="003008FE" w:rsidRPr="002D3A60" w:rsidRDefault="003008FE" w:rsidP="00774548">
            <w:pPr>
              <w:rPr>
                <w:rFonts w:cs="Times New Roman"/>
                <w:color w:val="000000"/>
                <w:spacing w:val="-4"/>
                <w:lang w:val="en-GB"/>
              </w:rPr>
            </w:pPr>
            <w:r w:rsidRPr="002D3A60">
              <w:rPr>
                <w:rFonts w:cs="Times New Roman"/>
                <w:color w:val="000000"/>
                <w:lang w:val="en-GB"/>
              </w:rPr>
              <w:t>The Citizens Information Board works</w:t>
            </w:r>
            <w:r w:rsidR="00905983">
              <w:rPr>
                <w:rFonts w:cs="Times New Roman"/>
                <w:color w:val="000000"/>
                <w:lang w:val="en-GB"/>
              </w:rPr>
              <w:t xml:space="preserve"> closely with its key delivery services</w:t>
            </w:r>
            <w:r w:rsidRPr="002D3A60">
              <w:rPr>
                <w:rFonts w:cs="Times New Roman"/>
                <w:color w:val="000000"/>
                <w:lang w:val="en-GB"/>
              </w:rPr>
              <w:t xml:space="preserve"> (CISs, CIPS and MABS) and stakeholders across the public and voluntary sector including the Department of Social Protection to deliver citizen-focused public services. </w:t>
            </w:r>
          </w:p>
          <w:p w14:paraId="66462346" w14:textId="77777777" w:rsidR="003008FE" w:rsidRPr="002D3A60" w:rsidRDefault="003008FE" w:rsidP="00774548">
            <w:pPr>
              <w:rPr>
                <w:rFonts w:cs="Times New Roman"/>
                <w:color w:val="000000"/>
                <w:spacing w:val="-4"/>
                <w:lang w:val="en-GB"/>
              </w:rPr>
            </w:pPr>
          </w:p>
          <w:p w14:paraId="2BC41B28" w14:textId="77777777" w:rsidR="003008FE" w:rsidRPr="002D3A60" w:rsidRDefault="003008FE" w:rsidP="00774548">
            <w:pPr>
              <w:rPr>
                <w:rFonts w:cs="Times New Roman"/>
                <w:color w:val="000000"/>
                <w:spacing w:val="-4"/>
                <w:lang w:val="en-GB"/>
              </w:rPr>
            </w:pPr>
            <w:r w:rsidRPr="002D3A60">
              <w:rPr>
                <w:rFonts w:cs="Times New Roman"/>
                <w:color w:val="000000"/>
                <w:lang w:val="en-GB"/>
              </w:rPr>
              <w:t>The Citizens Information Board adds value to the provision of information on civil and social services through its integrated approach. This approach involves sourcing and integrating relevant information from a wide range of providers and sources, and making the information available in an independent and impartial manner.</w:t>
            </w:r>
          </w:p>
          <w:p w14:paraId="1D52A87F" w14:textId="77777777" w:rsidR="003008FE" w:rsidRPr="002D3A60" w:rsidRDefault="003008FE" w:rsidP="00774548">
            <w:pPr>
              <w:rPr>
                <w:rFonts w:cs="Times New Roman"/>
                <w:color w:val="000000"/>
                <w:spacing w:val="-4"/>
                <w:lang w:val="en-GB"/>
              </w:rPr>
            </w:pPr>
          </w:p>
          <w:p w14:paraId="0716D73F" w14:textId="77777777" w:rsidR="003008FE" w:rsidRPr="002D3A60" w:rsidRDefault="003008FE" w:rsidP="00774548">
            <w:pPr>
              <w:rPr>
                <w:rFonts w:cs="Times New Roman"/>
                <w:color w:val="000000"/>
                <w:lang w:val="en-GB"/>
              </w:rPr>
            </w:pPr>
            <w:r w:rsidRPr="002D3A60">
              <w:rPr>
                <w:rFonts w:cs="Times New Roman"/>
                <w:color w:val="000000"/>
                <w:spacing w:val="-2"/>
                <w:lang w:val="en-GB"/>
              </w:rPr>
              <w:t xml:space="preserve">The Citizens Information website, the three-channel strategy of information provision, and </w:t>
            </w:r>
            <w:r w:rsidRPr="002D3A60">
              <w:rPr>
                <w:rFonts w:cs="Times New Roman"/>
                <w:color w:val="000000"/>
                <w:spacing w:val="-4"/>
                <w:lang w:val="en-GB"/>
              </w:rPr>
              <w:t>the development of the Assist Ireland website and associated telephone helpline are all examples of the integration of information and the publication o</w:t>
            </w:r>
            <w:r w:rsidRPr="002D3A60">
              <w:rPr>
                <w:rFonts w:cs="Times New Roman"/>
                <w:color w:val="000000"/>
                <w:spacing w:val="-2"/>
                <w:lang w:val="en-GB"/>
              </w:rPr>
              <w:t>f this information in accessible forms.</w:t>
            </w:r>
          </w:p>
        </w:tc>
      </w:tr>
      <w:tr w:rsidR="003008FE" w:rsidRPr="00774548" w14:paraId="0F74D2D8" w14:textId="77777777" w:rsidTr="00774548">
        <w:trPr>
          <w:trHeight w:val="1700"/>
        </w:trPr>
        <w:tc>
          <w:tcPr>
            <w:tcW w:w="3437" w:type="dxa"/>
            <w:tcMar>
              <w:top w:w="340" w:type="dxa"/>
              <w:left w:w="0" w:type="dxa"/>
              <w:bottom w:w="80" w:type="dxa"/>
              <w:right w:w="57" w:type="dxa"/>
            </w:tcMar>
          </w:tcPr>
          <w:p w14:paraId="14526B80" w14:textId="3D510CEB" w:rsidR="003008FE" w:rsidRPr="002D3A60" w:rsidRDefault="003008FE" w:rsidP="00774548">
            <w:pPr>
              <w:rPr>
                <w:rFonts w:cs="Times New Roman"/>
                <w:position w:val="2"/>
              </w:rPr>
            </w:pPr>
            <w:r w:rsidRPr="002D3A60">
              <w:rPr>
                <w:rFonts w:cs="Times New Roman"/>
                <w:b/>
                <w:position w:val="2"/>
              </w:rPr>
              <w:t>10. Appeals</w:t>
            </w:r>
            <w:r w:rsidRPr="002D3A60">
              <w:rPr>
                <w:rFonts w:cs="Times New Roman"/>
                <w:position w:val="2"/>
              </w:rPr>
              <w:br/>
            </w:r>
            <w:r w:rsidRPr="002D3A60">
              <w:rPr>
                <w:rFonts w:cs="Times New Roman"/>
                <w:position w:val="2"/>
              </w:rPr>
              <w:br/>
              <w:t xml:space="preserve">We will maintain an </w:t>
            </w:r>
            <w:r w:rsidRPr="002D3A60">
              <w:rPr>
                <w:rFonts w:cs="Times New Roman"/>
                <w:position w:val="2"/>
              </w:rPr>
              <w:br/>
              <w:t>accessible and transparent appeal and review system where appropriate.</w:t>
            </w:r>
          </w:p>
          <w:p w14:paraId="38F2CACB" w14:textId="77777777" w:rsidR="003008FE" w:rsidRPr="00774548" w:rsidRDefault="003008FE" w:rsidP="00774548">
            <w:pPr>
              <w:rPr>
                <w:rFonts w:ascii="Times New Roman" w:hAnsi="Times New Roman" w:cs="Times New Roman"/>
                <w:color w:val="000000"/>
              </w:rPr>
            </w:pPr>
          </w:p>
        </w:tc>
        <w:tc>
          <w:tcPr>
            <w:tcW w:w="4773" w:type="dxa"/>
            <w:tcMar>
              <w:top w:w="340" w:type="dxa"/>
              <w:left w:w="170" w:type="dxa"/>
              <w:bottom w:w="80" w:type="dxa"/>
              <w:right w:w="113" w:type="dxa"/>
            </w:tcMar>
          </w:tcPr>
          <w:p w14:paraId="555A978D" w14:textId="77777777" w:rsidR="003008FE" w:rsidRPr="002D3A60" w:rsidRDefault="003008FE" w:rsidP="00774548">
            <w:pPr>
              <w:rPr>
                <w:rFonts w:cs="Times New Roman"/>
                <w:color w:val="000000"/>
                <w:lang w:val="en-GB"/>
              </w:rPr>
            </w:pPr>
            <w:r w:rsidRPr="002D3A60">
              <w:rPr>
                <w:rFonts w:cs="Times New Roman"/>
                <w:color w:val="000000"/>
                <w:lang w:val="en-GB"/>
              </w:rPr>
              <w:t xml:space="preserve">A Customer Service Officer is in place. </w:t>
            </w:r>
          </w:p>
        </w:tc>
      </w:tr>
      <w:tr w:rsidR="00774548" w:rsidRPr="00774548" w14:paraId="045303EB" w14:textId="77777777" w:rsidTr="00774548">
        <w:trPr>
          <w:trHeight w:val="1700"/>
        </w:trPr>
        <w:tc>
          <w:tcPr>
            <w:tcW w:w="3437" w:type="dxa"/>
            <w:tcMar>
              <w:top w:w="340" w:type="dxa"/>
              <w:left w:w="0" w:type="dxa"/>
              <w:bottom w:w="80" w:type="dxa"/>
              <w:right w:w="57" w:type="dxa"/>
            </w:tcMar>
          </w:tcPr>
          <w:p w14:paraId="66793F08" w14:textId="47B9CA5F" w:rsidR="00774548" w:rsidRPr="002D3A60" w:rsidRDefault="00774548" w:rsidP="00774548">
            <w:pPr>
              <w:rPr>
                <w:rFonts w:cs="Times New Roman"/>
                <w:b/>
                <w:position w:val="2"/>
              </w:rPr>
            </w:pPr>
            <w:r w:rsidRPr="002D3A60">
              <w:rPr>
                <w:rFonts w:cs="Times New Roman"/>
                <w:b/>
              </w:rPr>
              <w:t>11. Comments and complaints</w:t>
            </w:r>
          </w:p>
        </w:tc>
        <w:tc>
          <w:tcPr>
            <w:tcW w:w="4773" w:type="dxa"/>
            <w:tcMar>
              <w:top w:w="340" w:type="dxa"/>
              <w:left w:w="170" w:type="dxa"/>
              <w:bottom w:w="80" w:type="dxa"/>
              <w:right w:w="113" w:type="dxa"/>
            </w:tcMar>
          </w:tcPr>
          <w:p w14:paraId="547414E9" w14:textId="3D956D09" w:rsidR="00774548" w:rsidRPr="002D3A60" w:rsidRDefault="00774548" w:rsidP="00774548">
            <w:pPr>
              <w:rPr>
                <w:rFonts w:cs="Times New Roman"/>
                <w:color w:val="000000"/>
                <w:lang w:val="en-GB"/>
              </w:rPr>
            </w:pPr>
            <w:r w:rsidRPr="002D3A60">
              <w:rPr>
                <w:rFonts w:cs="Times New Roman"/>
                <w:color w:val="000000"/>
                <w:lang w:val="en-GB"/>
              </w:rPr>
              <w:t xml:space="preserve">We want to provide the best service possible to you and welcome all comments on our services. Contact our Customer Services Officer, Shona Geraghty at the address below or commentsandcomplaints@ciboard.ie. </w:t>
            </w:r>
          </w:p>
        </w:tc>
      </w:tr>
    </w:tbl>
    <w:p w14:paraId="4F22D95C" w14:textId="57CA60B9" w:rsidR="00546A9D" w:rsidRDefault="00546A9D" w:rsidP="00493DD5">
      <w:pPr>
        <w:pStyle w:val="Heading2"/>
      </w:pPr>
      <w:bookmarkStart w:id="150" w:name="_Toc438544268"/>
      <w:bookmarkStart w:id="151" w:name="_Toc438544304"/>
    </w:p>
    <w:p w14:paraId="09ED821C" w14:textId="77777777" w:rsidR="00546A9D" w:rsidRDefault="00546A9D">
      <w:pPr>
        <w:rPr>
          <w:rFonts w:asciiTheme="majorHAnsi" w:eastAsiaTheme="majorEastAsia" w:hAnsiTheme="majorHAnsi" w:cstheme="majorBidi"/>
          <w:b/>
          <w:bCs/>
          <w:color w:val="4F81BD" w:themeColor="accent1"/>
          <w:sz w:val="26"/>
          <w:szCs w:val="26"/>
        </w:rPr>
      </w:pPr>
      <w:r>
        <w:br w:type="page"/>
      </w:r>
    </w:p>
    <w:p w14:paraId="19DB2905" w14:textId="2DA389AF" w:rsidR="003008FE" w:rsidRDefault="00493DD5" w:rsidP="004116D8">
      <w:pPr>
        <w:pStyle w:val="Heading1"/>
      </w:pPr>
      <w:bookmarkStart w:id="152" w:name="_Toc337126534"/>
      <w:bookmarkStart w:id="153" w:name="_Toc337126580"/>
      <w:r>
        <w:lastRenderedPageBreak/>
        <w:t>A</w:t>
      </w:r>
      <w:r w:rsidRPr="00493DD5">
        <w:t>ppendix 2</w:t>
      </w:r>
      <w:r>
        <w:t xml:space="preserve">: </w:t>
      </w:r>
      <w:r w:rsidR="003008FE">
        <w:t>Board members 201</w:t>
      </w:r>
      <w:bookmarkEnd w:id="150"/>
      <w:bookmarkEnd w:id="151"/>
      <w:r w:rsidR="00516D06">
        <w:t>5</w:t>
      </w:r>
      <w:bookmarkEnd w:id="152"/>
      <w:bookmarkEnd w:id="153"/>
      <w:r w:rsidR="00AB6614">
        <w:t xml:space="preserve"> </w:t>
      </w:r>
    </w:p>
    <w:p w14:paraId="07C1754B" w14:textId="77777777" w:rsidR="003008FE" w:rsidRPr="002D3A60" w:rsidRDefault="003008FE" w:rsidP="003008FE"/>
    <w:p w14:paraId="5AFC104E" w14:textId="77777777" w:rsidR="00AB6614" w:rsidRDefault="00AB6614" w:rsidP="00546A9D"/>
    <w:p w14:paraId="130A5768" w14:textId="5B9BC9D0" w:rsidR="00AB6614" w:rsidRDefault="00AB6614" w:rsidP="00546A9D">
      <w:r>
        <w:t>The following served on the Board in 2015</w:t>
      </w:r>
    </w:p>
    <w:p w14:paraId="3826843A" w14:textId="77777777" w:rsidR="00AB6614" w:rsidRDefault="00AB6614" w:rsidP="00546A9D"/>
    <w:p w14:paraId="241CBA3E" w14:textId="77777777" w:rsidR="00AB6614" w:rsidRDefault="00AB6614" w:rsidP="001A0B02">
      <w:pPr>
        <w:pStyle w:val="ListParagraph"/>
        <w:numPr>
          <w:ilvl w:val="0"/>
          <w:numId w:val="14"/>
        </w:numPr>
      </w:pPr>
      <w:r>
        <w:t>Noeline Blackwell</w:t>
      </w:r>
    </w:p>
    <w:p w14:paraId="642A9712" w14:textId="77777777" w:rsidR="00153EA1" w:rsidRDefault="00153EA1" w:rsidP="00153EA1">
      <w:pPr>
        <w:pStyle w:val="ListParagraph"/>
        <w:ind w:left="1080"/>
      </w:pPr>
    </w:p>
    <w:p w14:paraId="43CB06BB" w14:textId="27A4E482" w:rsidR="00AB6614" w:rsidRDefault="00AB6614" w:rsidP="001A0B02">
      <w:pPr>
        <w:pStyle w:val="ListParagraph"/>
        <w:numPr>
          <w:ilvl w:val="0"/>
          <w:numId w:val="14"/>
        </w:numPr>
      </w:pPr>
      <w:r>
        <w:t xml:space="preserve">Michael Butler </w:t>
      </w:r>
    </w:p>
    <w:p w14:paraId="50F27F34" w14:textId="77777777" w:rsidR="00153EA1" w:rsidRDefault="00153EA1" w:rsidP="00153EA1"/>
    <w:p w14:paraId="1E27DA05" w14:textId="35648243" w:rsidR="00AB6614" w:rsidRDefault="00AB6614" w:rsidP="001A0B02">
      <w:pPr>
        <w:pStyle w:val="ListParagraph"/>
        <w:numPr>
          <w:ilvl w:val="0"/>
          <w:numId w:val="14"/>
        </w:numPr>
      </w:pPr>
      <w:r>
        <w:t xml:space="preserve">Anne Marie Cassidy </w:t>
      </w:r>
    </w:p>
    <w:p w14:paraId="676EF876" w14:textId="77777777" w:rsidR="00153EA1" w:rsidRDefault="00153EA1" w:rsidP="00153EA1"/>
    <w:p w14:paraId="44BEC159" w14:textId="77777777" w:rsidR="00153EA1" w:rsidRDefault="00AB6614" w:rsidP="001A0B02">
      <w:pPr>
        <w:pStyle w:val="ListParagraph"/>
        <w:numPr>
          <w:ilvl w:val="0"/>
          <w:numId w:val="14"/>
        </w:numPr>
      </w:pPr>
      <w:r>
        <w:t>Tim Duggan      </w:t>
      </w:r>
    </w:p>
    <w:p w14:paraId="46A19A4E" w14:textId="650C496C" w:rsidR="00AB6614" w:rsidRDefault="00AB6614" w:rsidP="00153EA1">
      <w:r>
        <w:t xml:space="preserve">                                                 </w:t>
      </w:r>
    </w:p>
    <w:p w14:paraId="5ECE14E4" w14:textId="40A986D1" w:rsidR="00AB6614" w:rsidRDefault="00AB6614" w:rsidP="001A0B02">
      <w:pPr>
        <w:pStyle w:val="ListParagraph"/>
        <w:numPr>
          <w:ilvl w:val="0"/>
          <w:numId w:val="14"/>
        </w:numPr>
      </w:pPr>
      <w:r>
        <w:t>Sylda Langford (Chair)</w:t>
      </w:r>
    </w:p>
    <w:p w14:paraId="751E2D8D" w14:textId="77777777" w:rsidR="00153EA1" w:rsidRDefault="00153EA1" w:rsidP="00153EA1"/>
    <w:p w14:paraId="538631D7" w14:textId="33275001" w:rsidR="00AB6614" w:rsidRDefault="00AB6614" w:rsidP="001A0B02">
      <w:pPr>
        <w:pStyle w:val="ListParagraph"/>
        <w:numPr>
          <w:ilvl w:val="0"/>
          <w:numId w:val="14"/>
        </w:numPr>
      </w:pPr>
      <w:r>
        <w:t>Josephine Henry</w:t>
      </w:r>
      <w:r>
        <w:tab/>
      </w:r>
    </w:p>
    <w:p w14:paraId="1E2964DD" w14:textId="77777777" w:rsidR="00153EA1" w:rsidRDefault="00153EA1" w:rsidP="00153EA1"/>
    <w:p w14:paraId="23044A51" w14:textId="03F7DF2B" w:rsidR="00AB6614" w:rsidRDefault="00AB6614" w:rsidP="001A0B02">
      <w:pPr>
        <w:pStyle w:val="ListParagraph"/>
        <w:numPr>
          <w:ilvl w:val="0"/>
          <w:numId w:val="14"/>
        </w:numPr>
      </w:pPr>
      <w:r>
        <w:t xml:space="preserve">Eugene McErlean </w:t>
      </w:r>
    </w:p>
    <w:p w14:paraId="4A2CC179" w14:textId="77777777" w:rsidR="00153EA1" w:rsidRDefault="00153EA1" w:rsidP="00153EA1"/>
    <w:p w14:paraId="6455125F" w14:textId="76438F10" w:rsidR="00AB6614" w:rsidRDefault="00AB6614" w:rsidP="001A0B02">
      <w:pPr>
        <w:pStyle w:val="ListParagraph"/>
        <w:numPr>
          <w:ilvl w:val="0"/>
          <w:numId w:val="14"/>
        </w:numPr>
      </w:pPr>
      <w:r>
        <w:t>Ita Mangan (Chair)</w:t>
      </w:r>
    </w:p>
    <w:p w14:paraId="73F8DFC7" w14:textId="77777777" w:rsidR="00153EA1" w:rsidRDefault="00153EA1" w:rsidP="00153EA1"/>
    <w:p w14:paraId="76A3D6F2" w14:textId="77777777" w:rsidR="00AB6614" w:rsidRDefault="00AB6614" w:rsidP="001A0B02">
      <w:pPr>
        <w:pStyle w:val="ListParagraph"/>
        <w:numPr>
          <w:ilvl w:val="0"/>
          <w:numId w:val="14"/>
        </w:numPr>
      </w:pPr>
      <w:r>
        <w:t xml:space="preserve">Michael McGuane </w:t>
      </w:r>
    </w:p>
    <w:p w14:paraId="6B4B6F85" w14:textId="77777777" w:rsidR="00153EA1" w:rsidRDefault="00153EA1" w:rsidP="00153EA1"/>
    <w:p w14:paraId="0679F3BC" w14:textId="4BBEF451" w:rsidR="00AB6614" w:rsidRDefault="00AB6614" w:rsidP="001A0B02">
      <w:pPr>
        <w:pStyle w:val="ListParagraph"/>
        <w:numPr>
          <w:ilvl w:val="0"/>
          <w:numId w:val="14"/>
        </w:numPr>
      </w:pPr>
      <w:r>
        <w:t xml:space="preserve">Martin Naughton </w:t>
      </w:r>
    </w:p>
    <w:p w14:paraId="7E24FE93" w14:textId="77777777" w:rsidR="00153EA1" w:rsidRDefault="00153EA1" w:rsidP="00153EA1"/>
    <w:p w14:paraId="0F88237B" w14:textId="4E483630" w:rsidR="00AB6614" w:rsidRDefault="00AB6614" w:rsidP="001A0B02">
      <w:pPr>
        <w:pStyle w:val="ListParagraph"/>
        <w:numPr>
          <w:ilvl w:val="0"/>
          <w:numId w:val="14"/>
        </w:numPr>
      </w:pPr>
      <w:r>
        <w:t xml:space="preserve">Sandra Ronayne </w:t>
      </w:r>
    </w:p>
    <w:p w14:paraId="3715A4D0" w14:textId="77777777" w:rsidR="00153EA1" w:rsidRDefault="00153EA1" w:rsidP="00153EA1"/>
    <w:p w14:paraId="74C5D14A" w14:textId="0A735C82" w:rsidR="00AB6614" w:rsidRDefault="00AB6614" w:rsidP="001A0B02">
      <w:pPr>
        <w:pStyle w:val="ListParagraph"/>
        <w:numPr>
          <w:ilvl w:val="0"/>
          <w:numId w:val="14"/>
        </w:numPr>
      </w:pPr>
      <w:r>
        <w:t>Simonetta Ryan</w:t>
      </w:r>
    </w:p>
    <w:p w14:paraId="54247CAA" w14:textId="77777777" w:rsidR="00153EA1" w:rsidRDefault="00153EA1" w:rsidP="00153EA1"/>
    <w:p w14:paraId="63FAF925" w14:textId="25ABD55F" w:rsidR="00AB6614" w:rsidRDefault="00AB6614" w:rsidP="001A0B02">
      <w:pPr>
        <w:pStyle w:val="ListParagraph"/>
        <w:numPr>
          <w:ilvl w:val="0"/>
          <w:numId w:val="14"/>
        </w:numPr>
      </w:pPr>
      <w:r>
        <w:t xml:space="preserve">John Sheehy </w:t>
      </w:r>
    </w:p>
    <w:p w14:paraId="27D2C028" w14:textId="77777777" w:rsidR="00153EA1" w:rsidRDefault="00153EA1" w:rsidP="00153EA1"/>
    <w:p w14:paraId="2E34E49F" w14:textId="4A5886B2" w:rsidR="00AB6614" w:rsidRDefault="00AB6614" w:rsidP="001A0B02">
      <w:pPr>
        <w:pStyle w:val="ListParagraph"/>
        <w:numPr>
          <w:ilvl w:val="0"/>
          <w:numId w:val="14"/>
        </w:numPr>
      </w:pPr>
      <w:r>
        <w:t>David Stratton</w:t>
      </w:r>
    </w:p>
    <w:p w14:paraId="32F21CDF" w14:textId="77777777" w:rsidR="00153EA1" w:rsidRDefault="00153EA1" w:rsidP="00153EA1"/>
    <w:p w14:paraId="1594D280" w14:textId="4AC7AFAC" w:rsidR="00AB6614" w:rsidRDefault="00AB6614" w:rsidP="001A0B02">
      <w:pPr>
        <w:pStyle w:val="ListParagraph"/>
        <w:numPr>
          <w:ilvl w:val="0"/>
          <w:numId w:val="14"/>
        </w:numPr>
      </w:pPr>
      <w:r>
        <w:t xml:space="preserve">Seán Sheridan </w:t>
      </w:r>
    </w:p>
    <w:p w14:paraId="52987609" w14:textId="77777777" w:rsidR="00153EA1" w:rsidRDefault="00153EA1" w:rsidP="00153EA1"/>
    <w:p w14:paraId="3E337BFB" w14:textId="095C3A4A" w:rsidR="00AB6614" w:rsidRDefault="00AB6614" w:rsidP="001A0B02">
      <w:pPr>
        <w:pStyle w:val="ListParagraph"/>
        <w:numPr>
          <w:ilvl w:val="0"/>
          <w:numId w:val="14"/>
        </w:numPr>
      </w:pPr>
      <w:r>
        <w:t>Seán Sweeney</w:t>
      </w:r>
    </w:p>
    <w:p w14:paraId="01FF0965" w14:textId="77777777" w:rsidR="00153EA1" w:rsidRDefault="00153EA1" w:rsidP="00153EA1"/>
    <w:p w14:paraId="433B2E7D" w14:textId="77777777" w:rsidR="003008FE" w:rsidRPr="002D3A60" w:rsidRDefault="003008FE" w:rsidP="003008FE"/>
    <w:p w14:paraId="7F512914" w14:textId="77777777" w:rsidR="00767610" w:rsidRPr="00767610" w:rsidRDefault="00767610" w:rsidP="00767610">
      <w:pPr>
        <w:widowControl w:val="0"/>
        <w:tabs>
          <w:tab w:val="left" w:pos="260"/>
        </w:tabs>
        <w:suppressAutoHyphens/>
        <w:autoSpaceDE w:val="0"/>
        <w:autoSpaceDN w:val="0"/>
        <w:adjustRightInd w:val="0"/>
        <w:spacing w:line="288" w:lineRule="auto"/>
        <w:textAlignment w:val="center"/>
        <w:rPr>
          <w:rFonts w:cs="Bliss-Light"/>
          <w:color w:val="323232"/>
          <w:lang w:val="en-GB"/>
        </w:rPr>
      </w:pPr>
      <w:r w:rsidRPr="00767610">
        <w:rPr>
          <w:rFonts w:cs="Bliss-Light"/>
          <w:color w:val="323232"/>
          <w:lang w:val="en-GB"/>
        </w:rPr>
        <w:t xml:space="preserve">A list of current Board members is at: </w:t>
      </w:r>
    </w:p>
    <w:p w14:paraId="249727F6" w14:textId="67A1D2B5" w:rsidR="00516D06" w:rsidRPr="002D3A60" w:rsidRDefault="00767610" w:rsidP="00767610">
      <w:r w:rsidRPr="00767610">
        <w:rPr>
          <w:rFonts w:cs="Bliss-Light"/>
          <w:color w:val="323232"/>
          <w:lang w:val="en-GB"/>
        </w:rPr>
        <w:t>http://www.citizensinformationboard.ie/en/about/board_members/</w:t>
      </w:r>
      <w:r w:rsidR="00516D06" w:rsidRPr="002D3A60">
        <w:br w:type="page"/>
      </w:r>
    </w:p>
    <w:p w14:paraId="59C113D7" w14:textId="1B7D21DE" w:rsidR="00546A9D" w:rsidRPr="00546A9D" w:rsidRDefault="00546A9D" w:rsidP="004116D8">
      <w:pPr>
        <w:pStyle w:val="Heading1"/>
      </w:pPr>
      <w:bookmarkStart w:id="154" w:name="_Toc438462513"/>
      <w:bookmarkStart w:id="155" w:name="_Toc438544266"/>
      <w:bookmarkStart w:id="156" w:name="_Toc438544302"/>
      <w:bookmarkStart w:id="157" w:name="_Toc337126535"/>
      <w:bookmarkStart w:id="158" w:name="_Toc337126581"/>
      <w:r>
        <w:lastRenderedPageBreak/>
        <w:t xml:space="preserve">Appendix 3: </w:t>
      </w:r>
      <w:r w:rsidR="00F671E2">
        <w:t>Services</w:t>
      </w:r>
      <w:r w:rsidRPr="00546A9D">
        <w:t xml:space="preserve"> teams and structure</w:t>
      </w:r>
      <w:bookmarkEnd w:id="154"/>
      <w:bookmarkEnd w:id="155"/>
      <w:bookmarkEnd w:id="156"/>
      <w:bookmarkEnd w:id="157"/>
      <w:bookmarkEnd w:id="158"/>
      <w:r w:rsidRPr="00546A9D">
        <w:t xml:space="preserve"> </w:t>
      </w:r>
    </w:p>
    <w:p w14:paraId="5F2312DE" w14:textId="77777777" w:rsidR="00546A9D" w:rsidRPr="00546A9D" w:rsidRDefault="00546A9D" w:rsidP="00546A9D">
      <w:r w:rsidRPr="00546A9D">
        <w:t>To carry out its functions, the Citizens Information Board has the following service teams:</w:t>
      </w:r>
    </w:p>
    <w:p w14:paraId="5F97C0D6" w14:textId="77777777" w:rsidR="00546A9D" w:rsidRPr="00546A9D" w:rsidRDefault="00546A9D" w:rsidP="00546A9D"/>
    <w:p w14:paraId="66DF34E7" w14:textId="1BFD7C21" w:rsidR="00EA319F" w:rsidRDefault="00546A9D" w:rsidP="00546A9D">
      <w:r w:rsidRPr="00546A9D">
        <w:t>•</w:t>
      </w:r>
      <w:r w:rsidRPr="00546A9D">
        <w:tab/>
        <w:t>Advocacy</w:t>
      </w:r>
    </w:p>
    <w:p w14:paraId="668FBB47" w14:textId="77777777" w:rsidR="00EA319F" w:rsidRPr="00546A9D" w:rsidRDefault="00EA319F" w:rsidP="00546A9D"/>
    <w:p w14:paraId="00F38E7D" w14:textId="77777777" w:rsidR="00546A9D" w:rsidRDefault="00546A9D" w:rsidP="00546A9D">
      <w:r w:rsidRPr="00546A9D">
        <w:t>•</w:t>
      </w:r>
      <w:r w:rsidRPr="00546A9D">
        <w:tab/>
        <w:t>Finance and Administration</w:t>
      </w:r>
    </w:p>
    <w:p w14:paraId="331082F6" w14:textId="77777777" w:rsidR="00EA319F" w:rsidRPr="00546A9D" w:rsidRDefault="00EA319F" w:rsidP="00546A9D"/>
    <w:p w14:paraId="1AADFFF1" w14:textId="77777777" w:rsidR="00546A9D" w:rsidRDefault="00546A9D" w:rsidP="00546A9D">
      <w:r w:rsidRPr="00546A9D">
        <w:t>•</w:t>
      </w:r>
      <w:r w:rsidRPr="00546A9D">
        <w:tab/>
        <w:t>HR and Governance</w:t>
      </w:r>
    </w:p>
    <w:p w14:paraId="1B7CEDFD" w14:textId="77777777" w:rsidR="00EA319F" w:rsidRPr="00546A9D" w:rsidRDefault="00EA319F" w:rsidP="00546A9D"/>
    <w:p w14:paraId="204092AD" w14:textId="77777777" w:rsidR="00546A9D" w:rsidRDefault="00546A9D" w:rsidP="00546A9D">
      <w:r w:rsidRPr="00546A9D">
        <w:t>•</w:t>
      </w:r>
      <w:r w:rsidRPr="00546A9D">
        <w:tab/>
        <w:t>ICT and Project Management Office</w:t>
      </w:r>
    </w:p>
    <w:p w14:paraId="22C2B57D" w14:textId="77777777" w:rsidR="00EA319F" w:rsidRPr="00546A9D" w:rsidRDefault="00EA319F" w:rsidP="00546A9D"/>
    <w:p w14:paraId="6847B8D2" w14:textId="77777777" w:rsidR="00546A9D" w:rsidRDefault="00546A9D" w:rsidP="00546A9D">
      <w:r w:rsidRPr="00546A9D">
        <w:t>•</w:t>
      </w:r>
      <w:r w:rsidRPr="00546A9D">
        <w:tab/>
        <w:t>Information Resources</w:t>
      </w:r>
    </w:p>
    <w:p w14:paraId="22B94731" w14:textId="77777777" w:rsidR="00EA319F" w:rsidRPr="00546A9D" w:rsidRDefault="00EA319F" w:rsidP="00546A9D"/>
    <w:p w14:paraId="228A3ACD" w14:textId="77777777" w:rsidR="00546A9D" w:rsidRDefault="00546A9D" w:rsidP="00546A9D">
      <w:r w:rsidRPr="00546A9D">
        <w:t>•</w:t>
      </w:r>
      <w:r w:rsidRPr="00546A9D">
        <w:tab/>
        <w:t>Service Delivery</w:t>
      </w:r>
    </w:p>
    <w:p w14:paraId="38ECE0EB" w14:textId="77777777" w:rsidR="00EA319F" w:rsidRPr="00546A9D" w:rsidRDefault="00EA319F" w:rsidP="00546A9D"/>
    <w:p w14:paraId="2BFE98ED" w14:textId="77777777" w:rsidR="00546A9D" w:rsidRDefault="00546A9D" w:rsidP="00546A9D">
      <w:r w:rsidRPr="00546A9D">
        <w:t>•</w:t>
      </w:r>
      <w:r w:rsidRPr="00546A9D">
        <w:tab/>
        <w:t>Social Policy and Research</w:t>
      </w:r>
    </w:p>
    <w:p w14:paraId="727D6119" w14:textId="77777777" w:rsidR="00EA319F" w:rsidRPr="00546A9D" w:rsidRDefault="00EA319F" w:rsidP="00546A9D"/>
    <w:p w14:paraId="613D7664" w14:textId="77777777" w:rsidR="00546A9D" w:rsidRPr="00546A9D" w:rsidRDefault="00546A9D" w:rsidP="00546A9D">
      <w:r w:rsidRPr="00546A9D">
        <w:t>•</w:t>
      </w:r>
      <w:r w:rsidRPr="00546A9D">
        <w:tab/>
        <w:t>Training</w:t>
      </w:r>
    </w:p>
    <w:p w14:paraId="0DF3C04F" w14:textId="77777777" w:rsidR="00546A9D" w:rsidRPr="00546A9D" w:rsidRDefault="00546A9D" w:rsidP="00546A9D"/>
    <w:p w14:paraId="1319227C" w14:textId="77777777" w:rsidR="00B02B1C" w:rsidRDefault="00B02B1C" w:rsidP="00EF58EA">
      <w:r w:rsidRPr="00EF58EA">
        <w:rPr>
          <w:rFonts w:cs="Bliss-Bold"/>
          <w:b/>
          <w:bCs/>
          <w:color w:val="4F81BD" w:themeColor="accent1"/>
        </w:rPr>
        <w:t>The Advocacy team</w:t>
      </w:r>
      <w:r w:rsidRPr="00EF58EA">
        <w:rPr>
          <w:rFonts w:cs="Bliss-Bold"/>
          <w:bCs/>
          <w:color w:val="7FFF00"/>
        </w:rPr>
        <w:t xml:space="preserve"> </w:t>
      </w:r>
      <w:r w:rsidRPr="00EF58EA">
        <w:t>leads the development of best practice in CIS advocacy by developing advocacy resources and by promoting the use of those resources through the training, mentoring and support of the five regionally-based Advocacy Support Workers.</w:t>
      </w:r>
    </w:p>
    <w:p w14:paraId="527B897A" w14:textId="77777777" w:rsidR="00EF58EA" w:rsidRPr="00EF58EA" w:rsidRDefault="00EF58EA" w:rsidP="00EF58EA">
      <w:pPr>
        <w:rPr>
          <w:color w:val="000000"/>
        </w:rPr>
      </w:pPr>
    </w:p>
    <w:p w14:paraId="464C9C4E" w14:textId="77777777" w:rsidR="00B02B1C" w:rsidRDefault="00B02B1C" w:rsidP="00EF58EA">
      <w:r w:rsidRPr="00EF58EA">
        <w:rPr>
          <w:rFonts w:cs="Bliss-Bold"/>
          <w:b/>
          <w:bCs/>
          <w:color w:val="4F81BD" w:themeColor="accent1"/>
        </w:rPr>
        <w:t>The Finance and Administration team</w:t>
      </w:r>
      <w:r w:rsidRPr="00EF58EA">
        <w:rPr>
          <w:rFonts w:cs="Bliss-Bold"/>
          <w:bCs/>
          <w:color w:val="7FFF00"/>
        </w:rPr>
        <w:t xml:space="preserve"> </w:t>
      </w:r>
      <w:r w:rsidRPr="00EF58EA">
        <w:t xml:space="preserve">is responsible for finance matters and procedures for delivery services. In 2015, </w:t>
      </w:r>
      <w:r w:rsidRPr="00EF58EA">
        <w:rPr>
          <w:rFonts w:cs="EuroSansStd-Regular"/>
        </w:rPr>
        <w:t></w:t>
      </w:r>
      <w:r w:rsidRPr="00EF58EA">
        <w:t>35,612,371m was disbursed in grants. CIB ensures that proper financial controls and reporting procedures are followed by delivery services – which ensures that value for money is delivered to the tax payer.</w:t>
      </w:r>
    </w:p>
    <w:p w14:paraId="6855F83E" w14:textId="77777777" w:rsidR="00EF58EA" w:rsidRPr="00EF58EA" w:rsidRDefault="00EF58EA" w:rsidP="00EF58EA"/>
    <w:p w14:paraId="04152B17" w14:textId="283DA023" w:rsidR="00B02B1C" w:rsidRDefault="00B02B1C" w:rsidP="00EF58EA">
      <w:r w:rsidRPr="00EF58EA">
        <w:rPr>
          <w:rFonts w:cs="Bliss-Bold"/>
          <w:b/>
          <w:bCs/>
          <w:color w:val="4F81BD" w:themeColor="accent1"/>
        </w:rPr>
        <w:t>The HR and Governance team</w:t>
      </w:r>
      <w:r w:rsidRPr="00EF58EA">
        <w:rPr>
          <w:rFonts w:cs="Bliss-Bold"/>
          <w:bCs/>
          <w:color w:val="7FFF00"/>
        </w:rPr>
        <w:t xml:space="preserve"> </w:t>
      </w:r>
      <w:r w:rsidRPr="00EF58EA">
        <w:t>supports the staff of the Citizens Information Board and is responsible for governance within CIB, including support of the Board, data protection, Freedom of Information and customer complaints.  The team is also responsible for supporting delivery service companies on HR and governance matters including advice on company law and on good practice for Boards of Management. During 2015 the HR &amp; Governance team was heavily involved in the recruitment process for Dedicated Mortgage Arrears Advisors for the MABS network and the follow-up with</w:t>
      </w:r>
      <w:r w:rsidR="00EF58EA">
        <w:t xml:space="preserve"> contracts for those appointed </w:t>
      </w:r>
      <w:r w:rsidRPr="00EF58EA">
        <w:t>to these positions.</w:t>
      </w:r>
    </w:p>
    <w:p w14:paraId="5F3535A1" w14:textId="77777777" w:rsidR="00EF58EA" w:rsidRPr="00EF58EA" w:rsidRDefault="00EF58EA" w:rsidP="00EF58EA"/>
    <w:p w14:paraId="3B22C129" w14:textId="77777777" w:rsidR="00B02B1C" w:rsidRDefault="00B02B1C" w:rsidP="00EF58EA">
      <w:r w:rsidRPr="00EF58EA">
        <w:t>Legal advice was sought on the implications of the Companies Act, 2014 and the Charities Act, 2009, for delivery service companies and companies were notified of this advice.  A generic Memorandum and Articles of Association for delivery service companies was reviewed to ensure its compliance with these pieces of legislation.</w:t>
      </w:r>
    </w:p>
    <w:p w14:paraId="1757564E" w14:textId="77777777" w:rsidR="00EF58EA" w:rsidRPr="00EF58EA" w:rsidRDefault="00EF58EA" w:rsidP="00EF58EA"/>
    <w:p w14:paraId="3F591763" w14:textId="77777777" w:rsidR="00B02B1C" w:rsidRPr="00EF58EA" w:rsidRDefault="00B02B1C" w:rsidP="00EF58EA">
      <w:pPr>
        <w:rPr>
          <w:color w:val="000000"/>
        </w:rPr>
      </w:pPr>
      <w:r w:rsidRPr="00EF58EA">
        <w:rPr>
          <w:rFonts w:cs="Bliss-Bold"/>
          <w:b/>
          <w:bCs/>
          <w:color w:val="4F81BD" w:themeColor="accent1"/>
        </w:rPr>
        <w:t>The Information and Communications Technology team</w:t>
      </w:r>
      <w:r w:rsidRPr="00EF58EA">
        <w:rPr>
          <w:rFonts w:cs="Bliss-Bold"/>
          <w:bCs/>
          <w:color w:val="7FFF00"/>
        </w:rPr>
        <w:t xml:space="preserve"> </w:t>
      </w:r>
      <w:r w:rsidRPr="00EF58EA">
        <w:t xml:space="preserve">manages and supports the day-to-day operational needs of the Citizens Information Board </w:t>
      </w:r>
      <w:r w:rsidRPr="00EF58EA">
        <w:lastRenderedPageBreak/>
        <w:t xml:space="preserve">(CIB) and the network of CIB’s delivery services. The team also manages the Project Management Office which supports project working within CIB. </w:t>
      </w:r>
    </w:p>
    <w:p w14:paraId="57E31478" w14:textId="77777777" w:rsidR="00B02B1C" w:rsidRDefault="00B02B1C" w:rsidP="00EF58EA">
      <w:r w:rsidRPr="00EF58EA">
        <w:rPr>
          <w:rFonts w:cs="Bliss-Bold"/>
          <w:b/>
          <w:bCs/>
          <w:color w:val="4F81BD" w:themeColor="accent1"/>
        </w:rPr>
        <w:t>The Information Resources team</w:t>
      </w:r>
      <w:r w:rsidRPr="00EF58EA">
        <w:rPr>
          <w:rFonts w:cs="Bliss-Bold"/>
          <w:bCs/>
          <w:color w:val="7FFF00"/>
        </w:rPr>
        <w:t xml:space="preserve"> </w:t>
      </w:r>
      <w:r w:rsidRPr="00EF58EA">
        <w:t xml:space="preserve">is responsible for CIB publications and for the websites, citizensinformation.ie, assistireland.ie, keepingyourhome.ie and gettingbacktowork.ie. </w:t>
      </w:r>
    </w:p>
    <w:p w14:paraId="15927E29" w14:textId="77777777" w:rsidR="00F3399A" w:rsidRPr="00EF58EA" w:rsidRDefault="00F3399A" w:rsidP="00EF58EA"/>
    <w:p w14:paraId="3D9521D3" w14:textId="77777777" w:rsidR="00B02B1C" w:rsidRDefault="00B02B1C" w:rsidP="00EF58EA">
      <w:r w:rsidRPr="00EF58EA">
        <w:rPr>
          <w:rFonts w:cs="Bliss-Bold"/>
          <w:b/>
          <w:bCs/>
          <w:color w:val="4F81BD" w:themeColor="accent1"/>
        </w:rPr>
        <w:t>The Quality team</w:t>
      </w:r>
      <w:r w:rsidRPr="00EF58EA">
        <w:rPr>
          <w:rFonts w:cs="Bliss-Bold"/>
          <w:bCs/>
          <w:color w:val="7FFF00"/>
        </w:rPr>
        <w:t xml:space="preserve"> </w:t>
      </w:r>
      <w:r w:rsidRPr="00EF58EA">
        <w:t xml:space="preserve">has an important role in ensuring that our service users receive consistently high quality services that meet their individual needs and requirements. The Quality team develops and implements CIB’s quality strategy and oversaw the EFQM Gold Star process. </w:t>
      </w:r>
    </w:p>
    <w:p w14:paraId="1CA857AE" w14:textId="77777777" w:rsidR="007E23ED" w:rsidRPr="00EF58EA" w:rsidRDefault="007E23ED" w:rsidP="00EF58EA"/>
    <w:p w14:paraId="1D3F7A84" w14:textId="77777777" w:rsidR="00B02B1C" w:rsidRDefault="00B02B1C" w:rsidP="00EF58EA">
      <w:r w:rsidRPr="00EF58EA">
        <w:rPr>
          <w:rFonts w:cs="Bliss-Bold"/>
          <w:b/>
          <w:bCs/>
          <w:color w:val="4F81BD" w:themeColor="accent1"/>
        </w:rPr>
        <w:t>The Social Policy and Research team</w:t>
      </w:r>
      <w:r w:rsidRPr="00EF58EA">
        <w:rPr>
          <w:rFonts w:cs="Bliss-Bold"/>
          <w:bCs/>
          <w:color w:val="7FFF00"/>
        </w:rPr>
        <w:t xml:space="preserve"> </w:t>
      </w:r>
      <w:r w:rsidRPr="00EF58EA">
        <w:t xml:space="preserve">is responsible for developing CIB’s social policy feedback role and undertaking research on models of information, advice and advocacy provision. The team collects and analyses information and data on social policy matters from delivery services, develops information on the effectiveness of current social policy and services, highlights issues that are of concern to users of those services to policy makers, develops social policy feedback and prepares (evidence-based) reports and submissions </w:t>
      </w:r>
      <w:r w:rsidRPr="00EF58EA">
        <w:br/>
        <w:t>in this area.</w:t>
      </w:r>
    </w:p>
    <w:p w14:paraId="0138612B" w14:textId="77777777" w:rsidR="007E23ED" w:rsidRPr="00EF58EA" w:rsidRDefault="007E23ED" w:rsidP="00EF58EA"/>
    <w:p w14:paraId="274BCBC8" w14:textId="77777777" w:rsidR="00B02B1C" w:rsidRDefault="00B02B1C" w:rsidP="00EF58EA">
      <w:r w:rsidRPr="00EF58EA">
        <w:rPr>
          <w:rFonts w:cs="Bliss-Bold"/>
          <w:b/>
          <w:bCs/>
          <w:color w:val="4F81BD" w:themeColor="accent1"/>
        </w:rPr>
        <w:t>The Service Delivery team</w:t>
      </w:r>
      <w:r w:rsidRPr="00EF58EA">
        <w:rPr>
          <w:rFonts w:cs="Bliss-Bold"/>
          <w:bCs/>
          <w:color w:val="7FFF00"/>
        </w:rPr>
        <w:t xml:space="preserve"> </w:t>
      </w:r>
      <w:r w:rsidRPr="00EF58EA">
        <w:t>supports all our locally-based delivery services – CISs and MABSs – as well as our national delivery services, CIPS, NAS and SLIS. The primary role and aim of the Service Delivery team is to support and monitor delivery services’ capacity development so that the range and quality of services offered to the public is continually improving.</w:t>
      </w:r>
    </w:p>
    <w:p w14:paraId="3044474A" w14:textId="77777777" w:rsidR="007E23ED" w:rsidRPr="00EF58EA" w:rsidRDefault="007E23ED" w:rsidP="00EF58EA"/>
    <w:p w14:paraId="21D5897B" w14:textId="77777777" w:rsidR="00B02B1C" w:rsidRDefault="00B02B1C" w:rsidP="00EF58EA">
      <w:r w:rsidRPr="00EF58EA">
        <w:rPr>
          <w:rFonts w:cs="Bliss-Bold"/>
          <w:b/>
          <w:bCs/>
          <w:color w:val="4F81BD" w:themeColor="accent1"/>
        </w:rPr>
        <w:t>The Training Services team</w:t>
      </w:r>
      <w:r w:rsidRPr="00EF58EA">
        <w:rPr>
          <w:rFonts w:cs="Bliss-Bold"/>
          <w:bCs/>
          <w:color w:val="7FFF00"/>
        </w:rPr>
        <w:t xml:space="preserve"> </w:t>
      </w:r>
      <w:r w:rsidRPr="00EF58EA">
        <w:t xml:space="preserve">organises and facilitates the delivery of a wide range of accredited and non-accredited training for staff, board members and volunteers of delivery services.  The team also works closely with MABSndl to co-ordinate the delivery of courses of joint interest to Board members and managers.  Training Services also develop resources and materials for use by delivery services in organising and planning their own training locally, for example, Induction materials for new information providers.  </w:t>
      </w:r>
    </w:p>
    <w:p w14:paraId="466F9F40" w14:textId="77777777" w:rsidR="007E23ED" w:rsidRPr="00EF58EA" w:rsidRDefault="007E23ED" w:rsidP="00EF58EA"/>
    <w:p w14:paraId="1807F4A6" w14:textId="77777777" w:rsidR="00B02B1C" w:rsidRDefault="00B02B1C" w:rsidP="00EF58EA">
      <w:r w:rsidRPr="00EF58EA">
        <w:t xml:space="preserve">The Training Services team developed a fully QQI accredited training programme for information providers (IAAP). This programme is available to volunteers, CE scheme workers and paid staff across the Citizens Information network.  </w:t>
      </w:r>
    </w:p>
    <w:p w14:paraId="433D2B06" w14:textId="77777777" w:rsidR="007E23ED" w:rsidRPr="00EF58EA" w:rsidRDefault="007E23ED" w:rsidP="00EF58EA">
      <w:pPr>
        <w:rPr>
          <w:color w:val="000000"/>
        </w:rPr>
      </w:pPr>
    </w:p>
    <w:p w14:paraId="04414A4B" w14:textId="77777777" w:rsidR="00B02B1C" w:rsidRDefault="00B02B1C" w:rsidP="00EF58EA">
      <w:r w:rsidRPr="00EF58EA">
        <w:rPr>
          <w:rFonts w:cs="Bliss-Bold"/>
          <w:b/>
          <w:bCs/>
          <w:color w:val="4F81BD" w:themeColor="accent1"/>
        </w:rPr>
        <w:t>A PR and Promotions Executive</w:t>
      </w:r>
      <w:r w:rsidRPr="00EF58EA">
        <w:rPr>
          <w:rFonts w:cs="Bliss-Bold"/>
          <w:bCs/>
          <w:color w:val="7FFF00"/>
        </w:rPr>
        <w:t xml:space="preserve"> </w:t>
      </w:r>
      <w:r w:rsidRPr="00EF58EA">
        <w:t xml:space="preserve">supports the Citizens Information and MABS brands. </w:t>
      </w:r>
    </w:p>
    <w:p w14:paraId="6934F913" w14:textId="77777777" w:rsidR="007E23ED" w:rsidRPr="00EF58EA" w:rsidRDefault="007E23ED" w:rsidP="00EF58EA"/>
    <w:p w14:paraId="57CBC562" w14:textId="77777777" w:rsidR="00B02B1C" w:rsidRPr="00EF58EA" w:rsidRDefault="00B02B1C" w:rsidP="00EF58EA">
      <w:pPr>
        <w:rPr>
          <w:rFonts w:cs="Bliss-Bold"/>
          <w:b/>
          <w:bCs/>
          <w:color w:val="4F81BD" w:themeColor="accent1"/>
        </w:rPr>
      </w:pPr>
      <w:r w:rsidRPr="00EF58EA">
        <w:rPr>
          <w:rFonts w:cs="Bliss-Bold"/>
          <w:b/>
          <w:bCs/>
          <w:color w:val="4F81BD" w:themeColor="accent1"/>
        </w:rPr>
        <w:t>Energy usage in 2015</w:t>
      </w:r>
    </w:p>
    <w:p w14:paraId="3F602BE6" w14:textId="77777777" w:rsidR="00B02B1C" w:rsidRDefault="00B02B1C" w:rsidP="00EF58EA">
      <w:r w:rsidRPr="00EF58EA">
        <w:t xml:space="preserve">Under S.I. 542 of 2009, public sector organisations are required to report annually on their energy usage and actions they propose to take to reduce consumption. Heating and lighting account for the main energy usage in CIB.  In 2015, CIB consumed 348,015 kWh of electricity and 159,847 kWh of gas. CO2 emissions were 216,671 kgCO2 (up 6% on 2014).  Overall, CIB’s energy savings are 13% better than its baseline of 2009.  </w:t>
      </w:r>
    </w:p>
    <w:p w14:paraId="2FFEA7E3" w14:textId="77777777" w:rsidR="00F3399A" w:rsidRPr="00EF58EA" w:rsidRDefault="00F3399A" w:rsidP="00EF58EA"/>
    <w:p w14:paraId="6780F496" w14:textId="77777777" w:rsidR="00B02B1C" w:rsidRDefault="00B02B1C" w:rsidP="00EF58EA">
      <w:r w:rsidRPr="00EF58EA">
        <w:lastRenderedPageBreak/>
        <w:t>CIB intends to improve its energy performance in 2016 by:</w:t>
      </w:r>
    </w:p>
    <w:p w14:paraId="577B83C2" w14:textId="77777777" w:rsidR="00F3399A" w:rsidRPr="00EF58EA" w:rsidRDefault="00F3399A" w:rsidP="00EF58EA"/>
    <w:p w14:paraId="59341D1F" w14:textId="77777777" w:rsidR="00B02B1C" w:rsidRPr="00EF58EA" w:rsidRDefault="00B02B1C" w:rsidP="00EF58EA">
      <w:r w:rsidRPr="00EF58EA">
        <w:t>Continuing to raise energy awareness among staff.</w:t>
      </w:r>
    </w:p>
    <w:p w14:paraId="6FC4356A" w14:textId="3F4E070D" w:rsidR="00546A9D" w:rsidRPr="00EF58EA" w:rsidRDefault="00B02B1C" w:rsidP="00EF58EA">
      <w:r w:rsidRPr="00EF58EA">
        <w:t>Reducing energy consumption as far as possible, e.g. through the purchase of energy efficient equipment and light bulbs and improving ICT systems performance.</w:t>
      </w:r>
    </w:p>
    <w:p w14:paraId="5991FAB3" w14:textId="77777777" w:rsidR="001152CE" w:rsidRDefault="001152CE" w:rsidP="005755A5">
      <w:pPr>
        <w:pStyle w:val="ListParagraph"/>
        <w:autoSpaceDE w:val="0"/>
        <w:autoSpaceDN w:val="0"/>
        <w:adjustRightInd w:val="0"/>
        <w:rPr>
          <w:rFonts w:ascii="Times New Roman" w:hAnsi="Times New Roman" w:cs="Times New Roman"/>
          <w:color w:val="000000"/>
        </w:rPr>
      </w:pPr>
    </w:p>
    <w:p w14:paraId="0BDE7E00" w14:textId="77777777" w:rsidR="002045D7" w:rsidRDefault="002045D7" w:rsidP="005755A5">
      <w:pPr>
        <w:pStyle w:val="ListParagraph"/>
        <w:autoSpaceDE w:val="0"/>
        <w:autoSpaceDN w:val="0"/>
        <w:adjustRightInd w:val="0"/>
        <w:rPr>
          <w:rFonts w:ascii="Times New Roman" w:hAnsi="Times New Roman" w:cs="Times New Roman"/>
          <w:color w:val="000000"/>
        </w:rPr>
      </w:pPr>
    </w:p>
    <w:p w14:paraId="71948B88" w14:textId="6AB9CFD3" w:rsidR="002045D7" w:rsidRPr="00DA3F23" w:rsidRDefault="002045D7" w:rsidP="00DA3F23">
      <w:pPr>
        <w:pStyle w:val="ListParagraph"/>
        <w:autoSpaceDE w:val="0"/>
        <w:autoSpaceDN w:val="0"/>
        <w:adjustRightInd w:val="0"/>
        <w:jc w:val="center"/>
        <w:rPr>
          <w:rFonts w:ascii="Times New Roman" w:hAnsi="Times New Roman" w:cs="Times New Roman"/>
          <w:b/>
          <w:color w:val="000000"/>
          <w:sz w:val="28"/>
          <w:szCs w:val="28"/>
        </w:rPr>
      </w:pPr>
      <w:r w:rsidRPr="00DA3F23">
        <w:rPr>
          <w:rFonts w:ascii="Times New Roman" w:hAnsi="Times New Roman" w:cs="Times New Roman"/>
          <w:b/>
          <w:color w:val="000000"/>
          <w:sz w:val="28"/>
          <w:szCs w:val="28"/>
        </w:rPr>
        <w:t>Organisational Chart</w:t>
      </w:r>
    </w:p>
    <w:p w14:paraId="7C217567" w14:textId="77777777" w:rsidR="005C4388" w:rsidRDefault="005C4388" w:rsidP="005755A5">
      <w:pPr>
        <w:pStyle w:val="ListParagraph"/>
        <w:autoSpaceDE w:val="0"/>
        <w:autoSpaceDN w:val="0"/>
        <w:adjustRightInd w:val="0"/>
        <w:rPr>
          <w:rFonts w:ascii="Times New Roman" w:hAnsi="Times New Roman" w:cs="Times New Roman"/>
          <w:color w:val="000000"/>
        </w:rPr>
      </w:pPr>
    </w:p>
    <w:p w14:paraId="2AA1E216" w14:textId="2E238742" w:rsidR="005C4388" w:rsidRDefault="005C4388" w:rsidP="00E6145A">
      <w:pPr>
        <w:pStyle w:val="ListParagraph"/>
        <w:numPr>
          <w:ilvl w:val="0"/>
          <w:numId w:val="27"/>
        </w:numPr>
        <w:autoSpaceDE w:val="0"/>
        <w:autoSpaceDN w:val="0"/>
        <w:adjustRightInd w:val="0"/>
        <w:rPr>
          <w:rFonts w:ascii="Times New Roman" w:hAnsi="Times New Roman" w:cs="Times New Roman"/>
          <w:color w:val="000000"/>
        </w:rPr>
      </w:pPr>
      <w:r>
        <w:rPr>
          <w:rFonts w:ascii="Times New Roman" w:hAnsi="Times New Roman" w:cs="Times New Roman"/>
          <w:color w:val="000000"/>
        </w:rPr>
        <w:t>Board of CIB. Chair: Ita Mangan</w:t>
      </w:r>
      <w:r w:rsidR="005B3AEF">
        <w:rPr>
          <w:rFonts w:ascii="Times New Roman" w:hAnsi="Times New Roman" w:cs="Times New Roman"/>
          <w:color w:val="000000"/>
        </w:rPr>
        <w:br/>
      </w:r>
    </w:p>
    <w:p w14:paraId="1F6B2E9A" w14:textId="2408C260" w:rsidR="005C4388" w:rsidRDefault="005C4388" w:rsidP="00E6145A">
      <w:pPr>
        <w:pStyle w:val="ListParagraph"/>
        <w:numPr>
          <w:ilvl w:val="0"/>
          <w:numId w:val="27"/>
        </w:numPr>
        <w:autoSpaceDE w:val="0"/>
        <w:autoSpaceDN w:val="0"/>
        <w:adjustRightInd w:val="0"/>
        <w:rPr>
          <w:rFonts w:ascii="Times New Roman" w:hAnsi="Times New Roman" w:cs="Times New Roman"/>
          <w:color w:val="000000"/>
        </w:rPr>
      </w:pPr>
      <w:r>
        <w:rPr>
          <w:rFonts w:ascii="Times New Roman" w:hAnsi="Times New Roman" w:cs="Times New Roman"/>
          <w:color w:val="000000"/>
        </w:rPr>
        <w:t>Chief Executive: Angela Black</w:t>
      </w:r>
      <w:r w:rsidR="005B3AEF">
        <w:rPr>
          <w:rFonts w:ascii="Times New Roman" w:hAnsi="Times New Roman" w:cs="Times New Roman"/>
          <w:color w:val="000000"/>
        </w:rPr>
        <w:br/>
      </w:r>
    </w:p>
    <w:p w14:paraId="357A00BA" w14:textId="7F1596B7" w:rsidR="005C4388" w:rsidRDefault="005C4388" w:rsidP="00E6145A">
      <w:pPr>
        <w:pStyle w:val="ListParagraph"/>
        <w:numPr>
          <w:ilvl w:val="0"/>
          <w:numId w:val="27"/>
        </w:numPr>
        <w:autoSpaceDE w:val="0"/>
        <w:autoSpaceDN w:val="0"/>
        <w:adjustRightInd w:val="0"/>
        <w:rPr>
          <w:rFonts w:ascii="Times New Roman" w:hAnsi="Times New Roman" w:cs="Times New Roman"/>
          <w:color w:val="000000"/>
        </w:rPr>
      </w:pPr>
      <w:r>
        <w:rPr>
          <w:rFonts w:ascii="Times New Roman" w:hAnsi="Times New Roman" w:cs="Times New Roman"/>
          <w:color w:val="000000"/>
        </w:rPr>
        <w:t>Service Development</w:t>
      </w:r>
      <w:r w:rsidR="00947868">
        <w:rPr>
          <w:rFonts w:ascii="Times New Roman" w:hAnsi="Times New Roman" w:cs="Times New Roman"/>
          <w:color w:val="000000"/>
        </w:rPr>
        <w:t>:</w:t>
      </w:r>
      <w:r>
        <w:rPr>
          <w:rFonts w:ascii="Times New Roman" w:hAnsi="Times New Roman" w:cs="Times New Roman"/>
          <w:color w:val="000000"/>
        </w:rPr>
        <w:t xml:space="preserve"> Adrian O’Connor, Senior Manager</w:t>
      </w:r>
      <w:r w:rsidR="005B3AEF">
        <w:rPr>
          <w:rFonts w:ascii="Times New Roman" w:hAnsi="Times New Roman" w:cs="Times New Roman"/>
          <w:color w:val="000000"/>
        </w:rPr>
        <w:br/>
      </w:r>
    </w:p>
    <w:p w14:paraId="30872774" w14:textId="7A43F35F" w:rsidR="00947868" w:rsidRDefault="00947868" w:rsidP="00E6145A">
      <w:pPr>
        <w:pStyle w:val="ListParagraph"/>
        <w:numPr>
          <w:ilvl w:val="0"/>
          <w:numId w:val="27"/>
        </w:numPr>
        <w:autoSpaceDE w:val="0"/>
        <w:autoSpaceDN w:val="0"/>
        <w:adjustRightInd w:val="0"/>
        <w:rPr>
          <w:rFonts w:ascii="Times New Roman" w:hAnsi="Times New Roman" w:cs="Times New Roman"/>
          <w:color w:val="000000"/>
        </w:rPr>
      </w:pPr>
      <w:r>
        <w:rPr>
          <w:rFonts w:ascii="Times New Roman" w:hAnsi="Times New Roman" w:cs="Times New Roman"/>
          <w:color w:val="000000"/>
        </w:rPr>
        <w:t>Service Delivery: Fitgerald, Senior Manager</w:t>
      </w:r>
      <w:r w:rsidR="005B3AEF">
        <w:rPr>
          <w:rFonts w:ascii="Times New Roman" w:hAnsi="Times New Roman" w:cs="Times New Roman"/>
          <w:color w:val="000000"/>
        </w:rPr>
        <w:br/>
      </w:r>
    </w:p>
    <w:p w14:paraId="499D5DB6" w14:textId="1BDC7E52" w:rsidR="005C4388" w:rsidRDefault="005C4388" w:rsidP="00E6145A">
      <w:pPr>
        <w:pStyle w:val="ListParagraph"/>
        <w:numPr>
          <w:ilvl w:val="0"/>
          <w:numId w:val="27"/>
        </w:numPr>
        <w:autoSpaceDE w:val="0"/>
        <w:autoSpaceDN w:val="0"/>
        <w:adjustRightInd w:val="0"/>
        <w:rPr>
          <w:rFonts w:ascii="Times New Roman" w:hAnsi="Times New Roman" w:cs="Times New Roman"/>
          <w:color w:val="000000"/>
        </w:rPr>
      </w:pPr>
      <w:r>
        <w:rPr>
          <w:rFonts w:ascii="Times New Roman" w:hAnsi="Times New Roman" w:cs="Times New Roman"/>
          <w:color w:val="000000"/>
        </w:rPr>
        <w:t>Finance and Administration: Gary Watters, Manager</w:t>
      </w:r>
      <w:r w:rsidR="005B3AEF">
        <w:rPr>
          <w:rFonts w:ascii="Times New Roman" w:hAnsi="Times New Roman" w:cs="Times New Roman"/>
          <w:color w:val="000000"/>
        </w:rPr>
        <w:br/>
      </w:r>
    </w:p>
    <w:p w14:paraId="1A2E9503" w14:textId="74E6DE89" w:rsidR="009C19A9" w:rsidRDefault="009C19A9" w:rsidP="00E6145A">
      <w:pPr>
        <w:pStyle w:val="ListParagraph"/>
        <w:numPr>
          <w:ilvl w:val="0"/>
          <w:numId w:val="27"/>
        </w:numPr>
        <w:autoSpaceDE w:val="0"/>
        <w:autoSpaceDN w:val="0"/>
        <w:adjustRightInd w:val="0"/>
        <w:rPr>
          <w:rFonts w:ascii="Times New Roman" w:hAnsi="Times New Roman" w:cs="Times New Roman"/>
          <w:color w:val="000000"/>
        </w:rPr>
      </w:pPr>
      <w:r>
        <w:rPr>
          <w:rFonts w:ascii="Times New Roman" w:hAnsi="Times New Roman" w:cs="Times New Roman"/>
          <w:color w:val="000000"/>
        </w:rPr>
        <w:t>Advocacy:</w:t>
      </w:r>
      <w:r w:rsidR="000833E0">
        <w:rPr>
          <w:rFonts w:ascii="Times New Roman" w:hAnsi="Times New Roman" w:cs="Times New Roman"/>
          <w:color w:val="000000"/>
        </w:rPr>
        <w:t xml:space="preserve"> </w:t>
      </w:r>
      <w:r>
        <w:rPr>
          <w:rFonts w:ascii="Times New Roman" w:hAnsi="Times New Roman" w:cs="Times New Roman"/>
          <w:color w:val="000000"/>
        </w:rPr>
        <w:t xml:space="preserve">Helen </w:t>
      </w:r>
      <w:r w:rsidR="000833E0">
        <w:rPr>
          <w:rFonts w:ascii="Times New Roman" w:hAnsi="Times New Roman" w:cs="Times New Roman"/>
          <w:color w:val="000000"/>
        </w:rPr>
        <w:t>Brougham, Manager</w:t>
      </w:r>
      <w:r w:rsidR="005B3AEF">
        <w:rPr>
          <w:rFonts w:ascii="Times New Roman" w:hAnsi="Times New Roman" w:cs="Times New Roman"/>
          <w:color w:val="000000"/>
        </w:rPr>
        <w:br/>
      </w:r>
    </w:p>
    <w:p w14:paraId="667EB94C" w14:textId="57F42A4D" w:rsidR="00F51B81" w:rsidRDefault="00F51B81" w:rsidP="00E6145A">
      <w:pPr>
        <w:pStyle w:val="ListParagraph"/>
        <w:numPr>
          <w:ilvl w:val="0"/>
          <w:numId w:val="27"/>
        </w:numPr>
        <w:autoSpaceDE w:val="0"/>
        <w:autoSpaceDN w:val="0"/>
        <w:adjustRightInd w:val="0"/>
        <w:rPr>
          <w:rFonts w:ascii="Times New Roman" w:hAnsi="Times New Roman" w:cs="Times New Roman"/>
          <w:color w:val="000000"/>
        </w:rPr>
      </w:pPr>
      <w:r>
        <w:rPr>
          <w:rFonts w:ascii="Times New Roman" w:hAnsi="Times New Roman" w:cs="Times New Roman"/>
          <w:color w:val="000000"/>
        </w:rPr>
        <w:t>Quality: Vacant</w:t>
      </w:r>
      <w:r w:rsidR="005B3AEF">
        <w:rPr>
          <w:rFonts w:ascii="Times New Roman" w:hAnsi="Times New Roman" w:cs="Times New Roman"/>
          <w:color w:val="000000"/>
        </w:rPr>
        <w:br/>
      </w:r>
    </w:p>
    <w:p w14:paraId="26977440" w14:textId="4D07A19D" w:rsidR="00F51B81" w:rsidRDefault="00F51B81" w:rsidP="00E6145A">
      <w:pPr>
        <w:pStyle w:val="ListParagraph"/>
        <w:numPr>
          <w:ilvl w:val="0"/>
          <w:numId w:val="27"/>
        </w:numPr>
        <w:autoSpaceDE w:val="0"/>
        <w:autoSpaceDN w:val="0"/>
        <w:adjustRightInd w:val="0"/>
        <w:rPr>
          <w:rFonts w:ascii="Times New Roman" w:hAnsi="Times New Roman" w:cs="Times New Roman"/>
          <w:color w:val="000000"/>
        </w:rPr>
      </w:pPr>
      <w:r>
        <w:rPr>
          <w:rFonts w:ascii="Times New Roman" w:hAnsi="Times New Roman" w:cs="Times New Roman"/>
          <w:color w:val="000000"/>
        </w:rPr>
        <w:t>HR &amp; Governance: Mary Fitzgerald, Manager</w:t>
      </w:r>
      <w:r w:rsidR="005B3AEF">
        <w:rPr>
          <w:rFonts w:ascii="Times New Roman" w:hAnsi="Times New Roman" w:cs="Times New Roman"/>
          <w:color w:val="000000"/>
        </w:rPr>
        <w:br/>
      </w:r>
    </w:p>
    <w:p w14:paraId="6BA33D8A" w14:textId="38CFF57A" w:rsidR="00F51B81" w:rsidRDefault="00FD584A" w:rsidP="00E6145A">
      <w:pPr>
        <w:pStyle w:val="ListParagraph"/>
        <w:numPr>
          <w:ilvl w:val="0"/>
          <w:numId w:val="27"/>
        </w:numPr>
        <w:autoSpaceDE w:val="0"/>
        <w:autoSpaceDN w:val="0"/>
        <w:adjustRightInd w:val="0"/>
        <w:rPr>
          <w:rFonts w:ascii="Times New Roman" w:hAnsi="Times New Roman" w:cs="Times New Roman"/>
          <w:color w:val="000000"/>
        </w:rPr>
      </w:pPr>
      <w:r>
        <w:rPr>
          <w:rFonts w:ascii="Times New Roman" w:hAnsi="Times New Roman" w:cs="Times New Roman"/>
          <w:color w:val="000000"/>
        </w:rPr>
        <w:t>Region 1: Rachel Downes, M</w:t>
      </w:r>
      <w:r w:rsidR="00F51B81">
        <w:rPr>
          <w:rFonts w:ascii="Times New Roman" w:hAnsi="Times New Roman" w:cs="Times New Roman"/>
          <w:color w:val="000000"/>
        </w:rPr>
        <w:t>anager</w:t>
      </w:r>
      <w:r w:rsidR="005B3AEF">
        <w:rPr>
          <w:rFonts w:ascii="Times New Roman" w:hAnsi="Times New Roman" w:cs="Times New Roman"/>
          <w:color w:val="000000"/>
        </w:rPr>
        <w:br/>
      </w:r>
    </w:p>
    <w:p w14:paraId="7FF93470" w14:textId="1D092350" w:rsidR="00F51B81" w:rsidRDefault="00FD584A" w:rsidP="00E6145A">
      <w:pPr>
        <w:pStyle w:val="ListParagraph"/>
        <w:numPr>
          <w:ilvl w:val="0"/>
          <w:numId w:val="27"/>
        </w:numPr>
        <w:autoSpaceDE w:val="0"/>
        <w:autoSpaceDN w:val="0"/>
        <w:adjustRightInd w:val="0"/>
        <w:rPr>
          <w:rFonts w:ascii="Times New Roman" w:hAnsi="Times New Roman" w:cs="Times New Roman"/>
          <w:color w:val="000000"/>
        </w:rPr>
      </w:pPr>
      <w:r>
        <w:rPr>
          <w:rFonts w:ascii="Times New Roman" w:hAnsi="Times New Roman" w:cs="Times New Roman"/>
          <w:color w:val="000000"/>
        </w:rPr>
        <w:t>Region 2: Marty Kerrane, M</w:t>
      </w:r>
      <w:r w:rsidR="00F51B81">
        <w:rPr>
          <w:rFonts w:ascii="Times New Roman" w:hAnsi="Times New Roman" w:cs="Times New Roman"/>
          <w:color w:val="000000"/>
        </w:rPr>
        <w:t>anager</w:t>
      </w:r>
      <w:r w:rsidR="005B3AEF">
        <w:rPr>
          <w:rFonts w:ascii="Times New Roman" w:hAnsi="Times New Roman" w:cs="Times New Roman"/>
          <w:color w:val="000000"/>
        </w:rPr>
        <w:br/>
      </w:r>
    </w:p>
    <w:p w14:paraId="214E8921" w14:textId="47DC2E00" w:rsidR="00F51B81" w:rsidRDefault="00500963" w:rsidP="00E6145A">
      <w:pPr>
        <w:pStyle w:val="ListParagraph"/>
        <w:numPr>
          <w:ilvl w:val="0"/>
          <w:numId w:val="27"/>
        </w:numPr>
        <w:autoSpaceDE w:val="0"/>
        <w:autoSpaceDN w:val="0"/>
        <w:adjustRightInd w:val="0"/>
        <w:rPr>
          <w:rFonts w:ascii="Times New Roman" w:hAnsi="Times New Roman" w:cs="Times New Roman"/>
          <w:color w:val="000000"/>
        </w:rPr>
      </w:pPr>
      <w:r>
        <w:rPr>
          <w:rFonts w:ascii="Times New Roman" w:hAnsi="Times New Roman" w:cs="Times New Roman"/>
          <w:color w:val="000000"/>
        </w:rPr>
        <w:t>Re</w:t>
      </w:r>
      <w:r w:rsidR="00F51B81">
        <w:rPr>
          <w:rFonts w:ascii="Times New Roman" w:hAnsi="Times New Roman" w:cs="Times New Roman"/>
          <w:color w:val="000000"/>
        </w:rPr>
        <w:t>gion 3 Susan Shanahan, Manager</w:t>
      </w:r>
      <w:r w:rsidR="005B3AEF">
        <w:rPr>
          <w:rFonts w:ascii="Times New Roman" w:hAnsi="Times New Roman" w:cs="Times New Roman"/>
          <w:color w:val="000000"/>
        </w:rPr>
        <w:br/>
      </w:r>
    </w:p>
    <w:p w14:paraId="6D1E0BFD" w14:textId="461A40D9" w:rsidR="00F51B81" w:rsidRDefault="00F51B81" w:rsidP="00E6145A">
      <w:pPr>
        <w:pStyle w:val="ListParagraph"/>
        <w:numPr>
          <w:ilvl w:val="0"/>
          <w:numId w:val="27"/>
        </w:numPr>
        <w:autoSpaceDE w:val="0"/>
        <w:autoSpaceDN w:val="0"/>
        <w:adjustRightInd w:val="0"/>
        <w:rPr>
          <w:rFonts w:ascii="Times New Roman" w:hAnsi="Times New Roman" w:cs="Times New Roman"/>
          <w:color w:val="000000"/>
        </w:rPr>
      </w:pPr>
      <w:r>
        <w:rPr>
          <w:rFonts w:ascii="Times New Roman" w:hAnsi="Times New Roman" w:cs="Times New Roman"/>
          <w:color w:val="000000"/>
        </w:rPr>
        <w:t>Region 4: Rose Morris, Manager</w:t>
      </w:r>
      <w:r w:rsidR="005B3AEF">
        <w:rPr>
          <w:rFonts w:ascii="Times New Roman" w:hAnsi="Times New Roman" w:cs="Times New Roman"/>
          <w:color w:val="000000"/>
        </w:rPr>
        <w:br/>
      </w:r>
    </w:p>
    <w:p w14:paraId="7503DECC" w14:textId="783693CE" w:rsidR="00947868" w:rsidRDefault="00B43FC5" w:rsidP="00E6145A">
      <w:pPr>
        <w:pStyle w:val="ListParagraph"/>
        <w:numPr>
          <w:ilvl w:val="0"/>
          <w:numId w:val="27"/>
        </w:numPr>
        <w:autoSpaceDE w:val="0"/>
        <w:autoSpaceDN w:val="0"/>
        <w:adjustRightInd w:val="0"/>
        <w:rPr>
          <w:rFonts w:ascii="Times New Roman" w:hAnsi="Times New Roman" w:cs="Times New Roman"/>
          <w:color w:val="000000"/>
        </w:rPr>
      </w:pPr>
      <w:r>
        <w:rPr>
          <w:rFonts w:ascii="Times New Roman" w:hAnsi="Times New Roman" w:cs="Times New Roman"/>
          <w:color w:val="000000"/>
        </w:rPr>
        <w:t>Info</w:t>
      </w:r>
      <w:r w:rsidR="00FD584A">
        <w:rPr>
          <w:rFonts w:ascii="Times New Roman" w:hAnsi="Times New Roman" w:cs="Times New Roman"/>
          <w:color w:val="000000"/>
        </w:rPr>
        <w:t>rmation Resources Graham Long, M</w:t>
      </w:r>
      <w:r>
        <w:rPr>
          <w:rFonts w:ascii="Times New Roman" w:hAnsi="Times New Roman" w:cs="Times New Roman"/>
          <w:color w:val="000000"/>
        </w:rPr>
        <w:t>anager</w:t>
      </w:r>
      <w:r w:rsidR="005B3AEF">
        <w:rPr>
          <w:rFonts w:ascii="Times New Roman" w:hAnsi="Times New Roman" w:cs="Times New Roman"/>
          <w:color w:val="000000"/>
        </w:rPr>
        <w:br/>
      </w:r>
    </w:p>
    <w:p w14:paraId="21BAF782" w14:textId="60D147E9" w:rsidR="00B43FC5" w:rsidRDefault="00B43FC5" w:rsidP="00E6145A">
      <w:pPr>
        <w:pStyle w:val="ListParagraph"/>
        <w:numPr>
          <w:ilvl w:val="0"/>
          <w:numId w:val="27"/>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Social Policy &amp; Research: </w:t>
      </w:r>
      <w:r w:rsidR="00FD584A">
        <w:rPr>
          <w:rFonts w:ascii="Times New Roman" w:hAnsi="Times New Roman" w:cs="Times New Roman"/>
          <w:color w:val="000000"/>
        </w:rPr>
        <w:t>Geralyn McGarry, M</w:t>
      </w:r>
      <w:r>
        <w:rPr>
          <w:rFonts w:ascii="Times New Roman" w:hAnsi="Times New Roman" w:cs="Times New Roman"/>
          <w:color w:val="000000"/>
        </w:rPr>
        <w:t>anager</w:t>
      </w:r>
      <w:r w:rsidR="005B3AEF">
        <w:rPr>
          <w:rFonts w:ascii="Times New Roman" w:hAnsi="Times New Roman" w:cs="Times New Roman"/>
          <w:color w:val="000000"/>
        </w:rPr>
        <w:br/>
      </w:r>
    </w:p>
    <w:p w14:paraId="0C1AF5D0" w14:textId="57C09C12" w:rsidR="00B43FC5" w:rsidRDefault="00B43FC5" w:rsidP="00E6145A">
      <w:pPr>
        <w:pStyle w:val="ListParagraph"/>
        <w:numPr>
          <w:ilvl w:val="0"/>
          <w:numId w:val="27"/>
        </w:numPr>
        <w:autoSpaceDE w:val="0"/>
        <w:autoSpaceDN w:val="0"/>
        <w:adjustRightInd w:val="0"/>
        <w:rPr>
          <w:rFonts w:ascii="Times New Roman" w:hAnsi="Times New Roman" w:cs="Times New Roman"/>
          <w:color w:val="000000"/>
        </w:rPr>
      </w:pPr>
      <w:r>
        <w:rPr>
          <w:rFonts w:ascii="Times New Roman" w:hAnsi="Times New Roman" w:cs="Times New Roman"/>
          <w:color w:val="000000"/>
        </w:rPr>
        <w:t>Training: Fiona Coyne, Manager</w:t>
      </w:r>
      <w:r w:rsidR="005B3AEF">
        <w:rPr>
          <w:rFonts w:ascii="Times New Roman" w:hAnsi="Times New Roman" w:cs="Times New Roman"/>
          <w:color w:val="000000"/>
        </w:rPr>
        <w:br/>
      </w:r>
    </w:p>
    <w:p w14:paraId="3DDC7CB9" w14:textId="133043FF" w:rsidR="00305743" w:rsidRDefault="00B43FC5" w:rsidP="00305743">
      <w:pPr>
        <w:pStyle w:val="ListParagraph"/>
        <w:numPr>
          <w:ilvl w:val="0"/>
          <w:numId w:val="27"/>
        </w:numPr>
        <w:autoSpaceDE w:val="0"/>
        <w:autoSpaceDN w:val="0"/>
        <w:adjustRightInd w:val="0"/>
        <w:rPr>
          <w:rFonts w:ascii="Times New Roman" w:hAnsi="Times New Roman" w:cs="Times New Roman"/>
          <w:color w:val="000000"/>
        </w:rPr>
      </w:pPr>
      <w:r>
        <w:rPr>
          <w:rFonts w:ascii="Times New Roman" w:hAnsi="Times New Roman" w:cs="Times New Roman"/>
          <w:color w:val="000000"/>
        </w:rPr>
        <w:t>ICT &amp; Project Management Office</w:t>
      </w:r>
      <w:r w:rsidR="00305743">
        <w:rPr>
          <w:rFonts w:ascii="Times New Roman" w:hAnsi="Times New Roman" w:cs="Times New Roman"/>
          <w:color w:val="000000"/>
        </w:rPr>
        <w:t xml:space="preserve">: </w:t>
      </w:r>
      <w:r w:rsidR="00305743" w:rsidRPr="00305743">
        <w:rPr>
          <w:rFonts w:ascii="Times New Roman" w:hAnsi="Times New Roman" w:cs="Times New Roman"/>
          <w:color w:val="000000"/>
        </w:rPr>
        <w:t>Keith Scanl</w:t>
      </w:r>
      <w:r w:rsidRPr="00305743">
        <w:rPr>
          <w:rFonts w:ascii="Times New Roman" w:hAnsi="Times New Roman" w:cs="Times New Roman"/>
          <w:color w:val="000000"/>
        </w:rPr>
        <w:t>on</w:t>
      </w:r>
      <w:r w:rsidR="00305743">
        <w:rPr>
          <w:rFonts w:ascii="Times New Roman" w:hAnsi="Times New Roman" w:cs="Times New Roman"/>
          <w:color w:val="000000"/>
        </w:rPr>
        <w:t>,</w:t>
      </w:r>
      <w:r w:rsidRPr="00305743">
        <w:rPr>
          <w:rFonts w:ascii="Times New Roman" w:hAnsi="Times New Roman" w:cs="Times New Roman"/>
          <w:color w:val="000000"/>
        </w:rPr>
        <w:t xml:space="preserve"> Manger</w:t>
      </w:r>
      <w:r w:rsidR="005B3AEF">
        <w:rPr>
          <w:rFonts w:ascii="Times New Roman" w:hAnsi="Times New Roman" w:cs="Times New Roman"/>
          <w:color w:val="000000"/>
        </w:rPr>
        <w:br/>
      </w:r>
    </w:p>
    <w:p w14:paraId="4B3C474E" w14:textId="5AF9F008" w:rsidR="00B43FC5" w:rsidRPr="00305743" w:rsidRDefault="00305743" w:rsidP="00305743">
      <w:pPr>
        <w:pStyle w:val="ListParagraph"/>
        <w:numPr>
          <w:ilvl w:val="0"/>
          <w:numId w:val="27"/>
        </w:numPr>
        <w:autoSpaceDE w:val="0"/>
        <w:autoSpaceDN w:val="0"/>
        <w:adjustRightInd w:val="0"/>
        <w:rPr>
          <w:rFonts w:ascii="Times New Roman" w:hAnsi="Times New Roman" w:cs="Times New Roman"/>
          <w:color w:val="000000"/>
        </w:rPr>
      </w:pPr>
      <w:r>
        <w:rPr>
          <w:rFonts w:ascii="Times New Roman" w:hAnsi="Times New Roman" w:cs="Times New Roman"/>
          <w:color w:val="000000"/>
        </w:rPr>
        <w:t>PR and Promotions: Evelyn Lee, Executive</w:t>
      </w:r>
      <w:r w:rsidR="00B43FC5" w:rsidRPr="00305743">
        <w:rPr>
          <w:rFonts w:ascii="Times New Roman" w:hAnsi="Times New Roman" w:cs="Times New Roman"/>
          <w:color w:val="000000"/>
        </w:rPr>
        <w:t xml:space="preserve"> </w:t>
      </w:r>
    </w:p>
    <w:p w14:paraId="76AF8812" w14:textId="77777777" w:rsidR="00F3399A" w:rsidRDefault="00F3399A" w:rsidP="005755A5">
      <w:pPr>
        <w:pStyle w:val="ListParagraph"/>
        <w:autoSpaceDE w:val="0"/>
        <w:autoSpaceDN w:val="0"/>
        <w:adjustRightInd w:val="0"/>
        <w:rPr>
          <w:rFonts w:ascii="Times New Roman" w:hAnsi="Times New Roman" w:cs="Times New Roman"/>
          <w:color w:val="000000"/>
        </w:rPr>
      </w:pPr>
    </w:p>
    <w:p w14:paraId="47040337" w14:textId="28D59C11" w:rsidR="00F3399A" w:rsidRDefault="00F3399A" w:rsidP="005755A5">
      <w:pPr>
        <w:pStyle w:val="ListParagraph"/>
        <w:autoSpaceDE w:val="0"/>
        <w:autoSpaceDN w:val="0"/>
        <w:adjustRightInd w:val="0"/>
        <w:rPr>
          <w:rFonts w:ascii="Times New Roman" w:hAnsi="Times New Roman" w:cs="Times New Roman"/>
          <w:noProof/>
          <w:color w:val="000000"/>
        </w:rPr>
      </w:pPr>
    </w:p>
    <w:p w14:paraId="25D0FDB6" w14:textId="77777777" w:rsidR="005E433C" w:rsidRDefault="005E433C" w:rsidP="005755A5">
      <w:pPr>
        <w:pStyle w:val="ListParagraph"/>
        <w:autoSpaceDE w:val="0"/>
        <w:autoSpaceDN w:val="0"/>
        <w:adjustRightInd w:val="0"/>
        <w:rPr>
          <w:rFonts w:ascii="Times New Roman" w:hAnsi="Times New Roman" w:cs="Times New Roman"/>
          <w:noProof/>
          <w:color w:val="000000"/>
        </w:rPr>
      </w:pPr>
    </w:p>
    <w:p w14:paraId="5DA1F82C" w14:textId="77777777" w:rsidR="005E433C" w:rsidRDefault="005E433C" w:rsidP="005755A5">
      <w:pPr>
        <w:pStyle w:val="ListParagraph"/>
        <w:autoSpaceDE w:val="0"/>
        <w:autoSpaceDN w:val="0"/>
        <w:adjustRightInd w:val="0"/>
        <w:rPr>
          <w:rFonts w:ascii="Times New Roman" w:hAnsi="Times New Roman" w:cs="Times New Roman"/>
          <w:noProof/>
          <w:color w:val="000000"/>
        </w:rPr>
      </w:pPr>
    </w:p>
    <w:p w14:paraId="29BA8DA5" w14:textId="77777777" w:rsidR="005E433C" w:rsidRDefault="005E433C" w:rsidP="005755A5">
      <w:pPr>
        <w:pStyle w:val="ListParagraph"/>
        <w:autoSpaceDE w:val="0"/>
        <w:autoSpaceDN w:val="0"/>
        <w:adjustRightInd w:val="0"/>
        <w:rPr>
          <w:rFonts w:ascii="Times New Roman" w:hAnsi="Times New Roman" w:cs="Times New Roman"/>
          <w:noProof/>
          <w:color w:val="000000"/>
        </w:rPr>
      </w:pPr>
    </w:p>
    <w:p w14:paraId="74D8CEBA" w14:textId="77777777" w:rsidR="005E433C" w:rsidRDefault="005E433C" w:rsidP="005755A5">
      <w:pPr>
        <w:pStyle w:val="ListParagraph"/>
        <w:autoSpaceDE w:val="0"/>
        <w:autoSpaceDN w:val="0"/>
        <w:adjustRightInd w:val="0"/>
        <w:rPr>
          <w:rFonts w:ascii="Times New Roman" w:hAnsi="Times New Roman" w:cs="Times New Roman"/>
          <w:noProof/>
          <w:color w:val="000000"/>
        </w:rPr>
      </w:pPr>
    </w:p>
    <w:p w14:paraId="3C7FA2F7" w14:textId="77777777" w:rsidR="005E433C" w:rsidRDefault="005E433C" w:rsidP="005755A5">
      <w:pPr>
        <w:pStyle w:val="ListParagraph"/>
        <w:autoSpaceDE w:val="0"/>
        <w:autoSpaceDN w:val="0"/>
        <w:adjustRightInd w:val="0"/>
        <w:rPr>
          <w:rFonts w:ascii="Times New Roman" w:hAnsi="Times New Roman" w:cs="Times New Roman"/>
          <w:noProof/>
          <w:color w:val="000000"/>
        </w:rPr>
      </w:pPr>
    </w:p>
    <w:p w14:paraId="079BBF11" w14:textId="77777777" w:rsidR="005E433C" w:rsidRDefault="005E433C" w:rsidP="005755A5">
      <w:pPr>
        <w:pStyle w:val="ListParagraph"/>
        <w:autoSpaceDE w:val="0"/>
        <w:autoSpaceDN w:val="0"/>
        <w:adjustRightInd w:val="0"/>
        <w:rPr>
          <w:rFonts w:ascii="Times New Roman" w:hAnsi="Times New Roman" w:cs="Times New Roman"/>
          <w:noProof/>
          <w:color w:val="000000"/>
        </w:rPr>
      </w:pPr>
    </w:p>
    <w:p w14:paraId="7CFDA0C6" w14:textId="77777777" w:rsidR="005E433C" w:rsidRDefault="005E433C" w:rsidP="005755A5">
      <w:pPr>
        <w:pStyle w:val="ListParagraph"/>
        <w:autoSpaceDE w:val="0"/>
        <w:autoSpaceDN w:val="0"/>
        <w:adjustRightInd w:val="0"/>
        <w:rPr>
          <w:rFonts w:ascii="Times New Roman" w:hAnsi="Times New Roman" w:cs="Times New Roman"/>
          <w:noProof/>
          <w:color w:val="000000"/>
        </w:rPr>
      </w:pPr>
    </w:p>
    <w:p w14:paraId="290DD593" w14:textId="77777777" w:rsidR="005E433C" w:rsidRDefault="005E433C" w:rsidP="005755A5">
      <w:pPr>
        <w:pStyle w:val="ListParagraph"/>
        <w:autoSpaceDE w:val="0"/>
        <w:autoSpaceDN w:val="0"/>
        <w:adjustRightInd w:val="0"/>
        <w:rPr>
          <w:rFonts w:ascii="Times New Roman" w:hAnsi="Times New Roman" w:cs="Times New Roman"/>
          <w:noProof/>
          <w:color w:val="000000"/>
        </w:rPr>
      </w:pPr>
    </w:p>
    <w:p w14:paraId="12C735CE" w14:textId="77777777" w:rsidR="005E433C" w:rsidRDefault="005E433C" w:rsidP="005755A5">
      <w:pPr>
        <w:pStyle w:val="ListParagraph"/>
        <w:autoSpaceDE w:val="0"/>
        <w:autoSpaceDN w:val="0"/>
        <w:adjustRightInd w:val="0"/>
        <w:rPr>
          <w:rFonts w:ascii="Times New Roman" w:hAnsi="Times New Roman" w:cs="Times New Roman"/>
          <w:noProof/>
          <w:color w:val="000000"/>
        </w:rPr>
      </w:pPr>
    </w:p>
    <w:p w14:paraId="7F67EBA9" w14:textId="77777777" w:rsidR="005E433C" w:rsidRDefault="005E433C" w:rsidP="005755A5">
      <w:pPr>
        <w:pStyle w:val="ListParagraph"/>
        <w:autoSpaceDE w:val="0"/>
        <w:autoSpaceDN w:val="0"/>
        <w:adjustRightInd w:val="0"/>
        <w:rPr>
          <w:rFonts w:ascii="Times New Roman" w:hAnsi="Times New Roman" w:cs="Times New Roman"/>
          <w:noProof/>
          <w:color w:val="000000"/>
        </w:rPr>
      </w:pPr>
    </w:p>
    <w:p w14:paraId="50C8ABB4" w14:textId="77777777" w:rsidR="005E433C" w:rsidRDefault="005E433C" w:rsidP="005755A5">
      <w:pPr>
        <w:pStyle w:val="ListParagraph"/>
        <w:autoSpaceDE w:val="0"/>
        <w:autoSpaceDN w:val="0"/>
        <w:adjustRightInd w:val="0"/>
        <w:rPr>
          <w:rFonts w:ascii="Times New Roman" w:hAnsi="Times New Roman" w:cs="Times New Roman"/>
          <w:noProof/>
          <w:color w:val="000000"/>
        </w:rPr>
      </w:pPr>
    </w:p>
    <w:p w14:paraId="3D6FF53A" w14:textId="77777777" w:rsidR="005E433C" w:rsidRDefault="005E433C" w:rsidP="005755A5">
      <w:pPr>
        <w:pStyle w:val="ListParagraph"/>
        <w:autoSpaceDE w:val="0"/>
        <w:autoSpaceDN w:val="0"/>
        <w:adjustRightInd w:val="0"/>
        <w:rPr>
          <w:rFonts w:ascii="Times New Roman" w:hAnsi="Times New Roman" w:cs="Times New Roman"/>
          <w:noProof/>
          <w:color w:val="000000"/>
        </w:rPr>
      </w:pPr>
    </w:p>
    <w:p w14:paraId="0B1F8DF0" w14:textId="77777777" w:rsidR="005E433C" w:rsidRDefault="005E433C" w:rsidP="005755A5">
      <w:pPr>
        <w:pStyle w:val="ListParagraph"/>
        <w:autoSpaceDE w:val="0"/>
        <w:autoSpaceDN w:val="0"/>
        <w:adjustRightInd w:val="0"/>
        <w:rPr>
          <w:rFonts w:ascii="Times New Roman" w:hAnsi="Times New Roman" w:cs="Times New Roman"/>
          <w:noProof/>
          <w:color w:val="000000"/>
        </w:rPr>
      </w:pPr>
    </w:p>
    <w:p w14:paraId="5494D7D3" w14:textId="77777777" w:rsidR="005E433C" w:rsidRDefault="005E433C" w:rsidP="005755A5">
      <w:pPr>
        <w:pStyle w:val="ListParagraph"/>
        <w:autoSpaceDE w:val="0"/>
        <w:autoSpaceDN w:val="0"/>
        <w:adjustRightInd w:val="0"/>
        <w:rPr>
          <w:rFonts w:ascii="Times New Roman" w:hAnsi="Times New Roman" w:cs="Times New Roman"/>
          <w:color w:val="000000"/>
        </w:rPr>
      </w:pPr>
    </w:p>
    <w:p w14:paraId="5704038B" w14:textId="77777777" w:rsidR="00546A9D" w:rsidRPr="00546A9D" w:rsidRDefault="00546A9D" w:rsidP="00546A9D"/>
    <w:p w14:paraId="2B87E5AC" w14:textId="77777777" w:rsidR="00D7351D" w:rsidRDefault="00D7351D" w:rsidP="00D7351D">
      <w:pPr>
        <w:pStyle w:val="Heading2"/>
      </w:pPr>
      <w:bookmarkStart w:id="159" w:name="_Toc438544269"/>
      <w:bookmarkStart w:id="160" w:name="_Toc438544305"/>
      <w:bookmarkStart w:id="161" w:name="_Toc450922563"/>
    </w:p>
    <w:p w14:paraId="5A1B12FB" w14:textId="77777777" w:rsidR="00C01975" w:rsidRDefault="00C01975" w:rsidP="00C01975"/>
    <w:p w14:paraId="5BB40943" w14:textId="77777777" w:rsidR="00C01975" w:rsidRDefault="00C01975" w:rsidP="00C01975"/>
    <w:p w14:paraId="0671E7B3" w14:textId="77777777" w:rsidR="00DE22DF" w:rsidRDefault="00DE22DF" w:rsidP="00C01975"/>
    <w:p w14:paraId="5AD26716" w14:textId="77777777" w:rsidR="00DE22DF" w:rsidRDefault="00DE22DF" w:rsidP="00C01975"/>
    <w:p w14:paraId="797F39C2" w14:textId="2E2C30E5" w:rsidR="003008FE" w:rsidRDefault="003008FE" w:rsidP="004116D8">
      <w:pPr>
        <w:pStyle w:val="Heading1"/>
      </w:pPr>
      <w:bookmarkStart w:id="162" w:name="_Toc438544270"/>
      <w:bookmarkStart w:id="163" w:name="_Toc438544306"/>
      <w:bookmarkStart w:id="164" w:name="_Toc337126536"/>
      <w:bookmarkStart w:id="165" w:name="_Toc337126582"/>
      <w:bookmarkEnd w:id="159"/>
      <w:bookmarkEnd w:id="160"/>
      <w:bookmarkEnd w:id="161"/>
      <w:r>
        <w:t>Appendix 4</w:t>
      </w:r>
      <w:r w:rsidR="00493DD5">
        <w:t xml:space="preserve">: </w:t>
      </w:r>
      <w:r w:rsidRPr="003008FE">
        <w:t>Citizens Information Board offices</w:t>
      </w:r>
      <w:bookmarkEnd w:id="162"/>
      <w:bookmarkEnd w:id="163"/>
      <w:bookmarkEnd w:id="164"/>
      <w:bookmarkEnd w:id="165"/>
    </w:p>
    <w:p w14:paraId="52911F9A" w14:textId="77777777" w:rsidR="003008FE" w:rsidRPr="002D3A60" w:rsidRDefault="003008FE" w:rsidP="003008FE"/>
    <w:tbl>
      <w:tblPr>
        <w:tblStyle w:val="TableGrid"/>
        <w:tblW w:w="0" w:type="auto"/>
        <w:tblLook w:val="04A0" w:firstRow="1" w:lastRow="0" w:firstColumn="1" w:lastColumn="0" w:noHBand="0" w:noVBand="1"/>
        <w:tblCaption w:val="Appendix 4 Citizens Information Board Offices"/>
      </w:tblPr>
      <w:tblGrid>
        <w:gridCol w:w="4255"/>
        <w:gridCol w:w="4261"/>
      </w:tblGrid>
      <w:tr w:rsidR="008C2AFF" w:rsidRPr="008C2AFF" w14:paraId="165ED0E5" w14:textId="77777777" w:rsidTr="00960E68">
        <w:trPr>
          <w:tblHeader/>
        </w:trPr>
        <w:tc>
          <w:tcPr>
            <w:tcW w:w="4428" w:type="dxa"/>
          </w:tcPr>
          <w:p w14:paraId="4617E752" w14:textId="77777777" w:rsidR="003008FE" w:rsidRPr="002D3A60" w:rsidRDefault="003008FE" w:rsidP="008C2AFF">
            <w:pPr>
              <w:rPr>
                <w:rFonts w:asciiTheme="minorHAnsi" w:hAnsiTheme="minorHAnsi"/>
                <w:b/>
                <w:sz w:val="24"/>
                <w:szCs w:val="24"/>
              </w:rPr>
            </w:pPr>
            <w:r w:rsidRPr="002D3A60">
              <w:rPr>
                <w:rFonts w:asciiTheme="minorHAnsi" w:hAnsiTheme="minorHAnsi"/>
                <w:b/>
                <w:sz w:val="24"/>
                <w:szCs w:val="24"/>
              </w:rPr>
              <w:t>Head Office</w:t>
            </w:r>
          </w:p>
          <w:p w14:paraId="1E120B42"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George’s Quay House</w:t>
            </w:r>
          </w:p>
          <w:p w14:paraId="3546ADFB"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43 Townsend Street</w:t>
            </w:r>
          </w:p>
          <w:p w14:paraId="738D4934"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Dublin 2</w:t>
            </w:r>
          </w:p>
          <w:p w14:paraId="0E3E33A0"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D02 VK65</w:t>
            </w:r>
          </w:p>
          <w:p w14:paraId="034F2B9D"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Telephone: +353 761 079 000</w:t>
            </w:r>
          </w:p>
        </w:tc>
        <w:tc>
          <w:tcPr>
            <w:tcW w:w="4428" w:type="dxa"/>
          </w:tcPr>
          <w:p w14:paraId="0F48D924"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Limerick</w:t>
            </w:r>
          </w:p>
          <w:p w14:paraId="78BEE8E8"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6th Floor</w:t>
            </w:r>
            <w:r w:rsidRPr="002D3A60">
              <w:rPr>
                <w:rFonts w:asciiTheme="minorHAnsi" w:hAnsiTheme="minorHAnsi"/>
                <w:sz w:val="24"/>
                <w:szCs w:val="24"/>
              </w:rPr>
              <w:br/>
              <w:t>River Court Business Centre</w:t>
            </w:r>
          </w:p>
          <w:p w14:paraId="4EFA1147"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 xml:space="preserve">Cornmarket Square </w:t>
            </w:r>
            <w:r w:rsidRPr="002D3A60">
              <w:rPr>
                <w:rFonts w:asciiTheme="minorHAnsi" w:hAnsiTheme="minorHAnsi"/>
                <w:sz w:val="24"/>
                <w:szCs w:val="24"/>
              </w:rPr>
              <w:br/>
              <w:t>Limerick</w:t>
            </w:r>
          </w:p>
          <w:p w14:paraId="6A75BA84"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V94 FVH4</w:t>
            </w:r>
          </w:p>
          <w:p w14:paraId="41813F1B" w14:textId="77777777" w:rsidR="003008FE" w:rsidRPr="008824E7" w:rsidRDefault="003008FE" w:rsidP="008C2AFF"/>
        </w:tc>
      </w:tr>
      <w:tr w:rsidR="008C2AFF" w:rsidRPr="008C2AFF" w14:paraId="4C93C295" w14:textId="77777777" w:rsidTr="00CE7DD0">
        <w:tc>
          <w:tcPr>
            <w:tcW w:w="4428" w:type="dxa"/>
          </w:tcPr>
          <w:p w14:paraId="4E808BC0"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Dublin 7</w:t>
            </w:r>
          </w:p>
          <w:p w14:paraId="347E252F"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Park House</w:t>
            </w:r>
          </w:p>
          <w:p w14:paraId="66654D25"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191-193 North Circular Road</w:t>
            </w:r>
            <w:r w:rsidRPr="002D3A60">
              <w:rPr>
                <w:rFonts w:asciiTheme="minorHAnsi" w:hAnsiTheme="minorHAnsi"/>
                <w:sz w:val="24"/>
                <w:szCs w:val="24"/>
              </w:rPr>
              <w:br/>
              <w:t>Dublin 7</w:t>
            </w:r>
          </w:p>
          <w:p w14:paraId="574D72CF"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D07 EWV4</w:t>
            </w:r>
          </w:p>
        </w:tc>
        <w:tc>
          <w:tcPr>
            <w:tcW w:w="4428" w:type="dxa"/>
          </w:tcPr>
          <w:p w14:paraId="513A5E64"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Waterford</w:t>
            </w:r>
          </w:p>
          <w:p w14:paraId="176F8F43" w14:textId="77777777" w:rsidR="00F50DE3" w:rsidRPr="00F50DE3" w:rsidRDefault="00F50DE3" w:rsidP="00F50DE3">
            <w:pPr>
              <w:rPr>
                <w:rFonts w:asciiTheme="minorHAnsi" w:hAnsiTheme="minorHAnsi"/>
                <w:sz w:val="24"/>
                <w:szCs w:val="24"/>
              </w:rPr>
            </w:pPr>
            <w:r w:rsidRPr="00F50DE3">
              <w:rPr>
                <w:rFonts w:asciiTheme="minorHAnsi" w:hAnsiTheme="minorHAnsi"/>
                <w:sz w:val="24"/>
                <w:szCs w:val="24"/>
              </w:rPr>
              <w:t>41 Merchant’s Quay</w:t>
            </w:r>
          </w:p>
          <w:p w14:paraId="47441172" w14:textId="7402F1EC" w:rsidR="003008FE" w:rsidRPr="002D3A60" w:rsidRDefault="00F50DE3" w:rsidP="00F50DE3">
            <w:pPr>
              <w:rPr>
                <w:rFonts w:asciiTheme="minorHAnsi" w:hAnsiTheme="minorHAnsi"/>
                <w:sz w:val="24"/>
                <w:szCs w:val="24"/>
              </w:rPr>
            </w:pPr>
            <w:r w:rsidRPr="00F50DE3">
              <w:rPr>
                <w:rFonts w:asciiTheme="minorHAnsi" w:hAnsiTheme="minorHAnsi"/>
                <w:sz w:val="24"/>
                <w:szCs w:val="24"/>
              </w:rPr>
              <w:t>Waterford</w:t>
            </w:r>
          </w:p>
          <w:p w14:paraId="195E2A91"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X91 YNH1</w:t>
            </w:r>
          </w:p>
        </w:tc>
      </w:tr>
      <w:tr w:rsidR="008C2AFF" w:rsidRPr="008C2AFF" w14:paraId="148C3968" w14:textId="77777777" w:rsidTr="00CE7DD0">
        <w:tc>
          <w:tcPr>
            <w:tcW w:w="4428" w:type="dxa"/>
          </w:tcPr>
          <w:p w14:paraId="5B9CBA06"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Cavan</w:t>
            </w:r>
          </w:p>
          <w:p w14:paraId="2699679A"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Elm House</w:t>
            </w:r>
          </w:p>
          <w:p w14:paraId="6628363E"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Elm Bank</w:t>
            </w:r>
          </w:p>
          <w:p w14:paraId="2FB5C450"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Cootehill Road</w:t>
            </w:r>
          </w:p>
          <w:p w14:paraId="6B38F818"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Cavan</w:t>
            </w:r>
          </w:p>
          <w:p w14:paraId="0392920E"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H12 A8H7</w:t>
            </w:r>
          </w:p>
        </w:tc>
        <w:tc>
          <w:tcPr>
            <w:tcW w:w="4428" w:type="dxa"/>
          </w:tcPr>
          <w:p w14:paraId="28F9D4C4"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Cork</w:t>
            </w:r>
          </w:p>
          <w:p w14:paraId="13642717"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101 North Main Street</w:t>
            </w:r>
          </w:p>
          <w:p w14:paraId="043C6690"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Cork</w:t>
            </w:r>
          </w:p>
          <w:p w14:paraId="1C37678C"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T12 AKA6</w:t>
            </w:r>
          </w:p>
        </w:tc>
      </w:tr>
      <w:tr w:rsidR="008C2AFF" w:rsidRPr="008C2AFF" w14:paraId="29D52DDF" w14:textId="77777777" w:rsidTr="00CE7DD0">
        <w:tc>
          <w:tcPr>
            <w:tcW w:w="4428" w:type="dxa"/>
          </w:tcPr>
          <w:p w14:paraId="62831290"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Dundalk</w:t>
            </w:r>
          </w:p>
          <w:p w14:paraId="596BF89A"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4 Adelphi Court</w:t>
            </w:r>
          </w:p>
          <w:p w14:paraId="1E2D0111"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Long Walk</w:t>
            </w:r>
          </w:p>
          <w:p w14:paraId="3F8EA9D7"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Dundalk</w:t>
            </w:r>
          </w:p>
          <w:p w14:paraId="5F166D94"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Co. Louth</w:t>
            </w:r>
          </w:p>
          <w:p w14:paraId="7A76A3C0"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A91 YT02</w:t>
            </w:r>
          </w:p>
        </w:tc>
        <w:tc>
          <w:tcPr>
            <w:tcW w:w="4428" w:type="dxa"/>
          </w:tcPr>
          <w:p w14:paraId="3474E68D"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Castlebar</w:t>
            </w:r>
          </w:p>
          <w:p w14:paraId="03BD74FC"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Garvey House</w:t>
            </w:r>
            <w:r w:rsidRPr="002D3A60">
              <w:rPr>
                <w:rFonts w:asciiTheme="minorHAnsi" w:hAnsiTheme="minorHAnsi"/>
                <w:sz w:val="24"/>
                <w:szCs w:val="24"/>
              </w:rPr>
              <w:br/>
              <w:t>Castle Street</w:t>
            </w:r>
          </w:p>
          <w:p w14:paraId="163D9F26"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Castlebar</w:t>
            </w:r>
          </w:p>
          <w:p w14:paraId="550F1FBD"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Co. Mayo</w:t>
            </w:r>
          </w:p>
          <w:p w14:paraId="40417292"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F23 PE80</w:t>
            </w:r>
          </w:p>
        </w:tc>
      </w:tr>
      <w:tr w:rsidR="008C2AFF" w:rsidRPr="008C2AFF" w14:paraId="6AA215C1" w14:textId="77777777" w:rsidTr="00CE7DD0">
        <w:tc>
          <w:tcPr>
            <w:tcW w:w="4428" w:type="dxa"/>
          </w:tcPr>
          <w:p w14:paraId="198823CF" w14:textId="77777777" w:rsidR="00727E2F" w:rsidRPr="002D3A60" w:rsidRDefault="00727E2F" w:rsidP="00727E2F">
            <w:pPr>
              <w:rPr>
                <w:rFonts w:asciiTheme="minorHAnsi" w:hAnsiTheme="minorHAnsi"/>
                <w:sz w:val="24"/>
                <w:szCs w:val="24"/>
              </w:rPr>
            </w:pPr>
            <w:r w:rsidRPr="002D3A60">
              <w:rPr>
                <w:rFonts w:asciiTheme="minorHAnsi" w:hAnsiTheme="minorHAnsi"/>
                <w:sz w:val="24"/>
                <w:szCs w:val="24"/>
              </w:rPr>
              <w:t>Galway</w:t>
            </w:r>
          </w:p>
          <w:p w14:paraId="16D28D59" w14:textId="77777777" w:rsidR="00727E2F" w:rsidRPr="002D3A60" w:rsidRDefault="00727E2F" w:rsidP="00727E2F">
            <w:pPr>
              <w:rPr>
                <w:rFonts w:asciiTheme="minorHAnsi" w:hAnsiTheme="minorHAnsi"/>
                <w:sz w:val="24"/>
                <w:szCs w:val="24"/>
              </w:rPr>
            </w:pPr>
            <w:r w:rsidRPr="002D3A60">
              <w:rPr>
                <w:rFonts w:asciiTheme="minorHAnsi" w:hAnsiTheme="minorHAnsi"/>
                <w:sz w:val="24"/>
                <w:szCs w:val="24"/>
              </w:rPr>
              <w:t>4th Floor Dockgate</w:t>
            </w:r>
          </w:p>
          <w:p w14:paraId="26855E4F" w14:textId="77777777" w:rsidR="00727E2F" w:rsidRPr="002D3A60" w:rsidRDefault="00727E2F" w:rsidP="00727E2F">
            <w:pPr>
              <w:rPr>
                <w:rFonts w:asciiTheme="minorHAnsi" w:hAnsiTheme="minorHAnsi"/>
                <w:sz w:val="24"/>
                <w:szCs w:val="24"/>
              </w:rPr>
            </w:pPr>
            <w:r w:rsidRPr="002D3A60">
              <w:rPr>
                <w:rFonts w:asciiTheme="minorHAnsi" w:hAnsiTheme="minorHAnsi"/>
                <w:sz w:val="24"/>
                <w:szCs w:val="24"/>
              </w:rPr>
              <w:t>Merchants Road</w:t>
            </w:r>
          </w:p>
          <w:p w14:paraId="657FC168" w14:textId="77777777" w:rsidR="00727E2F" w:rsidRPr="002D3A60" w:rsidRDefault="00727E2F" w:rsidP="00727E2F">
            <w:pPr>
              <w:rPr>
                <w:rFonts w:asciiTheme="minorHAnsi" w:hAnsiTheme="minorHAnsi"/>
                <w:sz w:val="24"/>
                <w:szCs w:val="24"/>
              </w:rPr>
            </w:pPr>
            <w:r w:rsidRPr="002D3A60">
              <w:rPr>
                <w:rFonts w:asciiTheme="minorHAnsi" w:hAnsiTheme="minorHAnsi"/>
                <w:sz w:val="24"/>
                <w:szCs w:val="24"/>
              </w:rPr>
              <w:lastRenderedPageBreak/>
              <w:t>Galway</w:t>
            </w:r>
          </w:p>
          <w:p w14:paraId="2EE81BF8" w14:textId="712BA246" w:rsidR="003008FE" w:rsidRPr="002D3A60" w:rsidRDefault="00727E2F" w:rsidP="00727E2F">
            <w:pPr>
              <w:rPr>
                <w:rFonts w:asciiTheme="minorHAnsi" w:hAnsiTheme="minorHAnsi"/>
                <w:sz w:val="24"/>
                <w:szCs w:val="24"/>
              </w:rPr>
            </w:pPr>
            <w:r w:rsidRPr="002D3A60">
              <w:rPr>
                <w:rFonts w:asciiTheme="minorHAnsi" w:hAnsiTheme="minorHAnsi"/>
                <w:sz w:val="24"/>
                <w:szCs w:val="24"/>
              </w:rPr>
              <w:t>H91 EY10</w:t>
            </w:r>
          </w:p>
        </w:tc>
        <w:tc>
          <w:tcPr>
            <w:tcW w:w="4428" w:type="dxa"/>
          </w:tcPr>
          <w:p w14:paraId="1985D4F5"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lastRenderedPageBreak/>
              <w:t>Letterkenny</w:t>
            </w:r>
          </w:p>
          <w:p w14:paraId="3E478901"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Port Road</w:t>
            </w:r>
          </w:p>
          <w:p w14:paraId="595FC893"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Letterkenny</w:t>
            </w:r>
          </w:p>
          <w:p w14:paraId="4A9E87BE"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lastRenderedPageBreak/>
              <w:t>Co. Donegal</w:t>
            </w:r>
          </w:p>
          <w:p w14:paraId="3ECA63C8"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F92 CP7E</w:t>
            </w:r>
          </w:p>
          <w:p w14:paraId="7562CEBD" w14:textId="77777777" w:rsidR="003008FE" w:rsidRPr="008824E7" w:rsidRDefault="003008FE" w:rsidP="008C2AFF"/>
        </w:tc>
      </w:tr>
      <w:tr w:rsidR="008C2AFF" w:rsidRPr="008C2AFF" w14:paraId="52D85293" w14:textId="77777777" w:rsidTr="00CE7DD0">
        <w:tc>
          <w:tcPr>
            <w:tcW w:w="4428" w:type="dxa"/>
          </w:tcPr>
          <w:p w14:paraId="672978EF"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lastRenderedPageBreak/>
              <w:t>Tullamore</w:t>
            </w:r>
          </w:p>
          <w:p w14:paraId="3D115146"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Level One</w:t>
            </w:r>
          </w:p>
          <w:p w14:paraId="5C67CC36"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Bridge Centre</w:t>
            </w:r>
          </w:p>
          <w:p w14:paraId="15120F08"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Tullamore</w:t>
            </w:r>
          </w:p>
          <w:p w14:paraId="70D77075"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Co. Offaly</w:t>
            </w:r>
          </w:p>
          <w:p w14:paraId="14022E72"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R35 Y6Y7</w:t>
            </w:r>
          </w:p>
        </w:tc>
        <w:tc>
          <w:tcPr>
            <w:tcW w:w="4428" w:type="dxa"/>
          </w:tcPr>
          <w:p w14:paraId="7DBFE5D2" w14:textId="77777777" w:rsidR="00727E2F" w:rsidRPr="002D3A60" w:rsidRDefault="00727E2F" w:rsidP="00727E2F">
            <w:pPr>
              <w:rPr>
                <w:rFonts w:asciiTheme="minorHAnsi" w:hAnsiTheme="minorHAnsi"/>
                <w:sz w:val="24"/>
                <w:szCs w:val="24"/>
              </w:rPr>
            </w:pPr>
            <w:r w:rsidRPr="002D3A60">
              <w:rPr>
                <w:rFonts w:asciiTheme="minorHAnsi" w:hAnsiTheme="minorHAnsi"/>
                <w:sz w:val="24"/>
                <w:szCs w:val="24"/>
              </w:rPr>
              <w:t>Sligo</w:t>
            </w:r>
          </w:p>
          <w:p w14:paraId="45E0A632" w14:textId="77777777" w:rsidR="00727E2F" w:rsidRPr="002D3A60" w:rsidRDefault="00727E2F" w:rsidP="00727E2F">
            <w:pPr>
              <w:rPr>
                <w:rFonts w:asciiTheme="minorHAnsi" w:hAnsiTheme="minorHAnsi"/>
                <w:sz w:val="24"/>
                <w:szCs w:val="24"/>
              </w:rPr>
            </w:pPr>
            <w:r w:rsidRPr="002D3A60">
              <w:rPr>
                <w:rFonts w:asciiTheme="minorHAnsi" w:hAnsiTheme="minorHAnsi"/>
                <w:sz w:val="24"/>
                <w:szCs w:val="24"/>
              </w:rPr>
              <w:t>1st Floor</w:t>
            </w:r>
          </w:p>
          <w:p w14:paraId="56549E36" w14:textId="77777777" w:rsidR="00727E2F" w:rsidRPr="002D3A60" w:rsidRDefault="00727E2F" w:rsidP="00727E2F">
            <w:pPr>
              <w:rPr>
                <w:rFonts w:asciiTheme="minorHAnsi" w:hAnsiTheme="minorHAnsi"/>
                <w:sz w:val="24"/>
                <w:szCs w:val="24"/>
              </w:rPr>
            </w:pPr>
            <w:r w:rsidRPr="002D3A60">
              <w:rPr>
                <w:rFonts w:asciiTheme="minorHAnsi" w:hAnsiTheme="minorHAnsi"/>
                <w:sz w:val="24"/>
                <w:szCs w:val="24"/>
              </w:rPr>
              <w:t>Harbour View House</w:t>
            </w:r>
          </w:p>
          <w:p w14:paraId="0746537D" w14:textId="77777777" w:rsidR="00727E2F" w:rsidRPr="002D3A60" w:rsidRDefault="00727E2F" w:rsidP="00727E2F">
            <w:pPr>
              <w:rPr>
                <w:rFonts w:asciiTheme="minorHAnsi" w:hAnsiTheme="minorHAnsi"/>
                <w:sz w:val="24"/>
                <w:szCs w:val="24"/>
              </w:rPr>
            </w:pPr>
            <w:r w:rsidRPr="002D3A60">
              <w:rPr>
                <w:rFonts w:asciiTheme="minorHAnsi" w:hAnsiTheme="minorHAnsi"/>
                <w:sz w:val="24"/>
                <w:szCs w:val="24"/>
              </w:rPr>
              <w:t>16 Holborn Street</w:t>
            </w:r>
          </w:p>
          <w:p w14:paraId="2FFD9C08" w14:textId="77777777" w:rsidR="00727E2F" w:rsidRPr="002D3A60" w:rsidRDefault="00727E2F" w:rsidP="00727E2F">
            <w:pPr>
              <w:rPr>
                <w:rFonts w:asciiTheme="minorHAnsi" w:hAnsiTheme="minorHAnsi"/>
                <w:sz w:val="24"/>
                <w:szCs w:val="24"/>
              </w:rPr>
            </w:pPr>
            <w:r w:rsidRPr="002D3A60">
              <w:rPr>
                <w:rFonts w:asciiTheme="minorHAnsi" w:hAnsiTheme="minorHAnsi"/>
                <w:sz w:val="24"/>
                <w:szCs w:val="24"/>
              </w:rPr>
              <w:t>Sligo</w:t>
            </w:r>
          </w:p>
          <w:p w14:paraId="539D4120" w14:textId="2F57AC89" w:rsidR="003008FE" w:rsidRPr="002D3A60" w:rsidRDefault="00727E2F" w:rsidP="00727E2F">
            <w:pPr>
              <w:rPr>
                <w:rFonts w:asciiTheme="minorHAnsi" w:hAnsiTheme="minorHAnsi"/>
                <w:sz w:val="24"/>
                <w:szCs w:val="24"/>
              </w:rPr>
            </w:pPr>
            <w:r w:rsidRPr="002D3A60">
              <w:rPr>
                <w:rFonts w:asciiTheme="minorHAnsi" w:hAnsiTheme="minorHAnsi"/>
                <w:sz w:val="24"/>
                <w:szCs w:val="24"/>
              </w:rPr>
              <w:t>F91 Y42P</w:t>
            </w:r>
          </w:p>
        </w:tc>
      </w:tr>
      <w:tr w:rsidR="008C2AFF" w:rsidRPr="008C2AFF" w14:paraId="2059BEA3" w14:textId="77777777" w:rsidTr="00CE7DD0">
        <w:tc>
          <w:tcPr>
            <w:tcW w:w="4428" w:type="dxa"/>
          </w:tcPr>
          <w:p w14:paraId="4FE4A519"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Kilkenny</w:t>
            </w:r>
          </w:p>
          <w:p w14:paraId="119E85CE"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4 The Parade</w:t>
            </w:r>
          </w:p>
          <w:p w14:paraId="097FDB86"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Kilkenny</w:t>
            </w:r>
          </w:p>
          <w:p w14:paraId="09155330" w14:textId="77777777" w:rsidR="003008FE" w:rsidRPr="002D3A60" w:rsidRDefault="003008FE" w:rsidP="008C2AFF">
            <w:pPr>
              <w:rPr>
                <w:rFonts w:asciiTheme="minorHAnsi" w:hAnsiTheme="minorHAnsi"/>
                <w:sz w:val="24"/>
                <w:szCs w:val="24"/>
              </w:rPr>
            </w:pPr>
            <w:r w:rsidRPr="002D3A60">
              <w:rPr>
                <w:rFonts w:asciiTheme="minorHAnsi" w:hAnsiTheme="minorHAnsi"/>
                <w:sz w:val="24"/>
                <w:szCs w:val="24"/>
              </w:rPr>
              <w:t>R95 VO52</w:t>
            </w:r>
          </w:p>
        </w:tc>
        <w:tc>
          <w:tcPr>
            <w:tcW w:w="4428" w:type="dxa"/>
          </w:tcPr>
          <w:p w14:paraId="1235430B" w14:textId="30D530DA" w:rsidR="003008FE" w:rsidRPr="002D3A60" w:rsidRDefault="003008FE" w:rsidP="008C2AFF">
            <w:pPr>
              <w:rPr>
                <w:rFonts w:asciiTheme="minorHAnsi" w:hAnsiTheme="minorHAnsi"/>
                <w:sz w:val="24"/>
                <w:szCs w:val="24"/>
              </w:rPr>
            </w:pPr>
          </w:p>
        </w:tc>
      </w:tr>
    </w:tbl>
    <w:p w14:paraId="3A0D4FCE" w14:textId="2B7EC8DA" w:rsidR="008C2AFF" w:rsidRPr="002D3A60" w:rsidRDefault="008C2AFF" w:rsidP="003008FE"/>
    <w:p w14:paraId="39EC0F5D" w14:textId="77777777" w:rsidR="008C2AFF" w:rsidRPr="002D3A60" w:rsidRDefault="008C2AFF">
      <w:r w:rsidRPr="002D3A60">
        <w:br w:type="page"/>
      </w:r>
    </w:p>
    <w:p w14:paraId="62BCC18A" w14:textId="4BCE4A5E" w:rsidR="003008FE" w:rsidRDefault="003008FE" w:rsidP="00545CAD">
      <w:pPr>
        <w:pStyle w:val="Heading1"/>
      </w:pPr>
      <w:bookmarkStart w:id="166" w:name="_Toc438544271"/>
      <w:bookmarkStart w:id="167" w:name="_Toc438544307"/>
      <w:bookmarkStart w:id="168" w:name="_Toc337126537"/>
      <w:bookmarkStart w:id="169" w:name="_Toc337126583"/>
      <w:r>
        <w:lastRenderedPageBreak/>
        <w:t>Appendix 5</w:t>
      </w:r>
      <w:r w:rsidR="00493DD5">
        <w:t xml:space="preserve">: </w:t>
      </w:r>
      <w:r w:rsidRPr="003008FE">
        <w:t>Grants in 201</w:t>
      </w:r>
      <w:bookmarkEnd w:id="166"/>
      <w:bookmarkEnd w:id="167"/>
      <w:r w:rsidR="00E57BD0">
        <w:t>5</w:t>
      </w:r>
      <w:bookmarkEnd w:id="168"/>
      <w:bookmarkEnd w:id="169"/>
    </w:p>
    <w:p w14:paraId="08419888" w14:textId="77777777" w:rsidR="00C01975" w:rsidRDefault="00C01975" w:rsidP="00C01975"/>
    <w:p w14:paraId="57854A1C" w14:textId="2F78F08F" w:rsidR="00C01975" w:rsidRDefault="00C01975" w:rsidP="00C01975">
      <w:r>
        <w:t>Grants in 2015 Citizen Information Services</w:t>
      </w:r>
    </w:p>
    <w:p w14:paraId="497A470F" w14:textId="77777777" w:rsidR="00021549" w:rsidRDefault="00021549" w:rsidP="00C01975"/>
    <w:tbl>
      <w:tblPr>
        <w:tblW w:w="8364" w:type="dxa"/>
        <w:tblInd w:w="64" w:type="dxa"/>
        <w:tblLayout w:type="fixed"/>
        <w:tblCellMar>
          <w:left w:w="0" w:type="dxa"/>
          <w:right w:w="0" w:type="dxa"/>
        </w:tblCellMar>
        <w:tblLook w:val="0000" w:firstRow="0" w:lastRow="0" w:firstColumn="0" w:lastColumn="0" w:noHBand="0" w:noVBand="0"/>
      </w:tblPr>
      <w:tblGrid>
        <w:gridCol w:w="6946"/>
        <w:gridCol w:w="1418"/>
      </w:tblGrid>
      <w:tr w:rsidR="00021549" w:rsidRPr="00DF2241" w14:paraId="3F71448C" w14:textId="77777777" w:rsidTr="003C40BB">
        <w:trPr>
          <w:trHeight w:val="656"/>
          <w:tblHeader/>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1D076472" w14:textId="283BCE70" w:rsidR="00021549" w:rsidRPr="00DF2241" w:rsidRDefault="00021549" w:rsidP="003C40B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Bold" w:hAnsi="Bliss-Bold" w:cs="Bliss-Bold"/>
                <w:b/>
                <w:bCs/>
                <w:caps/>
                <w:color w:val="FFFFFF"/>
                <w:sz w:val="26"/>
                <w:szCs w:val="26"/>
                <w:lang w:val="en-GB"/>
              </w:rPr>
              <w:t>REGION 1 CIS</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3FA531B8" w14:textId="4943D880" w:rsidR="00021549" w:rsidRPr="00021549" w:rsidRDefault="00021549" w:rsidP="003C40BB">
            <w:pPr>
              <w:widowControl w:val="0"/>
              <w:suppressAutoHyphens/>
              <w:autoSpaceDE w:val="0"/>
              <w:autoSpaceDN w:val="0"/>
              <w:adjustRightInd w:val="0"/>
              <w:spacing w:line="300" w:lineRule="atLeast"/>
              <w:ind w:left="61"/>
              <w:textAlignment w:val="center"/>
              <w:rPr>
                <w:rFonts w:ascii="Times New Roman" w:hAnsi="Times New Roman" w:cs="Times New Roman"/>
                <w:caps/>
                <w:color w:val="7FFF00"/>
                <w:sz w:val="20"/>
                <w:szCs w:val="20"/>
                <w:lang w:val="en-GB"/>
              </w:rPr>
            </w:pPr>
            <w:r>
              <w:rPr>
                <w:rFonts w:ascii="Times New Roman" w:hAnsi="Times New Roman" w:cs="Times New Roman"/>
                <w:b/>
                <w:bCs/>
                <w:caps/>
                <w:color w:val="FFFFFF"/>
                <w:sz w:val="26"/>
                <w:szCs w:val="26"/>
                <w:lang w:val="en-GB"/>
              </w:rPr>
              <w:t>€</w:t>
            </w:r>
          </w:p>
        </w:tc>
      </w:tr>
      <w:tr w:rsidR="00021549" w:rsidRPr="00DF2241" w14:paraId="25EA8192" w14:textId="77777777" w:rsidTr="003C40BB">
        <w:trPr>
          <w:trHeight w:val="38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775F8D7E" w14:textId="7CA13406" w:rsidR="00021549" w:rsidRPr="007952EB" w:rsidRDefault="00CF4001" w:rsidP="003C40BB">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7952EB">
              <w:rPr>
                <w:rFonts w:ascii="Bliss-Light" w:hAnsi="Bliss-Light" w:cs="Bliss-Regular"/>
                <w:color w:val="4C4C4C"/>
                <w:lang w:val="en-GB"/>
              </w:rPr>
              <w:t>Ballyfermot</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27C4046D" w14:textId="6C554FB3" w:rsidR="00021549" w:rsidRPr="007952EB" w:rsidRDefault="00CF4001" w:rsidP="003C40BB">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7952EB">
              <w:rPr>
                <w:rFonts w:ascii="Bliss-Light" w:hAnsi="Bliss-Light" w:cs="Bliss-Regular"/>
                <w:caps/>
                <w:color w:val="4C4C4C"/>
                <w:lang w:val="en-GB"/>
              </w:rPr>
              <w:t>254,300</w:t>
            </w:r>
          </w:p>
        </w:tc>
      </w:tr>
      <w:tr w:rsidR="00021549" w:rsidRPr="00DF2241" w14:paraId="06045124" w14:textId="77777777" w:rsidTr="003C40BB">
        <w:trPr>
          <w:trHeight w:val="418"/>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30798BD1" w14:textId="01643316" w:rsidR="00021549" w:rsidRPr="007952EB" w:rsidRDefault="00CF4001" w:rsidP="003C40BB">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7952EB">
              <w:rPr>
                <w:rFonts w:ascii="Bliss-Light" w:hAnsi="Bliss-Light" w:cs="Bliss-Regular"/>
                <w:color w:val="4C4C4C"/>
                <w:lang w:val="en-GB"/>
              </w:rPr>
              <w:t>Blanchardstown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41F5993B" w14:textId="58EEC810" w:rsidR="00021549" w:rsidRPr="007952EB" w:rsidRDefault="00CF4001" w:rsidP="003C40BB">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7952EB">
              <w:rPr>
                <w:rFonts w:ascii="Bliss-Light" w:hAnsi="Bliss-Light" w:cs="Bliss-Regular"/>
                <w:caps/>
                <w:color w:val="4C4C4C"/>
                <w:lang w:val="en-GB"/>
              </w:rPr>
              <w:t>236,440</w:t>
            </w:r>
          </w:p>
        </w:tc>
      </w:tr>
      <w:tr w:rsidR="00021549" w:rsidRPr="00DF2241" w14:paraId="5D14B884" w14:textId="77777777" w:rsidTr="003C40BB">
        <w:trPr>
          <w:trHeight w:val="27"/>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6EA98A59" w14:textId="5C2BBACC" w:rsidR="00021549" w:rsidRPr="007952EB" w:rsidRDefault="00531C48" w:rsidP="003C40BB">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7952EB">
              <w:rPr>
                <w:rFonts w:ascii="Bliss-Light" w:hAnsi="Bliss-Light" w:cs="Bliss-Regular"/>
                <w:color w:val="4C4C4C"/>
                <w:lang w:val="en-GB"/>
              </w:rPr>
              <w:t>Clondalkin (ASM</w:t>
            </w:r>
            <w:r w:rsidRPr="007952EB">
              <w:rPr>
                <w:rFonts w:ascii="Bliss-Light" w:hAnsi="Bliss-Light" w:cs="Bliss-Regular"/>
                <w:color w:val="4C4C4C"/>
                <w:vertAlign w:val="superscript"/>
                <w:lang w:val="en-GB"/>
              </w:rPr>
              <w:t>11</w:t>
            </w:r>
            <w:r w:rsidRPr="007952EB">
              <w:rPr>
                <w:rFonts w:ascii="Bliss-Light" w:hAnsi="Bliss-Light" w:cs="Bliss-Regular"/>
                <w:color w:val="4C4C4C"/>
                <w:lang w:val="en-GB"/>
              </w:rPr>
              <w:t>) (NAS</w:t>
            </w:r>
            <w:r w:rsidRPr="007952EB">
              <w:rPr>
                <w:rFonts w:ascii="Bliss-Light" w:hAnsi="Bliss-Light" w:cs="Bliss-Regular"/>
                <w:color w:val="4C4C4C"/>
                <w:vertAlign w:val="superscript"/>
                <w:lang w:val="en-GB"/>
              </w:rPr>
              <w:t>12</w:t>
            </w:r>
            <w:r w:rsidRPr="007952EB">
              <w:rPr>
                <w:rFonts w:ascii="Bliss-Light" w:hAnsi="Bliss-Light" w:cs="Bliss-Regular"/>
                <w:color w:val="4C4C4C"/>
                <w:lang w:val="en-GB"/>
              </w:rPr>
              <w:t>)</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792D61FA" w14:textId="0CA1F000" w:rsidR="00021549" w:rsidRPr="007952EB" w:rsidRDefault="00CF4001" w:rsidP="003C40BB">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7952EB">
              <w:rPr>
                <w:rFonts w:ascii="Bliss-Light" w:hAnsi="Bliss-Light" w:cs="Bliss-Regular"/>
                <w:caps/>
                <w:color w:val="4C4C4C"/>
                <w:lang w:val="en-GB"/>
              </w:rPr>
              <w:t>378,113</w:t>
            </w:r>
          </w:p>
        </w:tc>
      </w:tr>
      <w:tr w:rsidR="00021549" w:rsidRPr="00DF2241" w14:paraId="3154A5ED" w14:textId="77777777" w:rsidTr="003C40BB">
        <w:trPr>
          <w:trHeight w:val="35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EF7942A" w14:textId="5154AB49" w:rsidR="00021549" w:rsidRPr="007952EB" w:rsidRDefault="00377C6B" w:rsidP="003C40BB">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7952EB">
              <w:rPr>
                <w:rFonts w:ascii="Bliss-Light" w:hAnsi="Bliss-Light" w:cs="Bliss-Regular"/>
                <w:color w:val="4C4C4C"/>
                <w:lang w:val="en-GB"/>
              </w:rPr>
              <w:t>Dublin 12 &amp; 6W (Crumlin)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AFC04E4" w14:textId="2F8FE194" w:rsidR="00021549" w:rsidRPr="007952EB" w:rsidRDefault="00021549" w:rsidP="00CF4001">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7952EB">
              <w:rPr>
                <w:rFonts w:ascii="Bliss-Light" w:hAnsi="Bliss-Light" w:cs="Bliss-Regular"/>
                <w:caps/>
                <w:color w:val="4C4C4C"/>
                <w:lang w:val="en-GB"/>
              </w:rPr>
              <w:t>2</w:t>
            </w:r>
            <w:r w:rsidR="00CF4001" w:rsidRPr="007952EB">
              <w:rPr>
                <w:rFonts w:ascii="Bliss-Light" w:hAnsi="Bliss-Light" w:cs="Bliss-Regular"/>
                <w:caps/>
                <w:color w:val="4C4C4C"/>
                <w:lang w:val="en-GB"/>
              </w:rPr>
              <w:t>5</w:t>
            </w:r>
            <w:r w:rsidRPr="007952EB">
              <w:rPr>
                <w:rFonts w:ascii="Bliss-Light" w:hAnsi="Bliss-Light" w:cs="Bliss-Regular"/>
                <w:caps/>
                <w:color w:val="4C4C4C"/>
                <w:lang w:val="en-GB"/>
              </w:rPr>
              <w:t>7,</w:t>
            </w:r>
            <w:r w:rsidR="00CF4001" w:rsidRPr="007952EB">
              <w:rPr>
                <w:rFonts w:ascii="Bliss-Light" w:hAnsi="Bliss-Light" w:cs="Bliss-Regular"/>
                <w:caps/>
                <w:color w:val="4C4C4C"/>
                <w:lang w:val="en-GB"/>
              </w:rPr>
              <w:t>300</w:t>
            </w:r>
          </w:p>
        </w:tc>
      </w:tr>
      <w:tr w:rsidR="00021549" w:rsidRPr="00DF2241" w14:paraId="7A5DD34C" w14:textId="77777777" w:rsidTr="003C40BB">
        <w:trPr>
          <w:trHeight w:val="21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176E3BC2" w14:textId="6C96EA0D" w:rsidR="00021549" w:rsidRPr="007952EB" w:rsidRDefault="00377C6B" w:rsidP="003C40BB">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7952EB">
              <w:rPr>
                <w:rFonts w:ascii="Bliss-Light" w:hAnsi="Bliss-Light" w:cs="Bliss-Regular"/>
                <w:color w:val="4C4C4C"/>
                <w:lang w:val="en-GB"/>
              </w:rPr>
              <w:t>Dublin 2,4,6</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7AF73FF7" w14:textId="1CF3DAC6" w:rsidR="00021549" w:rsidRPr="007952EB" w:rsidRDefault="00021549" w:rsidP="00CF4001">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7952EB">
              <w:rPr>
                <w:rFonts w:ascii="Bliss-Light" w:hAnsi="Bliss-Light" w:cs="Bliss-Regular"/>
                <w:caps/>
                <w:color w:val="4C4C4C"/>
                <w:lang w:val="en-GB"/>
              </w:rPr>
              <w:t>2</w:t>
            </w:r>
            <w:r w:rsidR="00CF4001" w:rsidRPr="007952EB">
              <w:rPr>
                <w:rFonts w:ascii="Bliss-Light" w:hAnsi="Bliss-Light" w:cs="Bliss-Regular"/>
                <w:caps/>
                <w:color w:val="4C4C4C"/>
                <w:lang w:val="en-GB"/>
              </w:rPr>
              <w:t>3</w:t>
            </w:r>
            <w:r w:rsidRPr="007952EB">
              <w:rPr>
                <w:rFonts w:ascii="Bliss-Light" w:hAnsi="Bliss-Light" w:cs="Bliss-Regular"/>
                <w:caps/>
                <w:color w:val="4C4C4C"/>
                <w:lang w:val="en-GB"/>
              </w:rPr>
              <w:t>6,</w:t>
            </w:r>
            <w:r w:rsidR="00CF4001" w:rsidRPr="007952EB">
              <w:rPr>
                <w:rFonts w:ascii="Bliss-Light" w:hAnsi="Bliss-Light" w:cs="Bliss-Regular"/>
                <w:caps/>
                <w:color w:val="4C4C4C"/>
                <w:lang w:val="en-GB"/>
              </w:rPr>
              <w:t>363</w:t>
            </w:r>
          </w:p>
        </w:tc>
      </w:tr>
      <w:tr w:rsidR="00021549" w:rsidRPr="00DF2241" w14:paraId="2F99AAFB" w14:textId="77777777" w:rsidTr="003C40BB">
        <w:trPr>
          <w:trHeight w:val="190"/>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C801273" w14:textId="66888AC8" w:rsidR="00021549" w:rsidRPr="007952EB" w:rsidRDefault="00377C6B" w:rsidP="003C40BB">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7952EB">
              <w:rPr>
                <w:rFonts w:ascii="Bliss-Light" w:hAnsi="Bliss-Light" w:cs="Bliss-Regular"/>
                <w:color w:val="4C4C4C"/>
                <w:lang w:val="en-GB"/>
              </w:rPr>
              <w:t>Dublin 8 &amp; Bluebell</w:t>
            </w:r>
            <w:r w:rsidR="00021549" w:rsidRPr="007952EB">
              <w:rPr>
                <w:rFonts w:ascii="Bliss-Light" w:hAnsi="Bliss-Light" w:cs="Bliss-Regular"/>
                <w:color w:val="4C4C4C"/>
                <w:lang w:val="en-GB"/>
              </w:rPr>
              <w:t xml:space="preserve"> </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5850D21E" w14:textId="2EF73DF4" w:rsidR="00021549" w:rsidRPr="007952EB" w:rsidRDefault="00CF4001" w:rsidP="003C40BB">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7952EB">
              <w:rPr>
                <w:rFonts w:ascii="Bliss-Light" w:hAnsi="Bliss-Light" w:cs="Bliss-Regular"/>
                <w:caps/>
                <w:color w:val="4C4C4C"/>
                <w:lang w:val="en-GB"/>
              </w:rPr>
              <w:t>279,554</w:t>
            </w:r>
          </w:p>
        </w:tc>
      </w:tr>
      <w:tr w:rsidR="00021549" w14:paraId="33E28799" w14:textId="77777777" w:rsidTr="003C40BB">
        <w:trPr>
          <w:trHeight w:val="168"/>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3541301B" w14:textId="1DFB4F41" w:rsidR="00021549" w:rsidRPr="007952EB" w:rsidRDefault="00377C6B" w:rsidP="003C40BB">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7952EB">
              <w:rPr>
                <w:rFonts w:ascii="Bliss-Light" w:hAnsi="Bliss-Light" w:cs="Bliss-Regular"/>
                <w:color w:val="4C4C4C"/>
                <w:lang w:val="en-GB"/>
              </w:rPr>
              <w:t>Dublin City Centre</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20DF5C3E" w14:textId="38EBD5EA" w:rsidR="00021549" w:rsidRPr="007952EB" w:rsidRDefault="00CF4001" w:rsidP="003C40BB">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sidRPr="007952EB">
              <w:rPr>
                <w:rFonts w:ascii="Bliss-Light" w:hAnsi="Bliss-Light" w:cs="Bliss-Regular"/>
                <w:caps/>
                <w:color w:val="4C4C4C"/>
                <w:lang w:val="en-GB"/>
              </w:rPr>
              <w:t>584,781</w:t>
            </w:r>
          </w:p>
        </w:tc>
      </w:tr>
      <w:tr w:rsidR="00021549" w14:paraId="31290DB2" w14:textId="77777777" w:rsidTr="003C40BB">
        <w:trPr>
          <w:trHeight w:val="20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1478C097" w14:textId="63F9A429" w:rsidR="00021549" w:rsidRPr="007952EB" w:rsidRDefault="00A171FE" w:rsidP="003C40BB">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Pr>
                <w:rFonts w:ascii="Bliss-Light" w:hAnsi="Bliss-Light" w:cs="Bliss-Regular"/>
                <w:color w:val="4C4C4C"/>
                <w:lang w:val="en-GB"/>
              </w:rPr>
              <w:t>Dublin Ci</w:t>
            </w:r>
            <w:r w:rsidR="00377C6B" w:rsidRPr="007952EB">
              <w:rPr>
                <w:rFonts w:ascii="Bliss-Light" w:hAnsi="Bliss-Light" w:cs="Bliss-Regular"/>
                <w:color w:val="4C4C4C"/>
                <w:lang w:val="en-GB"/>
              </w:rPr>
              <w:t>ty North Bay (KARE)</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78129AF" w14:textId="4EC86C02" w:rsidR="00021549" w:rsidRPr="007952EB" w:rsidRDefault="00CF4001" w:rsidP="003C40BB">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sidRPr="007952EB">
              <w:rPr>
                <w:rFonts w:ascii="Bliss-Light" w:hAnsi="Bliss-Light" w:cs="Bliss-Regular"/>
                <w:caps/>
                <w:color w:val="4C4C4C"/>
                <w:lang w:val="en-GB"/>
              </w:rPr>
              <w:t>137,697</w:t>
            </w:r>
          </w:p>
        </w:tc>
      </w:tr>
      <w:tr w:rsidR="00021549" w14:paraId="1C5A4926" w14:textId="77777777" w:rsidTr="003C40BB">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0EFF2788" w14:textId="16CDA9D7" w:rsidR="00021549" w:rsidRPr="007952EB" w:rsidRDefault="00377C6B" w:rsidP="003C40BB">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7952EB">
              <w:rPr>
                <w:rFonts w:ascii="Bliss-Light" w:hAnsi="Bliss-Light" w:cs="Bliss-Regular"/>
                <w:color w:val="4C4C4C"/>
                <w:lang w:val="en-GB"/>
              </w:rPr>
              <w:t>Dublin North West (Finglas)</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6D9C32EB" w14:textId="47CEBB8F" w:rsidR="00021549" w:rsidRPr="007952EB" w:rsidRDefault="00CF4001" w:rsidP="003C40BB">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sidRPr="007952EB">
              <w:rPr>
                <w:rFonts w:ascii="Bliss-Light" w:hAnsi="Bliss-Light" w:cs="Bliss-Regular"/>
                <w:caps/>
                <w:color w:val="4C4C4C"/>
                <w:lang w:val="en-GB"/>
              </w:rPr>
              <w:t>362,979</w:t>
            </w:r>
          </w:p>
        </w:tc>
      </w:tr>
      <w:tr w:rsidR="00021549" w14:paraId="0B6D4343" w14:textId="77777777" w:rsidTr="003C40BB">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4EB5004F" w14:textId="789E00EB" w:rsidR="00021549" w:rsidRPr="007952EB" w:rsidRDefault="00377C6B" w:rsidP="003C40BB">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7952EB">
              <w:rPr>
                <w:rFonts w:ascii="Bliss-Light" w:hAnsi="Bliss-Light" w:cs="Bliss-Regular"/>
                <w:color w:val="4C4C4C"/>
                <w:lang w:val="en-GB"/>
              </w:rPr>
              <w:t>Dublin Northside</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10D9B7CF" w14:textId="5793F957" w:rsidR="00021549" w:rsidRPr="007952EB" w:rsidRDefault="00CF4001" w:rsidP="003C40BB">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sidRPr="007952EB">
              <w:rPr>
                <w:rFonts w:ascii="Bliss-Light" w:hAnsi="Bliss-Light" w:cs="Bliss-Regular"/>
                <w:caps/>
                <w:color w:val="4C4C4C"/>
                <w:lang w:val="en-GB"/>
              </w:rPr>
              <w:t>258,823</w:t>
            </w:r>
          </w:p>
        </w:tc>
      </w:tr>
      <w:tr w:rsidR="00021549" w14:paraId="4146903B" w14:textId="77777777" w:rsidTr="00E6295E">
        <w:trPr>
          <w:trHeight w:val="124"/>
        </w:trPr>
        <w:tc>
          <w:tcPr>
            <w:tcW w:w="6946" w:type="dxa"/>
            <w:tcBorders>
              <w:top w:val="single" w:sz="4" w:space="0" w:color="92CDDC" w:themeColor="accent5" w:themeTint="99"/>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79BA2A9E" w14:textId="7F2C4525" w:rsidR="00021549" w:rsidRPr="007952EB" w:rsidRDefault="00377C6B" w:rsidP="003C40BB">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7952EB">
              <w:rPr>
                <w:rFonts w:ascii="Bliss-Light" w:hAnsi="Bliss-Light" w:cs="Bliss-Regular"/>
                <w:color w:val="4C4C4C"/>
                <w:lang w:val="en-GB"/>
              </w:rPr>
              <w:t>Dun Laoghaire/Rathdown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7601E1F6" w14:textId="18820DD1" w:rsidR="00021549" w:rsidRPr="007952EB" w:rsidRDefault="00CF4001" w:rsidP="003C40BB">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sidRPr="007952EB">
              <w:rPr>
                <w:rFonts w:ascii="Bliss-Light" w:hAnsi="Bliss-Light" w:cs="Bliss-Regular"/>
                <w:caps/>
                <w:color w:val="4C4C4C"/>
                <w:lang w:val="en-GB"/>
              </w:rPr>
              <w:t>234,500</w:t>
            </w:r>
          </w:p>
        </w:tc>
      </w:tr>
      <w:tr w:rsidR="00021549" w14:paraId="2AC97E5D" w14:textId="77777777" w:rsidTr="003C40BB">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4B17F6A2" w14:textId="63AB5864" w:rsidR="00021549" w:rsidRPr="007952EB" w:rsidRDefault="00377C6B" w:rsidP="003C40BB">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7952EB">
              <w:rPr>
                <w:rFonts w:ascii="Bliss-Light" w:hAnsi="Bliss-Light" w:cs="Bliss-Regular"/>
                <w:color w:val="4C4C4C"/>
                <w:lang w:val="en-GB"/>
              </w:rPr>
              <w:t>Fingal (North County)</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15D7E77" w14:textId="77E66314" w:rsidR="00021549" w:rsidRPr="007952EB" w:rsidRDefault="00CF4001" w:rsidP="003C40BB">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sidRPr="007952EB">
              <w:rPr>
                <w:rFonts w:ascii="Bliss-Light" w:hAnsi="Bliss-Light" w:cs="Bliss-Regular"/>
                <w:caps/>
                <w:color w:val="4C4C4C"/>
                <w:lang w:val="en-GB"/>
              </w:rPr>
              <w:t>304,609</w:t>
            </w:r>
          </w:p>
        </w:tc>
      </w:tr>
      <w:tr w:rsidR="00021549" w14:paraId="6CA5D7FC" w14:textId="77777777" w:rsidTr="003C40BB">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0F017541" w14:textId="26731CEA" w:rsidR="00021549" w:rsidRPr="007952EB" w:rsidRDefault="00377C6B" w:rsidP="003C40BB">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7952EB">
              <w:rPr>
                <w:rFonts w:ascii="Bliss-Light" w:hAnsi="Bliss-Light" w:cs="Bliss-Regular"/>
                <w:color w:val="4C4C4C"/>
                <w:lang w:val="en-GB"/>
              </w:rPr>
              <w:t>Lought</w:t>
            </w:r>
            <w:r w:rsidR="00021549" w:rsidRPr="007952EB">
              <w:rPr>
                <w:rFonts w:ascii="Bliss-Light" w:hAnsi="Bliss-Light" w:cs="Bliss-Regular"/>
                <w:color w:val="4C4C4C"/>
                <w:lang w:val="en-GB"/>
              </w:rPr>
              <w:t xml:space="preserve"> </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45FBEC52" w14:textId="0357E54D" w:rsidR="00021549" w:rsidRPr="007952EB" w:rsidRDefault="003C40BB" w:rsidP="003C40BB">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sidRPr="007952EB">
              <w:rPr>
                <w:rFonts w:ascii="Bliss-Light" w:hAnsi="Bliss-Light" w:cs="Bliss-Regular"/>
                <w:caps/>
                <w:color w:val="4C4C4C"/>
                <w:lang w:val="en-GB"/>
              </w:rPr>
              <w:t>328,288</w:t>
            </w:r>
          </w:p>
        </w:tc>
      </w:tr>
      <w:tr w:rsidR="003C40BB" w14:paraId="7B474435" w14:textId="77777777" w:rsidTr="00E6295E">
        <w:trPr>
          <w:trHeight w:val="124"/>
        </w:trPr>
        <w:tc>
          <w:tcPr>
            <w:tcW w:w="6946" w:type="dxa"/>
            <w:tcBorders>
              <w:top w:val="single" w:sz="4" w:space="0" w:color="8DB3E2" w:themeColor="text2" w:themeTint="66"/>
              <w:left w:val="single" w:sz="4" w:space="0" w:color="8DB3E2" w:themeColor="text2" w:themeTint="66"/>
              <w:bottom w:val="single" w:sz="4" w:space="0" w:color="92CDDC" w:themeColor="accent5" w:themeTint="99"/>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045BDCEB" w14:textId="2928FD00" w:rsidR="003C40BB" w:rsidRPr="007952EB" w:rsidRDefault="00377C6B" w:rsidP="003C40BB">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7952EB">
              <w:rPr>
                <w:rFonts w:ascii="Bliss-Light" w:hAnsi="Bliss-Light" w:cs="Bliss-Regular"/>
                <w:color w:val="4C4C4C"/>
                <w:lang w:val="en-GB"/>
              </w:rPr>
              <w:t>Monaghan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5336E049" w14:textId="42E10817" w:rsidR="003C40BB" w:rsidRPr="007952EB" w:rsidRDefault="00036B43" w:rsidP="003C40BB">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sidRPr="007952EB">
              <w:rPr>
                <w:rFonts w:ascii="Bliss-Light" w:hAnsi="Bliss-Light" w:cs="Bliss-Regular"/>
                <w:caps/>
                <w:color w:val="4C4C4C"/>
                <w:lang w:val="en-GB"/>
              </w:rPr>
              <w:t>257,800</w:t>
            </w:r>
          </w:p>
        </w:tc>
      </w:tr>
      <w:tr w:rsidR="00D673EE" w14:paraId="4BE814E5" w14:textId="77777777" w:rsidTr="00E6295E">
        <w:trPr>
          <w:trHeight w:val="124"/>
        </w:trPr>
        <w:tc>
          <w:tcPr>
            <w:tcW w:w="6946" w:type="dxa"/>
            <w:tcBorders>
              <w:top w:val="single" w:sz="4" w:space="0" w:color="92CDDC" w:themeColor="accent5" w:themeTint="99"/>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6DBED99B" w14:textId="217668F7" w:rsidR="00D673EE" w:rsidRPr="007952EB" w:rsidRDefault="00D673EE" w:rsidP="003C40BB">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7952EB">
              <w:rPr>
                <w:rFonts w:ascii="Bliss-Light" w:hAnsi="Bliss-Light" w:cs="Bliss-Regular"/>
                <w:color w:val="4C4C4C"/>
                <w:lang w:val="en-GB"/>
              </w:rPr>
              <w:t>Tallaght</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4DAEF489" w14:textId="4FA16711" w:rsidR="00D673EE" w:rsidRPr="007952EB" w:rsidRDefault="001B3A5A" w:rsidP="003C40BB">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sidRPr="007952EB">
              <w:rPr>
                <w:rFonts w:ascii="Bliss-Light" w:hAnsi="Bliss-Light" w:cs="Bliss-Regular"/>
                <w:caps/>
                <w:color w:val="4C4C4C"/>
                <w:lang w:val="en-GB"/>
              </w:rPr>
              <w:t>284,986</w:t>
            </w:r>
          </w:p>
        </w:tc>
      </w:tr>
      <w:tr w:rsidR="00D673EE" w14:paraId="689F73FD" w14:textId="77777777" w:rsidTr="00216E06">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5CAE4655" w14:textId="30F50A4B" w:rsidR="00D673EE" w:rsidRPr="007952EB" w:rsidRDefault="00D673EE" w:rsidP="003C40BB">
            <w:pPr>
              <w:widowControl w:val="0"/>
              <w:suppressAutoHyphens/>
              <w:autoSpaceDE w:val="0"/>
              <w:autoSpaceDN w:val="0"/>
              <w:adjustRightInd w:val="0"/>
              <w:spacing w:line="300" w:lineRule="atLeast"/>
              <w:ind w:left="61"/>
              <w:textAlignment w:val="center"/>
              <w:rPr>
                <w:rFonts w:ascii="Bliss-Bold" w:hAnsi="Bliss-Bold" w:cs="Bliss-Regular"/>
                <w:color w:val="4C4C4C"/>
                <w:lang w:val="en-GB"/>
              </w:rPr>
            </w:pPr>
            <w:r w:rsidRPr="007952EB">
              <w:rPr>
                <w:rFonts w:ascii="Bliss-Bold" w:hAnsi="Bliss-Bold" w:cs="Bliss-Regular"/>
                <w:color w:val="4C4C4C"/>
                <w:lang w:val="en-GB"/>
              </w:rPr>
              <w:t>Total</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24CD0758" w14:textId="7DFBD728" w:rsidR="00D673EE" w:rsidRPr="007952EB" w:rsidRDefault="001B3A5A" w:rsidP="003C40BB">
            <w:pPr>
              <w:widowControl w:val="0"/>
              <w:suppressAutoHyphens/>
              <w:autoSpaceDE w:val="0"/>
              <w:autoSpaceDN w:val="0"/>
              <w:adjustRightInd w:val="0"/>
              <w:spacing w:line="300" w:lineRule="atLeast"/>
              <w:ind w:left="61"/>
              <w:textAlignment w:val="center"/>
              <w:rPr>
                <w:rFonts w:ascii="Bliss-Bold" w:hAnsi="Bliss-Bold" w:cs="Bliss-Regular"/>
                <w:caps/>
                <w:color w:val="4C4C4C"/>
                <w:lang w:val="en-GB"/>
              </w:rPr>
            </w:pPr>
            <w:r w:rsidRPr="007952EB">
              <w:rPr>
                <w:rFonts w:ascii="Bliss-Bold" w:hAnsi="Bliss-Bold" w:cs="Bliss-Regular"/>
                <w:caps/>
                <w:color w:val="4C4C4C"/>
                <w:lang w:val="en-GB"/>
              </w:rPr>
              <w:t>4,396,532</w:t>
            </w:r>
          </w:p>
        </w:tc>
      </w:tr>
    </w:tbl>
    <w:p w14:paraId="7304DFB7" w14:textId="77777777" w:rsidR="00021549" w:rsidRDefault="00021549" w:rsidP="00C01975"/>
    <w:p w14:paraId="1604C602" w14:textId="77777777" w:rsidR="00AC736C" w:rsidRDefault="00AC736C" w:rsidP="00C01975"/>
    <w:p w14:paraId="502D0607" w14:textId="77777777" w:rsidR="00AC736C" w:rsidRDefault="00AC736C" w:rsidP="00C01975"/>
    <w:p w14:paraId="6A4D296F" w14:textId="77777777" w:rsidR="00AC736C" w:rsidRDefault="00AC736C" w:rsidP="00C01975"/>
    <w:p w14:paraId="2D3B80EF" w14:textId="77777777" w:rsidR="00AC736C" w:rsidRDefault="00AC736C" w:rsidP="00C01975"/>
    <w:p w14:paraId="5ECE2318" w14:textId="77777777" w:rsidR="00AC736C" w:rsidRDefault="00AC736C" w:rsidP="00C01975"/>
    <w:p w14:paraId="25253A7E" w14:textId="77777777" w:rsidR="00AC736C" w:rsidRDefault="00AC736C" w:rsidP="00C01975"/>
    <w:p w14:paraId="2041C765" w14:textId="77777777" w:rsidR="00AC736C" w:rsidRDefault="00AC736C" w:rsidP="00C01975"/>
    <w:p w14:paraId="168B3C72" w14:textId="77777777" w:rsidR="00AC736C" w:rsidRDefault="00AC736C" w:rsidP="00C01975"/>
    <w:p w14:paraId="769A9137" w14:textId="77777777" w:rsidR="00AC736C" w:rsidRDefault="00AC736C" w:rsidP="00C01975"/>
    <w:p w14:paraId="22C1E6D7" w14:textId="77777777" w:rsidR="00AC736C" w:rsidRDefault="00AC736C" w:rsidP="00C01975"/>
    <w:p w14:paraId="03C18353" w14:textId="77777777" w:rsidR="00AC736C" w:rsidRDefault="00AC736C" w:rsidP="00C01975"/>
    <w:p w14:paraId="31D7C9FD" w14:textId="77777777" w:rsidR="00AC736C" w:rsidRDefault="00AC736C" w:rsidP="00C01975"/>
    <w:p w14:paraId="3E6CC9A6" w14:textId="77777777" w:rsidR="00AC736C" w:rsidRDefault="00AC736C" w:rsidP="00C01975"/>
    <w:p w14:paraId="6E80BDDE" w14:textId="77777777" w:rsidR="00AC736C" w:rsidRDefault="00AC736C" w:rsidP="00C01975"/>
    <w:p w14:paraId="5C00E24F" w14:textId="77777777" w:rsidR="00AC736C" w:rsidRDefault="00AC736C" w:rsidP="00C01975"/>
    <w:tbl>
      <w:tblPr>
        <w:tblStyle w:val="TableGrid"/>
        <w:tblW w:w="8516"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Table: REGION 2 CIS "/>
      </w:tblPr>
      <w:tblGrid>
        <w:gridCol w:w="7054"/>
        <w:gridCol w:w="1462"/>
      </w:tblGrid>
      <w:tr w:rsidR="00707A70" w14:paraId="20B4473A" w14:textId="77777777" w:rsidTr="00E80C48">
        <w:trPr>
          <w:trHeight w:val="693"/>
          <w:tblHeader/>
        </w:trPr>
        <w:tc>
          <w:tcPr>
            <w:tcW w:w="7054" w:type="dxa"/>
            <w:shd w:val="clear" w:color="auto" w:fill="548DD4" w:themeFill="text2" w:themeFillTint="99"/>
            <w:vAlign w:val="center"/>
          </w:tcPr>
          <w:p w14:paraId="79689894" w14:textId="4BEFA45B" w:rsidR="00707A70" w:rsidRPr="00F311C1" w:rsidRDefault="00B967D2" w:rsidP="00F311C1">
            <w:pPr>
              <w:rPr>
                <w:rFonts w:ascii="Bliss-Regular" w:hAnsi="Bliss-Regular"/>
                <w:color w:val="FFFFFF" w:themeColor="background1"/>
                <w:sz w:val="24"/>
                <w:szCs w:val="24"/>
              </w:rPr>
            </w:pPr>
            <w:r w:rsidRPr="00F311C1">
              <w:rPr>
                <w:rFonts w:ascii="Bliss-Regular" w:hAnsi="Bliss-Regular"/>
                <w:color w:val="FFFFFF" w:themeColor="background1"/>
                <w:sz w:val="24"/>
                <w:szCs w:val="24"/>
              </w:rPr>
              <w:lastRenderedPageBreak/>
              <w:t>REGION 2 CIS</w:t>
            </w:r>
          </w:p>
        </w:tc>
        <w:tc>
          <w:tcPr>
            <w:tcW w:w="1462" w:type="dxa"/>
            <w:shd w:val="clear" w:color="auto" w:fill="548DD4" w:themeFill="text2" w:themeFillTint="99"/>
            <w:vAlign w:val="center"/>
          </w:tcPr>
          <w:p w14:paraId="3CB256AF" w14:textId="7FD2386E" w:rsidR="00F311C1" w:rsidRPr="00F311C1" w:rsidRDefault="00F311C1" w:rsidP="00F311C1">
            <w:pPr>
              <w:rPr>
                <w:rFonts w:ascii="Bliss-Regular" w:hAnsi="Bliss-Regular"/>
                <w:color w:val="FFFFFF" w:themeColor="background1"/>
                <w:sz w:val="24"/>
                <w:szCs w:val="24"/>
              </w:rPr>
            </w:pPr>
            <w:r>
              <w:rPr>
                <w:color w:val="FFFFFF" w:themeColor="background1"/>
                <w:sz w:val="24"/>
                <w:szCs w:val="24"/>
              </w:rPr>
              <w:t>€</w:t>
            </w:r>
          </w:p>
        </w:tc>
      </w:tr>
      <w:tr w:rsidR="00707A70" w14:paraId="2B210719" w14:textId="77777777" w:rsidTr="00A902D6">
        <w:trPr>
          <w:trHeight w:val="431"/>
        </w:trPr>
        <w:tc>
          <w:tcPr>
            <w:tcW w:w="7054" w:type="dxa"/>
            <w:vAlign w:val="center"/>
          </w:tcPr>
          <w:p w14:paraId="3F1D32C5" w14:textId="58A111DE" w:rsidR="00707A70" w:rsidRPr="0027022B" w:rsidRDefault="00053890" w:rsidP="00F311C1">
            <w:pPr>
              <w:rPr>
                <w:rFonts w:ascii="Bliss-Light" w:hAnsi="Bliss-Light"/>
                <w:sz w:val="24"/>
                <w:szCs w:val="24"/>
              </w:rPr>
            </w:pPr>
            <w:r w:rsidRPr="0027022B">
              <w:rPr>
                <w:rFonts w:ascii="Bliss-Light" w:hAnsi="Bliss-Light"/>
                <w:sz w:val="24"/>
                <w:szCs w:val="24"/>
              </w:rPr>
              <w:t>Cavan</w:t>
            </w:r>
          </w:p>
        </w:tc>
        <w:tc>
          <w:tcPr>
            <w:tcW w:w="1462" w:type="dxa"/>
            <w:vAlign w:val="center"/>
          </w:tcPr>
          <w:p w14:paraId="5E3179F8" w14:textId="2CE9FB0A" w:rsidR="00707A70" w:rsidRPr="0027022B" w:rsidRDefault="00053890" w:rsidP="00F311C1">
            <w:pPr>
              <w:rPr>
                <w:rFonts w:ascii="Bliss-Light" w:hAnsi="Bliss-Light"/>
                <w:sz w:val="24"/>
                <w:szCs w:val="24"/>
              </w:rPr>
            </w:pPr>
            <w:r w:rsidRPr="0027022B">
              <w:rPr>
                <w:rFonts w:ascii="Bliss-Light" w:hAnsi="Bliss-Light"/>
                <w:sz w:val="24"/>
                <w:szCs w:val="24"/>
              </w:rPr>
              <w:t>222,300</w:t>
            </w:r>
          </w:p>
        </w:tc>
      </w:tr>
      <w:tr w:rsidR="00707A70" w14:paraId="40A10697" w14:textId="77777777" w:rsidTr="00A902D6">
        <w:trPr>
          <w:trHeight w:val="408"/>
        </w:trPr>
        <w:tc>
          <w:tcPr>
            <w:tcW w:w="7054" w:type="dxa"/>
            <w:shd w:val="clear" w:color="auto" w:fill="B8CCE4" w:themeFill="accent1" w:themeFillTint="66"/>
            <w:vAlign w:val="center"/>
          </w:tcPr>
          <w:p w14:paraId="2D1A020E" w14:textId="27506735" w:rsidR="00707A70" w:rsidRPr="0027022B" w:rsidRDefault="00053890" w:rsidP="00F311C1">
            <w:pPr>
              <w:rPr>
                <w:rFonts w:ascii="Bliss-Light" w:hAnsi="Bliss-Light"/>
                <w:sz w:val="24"/>
                <w:szCs w:val="24"/>
              </w:rPr>
            </w:pPr>
            <w:r w:rsidRPr="0027022B">
              <w:rPr>
                <w:rFonts w:ascii="Bliss-Light" w:hAnsi="Bliss-Light"/>
                <w:sz w:val="24"/>
                <w:szCs w:val="24"/>
              </w:rPr>
              <w:t>Dongeal</w:t>
            </w:r>
          </w:p>
        </w:tc>
        <w:tc>
          <w:tcPr>
            <w:tcW w:w="1462" w:type="dxa"/>
            <w:shd w:val="clear" w:color="auto" w:fill="B8CCE4" w:themeFill="accent1" w:themeFillTint="66"/>
            <w:vAlign w:val="center"/>
          </w:tcPr>
          <w:p w14:paraId="59CDA0DC" w14:textId="60F3425C" w:rsidR="00707A70" w:rsidRPr="0027022B" w:rsidRDefault="003D2B9D" w:rsidP="00F311C1">
            <w:pPr>
              <w:rPr>
                <w:rFonts w:ascii="Bliss-Light" w:hAnsi="Bliss-Light"/>
                <w:sz w:val="24"/>
                <w:szCs w:val="24"/>
              </w:rPr>
            </w:pPr>
            <w:r w:rsidRPr="0027022B">
              <w:rPr>
                <w:rFonts w:ascii="Bliss-Light" w:hAnsi="Bliss-Light"/>
                <w:sz w:val="24"/>
                <w:szCs w:val="24"/>
              </w:rPr>
              <w:t>253,544</w:t>
            </w:r>
          </w:p>
        </w:tc>
      </w:tr>
      <w:tr w:rsidR="00707A70" w14:paraId="52CA64DA" w14:textId="77777777" w:rsidTr="00A902D6">
        <w:trPr>
          <w:trHeight w:val="428"/>
        </w:trPr>
        <w:tc>
          <w:tcPr>
            <w:tcW w:w="7054" w:type="dxa"/>
            <w:vAlign w:val="center"/>
          </w:tcPr>
          <w:p w14:paraId="7C86B38E" w14:textId="5294150C" w:rsidR="00707A70" w:rsidRPr="0027022B" w:rsidRDefault="00053890" w:rsidP="00F311C1">
            <w:pPr>
              <w:rPr>
                <w:rFonts w:ascii="Bliss-Light" w:hAnsi="Bliss-Light"/>
                <w:sz w:val="24"/>
                <w:szCs w:val="24"/>
              </w:rPr>
            </w:pPr>
            <w:r w:rsidRPr="0027022B">
              <w:rPr>
                <w:rFonts w:ascii="Bliss-Light" w:hAnsi="Bliss-Light"/>
                <w:sz w:val="24"/>
                <w:szCs w:val="24"/>
              </w:rPr>
              <w:t>Galway</w:t>
            </w:r>
          </w:p>
        </w:tc>
        <w:tc>
          <w:tcPr>
            <w:tcW w:w="1462" w:type="dxa"/>
            <w:vAlign w:val="center"/>
          </w:tcPr>
          <w:p w14:paraId="56A35395" w14:textId="6F45B8C2" w:rsidR="00707A70" w:rsidRPr="0027022B" w:rsidRDefault="003D2B9D" w:rsidP="00F311C1">
            <w:pPr>
              <w:rPr>
                <w:rFonts w:ascii="Bliss-Light" w:hAnsi="Bliss-Light"/>
                <w:sz w:val="24"/>
                <w:szCs w:val="24"/>
              </w:rPr>
            </w:pPr>
            <w:r w:rsidRPr="0027022B">
              <w:rPr>
                <w:rFonts w:ascii="Bliss-Light" w:hAnsi="Bliss-Light"/>
                <w:sz w:val="24"/>
                <w:szCs w:val="24"/>
              </w:rPr>
              <w:t>399,252</w:t>
            </w:r>
          </w:p>
        </w:tc>
      </w:tr>
      <w:tr w:rsidR="00707A70" w14:paraId="6A1D0F6E" w14:textId="77777777" w:rsidTr="00A902D6">
        <w:trPr>
          <w:trHeight w:val="407"/>
        </w:trPr>
        <w:tc>
          <w:tcPr>
            <w:tcW w:w="7054" w:type="dxa"/>
            <w:shd w:val="clear" w:color="auto" w:fill="B8CCE4" w:themeFill="accent1" w:themeFillTint="66"/>
            <w:vAlign w:val="center"/>
          </w:tcPr>
          <w:p w14:paraId="398BE459" w14:textId="15F8616D" w:rsidR="00707A70" w:rsidRPr="0027022B" w:rsidRDefault="00053890" w:rsidP="00F311C1">
            <w:pPr>
              <w:rPr>
                <w:rFonts w:ascii="Bliss-Light" w:hAnsi="Bliss-Light"/>
                <w:sz w:val="24"/>
                <w:szCs w:val="24"/>
              </w:rPr>
            </w:pPr>
            <w:r w:rsidRPr="0027022B">
              <w:rPr>
                <w:rFonts w:ascii="Bliss-Light" w:hAnsi="Bliss-Light"/>
                <w:sz w:val="24"/>
                <w:szCs w:val="24"/>
              </w:rPr>
              <w:t>Leitrim (NAS 2014)</w:t>
            </w:r>
          </w:p>
        </w:tc>
        <w:tc>
          <w:tcPr>
            <w:tcW w:w="1462" w:type="dxa"/>
            <w:shd w:val="clear" w:color="auto" w:fill="B8CCE4" w:themeFill="accent1" w:themeFillTint="66"/>
            <w:vAlign w:val="center"/>
          </w:tcPr>
          <w:p w14:paraId="46C40C6A" w14:textId="60CDD58C" w:rsidR="00707A70" w:rsidRPr="0027022B" w:rsidRDefault="003D2B9D" w:rsidP="00F311C1">
            <w:pPr>
              <w:rPr>
                <w:rFonts w:ascii="Bliss-Light" w:hAnsi="Bliss-Light"/>
                <w:sz w:val="24"/>
                <w:szCs w:val="24"/>
              </w:rPr>
            </w:pPr>
            <w:r w:rsidRPr="0027022B">
              <w:rPr>
                <w:rFonts w:ascii="Bliss-Light" w:hAnsi="Bliss-Light"/>
                <w:sz w:val="24"/>
                <w:szCs w:val="24"/>
              </w:rPr>
              <w:t>235,896</w:t>
            </w:r>
          </w:p>
        </w:tc>
      </w:tr>
      <w:tr w:rsidR="00707A70" w14:paraId="58A5F55C" w14:textId="77777777" w:rsidTr="00A902D6">
        <w:trPr>
          <w:trHeight w:val="427"/>
        </w:trPr>
        <w:tc>
          <w:tcPr>
            <w:tcW w:w="7054" w:type="dxa"/>
            <w:vAlign w:val="center"/>
          </w:tcPr>
          <w:p w14:paraId="77E5CF64" w14:textId="74BE53EF" w:rsidR="00707A70" w:rsidRPr="0027022B" w:rsidRDefault="00053890" w:rsidP="00F311C1">
            <w:pPr>
              <w:rPr>
                <w:rFonts w:ascii="Bliss-Light" w:hAnsi="Bliss-Light"/>
                <w:sz w:val="24"/>
                <w:szCs w:val="24"/>
              </w:rPr>
            </w:pPr>
            <w:r w:rsidRPr="0027022B">
              <w:rPr>
                <w:rFonts w:ascii="Bliss-Light" w:hAnsi="Bliss-Light"/>
                <w:sz w:val="24"/>
                <w:szCs w:val="24"/>
              </w:rPr>
              <w:t>Longford (ASW)</w:t>
            </w:r>
          </w:p>
        </w:tc>
        <w:tc>
          <w:tcPr>
            <w:tcW w:w="1462" w:type="dxa"/>
            <w:vAlign w:val="center"/>
          </w:tcPr>
          <w:p w14:paraId="465226C4" w14:textId="53864B6D" w:rsidR="00707A70" w:rsidRPr="0027022B" w:rsidRDefault="003D2B9D" w:rsidP="00F311C1">
            <w:pPr>
              <w:rPr>
                <w:rFonts w:ascii="Bliss-Light" w:hAnsi="Bliss-Light"/>
                <w:sz w:val="24"/>
                <w:szCs w:val="24"/>
              </w:rPr>
            </w:pPr>
            <w:r w:rsidRPr="0027022B">
              <w:rPr>
                <w:rFonts w:ascii="Bliss-Light" w:hAnsi="Bliss-Light"/>
                <w:sz w:val="24"/>
                <w:szCs w:val="24"/>
              </w:rPr>
              <w:t>320,093</w:t>
            </w:r>
          </w:p>
        </w:tc>
      </w:tr>
      <w:tr w:rsidR="00707A70" w14:paraId="0EA3070A" w14:textId="77777777" w:rsidTr="00A902D6">
        <w:trPr>
          <w:trHeight w:val="404"/>
        </w:trPr>
        <w:tc>
          <w:tcPr>
            <w:tcW w:w="7054" w:type="dxa"/>
            <w:shd w:val="clear" w:color="auto" w:fill="B8CCE4" w:themeFill="accent1" w:themeFillTint="66"/>
            <w:vAlign w:val="center"/>
          </w:tcPr>
          <w:p w14:paraId="71C2A130" w14:textId="44A6E0A6" w:rsidR="00707A70" w:rsidRPr="0027022B" w:rsidRDefault="00053890" w:rsidP="00F311C1">
            <w:pPr>
              <w:rPr>
                <w:rFonts w:ascii="Bliss-Light" w:hAnsi="Bliss-Light"/>
                <w:sz w:val="24"/>
                <w:szCs w:val="24"/>
              </w:rPr>
            </w:pPr>
            <w:r w:rsidRPr="0027022B">
              <w:rPr>
                <w:rFonts w:ascii="Bliss-Light" w:hAnsi="Bliss-Light"/>
                <w:sz w:val="24"/>
                <w:szCs w:val="24"/>
              </w:rPr>
              <w:t>Mayo</w:t>
            </w:r>
          </w:p>
        </w:tc>
        <w:tc>
          <w:tcPr>
            <w:tcW w:w="1462" w:type="dxa"/>
            <w:shd w:val="clear" w:color="auto" w:fill="B8CCE4" w:themeFill="accent1" w:themeFillTint="66"/>
            <w:vAlign w:val="center"/>
          </w:tcPr>
          <w:p w14:paraId="52AE9550" w14:textId="62088031" w:rsidR="00707A70" w:rsidRPr="0027022B" w:rsidRDefault="003D2B9D" w:rsidP="00F311C1">
            <w:pPr>
              <w:rPr>
                <w:rFonts w:ascii="Bliss-Light" w:hAnsi="Bliss-Light"/>
                <w:sz w:val="24"/>
                <w:szCs w:val="24"/>
              </w:rPr>
            </w:pPr>
            <w:r w:rsidRPr="0027022B">
              <w:rPr>
                <w:rFonts w:ascii="Bliss-Light" w:hAnsi="Bliss-Light"/>
                <w:sz w:val="24"/>
                <w:szCs w:val="24"/>
              </w:rPr>
              <w:t>382,539</w:t>
            </w:r>
          </w:p>
        </w:tc>
      </w:tr>
      <w:tr w:rsidR="00707A70" w14:paraId="32A4D412" w14:textId="77777777" w:rsidTr="00A902D6">
        <w:trPr>
          <w:trHeight w:val="410"/>
        </w:trPr>
        <w:tc>
          <w:tcPr>
            <w:tcW w:w="7054" w:type="dxa"/>
            <w:vAlign w:val="center"/>
          </w:tcPr>
          <w:p w14:paraId="1F51D078" w14:textId="51051EA4" w:rsidR="00707A70" w:rsidRPr="0027022B" w:rsidRDefault="00053890" w:rsidP="00F311C1">
            <w:pPr>
              <w:rPr>
                <w:rFonts w:ascii="Bliss-Light" w:hAnsi="Bliss-Light"/>
                <w:sz w:val="24"/>
                <w:szCs w:val="24"/>
              </w:rPr>
            </w:pPr>
            <w:r w:rsidRPr="0027022B">
              <w:rPr>
                <w:rFonts w:ascii="Bliss-Light" w:hAnsi="Bliss-Light"/>
                <w:sz w:val="24"/>
                <w:szCs w:val="24"/>
              </w:rPr>
              <w:t>Roscommon</w:t>
            </w:r>
          </w:p>
        </w:tc>
        <w:tc>
          <w:tcPr>
            <w:tcW w:w="1462" w:type="dxa"/>
            <w:vAlign w:val="center"/>
          </w:tcPr>
          <w:p w14:paraId="20B74A29" w14:textId="7B2AD1B5" w:rsidR="00707A70" w:rsidRPr="0027022B" w:rsidRDefault="003D2B9D" w:rsidP="00F311C1">
            <w:pPr>
              <w:rPr>
                <w:rFonts w:ascii="Bliss-Light" w:hAnsi="Bliss-Light"/>
                <w:sz w:val="24"/>
                <w:szCs w:val="24"/>
              </w:rPr>
            </w:pPr>
            <w:r w:rsidRPr="0027022B">
              <w:rPr>
                <w:rFonts w:ascii="Bliss-Light" w:hAnsi="Bliss-Light"/>
                <w:sz w:val="24"/>
                <w:szCs w:val="24"/>
              </w:rPr>
              <w:t>265,000</w:t>
            </w:r>
          </w:p>
        </w:tc>
      </w:tr>
      <w:tr w:rsidR="00707A70" w14:paraId="008B8D02" w14:textId="77777777" w:rsidTr="00A902D6">
        <w:trPr>
          <w:trHeight w:val="431"/>
        </w:trPr>
        <w:tc>
          <w:tcPr>
            <w:tcW w:w="7054" w:type="dxa"/>
            <w:shd w:val="clear" w:color="auto" w:fill="B8CCE4" w:themeFill="accent1" w:themeFillTint="66"/>
            <w:vAlign w:val="center"/>
          </w:tcPr>
          <w:p w14:paraId="786893D2" w14:textId="4C75475A" w:rsidR="00707A70" w:rsidRPr="0027022B" w:rsidRDefault="00053890" w:rsidP="00F311C1">
            <w:pPr>
              <w:rPr>
                <w:rFonts w:ascii="Bliss-Light" w:hAnsi="Bliss-Light"/>
                <w:sz w:val="24"/>
                <w:szCs w:val="24"/>
              </w:rPr>
            </w:pPr>
            <w:r w:rsidRPr="0027022B">
              <w:rPr>
                <w:rFonts w:ascii="Bliss-Light" w:hAnsi="Bliss-Light"/>
                <w:sz w:val="24"/>
                <w:szCs w:val="24"/>
              </w:rPr>
              <w:t>Sligo</w:t>
            </w:r>
          </w:p>
        </w:tc>
        <w:tc>
          <w:tcPr>
            <w:tcW w:w="1462" w:type="dxa"/>
            <w:shd w:val="clear" w:color="auto" w:fill="B8CCE4" w:themeFill="accent1" w:themeFillTint="66"/>
            <w:vAlign w:val="center"/>
          </w:tcPr>
          <w:p w14:paraId="5EFBE4F6" w14:textId="34BBFAE6" w:rsidR="00707A70" w:rsidRPr="0027022B" w:rsidRDefault="003D2B9D" w:rsidP="00F311C1">
            <w:pPr>
              <w:rPr>
                <w:rFonts w:ascii="Bliss-Light" w:hAnsi="Bliss-Light"/>
                <w:sz w:val="24"/>
                <w:szCs w:val="24"/>
              </w:rPr>
            </w:pPr>
            <w:r w:rsidRPr="0027022B">
              <w:rPr>
                <w:rFonts w:ascii="Bliss-Light" w:hAnsi="Bliss-Light"/>
                <w:sz w:val="24"/>
                <w:szCs w:val="24"/>
              </w:rPr>
              <w:t>267,300</w:t>
            </w:r>
          </w:p>
        </w:tc>
      </w:tr>
      <w:tr w:rsidR="00707A70" w14:paraId="657EEBFF" w14:textId="77777777" w:rsidTr="00A902D6">
        <w:trPr>
          <w:trHeight w:val="409"/>
        </w:trPr>
        <w:tc>
          <w:tcPr>
            <w:tcW w:w="7054" w:type="dxa"/>
            <w:vAlign w:val="center"/>
          </w:tcPr>
          <w:p w14:paraId="04AD3ED3" w14:textId="4A3F365D" w:rsidR="00707A70" w:rsidRPr="0027022B" w:rsidRDefault="00053890" w:rsidP="00F311C1">
            <w:pPr>
              <w:rPr>
                <w:rFonts w:ascii="Bliss-Light" w:hAnsi="Bliss-Light"/>
                <w:sz w:val="24"/>
                <w:szCs w:val="24"/>
              </w:rPr>
            </w:pPr>
            <w:r w:rsidRPr="0027022B">
              <w:rPr>
                <w:rFonts w:ascii="Bliss-Light" w:hAnsi="Bliss-Light"/>
                <w:sz w:val="24"/>
                <w:szCs w:val="24"/>
              </w:rPr>
              <w:t>Westmeath (NAS 2014)</w:t>
            </w:r>
          </w:p>
        </w:tc>
        <w:tc>
          <w:tcPr>
            <w:tcW w:w="1462" w:type="dxa"/>
            <w:vAlign w:val="center"/>
          </w:tcPr>
          <w:p w14:paraId="054FE7DE" w14:textId="3692AA54" w:rsidR="00707A70" w:rsidRPr="0027022B" w:rsidRDefault="003D2B9D" w:rsidP="00F311C1">
            <w:pPr>
              <w:rPr>
                <w:rFonts w:ascii="Bliss-Light" w:hAnsi="Bliss-Light"/>
                <w:sz w:val="24"/>
                <w:szCs w:val="24"/>
              </w:rPr>
            </w:pPr>
            <w:r w:rsidRPr="0027022B">
              <w:rPr>
                <w:rFonts w:ascii="Bliss-Light" w:hAnsi="Bliss-Light"/>
                <w:sz w:val="24"/>
                <w:szCs w:val="24"/>
              </w:rPr>
              <w:t>324,036</w:t>
            </w:r>
          </w:p>
        </w:tc>
      </w:tr>
      <w:tr w:rsidR="00707A70" w14:paraId="0517343C" w14:textId="77777777" w:rsidTr="00A902D6">
        <w:tc>
          <w:tcPr>
            <w:tcW w:w="7054" w:type="dxa"/>
            <w:shd w:val="clear" w:color="auto" w:fill="B8CCE4" w:themeFill="accent1" w:themeFillTint="66"/>
            <w:vAlign w:val="center"/>
          </w:tcPr>
          <w:p w14:paraId="513086FB" w14:textId="406603B8" w:rsidR="00707A70" w:rsidRPr="0027022B" w:rsidRDefault="00053890" w:rsidP="00F311C1">
            <w:pPr>
              <w:rPr>
                <w:rFonts w:ascii="Bliss-Bold" w:hAnsi="Bliss-Bold"/>
                <w:sz w:val="24"/>
                <w:szCs w:val="24"/>
              </w:rPr>
            </w:pPr>
            <w:r w:rsidRPr="0027022B">
              <w:rPr>
                <w:rFonts w:ascii="Bliss-Bold" w:hAnsi="Bliss-Bold"/>
                <w:sz w:val="24"/>
                <w:szCs w:val="24"/>
              </w:rPr>
              <w:t>Total</w:t>
            </w:r>
          </w:p>
        </w:tc>
        <w:tc>
          <w:tcPr>
            <w:tcW w:w="1462" w:type="dxa"/>
            <w:shd w:val="clear" w:color="auto" w:fill="B8CCE4" w:themeFill="accent1" w:themeFillTint="66"/>
            <w:vAlign w:val="center"/>
          </w:tcPr>
          <w:p w14:paraId="4DB71E6E" w14:textId="339D374D" w:rsidR="00707A70" w:rsidRPr="0027022B" w:rsidRDefault="003D2B9D" w:rsidP="00F311C1">
            <w:pPr>
              <w:rPr>
                <w:rFonts w:ascii="Bliss-Bold" w:hAnsi="Bliss-Bold"/>
                <w:sz w:val="24"/>
                <w:szCs w:val="24"/>
              </w:rPr>
            </w:pPr>
            <w:r w:rsidRPr="0027022B">
              <w:rPr>
                <w:rFonts w:ascii="Bliss-Bold" w:hAnsi="Bliss-Bold"/>
                <w:sz w:val="24"/>
                <w:szCs w:val="24"/>
              </w:rPr>
              <w:t>3,069,960</w:t>
            </w:r>
          </w:p>
        </w:tc>
      </w:tr>
    </w:tbl>
    <w:p w14:paraId="5058F0EA" w14:textId="77777777" w:rsidR="00707A70" w:rsidRDefault="00707A70" w:rsidP="00C01975"/>
    <w:tbl>
      <w:tblPr>
        <w:tblStyle w:val="TableGrid"/>
        <w:tblW w:w="8472"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Table: REGION 3 CIS "/>
      </w:tblPr>
      <w:tblGrid>
        <w:gridCol w:w="7054"/>
        <w:gridCol w:w="1418"/>
      </w:tblGrid>
      <w:tr w:rsidR="00D00779" w:rsidRPr="00F311C1" w14:paraId="7A41A794" w14:textId="77777777" w:rsidTr="00E80C48">
        <w:trPr>
          <w:trHeight w:val="693"/>
          <w:tblHeader/>
        </w:trPr>
        <w:tc>
          <w:tcPr>
            <w:tcW w:w="7054" w:type="dxa"/>
            <w:shd w:val="clear" w:color="auto" w:fill="548DD4" w:themeFill="text2" w:themeFillTint="99"/>
            <w:vAlign w:val="center"/>
          </w:tcPr>
          <w:p w14:paraId="103D6F37" w14:textId="64195F06" w:rsidR="00D00779" w:rsidRPr="00F311C1" w:rsidRDefault="00D00779" w:rsidP="00D00779">
            <w:pPr>
              <w:rPr>
                <w:rFonts w:ascii="Bliss-Regular" w:hAnsi="Bliss-Regular"/>
                <w:color w:val="FFFFFF" w:themeColor="background1"/>
                <w:sz w:val="24"/>
                <w:szCs w:val="24"/>
              </w:rPr>
            </w:pPr>
            <w:r>
              <w:rPr>
                <w:rFonts w:ascii="Bliss-Regular" w:hAnsi="Bliss-Regular"/>
                <w:color w:val="FFFFFF" w:themeColor="background1"/>
                <w:sz w:val="24"/>
                <w:szCs w:val="24"/>
              </w:rPr>
              <w:t>REGION 3</w:t>
            </w:r>
            <w:r w:rsidRPr="00F311C1">
              <w:rPr>
                <w:rFonts w:ascii="Bliss-Regular" w:hAnsi="Bliss-Regular"/>
                <w:color w:val="FFFFFF" w:themeColor="background1"/>
                <w:sz w:val="24"/>
                <w:szCs w:val="24"/>
              </w:rPr>
              <w:t xml:space="preserve"> CIS</w:t>
            </w:r>
          </w:p>
        </w:tc>
        <w:tc>
          <w:tcPr>
            <w:tcW w:w="1418" w:type="dxa"/>
            <w:shd w:val="clear" w:color="auto" w:fill="548DD4" w:themeFill="text2" w:themeFillTint="99"/>
            <w:vAlign w:val="center"/>
          </w:tcPr>
          <w:p w14:paraId="1FE04848" w14:textId="77777777" w:rsidR="00D00779" w:rsidRPr="00F311C1" w:rsidRDefault="00D00779" w:rsidP="00D00779">
            <w:pPr>
              <w:rPr>
                <w:rFonts w:ascii="Bliss-Regular" w:hAnsi="Bliss-Regular"/>
                <w:color w:val="FFFFFF" w:themeColor="background1"/>
                <w:sz w:val="24"/>
                <w:szCs w:val="24"/>
              </w:rPr>
            </w:pPr>
            <w:r>
              <w:rPr>
                <w:color w:val="FFFFFF" w:themeColor="background1"/>
                <w:sz w:val="24"/>
                <w:szCs w:val="24"/>
              </w:rPr>
              <w:t>€</w:t>
            </w:r>
          </w:p>
        </w:tc>
      </w:tr>
      <w:tr w:rsidR="00D00779" w:rsidRPr="00433944" w14:paraId="75222D09" w14:textId="77777777" w:rsidTr="00A902D6">
        <w:trPr>
          <w:trHeight w:val="431"/>
        </w:trPr>
        <w:tc>
          <w:tcPr>
            <w:tcW w:w="7054" w:type="dxa"/>
            <w:vAlign w:val="center"/>
          </w:tcPr>
          <w:p w14:paraId="43C6C629" w14:textId="314F7DD0" w:rsidR="00D00779" w:rsidRPr="0027022B" w:rsidRDefault="00D00779" w:rsidP="00D00779">
            <w:pPr>
              <w:rPr>
                <w:rFonts w:ascii="Bliss-Light" w:hAnsi="Bliss-Light"/>
                <w:sz w:val="24"/>
                <w:szCs w:val="24"/>
              </w:rPr>
            </w:pPr>
            <w:r w:rsidRPr="0027022B">
              <w:rPr>
                <w:rFonts w:ascii="Bliss-Light" w:hAnsi="Bliss-Light"/>
                <w:sz w:val="24"/>
                <w:szCs w:val="24"/>
              </w:rPr>
              <w:t>Carlow</w:t>
            </w:r>
          </w:p>
        </w:tc>
        <w:tc>
          <w:tcPr>
            <w:tcW w:w="1418" w:type="dxa"/>
            <w:vAlign w:val="center"/>
          </w:tcPr>
          <w:p w14:paraId="3BACF43A" w14:textId="5CFCEBC2" w:rsidR="00D00779" w:rsidRPr="0027022B" w:rsidRDefault="00D00779" w:rsidP="00D00779">
            <w:pPr>
              <w:rPr>
                <w:rFonts w:ascii="Bliss-Light" w:hAnsi="Bliss-Light"/>
                <w:sz w:val="24"/>
                <w:szCs w:val="24"/>
              </w:rPr>
            </w:pPr>
            <w:r w:rsidRPr="0027022B">
              <w:rPr>
                <w:rFonts w:ascii="Bliss-Light" w:hAnsi="Bliss-Light"/>
                <w:sz w:val="24"/>
                <w:szCs w:val="24"/>
              </w:rPr>
              <w:t>212,000</w:t>
            </w:r>
          </w:p>
        </w:tc>
      </w:tr>
      <w:tr w:rsidR="00D00779" w:rsidRPr="00433944" w14:paraId="181838F5" w14:textId="77777777" w:rsidTr="00A902D6">
        <w:trPr>
          <w:trHeight w:val="408"/>
        </w:trPr>
        <w:tc>
          <w:tcPr>
            <w:tcW w:w="7054" w:type="dxa"/>
            <w:shd w:val="clear" w:color="auto" w:fill="B8CCE4" w:themeFill="accent1" w:themeFillTint="66"/>
            <w:vAlign w:val="center"/>
          </w:tcPr>
          <w:p w14:paraId="3B26958D" w14:textId="5F8C7224" w:rsidR="00D00779" w:rsidRPr="0027022B" w:rsidRDefault="00E27D2C" w:rsidP="00D00779">
            <w:pPr>
              <w:rPr>
                <w:rFonts w:ascii="Bliss-Light" w:hAnsi="Bliss-Light"/>
                <w:sz w:val="24"/>
                <w:szCs w:val="24"/>
              </w:rPr>
            </w:pPr>
            <w:r w:rsidRPr="0027022B">
              <w:rPr>
                <w:rFonts w:ascii="Bliss-Light" w:hAnsi="Bliss-Light"/>
                <w:sz w:val="24"/>
                <w:szCs w:val="24"/>
              </w:rPr>
              <w:t>Kilkenny</w:t>
            </w:r>
          </w:p>
        </w:tc>
        <w:tc>
          <w:tcPr>
            <w:tcW w:w="1418" w:type="dxa"/>
            <w:shd w:val="clear" w:color="auto" w:fill="B8CCE4" w:themeFill="accent1" w:themeFillTint="66"/>
            <w:vAlign w:val="center"/>
          </w:tcPr>
          <w:p w14:paraId="52440F9F" w14:textId="45242071" w:rsidR="00D00779" w:rsidRPr="0027022B" w:rsidRDefault="00D00779" w:rsidP="00D00779">
            <w:pPr>
              <w:rPr>
                <w:rFonts w:ascii="Bliss-Light" w:hAnsi="Bliss-Light"/>
                <w:sz w:val="24"/>
                <w:szCs w:val="24"/>
              </w:rPr>
            </w:pPr>
            <w:r w:rsidRPr="0027022B">
              <w:rPr>
                <w:rFonts w:ascii="Bliss-Light" w:hAnsi="Bliss-Light"/>
                <w:sz w:val="24"/>
                <w:szCs w:val="24"/>
              </w:rPr>
              <w:t>198,000</w:t>
            </w:r>
          </w:p>
        </w:tc>
      </w:tr>
      <w:tr w:rsidR="00D00779" w:rsidRPr="00433944" w14:paraId="6EEE00A8" w14:textId="77777777" w:rsidTr="00A902D6">
        <w:trPr>
          <w:trHeight w:val="428"/>
        </w:trPr>
        <w:tc>
          <w:tcPr>
            <w:tcW w:w="7054" w:type="dxa"/>
            <w:vAlign w:val="center"/>
          </w:tcPr>
          <w:p w14:paraId="744DBB95" w14:textId="6ABEA22B" w:rsidR="00D00779" w:rsidRPr="0027022B" w:rsidRDefault="00E27D2C" w:rsidP="00D00779">
            <w:pPr>
              <w:rPr>
                <w:rFonts w:ascii="Bliss-Light" w:hAnsi="Bliss-Light"/>
                <w:sz w:val="24"/>
                <w:szCs w:val="24"/>
              </w:rPr>
            </w:pPr>
            <w:r w:rsidRPr="0027022B">
              <w:rPr>
                <w:rFonts w:ascii="Bliss-Light" w:hAnsi="Bliss-Light"/>
                <w:sz w:val="24"/>
                <w:szCs w:val="24"/>
              </w:rPr>
              <w:t>Laois</w:t>
            </w:r>
          </w:p>
        </w:tc>
        <w:tc>
          <w:tcPr>
            <w:tcW w:w="1418" w:type="dxa"/>
            <w:vAlign w:val="center"/>
          </w:tcPr>
          <w:p w14:paraId="65224640" w14:textId="33BF5ABF" w:rsidR="00D00779" w:rsidRPr="0027022B" w:rsidRDefault="00D00779" w:rsidP="00D00779">
            <w:pPr>
              <w:rPr>
                <w:rFonts w:ascii="Bliss-Light" w:hAnsi="Bliss-Light"/>
                <w:sz w:val="24"/>
                <w:szCs w:val="24"/>
              </w:rPr>
            </w:pPr>
            <w:r w:rsidRPr="0027022B">
              <w:rPr>
                <w:rFonts w:ascii="Bliss-Light" w:hAnsi="Bliss-Light"/>
                <w:sz w:val="24"/>
                <w:szCs w:val="24"/>
              </w:rPr>
              <w:t>215,116</w:t>
            </w:r>
          </w:p>
        </w:tc>
      </w:tr>
      <w:tr w:rsidR="00D00779" w:rsidRPr="00433944" w14:paraId="10A3A9A2" w14:textId="77777777" w:rsidTr="00A902D6">
        <w:trPr>
          <w:trHeight w:val="407"/>
        </w:trPr>
        <w:tc>
          <w:tcPr>
            <w:tcW w:w="7054" w:type="dxa"/>
            <w:shd w:val="clear" w:color="auto" w:fill="B8CCE4" w:themeFill="accent1" w:themeFillTint="66"/>
            <w:vAlign w:val="center"/>
          </w:tcPr>
          <w:p w14:paraId="3B9C0D17" w14:textId="3D302782" w:rsidR="00D00779" w:rsidRPr="0027022B" w:rsidRDefault="00E27D2C" w:rsidP="00D00779">
            <w:pPr>
              <w:rPr>
                <w:rFonts w:ascii="Bliss-Light" w:hAnsi="Bliss-Light"/>
                <w:sz w:val="24"/>
                <w:szCs w:val="24"/>
              </w:rPr>
            </w:pPr>
            <w:r w:rsidRPr="0027022B">
              <w:rPr>
                <w:rFonts w:ascii="Bliss-Light" w:hAnsi="Bliss-Light"/>
                <w:sz w:val="24"/>
                <w:szCs w:val="24"/>
              </w:rPr>
              <w:t>Meath</w:t>
            </w:r>
          </w:p>
        </w:tc>
        <w:tc>
          <w:tcPr>
            <w:tcW w:w="1418" w:type="dxa"/>
            <w:shd w:val="clear" w:color="auto" w:fill="B8CCE4" w:themeFill="accent1" w:themeFillTint="66"/>
            <w:vAlign w:val="center"/>
          </w:tcPr>
          <w:p w14:paraId="6CAF0019" w14:textId="2AB8852E" w:rsidR="00D00779" w:rsidRPr="0027022B" w:rsidRDefault="00D00779" w:rsidP="00D00779">
            <w:pPr>
              <w:rPr>
                <w:rFonts w:ascii="Bliss-Light" w:hAnsi="Bliss-Light"/>
                <w:sz w:val="24"/>
                <w:szCs w:val="24"/>
              </w:rPr>
            </w:pPr>
            <w:r w:rsidRPr="0027022B">
              <w:rPr>
                <w:rFonts w:ascii="Bliss-Light" w:hAnsi="Bliss-Light"/>
                <w:sz w:val="24"/>
                <w:szCs w:val="24"/>
              </w:rPr>
              <w:t>375,142</w:t>
            </w:r>
          </w:p>
        </w:tc>
      </w:tr>
      <w:tr w:rsidR="00D00779" w:rsidRPr="00433944" w14:paraId="4F62495B" w14:textId="77777777" w:rsidTr="00A902D6">
        <w:trPr>
          <w:trHeight w:val="427"/>
        </w:trPr>
        <w:tc>
          <w:tcPr>
            <w:tcW w:w="7054" w:type="dxa"/>
            <w:vAlign w:val="center"/>
          </w:tcPr>
          <w:p w14:paraId="71AF6AB7" w14:textId="7375F8CD" w:rsidR="00D00779" w:rsidRPr="0027022B" w:rsidRDefault="00E27D2C" w:rsidP="00D00779">
            <w:pPr>
              <w:rPr>
                <w:rFonts w:ascii="Bliss-Light" w:hAnsi="Bliss-Light"/>
                <w:sz w:val="24"/>
                <w:szCs w:val="24"/>
              </w:rPr>
            </w:pPr>
            <w:r w:rsidRPr="0027022B">
              <w:rPr>
                <w:rFonts w:ascii="Bliss-Light" w:hAnsi="Bliss-Light"/>
                <w:sz w:val="24"/>
                <w:szCs w:val="24"/>
              </w:rPr>
              <w:t>North Kildare</w:t>
            </w:r>
          </w:p>
        </w:tc>
        <w:tc>
          <w:tcPr>
            <w:tcW w:w="1418" w:type="dxa"/>
            <w:vAlign w:val="center"/>
          </w:tcPr>
          <w:p w14:paraId="719DD787" w14:textId="628FF555" w:rsidR="00D00779" w:rsidRPr="0027022B" w:rsidRDefault="00D00779" w:rsidP="00D00779">
            <w:pPr>
              <w:rPr>
                <w:rFonts w:ascii="Bliss-Light" w:hAnsi="Bliss-Light"/>
                <w:sz w:val="24"/>
                <w:szCs w:val="24"/>
              </w:rPr>
            </w:pPr>
            <w:r w:rsidRPr="0027022B">
              <w:rPr>
                <w:rFonts w:ascii="Bliss-Light" w:hAnsi="Bliss-Light"/>
                <w:sz w:val="24"/>
                <w:szCs w:val="24"/>
              </w:rPr>
              <w:t>232,320</w:t>
            </w:r>
          </w:p>
        </w:tc>
      </w:tr>
      <w:tr w:rsidR="00D00779" w:rsidRPr="00433944" w14:paraId="7767A9D8" w14:textId="77777777" w:rsidTr="00A902D6">
        <w:trPr>
          <w:trHeight w:val="404"/>
        </w:trPr>
        <w:tc>
          <w:tcPr>
            <w:tcW w:w="7054" w:type="dxa"/>
            <w:shd w:val="clear" w:color="auto" w:fill="B8CCE4" w:themeFill="accent1" w:themeFillTint="66"/>
            <w:vAlign w:val="center"/>
          </w:tcPr>
          <w:p w14:paraId="08A516E2" w14:textId="3DEB1BC9" w:rsidR="00D00779" w:rsidRPr="0027022B" w:rsidRDefault="00E27D2C" w:rsidP="00D00779">
            <w:pPr>
              <w:rPr>
                <w:rFonts w:ascii="Bliss-Light" w:hAnsi="Bliss-Light"/>
                <w:sz w:val="24"/>
                <w:szCs w:val="24"/>
              </w:rPr>
            </w:pPr>
            <w:r w:rsidRPr="0027022B">
              <w:rPr>
                <w:rFonts w:ascii="Bliss-Light" w:hAnsi="Bliss-Light"/>
                <w:sz w:val="24"/>
                <w:szCs w:val="24"/>
              </w:rPr>
              <w:t>Offaly (ASW) (NAS 2014)</w:t>
            </w:r>
          </w:p>
        </w:tc>
        <w:tc>
          <w:tcPr>
            <w:tcW w:w="1418" w:type="dxa"/>
            <w:shd w:val="clear" w:color="auto" w:fill="B8CCE4" w:themeFill="accent1" w:themeFillTint="66"/>
            <w:vAlign w:val="center"/>
          </w:tcPr>
          <w:p w14:paraId="406B8204" w14:textId="3A408A3C" w:rsidR="00D00779" w:rsidRPr="0027022B" w:rsidRDefault="00D00779" w:rsidP="00D00779">
            <w:pPr>
              <w:rPr>
                <w:rFonts w:ascii="Bliss-Light" w:hAnsi="Bliss-Light"/>
                <w:sz w:val="24"/>
                <w:szCs w:val="24"/>
              </w:rPr>
            </w:pPr>
            <w:r w:rsidRPr="0027022B">
              <w:rPr>
                <w:rFonts w:ascii="Bliss-Light" w:hAnsi="Bliss-Light"/>
                <w:sz w:val="24"/>
                <w:szCs w:val="24"/>
              </w:rPr>
              <w:t>332,742</w:t>
            </w:r>
          </w:p>
        </w:tc>
      </w:tr>
      <w:tr w:rsidR="00D00779" w:rsidRPr="00433944" w14:paraId="6BB0CCBC" w14:textId="77777777" w:rsidTr="00A902D6">
        <w:trPr>
          <w:trHeight w:val="410"/>
        </w:trPr>
        <w:tc>
          <w:tcPr>
            <w:tcW w:w="7054" w:type="dxa"/>
            <w:vAlign w:val="center"/>
          </w:tcPr>
          <w:p w14:paraId="5EEBADDE" w14:textId="30DBEC30" w:rsidR="00D00779" w:rsidRPr="0027022B" w:rsidRDefault="00E27D2C" w:rsidP="00D00779">
            <w:pPr>
              <w:rPr>
                <w:rFonts w:ascii="Bliss-Light" w:hAnsi="Bliss-Light"/>
                <w:sz w:val="24"/>
                <w:szCs w:val="24"/>
              </w:rPr>
            </w:pPr>
            <w:r w:rsidRPr="0027022B">
              <w:rPr>
                <w:rFonts w:ascii="Bliss-Light" w:hAnsi="Bliss-Light"/>
                <w:sz w:val="24"/>
                <w:szCs w:val="24"/>
              </w:rPr>
              <w:t>South Kildare</w:t>
            </w:r>
          </w:p>
        </w:tc>
        <w:tc>
          <w:tcPr>
            <w:tcW w:w="1418" w:type="dxa"/>
            <w:vAlign w:val="center"/>
          </w:tcPr>
          <w:p w14:paraId="1279F4CB" w14:textId="4C7E37CD" w:rsidR="00D00779" w:rsidRPr="0027022B" w:rsidRDefault="000306FF" w:rsidP="00D00779">
            <w:pPr>
              <w:rPr>
                <w:rFonts w:ascii="Bliss-Light" w:hAnsi="Bliss-Light"/>
                <w:sz w:val="24"/>
                <w:szCs w:val="24"/>
              </w:rPr>
            </w:pPr>
            <w:r w:rsidRPr="0027022B">
              <w:rPr>
                <w:rFonts w:ascii="Bliss-Light" w:hAnsi="Bliss-Light"/>
                <w:sz w:val="24"/>
                <w:szCs w:val="24"/>
              </w:rPr>
              <w:t>210,296</w:t>
            </w:r>
          </w:p>
        </w:tc>
      </w:tr>
      <w:tr w:rsidR="00D00779" w:rsidRPr="00433944" w14:paraId="3FFF3D69" w14:textId="77777777" w:rsidTr="00A902D6">
        <w:trPr>
          <w:trHeight w:val="431"/>
        </w:trPr>
        <w:tc>
          <w:tcPr>
            <w:tcW w:w="7054" w:type="dxa"/>
            <w:shd w:val="clear" w:color="auto" w:fill="B8CCE4" w:themeFill="accent1" w:themeFillTint="66"/>
            <w:vAlign w:val="center"/>
          </w:tcPr>
          <w:p w14:paraId="78AB42F4" w14:textId="38F53FF3" w:rsidR="00D00779" w:rsidRPr="0027022B" w:rsidRDefault="00E27D2C" w:rsidP="00D00779">
            <w:pPr>
              <w:rPr>
                <w:rFonts w:ascii="Bliss-Light" w:hAnsi="Bliss-Light"/>
                <w:sz w:val="24"/>
                <w:szCs w:val="24"/>
              </w:rPr>
            </w:pPr>
            <w:r w:rsidRPr="0027022B">
              <w:rPr>
                <w:rFonts w:ascii="Bliss-Light" w:hAnsi="Bliss-Light"/>
                <w:sz w:val="24"/>
                <w:szCs w:val="24"/>
              </w:rPr>
              <w:t>Wexford</w:t>
            </w:r>
          </w:p>
        </w:tc>
        <w:tc>
          <w:tcPr>
            <w:tcW w:w="1418" w:type="dxa"/>
            <w:shd w:val="clear" w:color="auto" w:fill="B8CCE4" w:themeFill="accent1" w:themeFillTint="66"/>
            <w:vAlign w:val="center"/>
          </w:tcPr>
          <w:p w14:paraId="5D3471D1" w14:textId="3A07B3D2" w:rsidR="00D00779" w:rsidRPr="0027022B" w:rsidRDefault="000306FF" w:rsidP="00D00779">
            <w:pPr>
              <w:rPr>
                <w:rFonts w:ascii="Bliss-Light" w:hAnsi="Bliss-Light"/>
                <w:sz w:val="24"/>
                <w:szCs w:val="24"/>
              </w:rPr>
            </w:pPr>
            <w:r w:rsidRPr="0027022B">
              <w:rPr>
                <w:rFonts w:ascii="Bliss-Light" w:hAnsi="Bliss-Light"/>
                <w:sz w:val="24"/>
                <w:szCs w:val="24"/>
              </w:rPr>
              <w:t>321,500</w:t>
            </w:r>
          </w:p>
        </w:tc>
      </w:tr>
      <w:tr w:rsidR="00D00779" w:rsidRPr="00433944" w14:paraId="4089E400" w14:textId="77777777" w:rsidTr="00A902D6">
        <w:trPr>
          <w:trHeight w:val="409"/>
        </w:trPr>
        <w:tc>
          <w:tcPr>
            <w:tcW w:w="7054" w:type="dxa"/>
            <w:vAlign w:val="center"/>
          </w:tcPr>
          <w:p w14:paraId="3DE3C0DB" w14:textId="1296E696" w:rsidR="00D00779" w:rsidRPr="0027022B" w:rsidRDefault="00E27D2C" w:rsidP="00D00779">
            <w:pPr>
              <w:rPr>
                <w:rFonts w:ascii="Bliss-Light" w:hAnsi="Bliss-Light"/>
                <w:sz w:val="24"/>
                <w:szCs w:val="24"/>
              </w:rPr>
            </w:pPr>
            <w:r w:rsidRPr="0027022B">
              <w:rPr>
                <w:rFonts w:ascii="Bliss-Light" w:hAnsi="Bliss-Light"/>
                <w:sz w:val="24"/>
                <w:szCs w:val="24"/>
              </w:rPr>
              <w:t>Wicklow</w:t>
            </w:r>
          </w:p>
        </w:tc>
        <w:tc>
          <w:tcPr>
            <w:tcW w:w="1418" w:type="dxa"/>
            <w:vAlign w:val="center"/>
          </w:tcPr>
          <w:p w14:paraId="656A77FC" w14:textId="5759BD63" w:rsidR="00D00779" w:rsidRPr="0027022B" w:rsidRDefault="000306FF" w:rsidP="00D00779">
            <w:pPr>
              <w:rPr>
                <w:rFonts w:ascii="Bliss-Light" w:hAnsi="Bliss-Light"/>
                <w:sz w:val="24"/>
                <w:szCs w:val="24"/>
              </w:rPr>
            </w:pPr>
            <w:r w:rsidRPr="0027022B">
              <w:rPr>
                <w:rFonts w:ascii="Bliss-Light" w:hAnsi="Bliss-Light"/>
                <w:sz w:val="24"/>
                <w:szCs w:val="24"/>
              </w:rPr>
              <w:t>299,251</w:t>
            </w:r>
          </w:p>
        </w:tc>
      </w:tr>
      <w:tr w:rsidR="00D00779" w:rsidRPr="00433944" w14:paraId="46B95CF6" w14:textId="77777777" w:rsidTr="00A902D6">
        <w:tc>
          <w:tcPr>
            <w:tcW w:w="7054" w:type="dxa"/>
            <w:shd w:val="clear" w:color="auto" w:fill="B8CCE4" w:themeFill="accent1" w:themeFillTint="66"/>
            <w:vAlign w:val="center"/>
          </w:tcPr>
          <w:p w14:paraId="04FCAB98" w14:textId="77777777" w:rsidR="00D00779" w:rsidRPr="0027022B" w:rsidRDefault="00D00779" w:rsidP="00D00779">
            <w:pPr>
              <w:rPr>
                <w:rFonts w:ascii="Bliss-Bold" w:hAnsi="Bliss-Bold"/>
                <w:sz w:val="24"/>
                <w:szCs w:val="24"/>
              </w:rPr>
            </w:pPr>
            <w:r w:rsidRPr="0027022B">
              <w:rPr>
                <w:rFonts w:ascii="Bliss-Bold" w:hAnsi="Bliss-Bold"/>
                <w:sz w:val="24"/>
                <w:szCs w:val="24"/>
              </w:rPr>
              <w:t>Total</w:t>
            </w:r>
          </w:p>
        </w:tc>
        <w:tc>
          <w:tcPr>
            <w:tcW w:w="1418" w:type="dxa"/>
            <w:shd w:val="clear" w:color="auto" w:fill="B8CCE4" w:themeFill="accent1" w:themeFillTint="66"/>
            <w:vAlign w:val="center"/>
          </w:tcPr>
          <w:p w14:paraId="6C4FA6A8" w14:textId="6C0CC7A8" w:rsidR="00D00779" w:rsidRPr="0027022B" w:rsidRDefault="000306FF" w:rsidP="00D00779">
            <w:pPr>
              <w:rPr>
                <w:rFonts w:ascii="Bliss-Bold" w:hAnsi="Bliss-Bold"/>
                <w:sz w:val="24"/>
                <w:szCs w:val="24"/>
              </w:rPr>
            </w:pPr>
            <w:r w:rsidRPr="0027022B">
              <w:rPr>
                <w:rFonts w:ascii="Bliss-Bold" w:hAnsi="Bliss-Bold"/>
                <w:sz w:val="24"/>
                <w:szCs w:val="24"/>
              </w:rPr>
              <w:t>2,396,367</w:t>
            </w:r>
          </w:p>
        </w:tc>
      </w:tr>
    </w:tbl>
    <w:p w14:paraId="28278C48" w14:textId="77777777" w:rsidR="00D00779" w:rsidRDefault="00D00779" w:rsidP="00C01975"/>
    <w:p w14:paraId="7F1F23D6" w14:textId="77777777" w:rsidR="00707A70" w:rsidRDefault="00707A70" w:rsidP="00C01975"/>
    <w:p w14:paraId="22F38378" w14:textId="77777777" w:rsidR="00C44955" w:rsidRDefault="00C44955" w:rsidP="00C01975"/>
    <w:p w14:paraId="73075235" w14:textId="77777777" w:rsidR="00C44955" w:rsidRDefault="00C44955" w:rsidP="00C01975"/>
    <w:p w14:paraId="7AE99D42" w14:textId="77777777" w:rsidR="00C44955" w:rsidRDefault="00C44955" w:rsidP="00C01975"/>
    <w:p w14:paraId="6F42DD4B" w14:textId="77777777" w:rsidR="00C44955" w:rsidRDefault="00C44955" w:rsidP="00C01975"/>
    <w:p w14:paraId="73306ADF" w14:textId="77777777" w:rsidR="00C44955" w:rsidRDefault="00C44955" w:rsidP="00C01975"/>
    <w:p w14:paraId="2380EB1E" w14:textId="77777777" w:rsidR="00C44955" w:rsidRDefault="00C44955" w:rsidP="00C01975"/>
    <w:p w14:paraId="23C8AC5A" w14:textId="77777777" w:rsidR="00C44955" w:rsidRDefault="00C44955" w:rsidP="00C01975"/>
    <w:p w14:paraId="6488B2FD" w14:textId="77777777" w:rsidR="00C44955" w:rsidRDefault="00C44955" w:rsidP="00C01975"/>
    <w:p w14:paraId="6B4779E3" w14:textId="77777777" w:rsidR="00C44955" w:rsidRDefault="00C44955" w:rsidP="00C01975"/>
    <w:p w14:paraId="301BDB79" w14:textId="77777777" w:rsidR="00C44955" w:rsidRDefault="00C44955" w:rsidP="00C01975"/>
    <w:tbl>
      <w:tblPr>
        <w:tblStyle w:val="TableGrid"/>
        <w:tblW w:w="8516"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Table: REGION 4 CIS "/>
      </w:tblPr>
      <w:tblGrid>
        <w:gridCol w:w="7054"/>
        <w:gridCol w:w="1462"/>
      </w:tblGrid>
      <w:tr w:rsidR="00C44955" w:rsidRPr="00F311C1" w14:paraId="4B6147AC" w14:textId="77777777" w:rsidTr="00E80C48">
        <w:trPr>
          <w:trHeight w:val="693"/>
          <w:tblHeader/>
        </w:trPr>
        <w:tc>
          <w:tcPr>
            <w:tcW w:w="7054" w:type="dxa"/>
            <w:shd w:val="clear" w:color="auto" w:fill="548DD4" w:themeFill="text2" w:themeFillTint="99"/>
            <w:vAlign w:val="center"/>
          </w:tcPr>
          <w:p w14:paraId="116F8D20" w14:textId="47DB2133" w:rsidR="00C44955" w:rsidRPr="00F311C1" w:rsidRDefault="00C44955" w:rsidP="00C44955">
            <w:pPr>
              <w:rPr>
                <w:rFonts w:ascii="Bliss-Regular" w:hAnsi="Bliss-Regular"/>
                <w:color w:val="FFFFFF" w:themeColor="background1"/>
                <w:sz w:val="24"/>
                <w:szCs w:val="24"/>
              </w:rPr>
            </w:pPr>
            <w:r w:rsidRPr="00F311C1">
              <w:rPr>
                <w:rFonts w:ascii="Bliss-Regular" w:hAnsi="Bliss-Regular"/>
                <w:color w:val="FFFFFF" w:themeColor="background1"/>
                <w:sz w:val="24"/>
                <w:szCs w:val="24"/>
              </w:rPr>
              <w:lastRenderedPageBreak/>
              <w:t xml:space="preserve">REGION </w:t>
            </w:r>
            <w:r>
              <w:rPr>
                <w:rFonts w:ascii="Bliss-Regular" w:hAnsi="Bliss-Regular"/>
                <w:color w:val="FFFFFF" w:themeColor="background1"/>
                <w:sz w:val="24"/>
                <w:szCs w:val="24"/>
              </w:rPr>
              <w:t xml:space="preserve">4 </w:t>
            </w:r>
            <w:r w:rsidRPr="00F311C1">
              <w:rPr>
                <w:rFonts w:ascii="Bliss-Regular" w:hAnsi="Bliss-Regular"/>
                <w:color w:val="FFFFFF" w:themeColor="background1"/>
                <w:sz w:val="24"/>
                <w:szCs w:val="24"/>
              </w:rPr>
              <w:t>CIS</w:t>
            </w:r>
          </w:p>
        </w:tc>
        <w:tc>
          <w:tcPr>
            <w:tcW w:w="1462" w:type="dxa"/>
            <w:shd w:val="clear" w:color="auto" w:fill="548DD4" w:themeFill="text2" w:themeFillTint="99"/>
            <w:vAlign w:val="center"/>
          </w:tcPr>
          <w:p w14:paraId="7F85CEF3" w14:textId="77777777" w:rsidR="00C44955" w:rsidRPr="00F311C1" w:rsidRDefault="00C44955" w:rsidP="00586D55">
            <w:pPr>
              <w:rPr>
                <w:rFonts w:ascii="Bliss-Regular" w:hAnsi="Bliss-Regular"/>
                <w:color w:val="FFFFFF" w:themeColor="background1"/>
                <w:sz w:val="24"/>
                <w:szCs w:val="24"/>
              </w:rPr>
            </w:pPr>
            <w:r>
              <w:rPr>
                <w:color w:val="FFFFFF" w:themeColor="background1"/>
                <w:sz w:val="24"/>
                <w:szCs w:val="24"/>
              </w:rPr>
              <w:t>€</w:t>
            </w:r>
          </w:p>
        </w:tc>
      </w:tr>
      <w:tr w:rsidR="00C44955" w:rsidRPr="00433944" w14:paraId="5DB91382" w14:textId="77777777" w:rsidTr="005616D1">
        <w:trPr>
          <w:trHeight w:val="431"/>
        </w:trPr>
        <w:tc>
          <w:tcPr>
            <w:tcW w:w="7054" w:type="dxa"/>
            <w:vAlign w:val="center"/>
          </w:tcPr>
          <w:p w14:paraId="6E077403" w14:textId="4C4BE699" w:rsidR="00C44955" w:rsidRPr="00903491" w:rsidRDefault="00C44955" w:rsidP="00586D55">
            <w:pPr>
              <w:rPr>
                <w:rFonts w:ascii="Bliss-Light" w:hAnsi="Bliss-Light"/>
                <w:sz w:val="24"/>
                <w:szCs w:val="24"/>
              </w:rPr>
            </w:pPr>
            <w:r w:rsidRPr="00903491">
              <w:rPr>
                <w:rFonts w:ascii="Bliss-Light" w:hAnsi="Bliss-Light"/>
                <w:sz w:val="24"/>
                <w:szCs w:val="24"/>
              </w:rPr>
              <w:t>Clare</w:t>
            </w:r>
          </w:p>
        </w:tc>
        <w:tc>
          <w:tcPr>
            <w:tcW w:w="1462" w:type="dxa"/>
            <w:vAlign w:val="center"/>
          </w:tcPr>
          <w:p w14:paraId="2EFA91D3" w14:textId="5195DBB3" w:rsidR="00C44955" w:rsidRPr="00903491" w:rsidRDefault="00C44955" w:rsidP="00586D55">
            <w:pPr>
              <w:rPr>
                <w:rFonts w:ascii="Bliss-Light" w:hAnsi="Bliss-Light"/>
                <w:sz w:val="24"/>
                <w:szCs w:val="24"/>
              </w:rPr>
            </w:pPr>
            <w:r w:rsidRPr="00903491">
              <w:rPr>
                <w:rFonts w:ascii="Bliss-Light" w:hAnsi="Bliss-Light"/>
                <w:sz w:val="24"/>
                <w:szCs w:val="24"/>
              </w:rPr>
              <w:t>348,598</w:t>
            </w:r>
          </w:p>
        </w:tc>
      </w:tr>
      <w:tr w:rsidR="00C44955" w:rsidRPr="00433944" w14:paraId="07643667" w14:textId="77777777" w:rsidTr="005616D1">
        <w:trPr>
          <w:trHeight w:val="408"/>
        </w:trPr>
        <w:tc>
          <w:tcPr>
            <w:tcW w:w="7054" w:type="dxa"/>
            <w:shd w:val="clear" w:color="auto" w:fill="B8CCE4" w:themeFill="accent1" w:themeFillTint="66"/>
            <w:vAlign w:val="center"/>
          </w:tcPr>
          <w:p w14:paraId="202E437C" w14:textId="3B031E15" w:rsidR="00C44955" w:rsidRPr="00903491" w:rsidRDefault="00C44955" w:rsidP="00586D55">
            <w:pPr>
              <w:rPr>
                <w:rFonts w:ascii="Bliss-Light" w:hAnsi="Bliss-Light"/>
                <w:sz w:val="24"/>
                <w:szCs w:val="24"/>
              </w:rPr>
            </w:pPr>
            <w:r w:rsidRPr="00903491">
              <w:rPr>
                <w:rFonts w:ascii="Bliss-Light" w:hAnsi="Bliss-Light"/>
                <w:sz w:val="24"/>
                <w:szCs w:val="24"/>
              </w:rPr>
              <w:t>Cork City North</w:t>
            </w:r>
          </w:p>
        </w:tc>
        <w:tc>
          <w:tcPr>
            <w:tcW w:w="1462" w:type="dxa"/>
            <w:shd w:val="clear" w:color="auto" w:fill="B8CCE4" w:themeFill="accent1" w:themeFillTint="66"/>
            <w:vAlign w:val="center"/>
          </w:tcPr>
          <w:p w14:paraId="29DFBD0C" w14:textId="71805071" w:rsidR="00C44955" w:rsidRPr="00903491" w:rsidRDefault="00C44955" w:rsidP="00586D55">
            <w:pPr>
              <w:rPr>
                <w:rFonts w:ascii="Bliss-Light" w:hAnsi="Bliss-Light"/>
                <w:sz w:val="24"/>
                <w:szCs w:val="24"/>
              </w:rPr>
            </w:pPr>
            <w:r w:rsidRPr="00903491">
              <w:rPr>
                <w:rFonts w:ascii="Bliss-Light" w:hAnsi="Bliss-Light"/>
                <w:sz w:val="24"/>
                <w:szCs w:val="24"/>
              </w:rPr>
              <w:t>171,100</w:t>
            </w:r>
          </w:p>
        </w:tc>
      </w:tr>
      <w:tr w:rsidR="00C44955" w:rsidRPr="00433944" w14:paraId="405FEC7B" w14:textId="77777777" w:rsidTr="005616D1">
        <w:trPr>
          <w:trHeight w:val="428"/>
        </w:trPr>
        <w:tc>
          <w:tcPr>
            <w:tcW w:w="7054" w:type="dxa"/>
            <w:vAlign w:val="center"/>
          </w:tcPr>
          <w:p w14:paraId="2A87B402" w14:textId="536CA942" w:rsidR="00C44955" w:rsidRPr="00903491" w:rsidRDefault="00C44955" w:rsidP="00586D55">
            <w:pPr>
              <w:rPr>
                <w:rFonts w:ascii="Bliss-Light" w:hAnsi="Bliss-Light"/>
                <w:sz w:val="24"/>
                <w:szCs w:val="24"/>
              </w:rPr>
            </w:pPr>
            <w:r w:rsidRPr="00903491">
              <w:rPr>
                <w:rFonts w:ascii="Bliss-Light" w:hAnsi="Bliss-Light"/>
                <w:sz w:val="24"/>
                <w:szCs w:val="24"/>
              </w:rPr>
              <w:t>Cork City South</w:t>
            </w:r>
          </w:p>
        </w:tc>
        <w:tc>
          <w:tcPr>
            <w:tcW w:w="1462" w:type="dxa"/>
            <w:vAlign w:val="center"/>
          </w:tcPr>
          <w:p w14:paraId="3311791C" w14:textId="6ACCE592" w:rsidR="00C44955" w:rsidRPr="00903491" w:rsidRDefault="00C44955" w:rsidP="00586D55">
            <w:pPr>
              <w:rPr>
                <w:rFonts w:ascii="Bliss-Light" w:hAnsi="Bliss-Light"/>
                <w:sz w:val="24"/>
                <w:szCs w:val="24"/>
              </w:rPr>
            </w:pPr>
            <w:r w:rsidRPr="00903491">
              <w:rPr>
                <w:rFonts w:ascii="Bliss-Light" w:hAnsi="Bliss-Light"/>
                <w:sz w:val="24"/>
                <w:szCs w:val="24"/>
              </w:rPr>
              <w:t>333,516</w:t>
            </w:r>
          </w:p>
        </w:tc>
      </w:tr>
      <w:tr w:rsidR="00C44955" w:rsidRPr="00433944" w14:paraId="0AA2C11B" w14:textId="77777777" w:rsidTr="005616D1">
        <w:trPr>
          <w:trHeight w:val="407"/>
        </w:trPr>
        <w:tc>
          <w:tcPr>
            <w:tcW w:w="7054" w:type="dxa"/>
            <w:shd w:val="clear" w:color="auto" w:fill="B8CCE4" w:themeFill="accent1" w:themeFillTint="66"/>
            <w:vAlign w:val="center"/>
          </w:tcPr>
          <w:p w14:paraId="3B000533" w14:textId="2341E12D" w:rsidR="00C44955" w:rsidRPr="00903491" w:rsidRDefault="00C44955" w:rsidP="00586D55">
            <w:pPr>
              <w:rPr>
                <w:rFonts w:ascii="Bliss-Light" w:hAnsi="Bliss-Light"/>
                <w:sz w:val="24"/>
                <w:szCs w:val="24"/>
              </w:rPr>
            </w:pPr>
            <w:r w:rsidRPr="00903491">
              <w:rPr>
                <w:rFonts w:ascii="Bliss-Light" w:hAnsi="Bliss-Light"/>
                <w:sz w:val="24"/>
                <w:szCs w:val="24"/>
              </w:rPr>
              <w:t>Kerry</w:t>
            </w:r>
          </w:p>
        </w:tc>
        <w:tc>
          <w:tcPr>
            <w:tcW w:w="1462" w:type="dxa"/>
            <w:shd w:val="clear" w:color="auto" w:fill="B8CCE4" w:themeFill="accent1" w:themeFillTint="66"/>
            <w:vAlign w:val="center"/>
          </w:tcPr>
          <w:p w14:paraId="0AD43931" w14:textId="1D6C599E" w:rsidR="00C44955" w:rsidRPr="00903491" w:rsidRDefault="00C44955" w:rsidP="00586D55">
            <w:pPr>
              <w:rPr>
                <w:rFonts w:ascii="Bliss-Light" w:hAnsi="Bliss-Light"/>
                <w:sz w:val="24"/>
                <w:szCs w:val="24"/>
              </w:rPr>
            </w:pPr>
            <w:r w:rsidRPr="00903491">
              <w:rPr>
                <w:rFonts w:ascii="Bliss-Light" w:hAnsi="Bliss-Light"/>
                <w:sz w:val="24"/>
                <w:szCs w:val="24"/>
              </w:rPr>
              <w:t>347,273</w:t>
            </w:r>
          </w:p>
        </w:tc>
      </w:tr>
      <w:tr w:rsidR="00C44955" w:rsidRPr="00433944" w14:paraId="245EE738" w14:textId="77777777" w:rsidTr="005616D1">
        <w:trPr>
          <w:trHeight w:val="427"/>
        </w:trPr>
        <w:tc>
          <w:tcPr>
            <w:tcW w:w="7054" w:type="dxa"/>
            <w:vAlign w:val="center"/>
          </w:tcPr>
          <w:p w14:paraId="20D6D40B" w14:textId="06269754" w:rsidR="00C44955" w:rsidRPr="00903491" w:rsidRDefault="00C44955" w:rsidP="00586D55">
            <w:pPr>
              <w:rPr>
                <w:rFonts w:ascii="Bliss-Light" w:hAnsi="Bliss-Light"/>
                <w:sz w:val="24"/>
                <w:szCs w:val="24"/>
              </w:rPr>
            </w:pPr>
            <w:r w:rsidRPr="00903491">
              <w:rPr>
                <w:rFonts w:ascii="Bliss-Light" w:hAnsi="Bliss-Light"/>
                <w:sz w:val="24"/>
                <w:szCs w:val="24"/>
              </w:rPr>
              <w:t>Limerick</w:t>
            </w:r>
          </w:p>
        </w:tc>
        <w:tc>
          <w:tcPr>
            <w:tcW w:w="1462" w:type="dxa"/>
            <w:vAlign w:val="center"/>
          </w:tcPr>
          <w:p w14:paraId="6C917C6A" w14:textId="21FE6F77" w:rsidR="00C44955" w:rsidRPr="00903491" w:rsidRDefault="00C44955" w:rsidP="00586D55">
            <w:pPr>
              <w:rPr>
                <w:rFonts w:ascii="Bliss-Light" w:hAnsi="Bliss-Light"/>
                <w:sz w:val="24"/>
                <w:szCs w:val="24"/>
              </w:rPr>
            </w:pPr>
            <w:r w:rsidRPr="00903491">
              <w:rPr>
                <w:rFonts w:ascii="Bliss-Light" w:hAnsi="Bliss-Light"/>
                <w:sz w:val="24"/>
                <w:szCs w:val="24"/>
              </w:rPr>
              <w:t>316,688</w:t>
            </w:r>
          </w:p>
        </w:tc>
      </w:tr>
      <w:tr w:rsidR="00C44955" w:rsidRPr="00433944" w14:paraId="22FF2AC5" w14:textId="77777777" w:rsidTr="005616D1">
        <w:trPr>
          <w:trHeight w:val="404"/>
        </w:trPr>
        <w:tc>
          <w:tcPr>
            <w:tcW w:w="7054" w:type="dxa"/>
            <w:shd w:val="clear" w:color="auto" w:fill="B8CCE4" w:themeFill="accent1" w:themeFillTint="66"/>
            <w:vAlign w:val="center"/>
          </w:tcPr>
          <w:p w14:paraId="67D91ACB" w14:textId="2C48553E" w:rsidR="00C44955" w:rsidRPr="00903491" w:rsidRDefault="00C44955" w:rsidP="00586D55">
            <w:pPr>
              <w:rPr>
                <w:rFonts w:ascii="Bliss-Light" w:hAnsi="Bliss-Light"/>
                <w:sz w:val="24"/>
                <w:szCs w:val="24"/>
              </w:rPr>
            </w:pPr>
            <w:r w:rsidRPr="00903491">
              <w:rPr>
                <w:rFonts w:ascii="Bliss-Light" w:hAnsi="Bliss-Light"/>
                <w:sz w:val="24"/>
                <w:szCs w:val="24"/>
              </w:rPr>
              <w:t>North &amp; East Cork County</w:t>
            </w:r>
          </w:p>
        </w:tc>
        <w:tc>
          <w:tcPr>
            <w:tcW w:w="1462" w:type="dxa"/>
            <w:shd w:val="clear" w:color="auto" w:fill="B8CCE4" w:themeFill="accent1" w:themeFillTint="66"/>
            <w:vAlign w:val="center"/>
          </w:tcPr>
          <w:p w14:paraId="0EE5DA94" w14:textId="59E4E0DE" w:rsidR="00C44955" w:rsidRPr="00903491" w:rsidRDefault="00C44955" w:rsidP="00586D55">
            <w:pPr>
              <w:rPr>
                <w:rFonts w:ascii="Bliss-Light" w:hAnsi="Bliss-Light"/>
                <w:sz w:val="24"/>
                <w:szCs w:val="24"/>
              </w:rPr>
            </w:pPr>
            <w:r w:rsidRPr="00903491">
              <w:rPr>
                <w:rFonts w:ascii="Bliss-Light" w:hAnsi="Bliss-Light"/>
                <w:sz w:val="24"/>
                <w:szCs w:val="24"/>
              </w:rPr>
              <w:t>264,401</w:t>
            </w:r>
          </w:p>
        </w:tc>
      </w:tr>
      <w:tr w:rsidR="00C44955" w:rsidRPr="00433944" w14:paraId="1BE56B7B" w14:textId="77777777" w:rsidTr="005616D1">
        <w:trPr>
          <w:trHeight w:val="410"/>
        </w:trPr>
        <w:tc>
          <w:tcPr>
            <w:tcW w:w="7054" w:type="dxa"/>
            <w:vAlign w:val="center"/>
          </w:tcPr>
          <w:p w14:paraId="32189A97" w14:textId="51F2937E" w:rsidR="00C44955" w:rsidRPr="00903491" w:rsidRDefault="00C44955" w:rsidP="00586D55">
            <w:pPr>
              <w:rPr>
                <w:rFonts w:ascii="Bliss-Light" w:hAnsi="Bliss-Light"/>
                <w:sz w:val="24"/>
                <w:szCs w:val="24"/>
              </w:rPr>
            </w:pPr>
            <w:r w:rsidRPr="00903491">
              <w:rPr>
                <w:rFonts w:ascii="Bliss-Light" w:hAnsi="Bliss-Light"/>
                <w:sz w:val="24"/>
                <w:szCs w:val="24"/>
              </w:rPr>
              <w:t>Tipperary</w:t>
            </w:r>
          </w:p>
        </w:tc>
        <w:tc>
          <w:tcPr>
            <w:tcW w:w="1462" w:type="dxa"/>
            <w:vAlign w:val="center"/>
          </w:tcPr>
          <w:p w14:paraId="74EF5038" w14:textId="05E05F9D" w:rsidR="00C44955" w:rsidRPr="00903491" w:rsidRDefault="00C44955" w:rsidP="00586D55">
            <w:pPr>
              <w:rPr>
                <w:rFonts w:ascii="Bliss-Light" w:hAnsi="Bliss-Light"/>
                <w:sz w:val="24"/>
                <w:szCs w:val="24"/>
              </w:rPr>
            </w:pPr>
            <w:r w:rsidRPr="00903491">
              <w:rPr>
                <w:rFonts w:ascii="Bliss-Light" w:hAnsi="Bliss-Light"/>
                <w:sz w:val="24"/>
                <w:szCs w:val="24"/>
              </w:rPr>
              <w:t>476,078</w:t>
            </w:r>
          </w:p>
        </w:tc>
      </w:tr>
      <w:tr w:rsidR="00C44955" w:rsidRPr="00433944" w14:paraId="1194CD96" w14:textId="77777777" w:rsidTr="005616D1">
        <w:trPr>
          <w:trHeight w:val="431"/>
        </w:trPr>
        <w:tc>
          <w:tcPr>
            <w:tcW w:w="7054" w:type="dxa"/>
            <w:shd w:val="clear" w:color="auto" w:fill="B8CCE4" w:themeFill="accent1" w:themeFillTint="66"/>
            <w:vAlign w:val="center"/>
          </w:tcPr>
          <w:p w14:paraId="4B592054" w14:textId="458F3C89" w:rsidR="00C44955" w:rsidRPr="00903491" w:rsidRDefault="00C44955" w:rsidP="00586D55">
            <w:pPr>
              <w:rPr>
                <w:rFonts w:ascii="Bliss-Light" w:hAnsi="Bliss-Light"/>
                <w:sz w:val="24"/>
                <w:szCs w:val="24"/>
              </w:rPr>
            </w:pPr>
            <w:r w:rsidRPr="00903491">
              <w:rPr>
                <w:rFonts w:ascii="Bliss-Light" w:hAnsi="Bliss-Light"/>
                <w:sz w:val="24"/>
                <w:szCs w:val="24"/>
              </w:rPr>
              <w:t>Waterford (NAS 2014)</w:t>
            </w:r>
          </w:p>
        </w:tc>
        <w:tc>
          <w:tcPr>
            <w:tcW w:w="1462" w:type="dxa"/>
            <w:shd w:val="clear" w:color="auto" w:fill="B8CCE4" w:themeFill="accent1" w:themeFillTint="66"/>
            <w:vAlign w:val="center"/>
          </w:tcPr>
          <w:p w14:paraId="353A1DC5" w14:textId="7D8C0CBD" w:rsidR="00C44955" w:rsidRPr="00903491" w:rsidRDefault="00C44955" w:rsidP="00586D55">
            <w:pPr>
              <w:rPr>
                <w:rFonts w:ascii="Bliss-Light" w:hAnsi="Bliss-Light"/>
                <w:sz w:val="24"/>
                <w:szCs w:val="24"/>
              </w:rPr>
            </w:pPr>
            <w:r w:rsidRPr="00903491">
              <w:rPr>
                <w:rFonts w:ascii="Bliss-Light" w:hAnsi="Bliss-Light"/>
                <w:sz w:val="24"/>
                <w:szCs w:val="24"/>
              </w:rPr>
              <w:t>283,048</w:t>
            </w:r>
          </w:p>
        </w:tc>
      </w:tr>
      <w:tr w:rsidR="00C44955" w:rsidRPr="00433944" w14:paraId="54A6DD0A" w14:textId="77777777" w:rsidTr="005616D1">
        <w:trPr>
          <w:trHeight w:val="409"/>
        </w:trPr>
        <w:tc>
          <w:tcPr>
            <w:tcW w:w="7054" w:type="dxa"/>
            <w:vAlign w:val="center"/>
          </w:tcPr>
          <w:p w14:paraId="149F9DC1" w14:textId="0C4CC143" w:rsidR="00C44955" w:rsidRPr="00903491" w:rsidRDefault="00C44955" w:rsidP="00586D55">
            <w:pPr>
              <w:rPr>
                <w:rFonts w:ascii="Bliss-Light" w:hAnsi="Bliss-Light"/>
                <w:sz w:val="24"/>
                <w:szCs w:val="24"/>
              </w:rPr>
            </w:pPr>
            <w:r w:rsidRPr="00903491">
              <w:rPr>
                <w:rFonts w:ascii="Bliss-Light" w:hAnsi="Bliss-Light"/>
                <w:sz w:val="24"/>
                <w:szCs w:val="24"/>
              </w:rPr>
              <w:t>West Cork County (ASW)</w:t>
            </w:r>
          </w:p>
        </w:tc>
        <w:tc>
          <w:tcPr>
            <w:tcW w:w="1462" w:type="dxa"/>
            <w:vAlign w:val="center"/>
          </w:tcPr>
          <w:p w14:paraId="4A73B9AC" w14:textId="07BDDF92" w:rsidR="00C44955" w:rsidRPr="00903491" w:rsidRDefault="00C44955" w:rsidP="00586D55">
            <w:pPr>
              <w:rPr>
                <w:rFonts w:ascii="Bliss-Light" w:hAnsi="Bliss-Light"/>
                <w:sz w:val="24"/>
                <w:szCs w:val="24"/>
              </w:rPr>
            </w:pPr>
            <w:r w:rsidRPr="00903491">
              <w:rPr>
                <w:rFonts w:ascii="Bliss-Light" w:hAnsi="Bliss-Light"/>
                <w:sz w:val="24"/>
                <w:szCs w:val="24"/>
              </w:rPr>
              <w:t>308,513</w:t>
            </w:r>
          </w:p>
        </w:tc>
      </w:tr>
      <w:tr w:rsidR="00C44955" w:rsidRPr="00433944" w14:paraId="5F35831B" w14:textId="77777777" w:rsidTr="005616D1">
        <w:tc>
          <w:tcPr>
            <w:tcW w:w="7054" w:type="dxa"/>
            <w:shd w:val="clear" w:color="auto" w:fill="B8CCE4" w:themeFill="accent1" w:themeFillTint="66"/>
            <w:vAlign w:val="center"/>
          </w:tcPr>
          <w:p w14:paraId="207AB582" w14:textId="77777777" w:rsidR="00C44955" w:rsidRPr="00AF6FEE" w:rsidRDefault="00C44955" w:rsidP="00586D55">
            <w:pPr>
              <w:rPr>
                <w:rFonts w:ascii="Bliss-Bold" w:hAnsi="Bliss-Bold"/>
                <w:sz w:val="24"/>
                <w:szCs w:val="24"/>
              </w:rPr>
            </w:pPr>
            <w:r w:rsidRPr="00AF6FEE">
              <w:rPr>
                <w:rFonts w:ascii="Bliss-Bold" w:hAnsi="Bliss-Bold"/>
                <w:sz w:val="24"/>
                <w:szCs w:val="24"/>
              </w:rPr>
              <w:t>Total</w:t>
            </w:r>
          </w:p>
        </w:tc>
        <w:tc>
          <w:tcPr>
            <w:tcW w:w="1462" w:type="dxa"/>
            <w:shd w:val="clear" w:color="auto" w:fill="B8CCE4" w:themeFill="accent1" w:themeFillTint="66"/>
            <w:vAlign w:val="center"/>
          </w:tcPr>
          <w:p w14:paraId="1E91ECC8" w14:textId="3A376D73" w:rsidR="00C44955" w:rsidRPr="00E55A11" w:rsidRDefault="00C44955" w:rsidP="00586D55">
            <w:pPr>
              <w:rPr>
                <w:rFonts w:ascii="Bliss-Bold" w:hAnsi="Bliss-Bold"/>
                <w:sz w:val="24"/>
                <w:szCs w:val="24"/>
              </w:rPr>
            </w:pPr>
            <w:r w:rsidRPr="00E55A11">
              <w:rPr>
                <w:rFonts w:ascii="Bliss-Bold" w:hAnsi="Bliss-Bold"/>
                <w:sz w:val="24"/>
                <w:szCs w:val="24"/>
              </w:rPr>
              <w:t>2,849,215</w:t>
            </w:r>
          </w:p>
        </w:tc>
      </w:tr>
    </w:tbl>
    <w:p w14:paraId="68AEB8FC" w14:textId="77777777" w:rsidR="00707A70" w:rsidRDefault="00707A70" w:rsidP="00C01975"/>
    <w:p w14:paraId="11FB7949" w14:textId="77777777" w:rsidR="00707A70" w:rsidRDefault="00707A70" w:rsidP="00C01975"/>
    <w:tbl>
      <w:tblPr>
        <w:tblStyle w:val="TableGrid"/>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Caption w:val="Table: TOTAL FOR CITIZENS INFORMATION SERVICES"/>
      </w:tblPr>
      <w:tblGrid>
        <w:gridCol w:w="5920"/>
        <w:gridCol w:w="2596"/>
      </w:tblGrid>
      <w:tr w:rsidR="00586D55" w14:paraId="05941CD5" w14:textId="77777777" w:rsidTr="00E80C48">
        <w:trPr>
          <w:trHeight w:val="562"/>
          <w:tblHeader/>
        </w:trPr>
        <w:tc>
          <w:tcPr>
            <w:tcW w:w="5920" w:type="dxa"/>
            <w:shd w:val="clear" w:color="auto" w:fill="548DD4" w:themeFill="text2" w:themeFillTint="99"/>
            <w:vAlign w:val="center"/>
          </w:tcPr>
          <w:p w14:paraId="6232D975" w14:textId="72EA0AB5" w:rsidR="00586D55" w:rsidRPr="00103E7D" w:rsidRDefault="00103E7D" w:rsidP="00103E7D">
            <w:pPr>
              <w:rPr>
                <w:rFonts w:ascii="Bliss-Light" w:hAnsi="Bliss-Light"/>
                <w:color w:val="FFFFFF" w:themeColor="background1"/>
                <w:sz w:val="24"/>
                <w:szCs w:val="24"/>
              </w:rPr>
            </w:pPr>
            <w:r w:rsidRPr="00103E7D">
              <w:rPr>
                <w:rFonts w:ascii="Bliss-Light" w:hAnsi="Bliss-Light"/>
                <w:color w:val="FFFFFF" w:themeColor="background1"/>
                <w:sz w:val="24"/>
                <w:szCs w:val="24"/>
              </w:rPr>
              <w:t>TOTAL FOR CITIZENS INFORMATION SERVICES</w:t>
            </w:r>
          </w:p>
        </w:tc>
        <w:tc>
          <w:tcPr>
            <w:tcW w:w="2596" w:type="dxa"/>
            <w:shd w:val="clear" w:color="auto" w:fill="548DD4" w:themeFill="text2" w:themeFillTint="99"/>
            <w:vAlign w:val="center"/>
          </w:tcPr>
          <w:p w14:paraId="53CD49C6" w14:textId="17A9A509" w:rsidR="00586D55" w:rsidRPr="00103E7D" w:rsidRDefault="00103E7D" w:rsidP="00103E7D">
            <w:pPr>
              <w:rPr>
                <w:color w:val="FFFFFF" w:themeColor="background1"/>
              </w:rPr>
            </w:pPr>
            <w:r w:rsidRPr="00103E7D">
              <w:rPr>
                <w:color w:val="FFFFFF" w:themeColor="background1"/>
              </w:rPr>
              <w:t>€</w:t>
            </w:r>
          </w:p>
        </w:tc>
      </w:tr>
      <w:tr w:rsidR="00586D55" w14:paraId="51B1DA50" w14:textId="77777777" w:rsidTr="00276395">
        <w:trPr>
          <w:trHeight w:val="556"/>
        </w:trPr>
        <w:tc>
          <w:tcPr>
            <w:tcW w:w="5920" w:type="dxa"/>
          </w:tcPr>
          <w:p w14:paraId="1E22BA13" w14:textId="77777777" w:rsidR="00586D55" w:rsidRDefault="00586D55" w:rsidP="00C01975"/>
        </w:tc>
        <w:tc>
          <w:tcPr>
            <w:tcW w:w="2596" w:type="dxa"/>
            <w:vAlign w:val="center"/>
          </w:tcPr>
          <w:p w14:paraId="35492233" w14:textId="622D17AB" w:rsidR="00586D55" w:rsidRPr="00103E7D" w:rsidRDefault="00103E7D" w:rsidP="00103E7D">
            <w:pPr>
              <w:rPr>
                <w:rFonts w:ascii="Bliss-Bold" w:hAnsi="Bliss-Bold"/>
                <w:sz w:val="24"/>
                <w:szCs w:val="24"/>
              </w:rPr>
            </w:pPr>
            <w:r w:rsidRPr="00103E7D">
              <w:rPr>
                <w:rFonts w:ascii="Bliss-Bold" w:hAnsi="Bliss-Bold"/>
                <w:sz w:val="24"/>
                <w:szCs w:val="24"/>
              </w:rPr>
              <w:t>12,712,074</w:t>
            </w:r>
          </w:p>
        </w:tc>
      </w:tr>
    </w:tbl>
    <w:p w14:paraId="7768A1E9" w14:textId="77777777" w:rsidR="00707A70" w:rsidRDefault="00707A70" w:rsidP="00C01975"/>
    <w:tbl>
      <w:tblPr>
        <w:tblStyle w:val="TableGrid"/>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Caption w:val="Table: CITIZENS INFORMATION PHONE SERVICES"/>
      </w:tblPr>
      <w:tblGrid>
        <w:gridCol w:w="5920"/>
        <w:gridCol w:w="2596"/>
      </w:tblGrid>
      <w:tr w:rsidR="00DB55EC" w:rsidRPr="00103E7D" w14:paraId="5E7BBACB" w14:textId="77777777" w:rsidTr="00E80C48">
        <w:trPr>
          <w:trHeight w:val="562"/>
          <w:tblHeader/>
        </w:trPr>
        <w:tc>
          <w:tcPr>
            <w:tcW w:w="5920" w:type="dxa"/>
            <w:shd w:val="clear" w:color="auto" w:fill="548DD4" w:themeFill="text2" w:themeFillTint="99"/>
            <w:vAlign w:val="center"/>
          </w:tcPr>
          <w:p w14:paraId="14EF3FF4" w14:textId="151EBB1B" w:rsidR="00DB55EC" w:rsidRPr="00103E7D" w:rsidRDefault="00DB55EC" w:rsidP="008D4A42">
            <w:pPr>
              <w:rPr>
                <w:rFonts w:ascii="Bliss-Light" w:hAnsi="Bliss-Light"/>
                <w:color w:val="FFFFFF" w:themeColor="background1"/>
                <w:sz w:val="24"/>
                <w:szCs w:val="24"/>
              </w:rPr>
            </w:pPr>
            <w:r w:rsidRPr="00103E7D">
              <w:rPr>
                <w:rFonts w:ascii="Bliss-Light" w:hAnsi="Bliss-Light"/>
                <w:color w:val="FFFFFF" w:themeColor="background1"/>
                <w:sz w:val="24"/>
                <w:szCs w:val="24"/>
              </w:rPr>
              <w:t xml:space="preserve">CITIZENS INFORMATION </w:t>
            </w:r>
            <w:r>
              <w:rPr>
                <w:rFonts w:ascii="Bliss-Light" w:hAnsi="Bliss-Light"/>
                <w:color w:val="FFFFFF" w:themeColor="background1"/>
                <w:sz w:val="24"/>
                <w:szCs w:val="24"/>
              </w:rPr>
              <w:t xml:space="preserve">PHONE </w:t>
            </w:r>
            <w:r w:rsidRPr="00103E7D">
              <w:rPr>
                <w:rFonts w:ascii="Bliss-Light" w:hAnsi="Bliss-Light"/>
                <w:color w:val="FFFFFF" w:themeColor="background1"/>
                <w:sz w:val="24"/>
                <w:szCs w:val="24"/>
              </w:rPr>
              <w:t>SERVICES</w:t>
            </w:r>
          </w:p>
        </w:tc>
        <w:tc>
          <w:tcPr>
            <w:tcW w:w="2596" w:type="dxa"/>
            <w:shd w:val="clear" w:color="auto" w:fill="548DD4" w:themeFill="text2" w:themeFillTint="99"/>
            <w:vAlign w:val="center"/>
          </w:tcPr>
          <w:p w14:paraId="39752791" w14:textId="77777777" w:rsidR="00DB55EC" w:rsidRPr="00103E7D" w:rsidRDefault="00DB55EC" w:rsidP="008D4A42">
            <w:pPr>
              <w:rPr>
                <w:color w:val="FFFFFF" w:themeColor="background1"/>
              </w:rPr>
            </w:pPr>
            <w:r w:rsidRPr="00103E7D">
              <w:rPr>
                <w:color w:val="FFFFFF" w:themeColor="background1"/>
              </w:rPr>
              <w:t>€</w:t>
            </w:r>
          </w:p>
        </w:tc>
      </w:tr>
      <w:tr w:rsidR="00DB55EC" w:rsidRPr="00103E7D" w14:paraId="163B5C68" w14:textId="77777777" w:rsidTr="00276395">
        <w:trPr>
          <w:trHeight w:val="556"/>
        </w:trPr>
        <w:tc>
          <w:tcPr>
            <w:tcW w:w="5920" w:type="dxa"/>
          </w:tcPr>
          <w:p w14:paraId="4BB9E4C6" w14:textId="77777777" w:rsidR="00DB55EC" w:rsidRDefault="00DB55EC" w:rsidP="008D4A42"/>
        </w:tc>
        <w:tc>
          <w:tcPr>
            <w:tcW w:w="2596" w:type="dxa"/>
            <w:vAlign w:val="center"/>
          </w:tcPr>
          <w:p w14:paraId="358A5067" w14:textId="3757F0F3" w:rsidR="00DB55EC" w:rsidRPr="00103E7D" w:rsidRDefault="00DB55EC" w:rsidP="008D4A42">
            <w:pPr>
              <w:rPr>
                <w:rFonts w:ascii="Bliss-Bold" w:hAnsi="Bliss-Bold"/>
                <w:sz w:val="24"/>
                <w:szCs w:val="24"/>
              </w:rPr>
            </w:pPr>
            <w:r>
              <w:rPr>
                <w:rFonts w:ascii="Bliss-Bold" w:hAnsi="Bliss-Bold"/>
                <w:sz w:val="24"/>
                <w:szCs w:val="24"/>
              </w:rPr>
              <w:t>1,253,369</w:t>
            </w:r>
          </w:p>
        </w:tc>
      </w:tr>
    </w:tbl>
    <w:p w14:paraId="36452027" w14:textId="77777777" w:rsidR="00DB55EC" w:rsidRDefault="00DB55EC" w:rsidP="00C01975"/>
    <w:p w14:paraId="1FAE61C9" w14:textId="77777777" w:rsidR="00903C39" w:rsidRDefault="00903C39" w:rsidP="00C01975"/>
    <w:p w14:paraId="51E1B5B2" w14:textId="14B17170" w:rsidR="00C01975" w:rsidRDefault="00C01975" w:rsidP="00C01975"/>
    <w:p w14:paraId="0ACB02E3" w14:textId="5D1F5D3A" w:rsidR="00C01975" w:rsidRDefault="00C01975" w:rsidP="003008FE">
      <w:pPr>
        <w:pBdr>
          <w:bottom w:val="single" w:sz="6" w:space="1" w:color="auto"/>
        </w:pBdr>
      </w:pPr>
    </w:p>
    <w:p w14:paraId="293A6EDF" w14:textId="77777777" w:rsidR="00C01975" w:rsidRDefault="00C01975" w:rsidP="003008FE">
      <w:pPr>
        <w:pBdr>
          <w:bottom w:val="single" w:sz="6" w:space="1" w:color="auto"/>
        </w:pBdr>
      </w:pPr>
    </w:p>
    <w:p w14:paraId="5A12557C" w14:textId="17A1AB20" w:rsidR="00B17396" w:rsidRDefault="00B17396" w:rsidP="003008FE">
      <w:pPr>
        <w:pBdr>
          <w:bottom w:val="single" w:sz="6" w:space="1" w:color="auto"/>
        </w:pBdr>
      </w:pPr>
    </w:p>
    <w:p w14:paraId="0C665F66" w14:textId="77777777" w:rsidR="00B17396" w:rsidRDefault="00B17396" w:rsidP="003008FE">
      <w:pPr>
        <w:pBdr>
          <w:bottom w:val="single" w:sz="6" w:space="1" w:color="auto"/>
        </w:pBdr>
      </w:pPr>
    </w:p>
    <w:p w14:paraId="408A48BC" w14:textId="77777777" w:rsidR="005F42EE" w:rsidRDefault="005F42EE" w:rsidP="003008FE">
      <w:pPr>
        <w:pBdr>
          <w:bottom w:val="single" w:sz="6" w:space="1" w:color="auto"/>
        </w:pBdr>
      </w:pPr>
    </w:p>
    <w:p w14:paraId="14153CE6" w14:textId="77777777" w:rsidR="005F42EE" w:rsidRDefault="005F42EE" w:rsidP="003008FE">
      <w:pPr>
        <w:pBdr>
          <w:bottom w:val="single" w:sz="6" w:space="1" w:color="auto"/>
        </w:pBdr>
      </w:pPr>
    </w:p>
    <w:p w14:paraId="0DCE0CEA" w14:textId="77777777" w:rsidR="005F42EE" w:rsidRDefault="005F42EE" w:rsidP="003008FE">
      <w:pPr>
        <w:pBdr>
          <w:bottom w:val="single" w:sz="6" w:space="1" w:color="auto"/>
        </w:pBdr>
      </w:pPr>
    </w:p>
    <w:p w14:paraId="4BC60773" w14:textId="77777777" w:rsidR="00B17396" w:rsidRDefault="00B17396" w:rsidP="003008FE">
      <w:pPr>
        <w:pBdr>
          <w:bottom w:val="single" w:sz="6" w:space="1" w:color="auto"/>
        </w:pBdr>
      </w:pPr>
    </w:p>
    <w:p w14:paraId="07189F59" w14:textId="302EA4D8" w:rsidR="00B17396" w:rsidRDefault="00B17396" w:rsidP="003008FE">
      <w:pPr>
        <w:pBdr>
          <w:bottom w:val="single" w:sz="6" w:space="1" w:color="auto"/>
        </w:pBdr>
      </w:pPr>
    </w:p>
    <w:p w14:paraId="0319C607" w14:textId="77777777" w:rsidR="00B17396" w:rsidRDefault="00B17396" w:rsidP="003008FE">
      <w:pPr>
        <w:pBdr>
          <w:bottom w:val="single" w:sz="6" w:space="1" w:color="auto"/>
        </w:pBdr>
      </w:pPr>
    </w:p>
    <w:p w14:paraId="6D4BC8E8" w14:textId="77777777" w:rsidR="00B17396" w:rsidRDefault="00B17396" w:rsidP="003008FE">
      <w:pPr>
        <w:pBdr>
          <w:bottom w:val="single" w:sz="6" w:space="1" w:color="auto"/>
        </w:pBdr>
        <w:rPr>
          <w:noProof/>
        </w:rPr>
      </w:pPr>
    </w:p>
    <w:p w14:paraId="0F674D51" w14:textId="77777777" w:rsidR="00B17396" w:rsidRDefault="00B17396" w:rsidP="003008FE">
      <w:pPr>
        <w:pBdr>
          <w:bottom w:val="single" w:sz="6" w:space="1" w:color="auto"/>
        </w:pBdr>
        <w:rPr>
          <w:noProof/>
        </w:rPr>
      </w:pPr>
    </w:p>
    <w:p w14:paraId="090DD899" w14:textId="77777777" w:rsidR="00B17396" w:rsidRDefault="00B17396" w:rsidP="003008FE">
      <w:pPr>
        <w:pBdr>
          <w:bottom w:val="single" w:sz="6" w:space="1" w:color="auto"/>
        </w:pBdr>
        <w:rPr>
          <w:noProof/>
        </w:rPr>
      </w:pPr>
    </w:p>
    <w:p w14:paraId="733B1396" w14:textId="77777777" w:rsidR="00B17396" w:rsidRDefault="00B17396" w:rsidP="003008FE">
      <w:pPr>
        <w:pBdr>
          <w:bottom w:val="single" w:sz="6" w:space="1" w:color="auto"/>
        </w:pBdr>
        <w:rPr>
          <w:noProof/>
        </w:rPr>
      </w:pPr>
    </w:p>
    <w:p w14:paraId="3C6B4F90" w14:textId="77777777" w:rsidR="00B17396" w:rsidRDefault="00B17396" w:rsidP="003008FE">
      <w:pPr>
        <w:pBdr>
          <w:bottom w:val="single" w:sz="6" w:space="1" w:color="auto"/>
        </w:pBdr>
        <w:rPr>
          <w:noProof/>
        </w:rPr>
      </w:pPr>
    </w:p>
    <w:p w14:paraId="7BD81AB4" w14:textId="77777777" w:rsidR="00B17396" w:rsidRDefault="00B17396" w:rsidP="003008FE">
      <w:pPr>
        <w:pBdr>
          <w:bottom w:val="single" w:sz="6" w:space="1" w:color="auto"/>
        </w:pBdr>
        <w:rPr>
          <w:noProof/>
        </w:rPr>
      </w:pPr>
    </w:p>
    <w:p w14:paraId="2C8571F7" w14:textId="77777777" w:rsidR="00B17396" w:rsidRDefault="00B17396" w:rsidP="003008FE">
      <w:pPr>
        <w:pBdr>
          <w:bottom w:val="single" w:sz="6" w:space="1" w:color="auto"/>
        </w:pBdr>
        <w:rPr>
          <w:noProof/>
        </w:rPr>
      </w:pPr>
    </w:p>
    <w:p w14:paraId="1671CCE7" w14:textId="77777777" w:rsidR="00B17396" w:rsidRDefault="00B17396" w:rsidP="003008FE">
      <w:pPr>
        <w:pBdr>
          <w:bottom w:val="single" w:sz="6" w:space="1" w:color="auto"/>
        </w:pBdr>
        <w:rPr>
          <w:noProof/>
        </w:rPr>
      </w:pPr>
    </w:p>
    <w:p w14:paraId="77252C9F" w14:textId="77777777" w:rsidR="005F42EE" w:rsidRDefault="00B17396" w:rsidP="002E57D6">
      <w:pPr>
        <w:pBdr>
          <w:bottom w:val="single" w:sz="6" w:space="0" w:color="auto"/>
        </w:pBdr>
        <w:rPr>
          <w:noProof/>
        </w:rPr>
      </w:pPr>
      <w:r>
        <w:rPr>
          <w:noProof/>
        </w:rPr>
        <w:t>The Money Advice and Bud</w:t>
      </w:r>
      <w:r w:rsidR="00F55AFC">
        <w:rPr>
          <w:noProof/>
        </w:rPr>
        <w:t>geting Sevices (MABS)</w:t>
      </w:r>
    </w:p>
    <w:p w14:paraId="446A36A7" w14:textId="70AB4F53" w:rsidR="002E57D6" w:rsidRDefault="002E57D6" w:rsidP="002E57D6">
      <w:pPr>
        <w:pBdr>
          <w:bottom w:val="single" w:sz="6" w:space="0" w:color="auto"/>
        </w:pBdr>
        <w:tabs>
          <w:tab w:val="left" w:pos="5280"/>
        </w:tabs>
        <w:rPr>
          <w:noProof/>
        </w:rPr>
      </w:pPr>
    </w:p>
    <w:tbl>
      <w:tblPr>
        <w:tblStyle w:val="TableGrid"/>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Caption w:val="Table: REGION I MABS "/>
      </w:tblPr>
      <w:tblGrid>
        <w:gridCol w:w="4258"/>
        <w:gridCol w:w="4258"/>
      </w:tblGrid>
      <w:tr w:rsidR="005F42EE" w14:paraId="7879D546" w14:textId="77777777" w:rsidTr="00E80C48">
        <w:trPr>
          <w:trHeight w:val="565"/>
          <w:tblHeader/>
        </w:trPr>
        <w:tc>
          <w:tcPr>
            <w:tcW w:w="4258" w:type="dxa"/>
            <w:shd w:val="clear" w:color="auto" w:fill="548DD4" w:themeFill="text2" w:themeFillTint="99"/>
            <w:vAlign w:val="center"/>
          </w:tcPr>
          <w:p w14:paraId="7854DBF9" w14:textId="6705A24D" w:rsidR="005F42EE" w:rsidRPr="000B340C" w:rsidRDefault="005F42EE" w:rsidP="00ED333E">
            <w:pPr>
              <w:rPr>
                <w:rFonts w:ascii="Bliss-Bold" w:hAnsi="Bliss-Bold"/>
                <w:noProof/>
                <w:color w:val="FFFFFF" w:themeColor="background1"/>
                <w:sz w:val="24"/>
                <w:szCs w:val="24"/>
              </w:rPr>
            </w:pPr>
            <w:r w:rsidRPr="000B340C">
              <w:rPr>
                <w:rFonts w:ascii="Bliss-Bold" w:hAnsi="Bliss-Bold"/>
                <w:noProof/>
                <w:color w:val="FFFFFF" w:themeColor="background1"/>
                <w:sz w:val="24"/>
                <w:szCs w:val="24"/>
              </w:rPr>
              <w:t xml:space="preserve">REGION I MABS </w:t>
            </w:r>
          </w:p>
        </w:tc>
        <w:tc>
          <w:tcPr>
            <w:tcW w:w="4258" w:type="dxa"/>
            <w:shd w:val="clear" w:color="auto" w:fill="548DD4" w:themeFill="text2" w:themeFillTint="99"/>
            <w:vAlign w:val="center"/>
          </w:tcPr>
          <w:p w14:paraId="6A87D817" w14:textId="5E304A66" w:rsidR="005F42EE" w:rsidRPr="000B340C" w:rsidRDefault="005F42EE" w:rsidP="00ED333E">
            <w:pPr>
              <w:rPr>
                <w:rFonts w:ascii="Bliss-Bold" w:hAnsi="Bliss-Bold"/>
                <w:noProof/>
                <w:color w:val="FFFFFF" w:themeColor="background1"/>
                <w:sz w:val="24"/>
                <w:szCs w:val="24"/>
              </w:rPr>
            </w:pPr>
            <w:r w:rsidRPr="000B340C">
              <w:rPr>
                <w:noProof/>
                <w:color w:val="FFFFFF" w:themeColor="background1"/>
                <w:sz w:val="24"/>
                <w:szCs w:val="24"/>
              </w:rPr>
              <w:t>€</w:t>
            </w:r>
          </w:p>
        </w:tc>
      </w:tr>
      <w:tr w:rsidR="005F42EE" w14:paraId="4F084EA0" w14:textId="77777777" w:rsidTr="00ED333E">
        <w:trPr>
          <w:trHeight w:val="444"/>
        </w:trPr>
        <w:tc>
          <w:tcPr>
            <w:tcW w:w="4258" w:type="dxa"/>
            <w:vAlign w:val="center"/>
          </w:tcPr>
          <w:p w14:paraId="74F7E659" w14:textId="44E544D9" w:rsidR="005F42EE" w:rsidRPr="000B340C" w:rsidRDefault="006F3593" w:rsidP="00ED333E">
            <w:pPr>
              <w:rPr>
                <w:rFonts w:ascii="Bliss-Light" w:hAnsi="Bliss-Light"/>
                <w:noProof/>
                <w:sz w:val="24"/>
                <w:szCs w:val="24"/>
              </w:rPr>
            </w:pPr>
            <w:r w:rsidRPr="000B340C">
              <w:rPr>
                <w:rFonts w:ascii="Bliss-Light" w:hAnsi="Bliss-Light"/>
                <w:noProof/>
                <w:sz w:val="24"/>
                <w:szCs w:val="24"/>
              </w:rPr>
              <w:t>Ballymun (RMA</w:t>
            </w:r>
            <w:r w:rsidRPr="000B340C">
              <w:rPr>
                <w:rFonts w:ascii="Bliss-Light" w:hAnsi="Bliss-Light"/>
                <w:noProof/>
                <w:sz w:val="24"/>
                <w:szCs w:val="24"/>
                <w:vertAlign w:val="superscript"/>
              </w:rPr>
              <w:t>13</w:t>
            </w:r>
            <w:r w:rsidRPr="000B340C">
              <w:rPr>
                <w:rFonts w:ascii="Bliss-Light" w:hAnsi="Bliss-Light"/>
                <w:noProof/>
                <w:sz w:val="24"/>
                <w:szCs w:val="24"/>
              </w:rPr>
              <w:t>)</w:t>
            </w:r>
          </w:p>
        </w:tc>
        <w:tc>
          <w:tcPr>
            <w:tcW w:w="4258" w:type="dxa"/>
            <w:vAlign w:val="center"/>
          </w:tcPr>
          <w:p w14:paraId="654CD15A" w14:textId="02B4A78B" w:rsidR="005F42EE" w:rsidRPr="000B340C" w:rsidRDefault="00D454FD" w:rsidP="00ED333E">
            <w:pPr>
              <w:rPr>
                <w:rFonts w:ascii="Bliss-Light" w:hAnsi="Bliss-Light"/>
                <w:noProof/>
                <w:sz w:val="24"/>
                <w:szCs w:val="24"/>
              </w:rPr>
            </w:pPr>
            <w:r w:rsidRPr="000B340C">
              <w:rPr>
                <w:rFonts w:ascii="Bliss-Light" w:hAnsi="Bliss-Light"/>
                <w:noProof/>
                <w:sz w:val="24"/>
                <w:szCs w:val="24"/>
              </w:rPr>
              <w:t>371,439</w:t>
            </w:r>
          </w:p>
        </w:tc>
      </w:tr>
      <w:tr w:rsidR="005F42EE" w14:paraId="5422F349" w14:textId="77777777" w:rsidTr="00ED333E">
        <w:trPr>
          <w:trHeight w:val="549"/>
        </w:trPr>
        <w:tc>
          <w:tcPr>
            <w:tcW w:w="4258" w:type="dxa"/>
            <w:shd w:val="clear" w:color="auto" w:fill="B8CCE4" w:themeFill="accent1" w:themeFillTint="66"/>
            <w:vAlign w:val="center"/>
          </w:tcPr>
          <w:p w14:paraId="0CBD1D4E" w14:textId="46C17690" w:rsidR="005F42EE" w:rsidRPr="000B340C" w:rsidRDefault="006F3593" w:rsidP="00ED333E">
            <w:pPr>
              <w:rPr>
                <w:rFonts w:ascii="Bliss-Light" w:hAnsi="Bliss-Light"/>
                <w:noProof/>
                <w:sz w:val="24"/>
                <w:szCs w:val="24"/>
              </w:rPr>
            </w:pPr>
            <w:r w:rsidRPr="000B340C">
              <w:rPr>
                <w:rFonts w:ascii="Bliss-Light" w:hAnsi="Bliss-Light"/>
                <w:noProof/>
                <w:sz w:val="24"/>
                <w:szCs w:val="24"/>
              </w:rPr>
              <w:t>Blanchardstown (RMA)</w:t>
            </w:r>
          </w:p>
        </w:tc>
        <w:tc>
          <w:tcPr>
            <w:tcW w:w="4258" w:type="dxa"/>
            <w:shd w:val="clear" w:color="auto" w:fill="B8CCE4" w:themeFill="accent1" w:themeFillTint="66"/>
            <w:vAlign w:val="center"/>
          </w:tcPr>
          <w:p w14:paraId="4E19F042" w14:textId="678C2C9A" w:rsidR="005F42EE" w:rsidRPr="000B340C" w:rsidRDefault="00D454FD" w:rsidP="00ED333E">
            <w:pPr>
              <w:rPr>
                <w:rFonts w:ascii="Bliss-Light" w:hAnsi="Bliss-Light"/>
                <w:noProof/>
                <w:sz w:val="24"/>
                <w:szCs w:val="24"/>
              </w:rPr>
            </w:pPr>
            <w:r w:rsidRPr="000B340C">
              <w:rPr>
                <w:rFonts w:ascii="Bliss-Light" w:hAnsi="Bliss-Light"/>
                <w:noProof/>
                <w:sz w:val="24"/>
                <w:szCs w:val="24"/>
              </w:rPr>
              <w:t>346,032</w:t>
            </w:r>
          </w:p>
        </w:tc>
      </w:tr>
      <w:tr w:rsidR="005F42EE" w14:paraId="04AD077D" w14:textId="77777777" w:rsidTr="00ED333E">
        <w:trPr>
          <w:trHeight w:val="556"/>
        </w:trPr>
        <w:tc>
          <w:tcPr>
            <w:tcW w:w="4258" w:type="dxa"/>
            <w:vAlign w:val="center"/>
          </w:tcPr>
          <w:p w14:paraId="5BDC1328" w14:textId="06EE52E6" w:rsidR="005F42EE" w:rsidRPr="000B340C" w:rsidRDefault="006F3593" w:rsidP="00ED333E">
            <w:pPr>
              <w:rPr>
                <w:rFonts w:ascii="Bliss-Light" w:hAnsi="Bliss-Light"/>
                <w:noProof/>
                <w:sz w:val="24"/>
                <w:szCs w:val="24"/>
              </w:rPr>
            </w:pPr>
            <w:r w:rsidRPr="000B340C">
              <w:rPr>
                <w:rFonts w:ascii="Bliss-Light" w:hAnsi="Bliss-Light"/>
                <w:noProof/>
                <w:sz w:val="24"/>
                <w:szCs w:val="24"/>
              </w:rPr>
              <w:t>Clondalkin(RMA)</w:t>
            </w:r>
          </w:p>
        </w:tc>
        <w:tc>
          <w:tcPr>
            <w:tcW w:w="4258" w:type="dxa"/>
            <w:vAlign w:val="center"/>
          </w:tcPr>
          <w:p w14:paraId="24D7C4FE" w14:textId="0797F721" w:rsidR="005F42EE" w:rsidRPr="000B340C" w:rsidRDefault="00D454FD" w:rsidP="00ED333E">
            <w:pPr>
              <w:rPr>
                <w:rFonts w:ascii="Bliss-Light" w:hAnsi="Bliss-Light"/>
                <w:noProof/>
                <w:sz w:val="24"/>
                <w:szCs w:val="24"/>
              </w:rPr>
            </w:pPr>
            <w:r w:rsidRPr="000B340C">
              <w:rPr>
                <w:rFonts w:ascii="Bliss-Light" w:hAnsi="Bliss-Light"/>
                <w:noProof/>
                <w:sz w:val="24"/>
                <w:szCs w:val="24"/>
              </w:rPr>
              <w:t>371,600</w:t>
            </w:r>
          </w:p>
        </w:tc>
      </w:tr>
      <w:tr w:rsidR="005F42EE" w14:paraId="76F5DD01" w14:textId="77777777" w:rsidTr="00ED333E">
        <w:trPr>
          <w:trHeight w:val="564"/>
        </w:trPr>
        <w:tc>
          <w:tcPr>
            <w:tcW w:w="4258" w:type="dxa"/>
            <w:shd w:val="clear" w:color="auto" w:fill="B8CCE4" w:themeFill="accent1" w:themeFillTint="66"/>
            <w:vAlign w:val="center"/>
          </w:tcPr>
          <w:p w14:paraId="7D04F743" w14:textId="63D30628" w:rsidR="005F42EE" w:rsidRPr="000B340C" w:rsidRDefault="004B3E72" w:rsidP="00ED333E">
            <w:pPr>
              <w:rPr>
                <w:rFonts w:ascii="Bliss-Light" w:hAnsi="Bliss-Light"/>
                <w:noProof/>
                <w:sz w:val="24"/>
                <w:szCs w:val="24"/>
              </w:rPr>
            </w:pPr>
            <w:r w:rsidRPr="000B340C">
              <w:rPr>
                <w:rFonts w:ascii="Bliss-Light" w:hAnsi="Bliss-Light"/>
                <w:noProof/>
                <w:sz w:val="24"/>
                <w:szCs w:val="24"/>
              </w:rPr>
              <w:t>Drogheda</w:t>
            </w:r>
          </w:p>
        </w:tc>
        <w:tc>
          <w:tcPr>
            <w:tcW w:w="4258" w:type="dxa"/>
            <w:shd w:val="clear" w:color="auto" w:fill="B8CCE4" w:themeFill="accent1" w:themeFillTint="66"/>
            <w:vAlign w:val="center"/>
          </w:tcPr>
          <w:p w14:paraId="428EAFAA" w14:textId="0AD97F5F" w:rsidR="005F42EE" w:rsidRPr="000B340C" w:rsidRDefault="00F47868" w:rsidP="00ED333E">
            <w:pPr>
              <w:rPr>
                <w:rFonts w:ascii="Bliss-Light" w:hAnsi="Bliss-Light"/>
                <w:noProof/>
                <w:sz w:val="24"/>
                <w:szCs w:val="24"/>
              </w:rPr>
            </w:pPr>
            <w:r w:rsidRPr="000B340C">
              <w:rPr>
                <w:rFonts w:ascii="Bliss-Light" w:hAnsi="Bliss-Light"/>
                <w:noProof/>
                <w:sz w:val="24"/>
                <w:szCs w:val="24"/>
              </w:rPr>
              <w:t>188,357</w:t>
            </w:r>
          </w:p>
        </w:tc>
      </w:tr>
      <w:tr w:rsidR="005F42EE" w14:paraId="5B1AEA60" w14:textId="77777777" w:rsidTr="00ED333E">
        <w:trPr>
          <w:trHeight w:val="558"/>
        </w:trPr>
        <w:tc>
          <w:tcPr>
            <w:tcW w:w="4258" w:type="dxa"/>
            <w:vAlign w:val="center"/>
          </w:tcPr>
          <w:p w14:paraId="512C5DCF" w14:textId="05074CE1" w:rsidR="005F42EE" w:rsidRPr="000B340C" w:rsidRDefault="00F711EE" w:rsidP="00ED333E">
            <w:pPr>
              <w:rPr>
                <w:rFonts w:ascii="Bliss-Light" w:hAnsi="Bliss-Light"/>
                <w:noProof/>
                <w:sz w:val="24"/>
                <w:szCs w:val="24"/>
              </w:rPr>
            </w:pPr>
            <w:r w:rsidRPr="000B340C">
              <w:rPr>
                <w:rFonts w:ascii="Bliss-Light" w:hAnsi="Bliss-Light"/>
                <w:noProof/>
                <w:sz w:val="24"/>
                <w:szCs w:val="24"/>
              </w:rPr>
              <w:t>Dublin  10 &amp; 20</w:t>
            </w:r>
          </w:p>
        </w:tc>
        <w:tc>
          <w:tcPr>
            <w:tcW w:w="4258" w:type="dxa"/>
            <w:vAlign w:val="center"/>
          </w:tcPr>
          <w:p w14:paraId="2E179E26" w14:textId="54F80F17" w:rsidR="005F42EE" w:rsidRPr="000B340C" w:rsidRDefault="00F47868" w:rsidP="00ED333E">
            <w:pPr>
              <w:rPr>
                <w:rFonts w:ascii="Bliss-Light" w:hAnsi="Bliss-Light"/>
                <w:noProof/>
                <w:sz w:val="24"/>
                <w:szCs w:val="24"/>
              </w:rPr>
            </w:pPr>
            <w:r w:rsidRPr="000B340C">
              <w:rPr>
                <w:rFonts w:ascii="Bliss-Light" w:hAnsi="Bliss-Light"/>
                <w:noProof/>
                <w:sz w:val="24"/>
                <w:szCs w:val="24"/>
              </w:rPr>
              <w:t>368,044</w:t>
            </w:r>
          </w:p>
        </w:tc>
      </w:tr>
      <w:tr w:rsidR="005F42EE" w14:paraId="51917827" w14:textId="77777777" w:rsidTr="00ED333E">
        <w:trPr>
          <w:trHeight w:val="566"/>
        </w:trPr>
        <w:tc>
          <w:tcPr>
            <w:tcW w:w="4258" w:type="dxa"/>
            <w:shd w:val="clear" w:color="auto" w:fill="B8CCE4" w:themeFill="accent1" w:themeFillTint="66"/>
            <w:vAlign w:val="center"/>
          </w:tcPr>
          <w:p w14:paraId="329E4529" w14:textId="66FB6E0D" w:rsidR="005F42EE" w:rsidRPr="000B340C" w:rsidRDefault="00F711EE" w:rsidP="00ED333E">
            <w:pPr>
              <w:rPr>
                <w:rFonts w:ascii="Bliss-Light" w:hAnsi="Bliss-Light"/>
                <w:noProof/>
                <w:sz w:val="24"/>
                <w:szCs w:val="24"/>
              </w:rPr>
            </w:pPr>
            <w:r w:rsidRPr="000B340C">
              <w:rPr>
                <w:rFonts w:ascii="Bliss-Light" w:hAnsi="Bliss-Light"/>
                <w:noProof/>
                <w:sz w:val="24"/>
                <w:szCs w:val="24"/>
              </w:rPr>
              <w:t>Dublin 12 Area</w:t>
            </w:r>
          </w:p>
        </w:tc>
        <w:tc>
          <w:tcPr>
            <w:tcW w:w="4258" w:type="dxa"/>
            <w:shd w:val="clear" w:color="auto" w:fill="B8CCE4" w:themeFill="accent1" w:themeFillTint="66"/>
            <w:vAlign w:val="center"/>
          </w:tcPr>
          <w:p w14:paraId="7CCFF907" w14:textId="4B67CC4E" w:rsidR="005F42EE" w:rsidRPr="000B340C" w:rsidRDefault="00F47868" w:rsidP="00ED333E">
            <w:pPr>
              <w:rPr>
                <w:rFonts w:ascii="Bliss-Light" w:hAnsi="Bliss-Light"/>
                <w:noProof/>
                <w:sz w:val="24"/>
                <w:szCs w:val="24"/>
              </w:rPr>
            </w:pPr>
            <w:r w:rsidRPr="000B340C">
              <w:rPr>
                <w:rFonts w:ascii="Bliss-Light" w:hAnsi="Bliss-Light"/>
                <w:noProof/>
                <w:sz w:val="24"/>
                <w:szCs w:val="24"/>
              </w:rPr>
              <w:t>274,307</w:t>
            </w:r>
          </w:p>
        </w:tc>
      </w:tr>
      <w:tr w:rsidR="005F42EE" w14:paraId="47ED4C44" w14:textId="77777777" w:rsidTr="00ED333E">
        <w:trPr>
          <w:trHeight w:val="546"/>
        </w:trPr>
        <w:tc>
          <w:tcPr>
            <w:tcW w:w="4258" w:type="dxa"/>
            <w:vAlign w:val="center"/>
          </w:tcPr>
          <w:p w14:paraId="54BB5EB0" w14:textId="6FFED2F4" w:rsidR="005F42EE" w:rsidRPr="000B340C" w:rsidRDefault="00F711EE" w:rsidP="00ED333E">
            <w:pPr>
              <w:rPr>
                <w:rFonts w:ascii="Bliss-Light" w:hAnsi="Bliss-Light"/>
                <w:noProof/>
                <w:sz w:val="24"/>
                <w:szCs w:val="24"/>
              </w:rPr>
            </w:pPr>
            <w:r w:rsidRPr="000B340C">
              <w:rPr>
                <w:rFonts w:ascii="Bliss-Light" w:hAnsi="Bliss-Light"/>
                <w:noProof/>
                <w:sz w:val="24"/>
                <w:szCs w:val="24"/>
              </w:rPr>
              <w:t>Dublin</w:t>
            </w:r>
            <w:r w:rsidR="00FE720F" w:rsidRPr="000B340C">
              <w:rPr>
                <w:rFonts w:ascii="Bliss-Light" w:hAnsi="Bliss-Light"/>
                <w:noProof/>
                <w:sz w:val="24"/>
                <w:szCs w:val="24"/>
              </w:rPr>
              <w:t xml:space="preserve"> North City</w:t>
            </w:r>
          </w:p>
        </w:tc>
        <w:tc>
          <w:tcPr>
            <w:tcW w:w="4258" w:type="dxa"/>
            <w:vAlign w:val="center"/>
          </w:tcPr>
          <w:p w14:paraId="332C5CB5" w14:textId="24E1F800" w:rsidR="005F42EE" w:rsidRPr="000B340C" w:rsidRDefault="00F47868" w:rsidP="00ED333E">
            <w:pPr>
              <w:rPr>
                <w:rFonts w:ascii="Bliss-Light" w:hAnsi="Bliss-Light"/>
                <w:noProof/>
                <w:sz w:val="24"/>
                <w:szCs w:val="24"/>
              </w:rPr>
            </w:pPr>
            <w:r w:rsidRPr="000B340C">
              <w:rPr>
                <w:rFonts w:ascii="Bliss-Light" w:hAnsi="Bliss-Light"/>
                <w:noProof/>
                <w:sz w:val="24"/>
                <w:szCs w:val="24"/>
              </w:rPr>
              <w:t>290,279</w:t>
            </w:r>
          </w:p>
        </w:tc>
      </w:tr>
      <w:tr w:rsidR="005F42EE" w14:paraId="36B5131C" w14:textId="77777777" w:rsidTr="00ED333E">
        <w:trPr>
          <w:trHeight w:val="550"/>
        </w:trPr>
        <w:tc>
          <w:tcPr>
            <w:tcW w:w="4258" w:type="dxa"/>
            <w:shd w:val="clear" w:color="auto" w:fill="B8CCE4" w:themeFill="accent1" w:themeFillTint="66"/>
            <w:vAlign w:val="center"/>
          </w:tcPr>
          <w:p w14:paraId="7593B59A" w14:textId="3F429EAD" w:rsidR="005F42EE" w:rsidRPr="000B340C" w:rsidRDefault="00154FAC" w:rsidP="00ED333E">
            <w:pPr>
              <w:rPr>
                <w:rFonts w:ascii="Bliss-Light" w:hAnsi="Bliss-Light"/>
                <w:noProof/>
                <w:sz w:val="24"/>
                <w:szCs w:val="24"/>
              </w:rPr>
            </w:pPr>
            <w:r w:rsidRPr="000B340C">
              <w:rPr>
                <w:rFonts w:ascii="Bliss-Light" w:hAnsi="Bliss-Light"/>
                <w:noProof/>
                <w:sz w:val="24"/>
                <w:szCs w:val="24"/>
              </w:rPr>
              <w:t>Dublin North City East (RMA)</w:t>
            </w:r>
          </w:p>
        </w:tc>
        <w:tc>
          <w:tcPr>
            <w:tcW w:w="4258" w:type="dxa"/>
            <w:shd w:val="clear" w:color="auto" w:fill="B8CCE4" w:themeFill="accent1" w:themeFillTint="66"/>
            <w:vAlign w:val="center"/>
          </w:tcPr>
          <w:p w14:paraId="3EAABA2D" w14:textId="117F54FF" w:rsidR="005F42EE" w:rsidRPr="000B340C" w:rsidRDefault="00B42476" w:rsidP="00ED333E">
            <w:pPr>
              <w:rPr>
                <w:rFonts w:ascii="Bliss-Light" w:hAnsi="Bliss-Light"/>
                <w:noProof/>
                <w:sz w:val="24"/>
                <w:szCs w:val="24"/>
              </w:rPr>
            </w:pPr>
            <w:r w:rsidRPr="000B340C">
              <w:rPr>
                <w:rFonts w:ascii="Bliss-Light" w:hAnsi="Bliss-Light"/>
                <w:noProof/>
                <w:sz w:val="24"/>
                <w:szCs w:val="24"/>
              </w:rPr>
              <w:t>263,620</w:t>
            </w:r>
          </w:p>
        </w:tc>
      </w:tr>
      <w:tr w:rsidR="005F42EE" w14:paraId="7E6C1015" w14:textId="77777777" w:rsidTr="00ED333E">
        <w:trPr>
          <w:trHeight w:val="562"/>
        </w:trPr>
        <w:tc>
          <w:tcPr>
            <w:tcW w:w="4258" w:type="dxa"/>
            <w:vAlign w:val="center"/>
          </w:tcPr>
          <w:p w14:paraId="5BAAECF1" w14:textId="79CE3513" w:rsidR="005F42EE" w:rsidRPr="000B340C" w:rsidRDefault="00154FAC" w:rsidP="00ED333E">
            <w:pPr>
              <w:rPr>
                <w:rFonts w:ascii="Bliss-Light" w:hAnsi="Bliss-Light"/>
                <w:noProof/>
                <w:sz w:val="24"/>
                <w:szCs w:val="24"/>
              </w:rPr>
            </w:pPr>
            <w:r w:rsidRPr="000B340C">
              <w:rPr>
                <w:rFonts w:ascii="Bliss-Light" w:hAnsi="Bliss-Light"/>
                <w:noProof/>
                <w:sz w:val="24"/>
                <w:szCs w:val="24"/>
              </w:rPr>
              <w:t>Dublin South East</w:t>
            </w:r>
          </w:p>
        </w:tc>
        <w:tc>
          <w:tcPr>
            <w:tcW w:w="4258" w:type="dxa"/>
            <w:vAlign w:val="center"/>
          </w:tcPr>
          <w:p w14:paraId="4750B63D" w14:textId="73B0F292" w:rsidR="005F42EE" w:rsidRPr="000B340C" w:rsidRDefault="00B42476" w:rsidP="00ED333E">
            <w:pPr>
              <w:rPr>
                <w:rFonts w:ascii="Bliss-Light" w:hAnsi="Bliss-Light"/>
                <w:noProof/>
                <w:sz w:val="24"/>
                <w:szCs w:val="24"/>
              </w:rPr>
            </w:pPr>
            <w:r w:rsidRPr="000B340C">
              <w:rPr>
                <w:rFonts w:ascii="Bliss-Light" w:hAnsi="Bliss-Light"/>
                <w:noProof/>
                <w:sz w:val="24"/>
                <w:szCs w:val="24"/>
              </w:rPr>
              <w:t>209,193</w:t>
            </w:r>
          </w:p>
        </w:tc>
      </w:tr>
      <w:tr w:rsidR="005F42EE" w14:paraId="4BC6D73B" w14:textId="77777777" w:rsidTr="00ED333E">
        <w:trPr>
          <w:trHeight w:val="556"/>
        </w:trPr>
        <w:tc>
          <w:tcPr>
            <w:tcW w:w="4258" w:type="dxa"/>
            <w:shd w:val="clear" w:color="auto" w:fill="B8CCE4" w:themeFill="accent1" w:themeFillTint="66"/>
            <w:vAlign w:val="center"/>
          </w:tcPr>
          <w:p w14:paraId="12B1F23D" w14:textId="35D1E6F7" w:rsidR="005F42EE" w:rsidRPr="000B340C" w:rsidRDefault="00154FAC" w:rsidP="00ED333E">
            <w:pPr>
              <w:rPr>
                <w:rFonts w:ascii="Bliss-Light" w:hAnsi="Bliss-Light"/>
                <w:noProof/>
                <w:sz w:val="24"/>
                <w:szCs w:val="24"/>
              </w:rPr>
            </w:pPr>
            <w:r w:rsidRPr="000B340C">
              <w:rPr>
                <w:rFonts w:ascii="Bliss-Light" w:hAnsi="Bliss-Light"/>
                <w:noProof/>
                <w:sz w:val="24"/>
                <w:szCs w:val="24"/>
              </w:rPr>
              <w:t>Dun Laoghaire</w:t>
            </w:r>
          </w:p>
        </w:tc>
        <w:tc>
          <w:tcPr>
            <w:tcW w:w="4258" w:type="dxa"/>
            <w:shd w:val="clear" w:color="auto" w:fill="B8CCE4" w:themeFill="accent1" w:themeFillTint="66"/>
            <w:vAlign w:val="center"/>
          </w:tcPr>
          <w:p w14:paraId="4FA6C455" w14:textId="6656AE2B" w:rsidR="005F42EE" w:rsidRPr="000B340C" w:rsidRDefault="00B42476" w:rsidP="00ED333E">
            <w:pPr>
              <w:rPr>
                <w:rFonts w:ascii="Bliss-Light" w:hAnsi="Bliss-Light"/>
                <w:noProof/>
                <w:sz w:val="24"/>
                <w:szCs w:val="24"/>
              </w:rPr>
            </w:pPr>
            <w:r w:rsidRPr="000B340C">
              <w:rPr>
                <w:rFonts w:ascii="Bliss-Light" w:hAnsi="Bliss-Light"/>
                <w:noProof/>
                <w:sz w:val="24"/>
                <w:szCs w:val="24"/>
              </w:rPr>
              <w:t>212,630</w:t>
            </w:r>
          </w:p>
        </w:tc>
      </w:tr>
      <w:tr w:rsidR="005F42EE" w14:paraId="7BDF430D" w14:textId="77777777" w:rsidTr="00ED333E">
        <w:trPr>
          <w:trHeight w:val="564"/>
        </w:trPr>
        <w:tc>
          <w:tcPr>
            <w:tcW w:w="4258" w:type="dxa"/>
            <w:vAlign w:val="center"/>
          </w:tcPr>
          <w:p w14:paraId="263BD0EC" w14:textId="368F875E" w:rsidR="005F42EE" w:rsidRPr="000B340C" w:rsidRDefault="00154FAC" w:rsidP="00ED333E">
            <w:pPr>
              <w:rPr>
                <w:rFonts w:ascii="Bliss-Light" w:hAnsi="Bliss-Light"/>
                <w:noProof/>
                <w:sz w:val="24"/>
                <w:szCs w:val="24"/>
              </w:rPr>
            </w:pPr>
            <w:r w:rsidRPr="000B340C">
              <w:rPr>
                <w:rFonts w:ascii="Bliss-Light" w:hAnsi="Bliss-Light"/>
                <w:noProof/>
                <w:sz w:val="24"/>
                <w:szCs w:val="24"/>
              </w:rPr>
              <w:t>Dundalk/ Oriel</w:t>
            </w:r>
          </w:p>
        </w:tc>
        <w:tc>
          <w:tcPr>
            <w:tcW w:w="4258" w:type="dxa"/>
            <w:vAlign w:val="center"/>
          </w:tcPr>
          <w:p w14:paraId="5FCAA315" w14:textId="26648D73" w:rsidR="005F42EE" w:rsidRPr="000B340C" w:rsidRDefault="00B42476" w:rsidP="00ED333E">
            <w:pPr>
              <w:rPr>
                <w:rFonts w:ascii="Bliss-Light" w:hAnsi="Bliss-Light"/>
                <w:noProof/>
                <w:sz w:val="24"/>
                <w:szCs w:val="24"/>
              </w:rPr>
            </w:pPr>
            <w:r w:rsidRPr="000B340C">
              <w:rPr>
                <w:rFonts w:ascii="Bliss-Light" w:hAnsi="Bliss-Light"/>
                <w:noProof/>
                <w:sz w:val="24"/>
                <w:szCs w:val="24"/>
              </w:rPr>
              <w:t>244,149</w:t>
            </w:r>
          </w:p>
        </w:tc>
      </w:tr>
      <w:tr w:rsidR="005F42EE" w14:paraId="53196DC0" w14:textId="77777777" w:rsidTr="00ED333E">
        <w:trPr>
          <w:trHeight w:val="544"/>
        </w:trPr>
        <w:tc>
          <w:tcPr>
            <w:tcW w:w="4258" w:type="dxa"/>
            <w:shd w:val="clear" w:color="auto" w:fill="B8CCE4" w:themeFill="accent1" w:themeFillTint="66"/>
            <w:vAlign w:val="center"/>
          </w:tcPr>
          <w:p w14:paraId="3F1C558A" w14:textId="6DED2C69" w:rsidR="005F42EE" w:rsidRPr="000B340C" w:rsidRDefault="00154FAC" w:rsidP="00ED333E">
            <w:pPr>
              <w:rPr>
                <w:rFonts w:ascii="Bliss-Light" w:hAnsi="Bliss-Light"/>
                <w:noProof/>
                <w:sz w:val="24"/>
                <w:szCs w:val="24"/>
              </w:rPr>
            </w:pPr>
            <w:r w:rsidRPr="000B340C">
              <w:rPr>
                <w:rFonts w:ascii="Bliss-Light" w:hAnsi="Bliss-Light"/>
                <w:noProof/>
                <w:sz w:val="24"/>
                <w:szCs w:val="24"/>
              </w:rPr>
              <w:t>Dundrum/Rathfarnham(AISTU</w:t>
            </w:r>
            <w:r w:rsidRPr="000B340C">
              <w:rPr>
                <w:rFonts w:ascii="Bliss-Light" w:hAnsi="Bliss-Light"/>
                <w:noProof/>
                <w:sz w:val="24"/>
                <w:szCs w:val="24"/>
                <w:vertAlign w:val="superscript"/>
              </w:rPr>
              <w:t>14</w:t>
            </w:r>
            <w:r w:rsidRPr="000B340C">
              <w:rPr>
                <w:rFonts w:ascii="Bliss-Light" w:hAnsi="Bliss-Light"/>
                <w:noProof/>
                <w:sz w:val="24"/>
                <w:szCs w:val="24"/>
              </w:rPr>
              <w:t>)</w:t>
            </w:r>
          </w:p>
        </w:tc>
        <w:tc>
          <w:tcPr>
            <w:tcW w:w="4258" w:type="dxa"/>
            <w:shd w:val="clear" w:color="auto" w:fill="B8CCE4" w:themeFill="accent1" w:themeFillTint="66"/>
            <w:vAlign w:val="center"/>
          </w:tcPr>
          <w:p w14:paraId="3D0A66E0" w14:textId="7F5E7F06" w:rsidR="005F42EE" w:rsidRPr="000B340C" w:rsidRDefault="00B42476" w:rsidP="00ED333E">
            <w:pPr>
              <w:rPr>
                <w:rFonts w:ascii="Bliss-Light" w:hAnsi="Bliss-Light"/>
                <w:noProof/>
                <w:sz w:val="24"/>
                <w:szCs w:val="24"/>
              </w:rPr>
            </w:pPr>
            <w:r w:rsidRPr="000B340C">
              <w:rPr>
                <w:rFonts w:ascii="Bliss-Light" w:hAnsi="Bliss-Light"/>
                <w:noProof/>
                <w:sz w:val="24"/>
                <w:szCs w:val="24"/>
              </w:rPr>
              <w:t>368,790</w:t>
            </w:r>
          </w:p>
        </w:tc>
      </w:tr>
      <w:tr w:rsidR="005F42EE" w14:paraId="6018A2A6" w14:textId="77777777" w:rsidTr="00ED333E">
        <w:trPr>
          <w:trHeight w:val="566"/>
        </w:trPr>
        <w:tc>
          <w:tcPr>
            <w:tcW w:w="4258" w:type="dxa"/>
            <w:vAlign w:val="center"/>
          </w:tcPr>
          <w:p w14:paraId="11943871" w14:textId="5AC39E23" w:rsidR="005F42EE" w:rsidRPr="000B340C" w:rsidRDefault="00A729C3" w:rsidP="00ED333E">
            <w:pPr>
              <w:rPr>
                <w:rFonts w:ascii="Bliss-Light" w:hAnsi="Bliss-Light"/>
                <w:noProof/>
                <w:sz w:val="24"/>
                <w:szCs w:val="24"/>
              </w:rPr>
            </w:pPr>
            <w:r w:rsidRPr="000B340C">
              <w:rPr>
                <w:rFonts w:ascii="Bliss-Light" w:hAnsi="Bliss-Light"/>
                <w:noProof/>
                <w:sz w:val="24"/>
                <w:szCs w:val="24"/>
              </w:rPr>
              <w:t>Fingal North County (RMA)</w:t>
            </w:r>
          </w:p>
        </w:tc>
        <w:tc>
          <w:tcPr>
            <w:tcW w:w="4258" w:type="dxa"/>
            <w:vAlign w:val="center"/>
          </w:tcPr>
          <w:p w14:paraId="7E460AC8" w14:textId="673C136C" w:rsidR="005F42EE" w:rsidRPr="000B340C" w:rsidRDefault="00B42476" w:rsidP="00ED333E">
            <w:pPr>
              <w:rPr>
                <w:rFonts w:ascii="Bliss-Light" w:hAnsi="Bliss-Light"/>
                <w:noProof/>
                <w:sz w:val="24"/>
                <w:szCs w:val="24"/>
              </w:rPr>
            </w:pPr>
            <w:r w:rsidRPr="000B340C">
              <w:rPr>
                <w:rFonts w:ascii="Bliss-Light" w:hAnsi="Bliss-Light"/>
                <w:noProof/>
                <w:sz w:val="24"/>
                <w:szCs w:val="24"/>
              </w:rPr>
              <w:t>302,455</w:t>
            </w:r>
          </w:p>
        </w:tc>
      </w:tr>
      <w:tr w:rsidR="005F42EE" w14:paraId="283F20E1" w14:textId="77777777" w:rsidTr="00ED333E">
        <w:trPr>
          <w:trHeight w:val="560"/>
        </w:trPr>
        <w:tc>
          <w:tcPr>
            <w:tcW w:w="4258" w:type="dxa"/>
            <w:shd w:val="clear" w:color="auto" w:fill="B8CCE4" w:themeFill="accent1" w:themeFillTint="66"/>
            <w:vAlign w:val="center"/>
          </w:tcPr>
          <w:p w14:paraId="2C24AE38" w14:textId="1D968C31" w:rsidR="005F42EE" w:rsidRPr="000B340C" w:rsidRDefault="00A729C3" w:rsidP="00ED333E">
            <w:pPr>
              <w:rPr>
                <w:rFonts w:ascii="Bliss-Light" w:hAnsi="Bliss-Light"/>
                <w:noProof/>
                <w:sz w:val="24"/>
                <w:szCs w:val="24"/>
              </w:rPr>
            </w:pPr>
            <w:r w:rsidRPr="000B340C">
              <w:rPr>
                <w:rFonts w:ascii="Bliss-Light" w:hAnsi="Bliss-Light"/>
                <w:noProof/>
                <w:sz w:val="24"/>
                <w:szCs w:val="24"/>
              </w:rPr>
              <w:t>Finglas/Cabra</w:t>
            </w:r>
          </w:p>
        </w:tc>
        <w:tc>
          <w:tcPr>
            <w:tcW w:w="4258" w:type="dxa"/>
            <w:shd w:val="clear" w:color="auto" w:fill="B8CCE4" w:themeFill="accent1" w:themeFillTint="66"/>
            <w:vAlign w:val="center"/>
          </w:tcPr>
          <w:p w14:paraId="163C741C" w14:textId="06C1F506" w:rsidR="005F42EE" w:rsidRPr="000B340C" w:rsidRDefault="00B42476" w:rsidP="00ED333E">
            <w:pPr>
              <w:rPr>
                <w:rFonts w:ascii="Bliss-Light" w:hAnsi="Bliss-Light"/>
                <w:noProof/>
                <w:sz w:val="24"/>
                <w:szCs w:val="24"/>
              </w:rPr>
            </w:pPr>
            <w:r w:rsidRPr="000B340C">
              <w:rPr>
                <w:rFonts w:ascii="Bliss-Light" w:hAnsi="Bliss-Light"/>
                <w:noProof/>
                <w:sz w:val="24"/>
                <w:szCs w:val="24"/>
              </w:rPr>
              <w:t>342,100</w:t>
            </w:r>
          </w:p>
        </w:tc>
      </w:tr>
      <w:tr w:rsidR="005F42EE" w14:paraId="192D3AB4" w14:textId="77777777" w:rsidTr="00ED333E">
        <w:trPr>
          <w:trHeight w:val="540"/>
        </w:trPr>
        <w:tc>
          <w:tcPr>
            <w:tcW w:w="4258" w:type="dxa"/>
            <w:vAlign w:val="center"/>
          </w:tcPr>
          <w:p w14:paraId="18DD0EE3" w14:textId="51D6F770" w:rsidR="005F42EE" w:rsidRPr="000B340C" w:rsidRDefault="00A729C3" w:rsidP="00ED333E">
            <w:pPr>
              <w:rPr>
                <w:rFonts w:ascii="Bliss-Light" w:hAnsi="Bliss-Light"/>
                <w:noProof/>
                <w:sz w:val="24"/>
                <w:szCs w:val="24"/>
              </w:rPr>
            </w:pPr>
            <w:r w:rsidRPr="000B340C">
              <w:rPr>
                <w:rFonts w:ascii="Bliss-Light" w:hAnsi="Bliss-Light"/>
                <w:noProof/>
                <w:sz w:val="24"/>
                <w:szCs w:val="24"/>
              </w:rPr>
              <w:t>Liffey South West</w:t>
            </w:r>
          </w:p>
        </w:tc>
        <w:tc>
          <w:tcPr>
            <w:tcW w:w="4258" w:type="dxa"/>
            <w:vAlign w:val="center"/>
          </w:tcPr>
          <w:p w14:paraId="7390E850" w14:textId="010B744D" w:rsidR="005F42EE" w:rsidRPr="000B340C" w:rsidRDefault="00DB3598" w:rsidP="00ED333E">
            <w:pPr>
              <w:rPr>
                <w:rFonts w:ascii="Bliss-Light" w:hAnsi="Bliss-Light"/>
                <w:noProof/>
                <w:sz w:val="24"/>
                <w:szCs w:val="24"/>
              </w:rPr>
            </w:pPr>
            <w:r w:rsidRPr="000B340C">
              <w:rPr>
                <w:rFonts w:ascii="Bliss-Light" w:hAnsi="Bliss-Light"/>
                <w:noProof/>
                <w:sz w:val="24"/>
                <w:szCs w:val="24"/>
              </w:rPr>
              <w:t>362,586</w:t>
            </w:r>
          </w:p>
        </w:tc>
      </w:tr>
      <w:tr w:rsidR="005F42EE" w14:paraId="04BD5D46" w14:textId="77777777" w:rsidTr="00ED333E">
        <w:trPr>
          <w:trHeight w:val="576"/>
        </w:trPr>
        <w:tc>
          <w:tcPr>
            <w:tcW w:w="4258" w:type="dxa"/>
            <w:shd w:val="clear" w:color="auto" w:fill="B8CCE4" w:themeFill="accent1" w:themeFillTint="66"/>
            <w:vAlign w:val="center"/>
          </w:tcPr>
          <w:p w14:paraId="7731C5C2" w14:textId="3EDF6039" w:rsidR="005F42EE" w:rsidRPr="000B340C" w:rsidRDefault="00A729C3" w:rsidP="00ED333E">
            <w:pPr>
              <w:rPr>
                <w:rFonts w:ascii="Bliss-Light" w:hAnsi="Bliss-Light"/>
                <w:noProof/>
                <w:sz w:val="24"/>
                <w:szCs w:val="24"/>
              </w:rPr>
            </w:pPr>
            <w:r w:rsidRPr="000B340C">
              <w:rPr>
                <w:rFonts w:ascii="Bliss-Light" w:hAnsi="Bliss-Light"/>
                <w:noProof/>
                <w:sz w:val="24"/>
                <w:szCs w:val="24"/>
              </w:rPr>
              <w:t>Monaghan</w:t>
            </w:r>
          </w:p>
        </w:tc>
        <w:tc>
          <w:tcPr>
            <w:tcW w:w="4258" w:type="dxa"/>
            <w:shd w:val="clear" w:color="auto" w:fill="B8CCE4" w:themeFill="accent1" w:themeFillTint="66"/>
            <w:vAlign w:val="center"/>
          </w:tcPr>
          <w:p w14:paraId="4B7C906C" w14:textId="5C210708" w:rsidR="005F42EE" w:rsidRPr="000B340C" w:rsidRDefault="00DB3598" w:rsidP="00ED333E">
            <w:pPr>
              <w:rPr>
                <w:rFonts w:ascii="Bliss-Light" w:hAnsi="Bliss-Light"/>
                <w:noProof/>
                <w:sz w:val="24"/>
                <w:szCs w:val="24"/>
              </w:rPr>
            </w:pPr>
            <w:r w:rsidRPr="000B340C">
              <w:rPr>
                <w:rFonts w:ascii="Bliss-Light" w:hAnsi="Bliss-Light"/>
                <w:noProof/>
                <w:sz w:val="24"/>
                <w:szCs w:val="24"/>
              </w:rPr>
              <w:t>255,886</w:t>
            </w:r>
          </w:p>
        </w:tc>
      </w:tr>
      <w:tr w:rsidR="005F42EE" w14:paraId="62D15C66" w14:textId="77777777" w:rsidTr="00ED333E">
        <w:trPr>
          <w:trHeight w:val="556"/>
        </w:trPr>
        <w:tc>
          <w:tcPr>
            <w:tcW w:w="4258" w:type="dxa"/>
            <w:vAlign w:val="center"/>
          </w:tcPr>
          <w:p w14:paraId="6FAFF854" w14:textId="1A7B5110" w:rsidR="005F42EE" w:rsidRPr="000B340C" w:rsidRDefault="00A729C3" w:rsidP="00ED333E">
            <w:pPr>
              <w:rPr>
                <w:rFonts w:ascii="Bliss-Light" w:hAnsi="Bliss-Light"/>
                <w:noProof/>
                <w:sz w:val="24"/>
                <w:szCs w:val="24"/>
              </w:rPr>
            </w:pPr>
            <w:r w:rsidRPr="000B340C">
              <w:rPr>
                <w:rFonts w:ascii="Bliss-Light" w:hAnsi="Bliss-Light"/>
                <w:noProof/>
                <w:sz w:val="24"/>
                <w:szCs w:val="24"/>
              </w:rPr>
              <w:t>National Traveller (MABS)</w:t>
            </w:r>
          </w:p>
        </w:tc>
        <w:tc>
          <w:tcPr>
            <w:tcW w:w="4258" w:type="dxa"/>
            <w:vAlign w:val="center"/>
          </w:tcPr>
          <w:p w14:paraId="4CD6ADAB" w14:textId="66CF1D95" w:rsidR="005F42EE" w:rsidRPr="000B340C" w:rsidRDefault="00DE6651" w:rsidP="00ED333E">
            <w:pPr>
              <w:rPr>
                <w:rFonts w:ascii="Bliss-Light" w:hAnsi="Bliss-Light"/>
                <w:noProof/>
                <w:sz w:val="24"/>
                <w:szCs w:val="24"/>
              </w:rPr>
            </w:pPr>
            <w:r w:rsidRPr="000B340C">
              <w:rPr>
                <w:rFonts w:ascii="Bliss-Light" w:hAnsi="Bliss-Light"/>
                <w:noProof/>
                <w:sz w:val="24"/>
                <w:szCs w:val="24"/>
              </w:rPr>
              <w:t>322,916</w:t>
            </w:r>
          </w:p>
        </w:tc>
      </w:tr>
      <w:tr w:rsidR="005F42EE" w14:paraId="556583F4" w14:textId="77777777" w:rsidTr="00ED333E">
        <w:trPr>
          <w:trHeight w:val="550"/>
        </w:trPr>
        <w:tc>
          <w:tcPr>
            <w:tcW w:w="4258" w:type="dxa"/>
            <w:shd w:val="clear" w:color="auto" w:fill="B8CCE4" w:themeFill="accent1" w:themeFillTint="66"/>
            <w:vAlign w:val="center"/>
          </w:tcPr>
          <w:p w14:paraId="14D2A8BF" w14:textId="729BCE89" w:rsidR="005F42EE" w:rsidRPr="000B340C" w:rsidRDefault="00A729C3" w:rsidP="00ED333E">
            <w:pPr>
              <w:rPr>
                <w:rFonts w:ascii="Bliss-Light" w:hAnsi="Bliss-Light"/>
                <w:noProof/>
                <w:sz w:val="24"/>
                <w:szCs w:val="24"/>
              </w:rPr>
            </w:pPr>
            <w:r w:rsidRPr="000B340C">
              <w:rPr>
                <w:rFonts w:ascii="Bliss-Light" w:hAnsi="Bliss-Light"/>
                <w:noProof/>
                <w:sz w:val="24"/>
                <w:szCs w:val="24"/>
              </w:rPr>
              <w:t>Tallaght (RMA)</w:t>
            </w:r>
          </w:p>
        </w:tc>
        <w:tc>
          <w:tcPr>
            <w:tcW w:w="4258" w:type="dxa"/>
            <w:shd w:val="clear" w:color="auto" w:fill="B8CCE4" w:themeFill="accent1" w:themeFillTint="66"/>
            <w:vAlign w:val="center"/>
          </w:tcPr>
          <w:p w14:paraId="70A06C3E" w14:textId="7679D98F" w:rsidR="005F42EE" w:rsidRPr="000B340C" w:rsidRDefault="00DE6651" w:rsidP="00ED333E">
            <w:pPr>
              <w:rPr>
                <w:rFonts w:ascii="Bliss-Light" w:hAnsi="Bliss-Light"/>
                <w:noProof/>
                <w:sz w:val="24"/>
                <w:szCs w:val="24"/>
              </w:rPr>
            </w:pPr>
            <w:r w:rsidRPr="000B340C">
              <w:rPr>
                <w:rFonts w:ascii="Bliss-Light" w:hAnsi="Bliss-Light"/>
                <w:noProof/>
                <w:sz w:val="24"/>
                <w:szCs w:val="24"/>
              </w:rPr>
              <w:t>363,939</w:t>
            </w:r>
          </w:p>
        </w:tc>
      </w:tr>
      <w:tr w:rsidR="005F42EE" w14:paraId="783D6982" w14:textId="77777777" w:rsidTr="00ED333E">
        <w:trPr>
          <w:trHeight w:val="558"/>
        </w:trPr>
        <w:tc>
          <w:tcPr>
            <w:tcW w:w="4258" w:type="dxa"/>
            <w:vAlign w:val="center"/>
          </w:tcPr>
          <w:p w14:paraId="3284042E" w14:textId="3CBA1F40" w:rsidR="005F42EE" w:rsidRPr="00B417A3" w:rsidRDefault="00B14F19" w:rsidP="00ED333E">
            <w:pPr>
              <w:rPr>
                <w:rFonts w:ascii="Bliss-Bold" w:hAnsi="Bliss-Bold"/>
                <w:noProof/>
                <w:sz w:val="24"/>
                <w:szCs w:val="24"/>
              </w:rPr>
            </w:pPr>
            <w:r w:rsidRPr="00B417A3">
              <w:rPr>
                <w:rFonts w:ascii="Bliss-Bold" w:hAnsi="Bliss-Bold"/>
                <w:noProof/>
                <w:sz w:val="24"/>
                <w:szCs w:val="24"/>
              </w:rPr>
              <w:t>Total</w:t>
            </w:r>
          </w:p>
        </w:tc>
        <w:tc>
          <w:tcPr>
            <w:tcW w:w="4258" w:type="dxa"/>
            <w:vAlign w:val="center"/>
          </w:tcPr>
          <w:p w14:paraId="0DA118B4" w14:textId="606FC72D" w:rsidR="005F42EE" w:rsidRPr="00B417A3" w:rsidRDefault="00F6160A" w:rsidP="00ED333E">
            <w:pPr>
              <w:rPr>
                <w:rFonts w:ascii="Bliss-Bold" w:hAnsi="Bliss-Bold"/>
                <w:noProof/>
                <w:sz w:val="24"/>
                <w:szCs w:val="24"/>
              </w:rPr>
            </w:pPr>
            <w:r w:rsidRPr="00B417A3">
              <w:rPr>
                <w:rFonts w:ascii="Bliss-Bold" w:hAnsi="Bliss-Bold"/>
                <w:noProof/>
                <w:sz w:val="24"/>
                <w:szCs w:val="24"/>
              </w:rPr>
              <w:t>5,458,332</w:t>
            </w:r>
          </w:p>
        </w:tc>
      </w:tr>
    </w:tbl>
    <w:p w14:paraId="34D219D1" w14:textId="0031AD13" w:rsidR="005F42EE" w:rsidRDefault="005F42EE" w:rsidP="00F55AFC">
      <w:pPr>
        <w:pBdr>
          <w:bottom w:val="single" w:sz="6" w:space="1" w:color="auto"/>
        </w:pBdr>
        <w:rPr>
          <w:noProof/>
        </w:rPr>
      </w:pPr>
    </w:p>
    <w:p w14:paraId="25517F5E" w14:textId="2DFF7F43" w:rsidR="00B17396" w:rsidRDefault="00B17396" w:rsidP="00F55AFC">
      <w:pPr>
        <w:pBdr>
          <w:bottom w:val="single" w:sz="6" w:space="1" w:color="auto"/>
        </w:pBdr>
        <w:rPr>
          <w:noProof/>
        </w:rPr>
      </w:pPr>
    </w:p>
    <w:p w14:paraId="0970F71D" w14:textId="77777777" w:rsidR="002422A7" w:rsidRDefault="002422A7" w:rsidP="00F55AFC">
      <w:pPr>
        <w:pBdr>
          <w:bottom w:val="single" w:sz="6" w:space="1" w:color="auto"/>
        </w:pBdr>
        <w:rPr>
          <w:noProof/>
        </w:rPr>
      </w:pPr>
    </w:p>
    <w:p w14:paraId="4DC4DC84" w14:textId="77777777" w:rsidR="002422A7" w:rsidRDefault="002422A7" w:rsidP="00F55AFC">
      <w:pPr>
        <w:pBdr>
          <w:bottom w:val="single" w:sz="6" w:space="1" w:color="auto"/>
        </w:pBdr>
        <w:rPr>
          <w:noProof/>
        </w:rPr>
      </w:pPr>
    </w:p>
    <w:p w14:paraId="1C1B2927" w14:textId="77777777" w:rsidR="002422A7" w:rsidRDefault="002422A7" w:rsidP="00F55AFC">
      <w:pPr>
        <w:pBdr>
          <w:bottom w:val="single" w:sz="6" w:space="1" w:color="auto"/>
        </w:pBdr>
        <w:rPr>
          <w:noProof/>
        </w:rPr>
      </w:pPr>
    </w:p>
    <w:tbl>
      <w:tblPr>
        <w:tblW w:w="8364" w:type="dxa"/>
        <w:tblInd w:w="64" w:type="dxa"/>
        <w:tblLayout w:type="fixed"/>
        <w:tblCellMar>
          <w:left w:w="0" w:type="dxa"/>
          <w:right w:w="0" w:type="dxa"/>
        </w:tblCellMar>
        <w:tblLook w:val="0000" w:firstRow="0" w:lastRow="0" w:firstColumn="0" w:lastColumn="0" w:noHBand="0" w:noVBand="0"/>
        <w:tblCaption w:val="Table: REGION 2 MABS"/>
      </w:tblPr>
      <w:tblGrid>
        <w:gridCol w:w="6946"/>
        <w:gridCol w:w="1418"/>
      </w:tblGrid>
      <w:tr w:rsidR="002422A7" w:rsidRPr="00021549" w14:paraId="48D03C3A" w14:textId="77777777" w:rsidTr="003E40E9">
        <w:trPr>
          <w:trHeight w:val="656"/>
          <w:tblHeader/>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4287D917" w14:textId="623E700C" w:rsidR="002422A7" w:rsidRPr="00DF2241" w:rsidRDefault="002422A7" w:rsidP="002422A7">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Bold" w:hAnsi="Bliss-Bold" w:cs="Bliss-Bold"/>
                <w:b/>
                <w:bCs/>
                <w:caps/>
                <w:color w:val="FFFFFF"/>
                <w:sz w:val="26"/>
                <w:szCs w:val="26"/>
                <w:lang w:val="en-GB"/>
              </w:rPr>
              <w:lastRenderedPageBreak/>
              <w:t>REGION 2 MABS</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70A01846" w14:textId="77777777" w:rsidR="002422A7" w:rsidRPr="00021549" w:rsidRDefault="002422A7" w:rsidP="003E40E9">
            <w:pPr>
              <w:widowControl w:val="0"/>
              <w:suppressAutoHyphens/>
              <w:autoSpaceDE w:val="0"/>
              <w:autoSpaceDN w:val="0"/>
              <w:adjustRightInd w:val="0"/>
              <w:spacing w:line="300" w:lineRule="atLeast"/>
              <w:ind w:left="61"/>
              <w:textAlignment w:val="center"/>
              <w:rPr>
                <w:rFonts w:ascii="Times New Roman" w:hAnsi="Times New Roman" w:cs="Times New Roman"/>
                <w:caps/>
                <w:color w:val="7FFF00"/>
                <w:sz w:val="20"/>
                <w:szCs w:val="20"/>
                <w:lang w:val="en-GB"/>
              </w:rPr>
            </w:pPr>
            <w:r>
              <w:rPr>
                <w:rFonts w:ascii="Times New Roman" w:hAnsi="Times New Roman" w:cs="Times New Roman"/>
                <w:b/>
                <w:bCs/>
                <w:caps/>
                <w:color w:val="FFFFFF"/>
                <w:sz w:val="26"/>
                <w:szCs w:val="26"/>
                <w:lang w:val="en-GB"/>
              </w:rPr>
              <w:t>€</w:t>
            </w:r>
          </w:p>
        </w:tc>
      </w:tr>
      <w:tr w:rsidR="002422A7" w:rsidRPr="007952EB" w14:paraId="492CD3A6" w14:textId="77777777" w:rsidTr="003E40E9">
        <w:trPr>
          <w:trHeight w:val="38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77A34E37" w14:textId="6A95139B"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olor w:val="4C4C4C"/>
                <w:lang w:val="en-GB"/>
              </w:rPr>
              <w:t>Athlone</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4EFC8951" w14:textId="427FB5B2"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159,300</w:t>
            </w:r>
          </w:p>
        </w:tc>
      </w:tr>
      <w:tr w:rsidR="002422A7" w:rsidRPr="007952EB" w14:paraId="0706D5F9" w14:textId="77777777" w:rsidTr="003E40E9">
        <w:trPr>
          <w:trHeight w:val="418"/>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57C05E5F" w14:textId="77777777"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7952EB">
              <w:rPr>
                <w:rFonts w:ascii="Bliss-Light" w:hAnsi="Bliss-Light" w:cs="Bliss-Regular"/>
                <w:color w:val="4C4C4C"/>
                <w:lang w:val="en-GB"/>
              </w:rPr>
              <w:t>Blanchardstown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09F13EE7" w14:textId="5D6612A4"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275,217</w:t>
            </w:r>
          </w:p>
        </w:tc>
      </w:tr>
      <w:tr w:rsidR="002422A7" w:rsidRPr="007952EB" w14:paraId="572B64B8" w14:textId="77777777" w:rsidTr="003E40E9">
        <w:trPr>
          <w:trHeight w:val="27"/>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2C4B71D2" w14:textId="77777777"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7952EB">
              <w:rPr>
                <w:rFonts w:ascii="Bliss-Light" w:hAnsi="Bliss-Light" w:cs="Bliss-Regular"/>
                <w:color w:val="4C4C4C"/>
                <w:lang w:val="en-GB"/>
              </w:rPr>
              <w:t>Clondalkin (ASM</w:t>
            </w:r>
            <w:r w:rsidRPr="007952EB">
              <w:rPr>
                <w:rFonts w:ascii="Bliss-Light" w:hAnsi="Bliss-Light" w:cs="Bliss-Regular"/>
                <w:color w:val="4C4C4C"/>
                <w:vertAlign w:val="superscript"/>
                <w:lang w:val="en-GB"/>
              </w:rPr>
              <w:t>11</w:t>
            </w:r>
            <w:r w:rsidRPr="007952EB">
              <w:rPr>
                <w:rFonts w:ascii="Bliss-Light" w:hAnsi="Bliss-Light" w:cs="Bliss-Regular"/>
                <w:color w:val="4C4C4C"/>
                <w:lang w:val="en-GB"/>
              </w:rPr>
              <w:t>) (NAS</w:t>
            </w:r>
            <w:r w:rsidRPr="007952EB">
              <w:rPr>
                <w:rFonts w:ascii="Bliss-Light" w:hAnsi="Bliss-Light" w:cs="Bliss-Regular"/>
                <w:color w:val="4C4C4C"/>
                <w:vertAlign w:val="superscript"/>
                <w:lang w:val="en-GB"/>
              </w:rPr>
              <w:t>12</w:t>
            </w:r>
            <w:r w:rsidRPr="007952EB">
              <w:rPr>
                <w:rFonts w:ascii="Bliss-Light" w:hAnsi="Bliss-Light" w:cs="Bliss-Regular"/>
                <w:color w:val="4C4C4C"/>
                <w:lang w:val="en-GB"/>
              </w:rPr>
              <w:t>)</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655A6040" w14:textId="27203537"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219,838</w:t>
            </w:r>
          </w:p>
        </w:tc>
      </w:tr>
      <w:tr w:rsidR="002422A7" w:rsidRPr="007952EB" w14:paraId="2B6EDE2D" w14:textId="77777777" w:rsidTr="003E40E9">
        <w:trPr>
          <w:trHeight w:val="35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36C3CF25" w14:textId="77777777"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7952EB">
              <w:rPr>
                <w:rFonts w:ascii="Bliss-Light" w:hAnsi="Bliss-Light" w:cs="Bliss-Regular"/>
                <w:color w:val="4C4C4C"/>
                <w:lang w:val="en-GB"/>
              </w:rPr>
              <w:t>Dublin 12 &amp; 6W (Crumlin)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10EE924A" w14:textId="18ADFB62"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183,799</w:t>
            </w:r>
          </w:p>
        </w:tc>
      </w:tr>
      <w:tr w:rsidR="002422A7" w:rsidRPr="007952EB" w14:paraId="4D204BF5" w14:textId="77777777" w:rsidTr="003E40E9">
        <w:trPr>
          <w:trHeight w:val="21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574E2E27" w14:textId="77777777"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7952EB">
              <w:rPr>
                <w:rFonts w:ascii="Bliss-Light" w:hAnsi="Bliss-Light" w:cs="Bliss-Regular"/>
                <w:color w:val="4C4C4C"/>
                <w:lang w:val="en-GB"/>
              </w:rPr>
              <w:t>Dublin 2,4,6</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6D4D64C8" w14:textId="208BEDAD"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198,171</w:t>
            </w:r>
          </w:p>
        </w:tc>
      </w:tr>
      <w:tr w:rsidR="002422A7" w:rsidRPr="007952EB" w14:paraId="03E14382" w14:textId="77777777" w:rsidTr="003E40E9">
        <w:trPr>
          <w:trHeight w:val="190"/>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6B0EE738" w14:textId="77777777"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7952EB">
              <w:rPr>
                <w:rFonts w:ascii="Bliss-Light" w:hAnsi="Bliss-Light" w:cs="Bliss-Regular"/>
                <w:color w:val="4C4C4C"/>
                <w:lang w:val="en-GB"/>
              </w:rPr>
              <w:t xml:space="preserve">Dublin 8 &amp; Bluebell </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35C93ACB" w14:textId="64F65CF5"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374,936</w:t>
            </w:r>
          </w:p>
        </w:tc>
      </w:tr>
      <w:tr w:rsidR="002422A7" w:rsidRPr="007952EB" w14:paraId="3ABF2B44" w14:textId="77777777" w:rsidTr="003E40E9">
        <w:trPr>
          <w:trHeight w:val="168"/>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73E789D2" w14:textId="77777777"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7952EB">
              <w:rPr>
                <w:rFonts w:ascii="Bliss-Light" w:hAnsi="Bliss-Light" w:cs="Bliss-Regular"/>
                <w:color w:val="4C4C4C"/>
                <w:lang w:val="en-GB"/>
              </w:rPr>
              <w:t>Dublin City Centre</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149F34F4" w14:textId="25CE5AC7"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249,030</w:t>
            </w:r>
          </w:p>
        </w:tc>
      </w:tr>
      <w:tr w:rsidR="002422A7" w:rsidRPr="007952EB" w14:paraId="567F9CB4" w14:textId="77777777" w:rsidTr="003E40E9">
        <w:trPr>
          <w:trHeight w:val="20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52EB9323" w14:textId="77777777"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7952EB">
              <w:rPr>
                <w:rFonts w:ascii="Bliss-Light" w:hAnsi="Bliss-Light" w:cs="Bliss-Regular"/>
                <w:color w:val="4C4C4C"/>
                <w:lang w:val="en-GB"/>
              </w:rPr>
              <w:t>Dublin Coty North Bay (KARE)</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327891D6" w14:textId="7863C021"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206,028</w:t>
            </w:r>
          </w:p>
        </w:tc>
      </w:tr>
      <w:tr w:rsidR="002422A7" w:rsidRPr="007952EB" w14:paraId="2A13D9AA" w14:textId="77777777" w:rsidTr="003E40E9">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78AB76AF" w14:textId="77777777"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7952EB">
              <w:rPr>
                <w:rFonts w:ascii="Bliss-Light" w:hAnsi="Bliss-Light" w:cs="Bliss-Regular"/>
                <w:color w:val="4C4C4C"/>
                <w:lang w:val="en-GB"/>
              </w:rPr>
              <w:t>Dublin North West (Finglas)</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64F51AD9" w14:textId="0551D6A8"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188,471</w:t>
            </w:r>
          </w:p>
        </w:tc>
      </w:tr>
      <w:tr w:rsidR="002422A7" w:rsidRPr="007952EB" w14:paraId="3D20474B" w14:textId="77777777" w:rsidTr="003E40E9">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569218A3" w14:textId="77777777"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7952EB">
              <w:rPr>
                <w:rFonts w:ascii="Bliss-Light" w:hAnsi="Bliss-Light" w:cs="Bliss-Regular"/>
                <w:color w:val="4C4C4C"/>
                <w:lang w:val="en-GB"/>
              </w:rPr>
              <w:t>Dublin Northside</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3DC802CD" w14:textId="029D9F0D"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311,923</w:t>
            </w:r>
          </w:p>
        </w:tc>
      </w:tr>
      <w:tr w:rsidR="002422A7" w:rsidRPr="007952EB" w14:paraId="0C643B95" w14:textId="77777777" w:rsidTr="003E40E9">
        <w:trPr>
          <w:trHeight w:val="124"/>
        </w:trPr>
        <w:tc>
          <w:tcPr>
            <w:tcW w:w="6946" w:type="dxa"/>
            <w:tcBorders>
              <w:top w:val="single" w:sz="4" w:space="0" w:color="92CDDC" w:themeColor="accent5" w:themeTint="99"/>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1A5BD367" w14:textId="77777777"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7952EB">
              <w:rPr>
                <w:rFonts w:ascii="Bliss-Light" w:hAnsi="Bliss-Light" w:cs="Bliss-Regular"/>
                <w:color w:val="4C4C4C"/>
                <w:lang w:val="en-GB"/>
              </w:rPr>
              <w:t>Dun Laoghaire/Rathdown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4FC9D103" w14:textId="2BB37E3C"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150,800</w:t>
            </w:r>
          </w:p>
        </w:tc>
      </w:tr>
      <w:tr w:rsidR="002422A7" w:rsidRPr="007952EB" w14:paraId="111D31CA" w14:textId="77777777" w:rsidTr="003E40E9">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C4E6E49" w14:textId="77777777"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7952EB">
              <w:rPr>
                <w:rFonts w:ascii="Bliss-Light" w:hAnsi="Bliss-Light" w:cs="Bliss-Regular"/>
                <w:color w:val="4C4C4C"/>
                <w:lang w:val="en-GB"/>
              </w:rPr>
              <w:t>Fingal (North County)</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67E9D855" w14:textId="033AA730"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520,871</w:t>
            </w:r>
          </w:p>
        </w:tc>
      </w:tr>
      <w:tr w:rsidR="002422A7" w:rsidRPr="007952EB" w14:paraId="2868E417" w14:textId="77777777" w:rsidTr="003E40E9">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280BBDFE" w14:textId="77777777"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7952EB">
              <w:rPr>
                <w:rFonts w:ascii="Bliss-Light" w:hAnsi="Bliss-Light" w:cs="Bliss-Regular"/>
                <w:color w:val="4C4C4C"/>
                <w:lang w:val="en-GB"/>
              </w:rPr>
              <w:t xml:space="preserve">Lought </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6584882C" w14:textId="5482D6B7"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287,600</w:t>
            </w:r>
          </w:p>
        </w:tc>
      </w:tr>
      <w:tr w:rsidR="002422A7" w:rsidRPr="007952EB" w14:paraId="3B264080" w14:textId="77777777" w:rsidTr="003E40E9">
        <w:trPr>
          <w:trHeight w:val="124"/>
        </w:trPr>
        <w:tc>
          <w:tcPr>
            <w:tcW w:w="6946" w:type="dxa"/>
            <w:tcBorders>
              <w:top w:val="single" w:sz="4" w:space="0" w:color="8DB3E2" w:themeColor="text2" w:themeTint="66"/>
              <w:left w:val="single" w:sz="4" w:space="0" w:color="8DB3E2" w:themeColor="text2" w:themeTint="66"/>
              <w:bottom w:val="single" w:sz="4" w:space="0" w:color="92CDDC" w:themeColor="accent5" w:themeTint="99"/>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5B03139B" w14:textId="77777777"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7952EB">
              <w:rPr>
                <w:rFonts w:ascii="Bliss-Light" w:hAnsi="Bliss-Light" w:cs="Bliss-Regular"/>
                <w:color w:val="4C4C4C"/>
                <w:lang w:val="en-GB"/>
              </w:rPr>
              <w:t>Monaghan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20140591" w14:textId="126BB1B8" w:rsidR="002422A7" w:rsidRPr="007952EB" w:rsidRDefault="002422A7" w:rsidP="003E40E9">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122,996</w:t>
            </w:r>
          </w:p>
        </w:tc>
      </w:tr>
      <w:tr w:rsidR="002422A7" w:rsidRPr="007952EB" w14:paraId="109A45B5" w14:textId="77777777" w:rsidTr="002422A7">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65A5B32D" w14:textId="77777777" w:rsidR="002422A7" w:rsidRPr="007952EB" w:rsidRDefault="002422A7" w:rsidP="003E40E9">
            <w:pPr>
              <w:widowControl w:val="0"/>
              <w:suppressAutoHyphens/>
              <w:autoSpaceDE w:val="0"/>
              <w:autoSpaceDN w:val="0"/>
              <w:adjustRightInd w:val="0"/>
              <w:spacing w:line="300" w:lineRule="atLeast"/>
              <w:ind w:left="61"/>
              <w:textAlignment w:val="center"/>
              <w:rPr>
                <w:rFonts w:ascii="Bliss-Bold" w:hAnsi="Bliss-Bold" w:cs="Bliss-Regular"/>
                <w:color w:val="4C4C4C"/>
                <w:lang w:val="en-GB"/>
              </w:rPr>
            </w:pPr>
            <w:r w:rsidRPr="007952EB">
              <w:rPr>
                <w:rFonts w:ascii="Bliss-Bold" w:hAnsi="Bliss-Bold" w:cs="Bliss-Regular"/>
                <w:color w:val="4C4C4C"/>
                <w:lang w:val="en-GB"/>
              </w:rPr>
              <w:t>Total</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20D7C481" w14:textId="7BF76FD6" w:rsidR="002422A7" w:rsidRPr="007952EB" w:rsidRDefault="002422A7" w:rsidP="003E40E9">
            <w:pPr>
              <w:widowControl w:val="0"/>
              <w:suppressAutoHyphens/>
              <w:autoSpaceDE w:val="0"/>
              <w:autoSpaceDN w:val="0"/>
              <w:adjustRightInd w:val="0"/>
              <w:spacing w:line="300" w:lineRule="atLeast"/>
              <w:ind w:left="61"/>
              <w:textAlignment w:val="center"/>
              <w:rPr>
                <w:rFonts w:ascii="Bliss-Bold" w:hAnsi="Bliss-Bold" w:cs="Bliss-Regular"/>
                <w:caps/>
                <w:color w:val="4C4C4C"/>
                <w:lang w:val="en-GB"/>
              </w:rPr>
            </w:pPr>
            <w:r>
              <w:rPr>
                <w:rFonts w:ascii="Bliss-Bold" w:hAnsi="Bliss-Bold" w:cs="Bliss-Regular"/>
                <w:caps/>
                <w:color w:val="4C4C4C"/>
                <w:lang w:val="en-GB"/>
              </w:rPr>
              <w:t>3,448,980</w:t>
            </w:r>
          </w:p>
        </w:tc>
      </w:tr>
    </w:tbl>
    <w:p w14:paraId="59066DB8" w14:textId="77777777" w:rsidR="002422A7" w:rsidRDefault="002422A7" w:rsidP="00F55AFC">
      <w:pPr>
        <w:pBdr>
          <w:bottom w:val="single" w:sz="6" w:space="1" w:color="auto"/>
        </w:pBdr>
        <w:rPr>
          <w:noProof/>
        </w:rPr>
      </w:pPr>
    </w:p>
    <w:p w14:paraId="66CD992B" w14:textId="77777777" w:rsidR="00CE61A5" w:rsidRDefault="00CE61A5" w:rsidP="00F55AFC">
      <w:pPr>
        <w:pBdr>
          <w:bottom w:val="single" w:sz="6" w:space="1" w:color="auto"/>
        </w:pBdr>
        <w:rPr>
          <w:noProof/>
        </w:rPr>
      </w:pPr>
    </w:p>
    <w:p w14:paraId="787A034C" w14:textId="77777777" w:rsidR="00CE61A5" w:rsidRDefault="00CE61A5" w:rsidP="00F55AFC">
      <w:pPr>
        <w:pBdr>
          <w:bottom w:val="single" w:sz="6" w:space="1" w:color="auto"/>
        </w:pBdr>
        <w:rPr>
          <w:noProof/>
        </w:rPr>
      </w:pPr>
    </w:p>
    <w:p w14:paraId="7BDD8466" w14:textId="77777777" w:rsidR="00CE61A5" w:rsidRDefault="00CE61A5" w:rsidP="00F55AFC">
      <w:pPr>
        <w:pBdr>
          <w:bottom w:val="single" w:sz="6" w:space="1" w:color="auto"/>
        </w:pBdr>
        <w:rPr>
          <w:noProof/>
        </w:rPr>
      </w:pPr>
    </w:p>
    <w:p w14:paraId="7C2D3EC1" w14:textId="77777777" w:rsidR="00CE61A5" w:rsidRDefault="00CE61A5" w:rsidP="00F55AFC">
      <w:pPr>
        <w:pBdr>
          <w:bottom w:val="single" w:sz="6" w:space="1" w:color="auto"/>
        </w:pBdr>
        <w:rPr>
          <w:noProof/>
        </w:rPr>
      </w:pPr>
    </w:p>
    <w:p w14:paraId="6ECD5C22" w14:textId="77777777" w:rsidR="00CE61A5" w:rsidRDefault="00CE61A5" w:rsidP="00F55AFC">
      <w:pPr>
        <w:pBdr>
          <w:bottom w:val="single" w:sz="6" w:space="1" w:color="auto"/>
        </w:pBdr>
        <w:rPr>
          <w:noProof/>
        </w:rPr>
      </w:pPr>
    </w:p>
    <w:p w14:paraId="57548574" w14:textId="77777777" w:rsidR="00CE61A5" w:rsidRDefault="00CE61A5" w:rsidP="00F55AFC">
      <w:pPr>
        <w:pBdr>
          <w:bottom w:val="single" w:sz="6" w:space="1" w:color="auto"/>
        </w:pBdr>
        <w:rPr>
          <w:noProof/>
        </w:rPr>
      </w:pPr>
    </w:p>
    <w:p w14:paraId="60908BC7" w14:textId="77777777" w:rsidR="00CE61A5" w:rsidRDefault="00CE61A5" w:rsidP="00F55AFC">
      <w:pPr>
        <w:pBdr>
          <w:bottom w:val="single" w:sz="6" w:space="1" w:color="auto"/>
        </w:pBdr>
        <w:rPr>
          <w:noProof/>
        </w:rPr>
      </w:pPr>
    </w:p>
    <w:p w14:paraId="5419436C" w14:textId="77777777" w:rsidR="008874BD" w:rsidRDefault="008874BD" w:rsidP="00F55AFC">
      <w:pPr>
        <w:pBdr>
          <w:bottom w:val="single" w:sz="6" w:space="1" w:color="auto"/>
        </w:pBdr>
        <w:rPr>
          <w:noProof/>
        </w:rPr>
      </w:pPr>
    </w:p>
    <w:p w14:paraId="683C5E46" w14:textId="77777777" w:rsidR="008874BD" w:rsidRDefault="008874BD" w:rsidP="00F55AFC">
      <w:pPr>
        <w:pBdr>
          <w:bottom w:val="single" w:sz="6" w:space="1" w:color="auto"/>
        </w:pBdr>
        <w:rPr>
          <w:noProof/>
        </w:rPr>
      </w:pPr>
    </w:p>
    <w:p w14:paraId="6EF98DAD" w14:textId="77777777" w:rsidR="008874BD" w:rsidRDefault="008874BD" w:rsidP="00F55AFC">
      <w:pPr>
        <w:pBdr>
          <w:bottom w:val="single" w:sz="6" w:space="1" w:color="auto"/>
        </w:pBdr>
        <w:rPr>
          <w:noProof/>
        </w:rPr>
      </w:pPr>
    </w:p>
    <w:p w14:paraId="244F4CED" w14:textId="77777777" w:rsidR="00CE61A5" w:rsidRDefault="00CE61A5" w:rsidP="00F55AFC">
      <w:pPr>
        <w:pBdr>
          <w:bottom w:val="single" w:sz="6" w:space="1" w:color="auto"/>
        </w:pBdr>
        <w:rPr>
          <w:noProof/>
        </w:rPr>
      </w:pPr>
    </w:p>
    <w:p w14:paraId="1146EEB3" w14:textId="77777777" w:rsidR="00CE61A5" w:rsidRDefault="00CE61A5" w:rsidP="00F55AFC">
      <w:pPr>
        <w:pBdr>
          <w:bottom w:val="single" w:sz="6" w:space="1" w:color="auto"/>
        </w:pBdr>
        <w:rPr>
          <w:noProof/>
        </w:rPr>
      </w:pPr>
    </w:p>
    <w:p w14:paraId="69401142" w14:textId="77777777" w:rsidR="00CE61A5" w:rsidRDefault="00CE61A5" w:rsidP="00F55AFC">
      <w:pPr>
        <w:pBdr>
          <w:bottom w:val="single" w:sz="6" w:space="1" w:color="auto"/>
        </w:pBdr>
        <w:rPr>
          <w:noProof/>
        </w:rPr>
      </w:pPr>
    </w:p>
    <w:p w14:paraId="59E2EEB6" w14:textId="77777777" w:rsidR="00CE61A5" w:rsidRDefault="00CE61A5" w:rsidP="00F55AFC">
      <w:pPr>
        <w:pBdr>
          <w:bottom w:val="single" w:sz="6" w:space="1" w:color="auto"/>
        </w:pBdr>
        <w:rPr>
          <w:noProof/>
        </w:rPr>
      </w:pPr>
    </w:p>
    <w:p w14:paraId="71EC9EDF" w14:textId="77777777" w:rsidR="00CE61A5" w:rsidRDefault="00CE61A5" w:rsidP="00F55AFC">
      <w:pPr>
        <w:pBdr>
          <w:bottom w:val="single" w:sz="6" w:space="1" w:color="auto"/>
        </w:pBdr>
        <w:rPr>
          <w:noProof/>
        </w:rPr>
      </w:pPr>
    </w:p>
    <w:p w14:paraId="1D97BA4A" w14:textId="77777777" w:rsidR="00CE61A5" w:rsidRDefault="00CE61A5" w:rsidP="00F55AFC">
      <w:pPr>
        <w:pBdr>
          <w:bottom w:val="single" w:sz="6" w:space="1" w:color="auto"/>
        </w:pBdr>
        <w:rPr>
          <w:noProof/>
        </w:rPr>
      </w:pPr>
    </w:p>
    <w:p w14:paraId="60D2644D" w14:textId="77777777" w:rsidR="00CE61A5" w:rsidRDefault="00CE61A5" w:rsidP="00F55AFC">
      <w:pPr>
        <w:pBdr>
          <w:bottom w:val="single" w:sz="6" w:space="1" w:color="auto"/>
        </w:pBdr>
        <w:rPr>
          <w:noProof/>
        </w:rPr>
      </w:pPr>
    </w:p>
    <w:p w14:paraId="025EB964" w14:textId="77777777" w:rsidR="00CE61A5" w:rsidRDefault="00CE61A5" w:rsidP="00F55AFC">
      <w:pPr>
        <w:pBdr>
          <w:bottom w:val="single" w:sz="6" w:space="1" w:color="auto"/>
        </w:pBdr>
        <w:rPr>
          <w:noProof/>
        </w:rPr>
      </w:pPr>
    </w:p>
    <w:p w14:paraId="06FAD586" w14:textId="77777777" w:rsidR="00CE61A5" w:rsidRDefault="00CE61A5" w:rsidP="00F55AFC">
      <w:pPr>
        <w:pBdr>
          <w:bottom w:val="single" w:sz="6" w:space="1" w:color="auto"/>
        </w:pBdr>
        <w:rPr>
          <w:noProof/>
        </w:rPr>
      </w:pPr>
    </w:p>
    <w:p w14:paraId="5FDE1EE4" w14:textId="77777777" w:rsidR="00CE61A5" w:rsidRDefault="00CE61A5" w:rsidP="00F55AFC">
      <w:pPr>
        <w:pBdr>
          <w:bottom w:val="single" w:sz="6" w:space="1" w:color="auto"/>
        </w:pBdr>
        <w:rPr>
          <w:noProof/>
        </w:rPr>
      </w:pPr>
    </w:p>
    <w:p w14:paraId="6753FDEA" w14:textId="77777777" w:rsidR="00CE61A5" w:rsidRDefault="00CE61A5" w:rsidP="00F55AFC">
      <w:pPr>
        <w:pBdr>
          <w:bottom w:val="single" w:sz="6" w:space="1" w:color="auto"/>
        </w:pBdr>
        <w:rPr>
          <w:noProof/>
        </w:rPr>
      </w:pPr>
    </w:p>
    <w:p w14:paraId="1C40D68C" w14:textId="77777777" w:rsidR="00CE61A5" w:rsidRDefault="00CE61A5" w:rsidP="00F55AFC">
      <w:pPr>
        <w:pBdr>
          <w:bottom w:val="single" w:sz="6" w:space="1" w:color="auto"/>
        </w:pBdr>
        <w:rPr>
          <w:noProof/>
        </w:rPr>
      </w:pPr>
    </w:p>
    <w:tbl>
      <w:tblPr>
        <w:tblStyle w:val="TableGrid"/>
        <w:tblW w:w="8516"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Table: REGION 3 MABS"/>
      </w:tblPr>
      <w:tblGrid>
        <w:gridCol w:w="7054"/>
        <w:gridCol w:w="1462"/>
      </w:tblGrid>
      <w:tr w:rsidR="00EA1C25" w:rsidRPr="00F311C1" w14:paraId="3A29F405" w14:textId="77777777" w:rsidTr="00E80C48">
        <w:trPr>
          <w:trHeight w:val="693"/>
          <w:tblHeader/>
        </w:trPr>
        <w:tc>
          <w:tcPr>
            <w:tcW w:w="7054" w:type="dxa"/>
            <w:shd w:val="clear" w:color="auto" w:fill="548DD4" w:themeFill="text2" w:themeFillTint="99"/>
            <w:vAlign w:val="center"/>
          </w:tcPr>
          <w:p w14:paraId="382828AA" w14:textId="78C67DD2" w:rsidR="00EA1C25" w:rsidRPr="00F311C1" w:rsidRDefault="00EA1C25" w:rsidP="00510F2F">
            <w:pPr>
              <w:rPr>
                <w:rFonts w:ascii="Bliss-Regular" w:hAnsi="Bliss-Regular"/>
                <w:color w:val="FFFFFF" w:themeColor="background1"/>
                <w:sz w:val="24"/>
                <w:szCs w:val="24"/>
              </w:rPr>
            </w:pPr>
            <w:r w:rsidRPr="00F311C1">
              <w:rPr>
                <w:rFonts w:ascii="Bliss-Regular" w:hAnsi="Bliss-Regular"/>
                <w:color w:val="FFFFFF" w:themeColor="background1"/>
                <w:sz w:val="24"/>
                <w:szCs w:val="24"/>
              </w:rPr>
              <w:t xml:space="preserve">REGION </w:t>
            </w:r>
            <w:r w:rsidR="00510F2F">
              <w:rPr>
                <w:rFonts w:ascii="Bliss-Regular" w:hAnsi="Bliss-Regular"/>
                <w:color w:val="FFFFFF" w:themeColor="background1"/>
                <w:sz w:val="24"/>
                <w:szCs w:val="24"/>
              </w:rPr>
              <w:t>3 MABS</w:t>
            </w:r>
          </w:p>
        </w:tc>
        <w:tc>
          <w:tcPr>
            <w:tcW w:w="1462" w:type="dxa"/>
            <w:shd w:val="clear" w:color="auto" w:fill="548DD4" w:themeFill="text2" w:themeFillTint="99"/>
            <w:vAlign w:val="center"/>
          </w:tcPr>
          <w:p w14:paraId="77ACC5B7" w14:textId="77777777" w:rsidR="00EA1C25" w:rsidRPr="00F311C1" w:rsidRDefault="00EA1C25" w:rsidP="003E40E9">
            <w:pPr>
              <w:rPr>
                <w:rFonts w:ascii="Bliss-Regular" w:hAnsi="Bliss-Regular"/>
                <w:color w:val="FFFFFF" w:themeColor="background1"/>
                <w:sz w:val="24"/>
                <w:szCs w:val="24"/>
              </w:rPr>
            </w:pPr>
            <w:r>
              <w:rPr>
                <w:color w:val="FFFFFF" w:themeColor="background1"/>
                <w:sz w:val="24"/>
                <w:szCs w:val="24"/>
              </w:rPr>
              <w:t>€</w:t>
            </w:r>
          </w:p>
        </w:tc>
      </w:tr>
      <w:tr w:rsidR="00EA1C25" w:rsidRPr="00903491" w14:paraId="458551CB" w14:textId="77777777" w:rsidTr="003E40E9">
        <w:trPr>
          <w:trHeight w:val="431"/>
        </w:trPr>
        <w:tc>
          <w:tcPr>
            <w:tcW w:w="7054" w:type="dxa"/>
            <w:vAlign w:val="center"/>
          </w:tcPr>
          <w:p w14:paraId="76832513" w14:textId="3363E587" w:rsidR="00EA1C25" w:rsidRPr="00903491" w:rsidRDefault="00510F2F" w:rsidP="003E40E9">
            <w:pPr>
              <w:rPr>
                <w:rFonts w:ascii="Bliss-Light" w:hAnsi="Bliss-Light"/>
                <w:sz w:val="24"/>
                <w:szCs w:val="24"/>
              </w:rPr>
            </w:pPr>
            <w:r>
              <w:rPr>
                <w:rFonts w:ascii="Bliss-Light" w:hAnsi="Bliss-Light"/>
                <w:sz w:val="24"/>
                <w:szCs w:val="24"/>
              </w:rPr>
              <w:t>Arklow (RMA)</w:t>
            </w:r>
          </w:p>
        </w:tc>
        <w:tc>
          <w:tcPr>
            <w:tcW w:w="1462" w:type="dxa"/>
            <w:vAlign w:val="center"/>
          </w:tcPr>
          <w:p w14:paraId="20325220" w14:textId="42565129" w:rsidR="00EA1C25" w:rsidRPr="00903491" w:rsidRDefault="00510F2F" w:rsidP="003E40E9">
            <w:pPr>
              <w:rPr>
                <w:rFonts w:ascii="Bliss-Light" w:hAnsi="Bliss-Light"/>
                <w:sz w:val="24"/>
                <w:szCs w:val="24"/>
              </w:rPr>
            </w:pPr>
            <w:r>
              <w:rPr>
                <w:rFonts w:ascii="Bliss-Light" w:hAnsi="Bliss-Light"/>
                <w:sz w:val="24"/>
                <w:szCs w:val="24"/>
              </w:rPr>
              <w:t>237,418</w:t>
            </w:r>
          </w:p>
        </w:tc>
      </w:tr>
      <w:tr w:rsidR="00EA1C25" w:rsidRPr="00903491" w14:paraId="49E650A1" w14:textId="77777777" w:rsidTr="003E40E9">
        <w:trPr>
          <w:trHeight w:val="408"/>
        </w:trPr>
        <w:tc>
          <w:tcPr>
            <w:tcW w:w="7054" w:type="dxa"/>
            <w:shd w:val="clear" w:color="auto" w:fill="B8CCE4" w:themeFill="accent1" w:themeFillTint="66"/>
            <w:vAlign w:val="center"/>
          </w:tcPr>
          <w:p w14:paraId="269FAD1E" w14:textId="50CAE1E1" w:rsidR="00EA1C25" w:rsidRPr="00903491" w:rsidRDefault="00510F2F" w:rsidP="003E40E9">
            <w:pPr>
              <w:rPr>
                <w:rFonts w:ascii="Bliss-Light" w:hAnsi="Bliss-Light"/>
                <w:sz w:val="24"/>
                <w:szCs w:val="24"/>
              </w:rPr>
            </w:pPr>
            <w:r>
              <w:rPr>
                <w:rFonts w:ascii="Bliss-Light" w:hAnsi="Bliss-Light"/>
                <w:sz w:val="24"/>
                <w:szCs w:val="24"/>
              </w:rPr>
              <w:t>Bray (RMA)</w:t>
            </w:r>
          </w:p>
        </w:tc>
        <w:tc>
          <w:tcPr>
            <w:tcW w:w="1462" w:type="dxa"/>
            <w:shd w:val="clear" w:color="auto" w:fill="B8CCE4" w:themeFill="accent1" w:themeFillTint="66"/>
            <w:vAlign w:val="center"/>
          </w:tcPr>
          <w:p w14:paraId="56C11F9B" w14:textId="7F985103" w:rsidR="00EA1C25" w:rsidRPr="00903491" w:rsidRDefault="00510F2F" w:rsidP="003E40E9">
            <w:pPr>
              <w:rPr>
                <w:rFonts w:ascii="Bliss-Light" w:hAnsi="Bliss-Light"/>
                <w:sz w:val="24"/>
                <w:szCs w:val="24"/>
              </w:rPr>
            </w:pPr>
            <w:r>
              <w:rPr>
                <w:rFonts w:ascii="Bliss-Light" w:hAnsi="Bliss-Light"/>
                <w:sz w:val="24"/>
                <w:szCs w:val="24"/>
              </w:rPr>
              <w:t>341,453</w:t>
            </w:r>
          </w:p>
        </w:tc>
      </w:tr>
      <w:tr w:rsidR="00EA1C25" w:rsidRPr="00903491" w14:paraId="39255DB4" w14:textId="77777777" w:rsidTr="003E40E9">
        <w:trPr>
          <w:trHeight w:val="428"/>
        </w:trPr>
        <w:tc>
          <w:tcPr>
            <w:tcW w:w="7054" w:type="dxa"/>
            <w:vAlign w:val="center"/>
          </w:tcPr>
          <w:p w14:paraId="23B009BB" w14:textId="7DC9F51A" w:rsidR="00EA1C25" w:rsidRPr="00903491" w:rsidRDefault="00510F2F" w:rsidP="003E40E9">
            <w:pPr>
              <w:rPr>
                <w:rFonts w:ascii="Bliss-Light" w:hAnsi="Bliss-Light"/>
                <w:sz w:val="24"/>
                <w:szCs w:val="24"/>
              </w:rPr>
            </w:pPr>
            <w:r>
              <w:rPr>
                <w:rFonts w:ascii="Bliss-Light" w:hAnsi="Bliss-Light"/>
                <w:sz w:val="24"/>
                <w:szCs w:val="24"/>
              </w:rPr>
              <w:t>Carlow (AISTU)</w:t>
            </w:r>
          </w:p>
        </w:tc>
        <w:tc>
          <w:tcPr>
            <w:tcW w:w="1462" w:type="dxa"/>
            <w:vAlign w:val="center"/>
          </w:tcPr>
          <w:p w14:paraId="33720B39" w14:textId="7D5DA6FD" w:rsidR="00EA1C25" w:rsidRPr="00903491" w:rsidRDefault="00510F2F" w:rsidP="003E40E9">
            <w:pPr>
              <w:rPr>
                <w:rFonts w:ascii="Bliss-Light" w:hAnsi="Bliss-Light"/>
                <w:sz w:val="24"/>
                <w:szCs w:val="24"/>
              </w:rPr>
            </w:pPr>
            <w:r>
              <w:rPr>
                <w:rFonts w:ascii="Bliss-Light" w:hAnsi="Bliss-Light"/>
                <w:sz w:val="24"/>
                <w:szCs w:val="24"/>
              </w:rPr>
              <w:t>353,022</w:t>
            </w:r>
          </w:p>
        </w:tc>
      </w:tr>
      <w:tr w:rsidR="00EA1C25" w:rsidRPr="00903491" w14:paraId="44D11D85" w14:textId="77777777" w:rsidTr="003E40E9">
        <w:trPr>
          <w:trHeight w:val="407"/>
        </w:trPr>
        <w:tc>
          <w:tcPr>
            <w:tcW w:w="7054" w:type="dxa"/>
            <w:shd w:val="clear" w:color="auto" w:fill="B8CCE4" w:themeFill="accent1" w:themeFillTint="66"/>
            <w:vAlign w:val="center"/>
          </w:tcPr>
          <w:p w14:paraId="69888D9E" w14:textId="1B7CB743" w:rsidR="00EA1C25" w:rsidRPr="00903491" w:rsidRDefault="00510F2F" w:rsidP="003E40E9">
            <w:pPr>
              <w:rPr>
                <w:rFonts w:ascii="Bliss-Light" w:hAnsi="Bliss-Light"/>
                <w:sz w:val="24"/>
                <w:szCs w:val="24"/>
              </w:rPr>
            </w:pPr>
            <w:r>
              <w:rPr>
                <w:rFonts w:ascii="Bliss-Light" w:hAnsi="Bliss-Light"/>
                <w:sz w:val="24"/>
                <w:szCs w:val="24"/>
              </w:rPr>
              <w:t>Kildare (RMA)</w:t>
            </w:r>
          </w:p>
        </w:tc>
        <w:tc>
          <w:tcPr>
            <w:tcW w:w="1462" w:type="dxa"/>
            <w:shd w:val="clear" w:color="auto" w:fill="B8CCE4" w:themeFill="accent1" w:themeFillTint="66"/>
            <w:vAlign w:val="center"/>
          </w:tcPr>
          <w:p w14:paraId="36ADCE53" w14:textId="78AC137B" w:rsidR="00EA1C25" w:rsidRPr="00903491" w:rsidRDefault="00510F2F" w:rsidP="003E40E9">
            <w:pPr>
              <w:rPr>
                <w:rFonts w:ascii="Bliss-Light" w:hAnsi="Bliss-Light"/>
                <w:sz w:val="24"/>
                <w:szCs w:val="24"/>
              </w:rPr>
            </w:pPr>
            <w:r>
              <w:rPr>
                <w:rFonts w:ascii="Bliss-Light" w:hAnsi="Bliss-Light"/>
                <w:sz w:val="24"/>
                <w:szCs w:val="24"/>
              </w:rPr>
              <w:t>459,764</w:t>
            </w:r>
          </w:p>
        </w:tc>
      </w:tr>
      <w:tr w:rsidR="00EA1C25" w:rsidRPr="00903491" w14:paraId="68C4F4DE" w14:textId="77777777" w:rsidTr="003E40E9">
        <w:trPr>
          <w:trHeight w:val="427"/>
        </w:trPr>
        <w:tc>
          <w:tcPr>
            <w:tcW w:w="7054" w:type="dxa"/>
            <w:vAlign w:val="center"/>
          </w:tcPr>
          <w:p w14:paraId="25664937" w14:textId="02BD2486" w:rsidR="00EA1C25" w:rsidRPr="00903491" w:rsidRDefault="00510F2F" w:rsidP="003E40E9">
            <w:pPr>
              <w:rPr>
                <w:rFonts w:ascii="Bliss-Light" w:hAnsi="Bliss-Light"/>
                <w:sz w:val="24"/>
                <w:szCs w:val="24"/>
              </w:rPr>
            </w:pPr>
            <w:r>
              <w:rPr>
                <w:rFonts w:ascii="Bliss-Light" w:hAnsi="Bliss-Light"/>
                <w:sz w:val="24"/>
                <w:szCs w:val="24"/>
              </w:rPr>
              <w:t>Kilkenny</w:t>
            </w:r>
          </w:p>
        </w:tc>
        <w:tc>
          <w:tcPr>
            <w:tcW w:w="1462" w:type="dxa"/>
            <w:vAlign w:val="center"/>
          </w:tcPr>
          <w:p w14:paraId="60138AE9" w14:textId="160CD76B" w:rsidR="00EA1C25" w:rsidRPr="00903491" w:rsidRDefault="00510F2F" w:rsidP="003E40E9">
            <w:pPr>
              <w:rPr>
                <w:rFonts w:ascii="Bliss-Light" w:hAnsi="Bliss-Light"/>
                <w:sz w:val="24"/>
                <w:szCs w:val="24"/>
              </w:rPr>
            </w:pPr>
            <w:r>
              <w:rPr>
                <w:rFonts w:ascii="Bliss-Light" w:hAnsi="Bliss-Light"/>
                <w:sz w:val="24"/>
                <w:szCs w:val="24"/>
              </w:rPr>
              <w:t>287,150</w:t>
            </w:r>
          </w:p>
        </w:tc>
      </w:tr>
      <w:tr w:rsidR="00EA1C25" w:rsidRPr="00903491" w14:paraId="7786C2F3" w14:textId="77777777" w:rsidTr="003E40E9">
        <w:trPr>
          <w:trHeight w:val="404"/>
        </w:trPr>
        <w:tc>
          <w:tcPr>
            <w:tcW w:w="7054" w:type="dxa"/>
            <w:shd w:val="clear" w:color="auto" w:fill="B8CCE4" w:themeFill="accent1" w:themeFillTint="66"/>
            <w:vAlign w:val="center"/>
          </w:tcPr>
          <w:p w14:paraId="66F2DBE3" w14:textId="7C0E01B1" w:rsidR="00EA1C25" w:rsidRPr="00903491" w:rsidRDefault="00510F2F" w:rsidP="003E40E9">
            <w:pPr>
              <w:rPr>
                <w:rFonts w:ascii="Bliss-Light" w:hAnsi="Bliss-Light"/>
                <w:sz w:val="24"/>
                <w:szCs w:val="24"/>
              </w:rPr>
            </w:pPr>
            <w:r>
              <w:rPr>
                <w:rFonts w:ascii="Bliss-Light" w:hAnsi="Bliss-Light"/>
                <w:sz w:val="24"/>
                <w:szCs w:val="24"/>
              </w:rPr>
              <w:t>Laois (RMA)</w:t>
            </w:r>
          </w:p>
        </w:tc>
        <w:tc>
          <w:tcPr>
            <w:tcW w:w="1462" w:type="dxa"/>
            <w:shd w:val="clear" w:color="auto" w:fill="B8CCE4" w:themeFill="accent1" w:themeFillTint="66"/>
            <w:vAlign w:val="center"/>
          </w:tcPr>
          <w:p w14:paraId="0DEA7B3E" w14:textId="6EE8A47B" w:rsidR="00EA1C25" w:rsidRPr="00903491" w:rsidRDefault="00510F2F" w:rsidP="003E40E9">
            <w:pPr>
              <w:rPr>
                <w:rFonts w:ascii="Bliss-Light" w:hAnsi="Bliss-Light"/>
                <w:sz w:val="24"/>
                <w:szCs w:val="24"/>
              </w:rPr>
            </w:pPr>
            <w:r>
              <w:rPr>
                <w:rFonts w:ascii="Bliss-Light" w:hAnsi="Bliss-Light"/>
                <w:sz w:val="24"/>
                <w:szCs w:val="24"/>
              </w:rPr>
              <w:t>205,743</w:t>
            </w:r>
          </w:p>
        </w:tc>
      </w:tr>
      <w:tr w:rsidR="00EA1C25" w:rsidRPr="00903491" w14:paraId="405147E2" w14:textId="77777777" w:rsidTr="003E40E9">
        <w:trPr>
          <w:trHeight w:val="410"/>
        </w:trPr>
        <w:tc>
          <w:tcPr>
            <w:tcW w:w="7054" w:type="dxa"/>
            <w:vAlign w:val="center"/>
          </w:tcPr>
          <w:p w14:paraId="07F1E4C8" w14:textId="509D7A52" w:rsidR="00EA1C25" w:rsidRPr="00903491" w:rsidRDefault="00510F2F" w:rsidP="003E40E9">
            <w:pPr>
              <w:rPr>
                <w:rFonts w:ascii="Bliss-Light" w:hAnsi="Bliss-Light"/>
                <w:sz w:val="24"/>
                <w:szCs w:val="24"/>
              </w:rPr>
            </w:pPr>
            <w:r>
              <w:rPr>
                <w:rFonts w:ascii="Bliss-Light" w:hAnsi="Bliss-Light"/>
                <w:sz w:val="24"/>
                <w:szCs w:val="24"/>
              </w:rPr>
              <w:t>Meath</w:t>
            </w:r>
          </w:p>
        </w:tc>
        <w:tc>
          <w:tcPr>
            <w:tcW w:w="1462" w:type="dxa"/>
            <w:vAlign w:val="center"/>
          </w:tcPr>
          <w:p w14:paraId="65E293E9" w14:textId="4F93E844" w:rsidR="00EA1C25" w:rsidRPr="00903491" w:rsidRDefault="00510F2F" w:rsidP="003E40E9">
            <w:pPr>
              <w:rPr>
                <w:rFonts w:ascii="Bliss-Light" w:hAnsi="Bliss-Light"/>
                <w:sz w:val="24"/>
                <w:szCs w:val="24"/>
              </w:rPr>
            </w:pPr>
            <w:r>
              <w:rPr>
                <w:rFonts w:ascii="Bliss-Light" w:hAnsi="Bliss-Light"/>
                <w:sz w:val="24"/>
                <w:szCs w:val="24"/>
              </w:rPr>
              <w:t>302,482</w:t>
            </w:r>
          </w:p>
        </w:tc>
      </w:tr>
      <w:tr w:rsidR="00EA1C25" w:rsidRPr="00903491" w14:paraId="0AEAB1E0" w14:textId="77777777" w:rsidTr="003E40E9">
        <w:trPr>
          <w:trHeight w:val="431"/>
        </w:trPr>
        <w:tc>
          <w:tcPr>
            <w:tcW w:w="7054" w:type="dxa"/>
            <w:shd w:val="clear" w:color="auto" w:fill="B8CCE4" w:themeFill="accent1" w:themeFillTint="66"/>
            <w:vAlign w:val="center"/>
          </w:tcPr>
          <w:p w14:paraId="093F74B5" w14:textId="434951FF" w:rsidR="00EA1C25" w:rsidRPr="00903491" w:rsidRDefault="00510F2F" w:rsidP="003E40E9">
            <w:pPr>
              <w:rPr>
                <w:rFonts w:ascii="Bliss-Light" w:hAnsi="Bliss-Light"/>
                <w:sz w:val="24"/>
                <w:szCs w:val="24"/>
              </w:rPr>
            </w:pPr>
            <w:r>
              <w:rPr>
                <w:rFonts w:ascii="Bliss-Light" w:hAnsi="Bliss-Light"/>
                <w:sz w:val="24"/>
                <w:szCs w:val="24"/>
              </w:rPr>
              <w:t>Offaly (AISTU)</w:t>
            </w:r>
          </w:p>
        </w:tc>
        <w:tc>
          <w:tcPr>
            <w:tcW w:w="1462" w:type="dxa"/>
            <w:shd w:val="clear" w:color="auto" w:fill="B8CCE4" w:themeFill="accent1" w:themeFillTint="66"/>
            <w:vAlign w:val="center"/>
          </w:tcPr>
          <w:p w14:paraId="626D01CB" w14:textId="0DC6E022" w:rsidR="00EA1C25" w:rsidRPr="00903491" w:rsidRDefault="00510F2F" w:rsidP="003E40E9">
            <w:pPr>
              <w:rPr>
                <w:rFonts w:ascii="Bliss-Light" w:hAnsi="Bliss-Light"/>
                <w:sz w:val="24"/>
                <w:szCs w:val="24"/>
              </w:rPr>
            </w:pPr>
            <w:r>
              <w:rPr>
                <w:rFonts w:ascii="Bliss-Light" w:hAnsi="Bliss-Light"/>
                <w:sz w:val="24"/>
                <w:szCs w:val="24"/>
              </w:rPr>
              <w:t>246,241</w:t>
            </w:r>
          </w:p>
        </w:tc>
      </w:tr>
      <w:tr w:rsidR="00EA1C25" w:rsidRPr="00903491" w14:paraId="063981E6" w14:textId="77777777" w:rsidTr="003E40E9">
        <w:trPr>
          <w:trHeight w:val="409"/>
        </w:trPr>
        <w:tc>
          <w:tcPr>
            <w:tcW w:w="7054" w:type="dxa"/>
            <w:vAlign w:val="center"/>
          </w:tcPr>
          <w:p w14:paraId="68B68BC8" w14:textId="75892191" w:rsidR="00EA1C25" w:rsidRPr="00903491" w:rsidRDefault="00510F2F" w:rsidP="003E40E9">
            <w:pPr>
              <w:rPr>
                <w:rFonts w:ascii="Bliss-Light" w:hAnsi="Bliss-Light"/>
                <w:sz w:val="24"/>
                <w:szCs w:val="24"/>
              </w:rPr>
            </w:pPr>
            <w:r>
              <w:rPr>
                <w:rFonts w:ascii="Bliss-Light" w:hAnsi="Bliss-Light"/>
                <w:sz w:val="24"/>
                <w:szCs w:val="24"/>
              </w:rPr>
              <w:t>Wexford</w:t>
            </w:r>
          </w:p>
        </w:tc>
        <w:tc>
          <w:tcPr>
            <w:tcW w:w="1462" w:type="dxa"/>
            <w:vAlign w:val="center"/>
          </w:tcPr>
          <w:p w14:paraId="3E1D5458" w14:textId="73E793DD" w:rsidR="00EA1C25" w:rsidRPr="00903491" w:rsidRDefault="00510F2F" w:rsidP="003E40E9">
            <w:pPr>
              <w:rPr>
                <w:rFonts w:ascii="Bliss-Light" w:hAnsi="Bliss-Light"/>
                <w:sz w:val="24"/>
                <w:szCs w:val="24"/>
              </w:rPr>
            </w:pPr>
            <w:r>
              <w:rPr>
                <w:rFonts w:ascii="Bliss-Light" w:hAnsi="Bliss-Light"/>
                <w:sz w:val="24"/>
                <w:szCs w:val="24"/>
              </w:rPr>
              <w:t>328,810</w:t>
            </w:r>
          </w:p>
        </w:tc>
      </w:tr>
      <w:tr w:rsidR="00EA1C25" w:rsidRPr="00E55A11" w14:paraId="754DE866" w14:textId="77777777" w:rsidTr="003E40E9">
        <w:tc>
          <w:tcPr>
            <w:tcW w:w="7054" w:type="dxa"/>
            <w:shd w:val="clear" w:color="auto" w:fill="B8CCE4" w:themeFill="accent1" w:themeFillTint="66"/>
            <w:vAlign w:val="center"/>
          </w:tcPr>
          <w:p w14:paraId="6739046F" w14:textId="77777777" w:rsidR="00EA1C25" w:rsidRPr="00AF6FEE" w:rsidRDefault="00EA1C25" w:rsidP="003E40E9">
            <w:pPr>
              <w:rPr>
                <w:rFonts w:ascii="Bliss-Bold" w:hAnsi="Bliss-Bold"/>
                <w:sz w:val="24"/>
                <w:szCs w:val="24"/>
              </w:rPr>
            </w:pPr>
            <w:r w:rsidRPr="00AF6FEE">
              <w:rPr>
                <w:rFonts w:ascii="Bliss-Bold" w:hAnsi="Bliss-Bold"/>
                <w:sz w:val="24"/>
                <w:szCs w:val="24"/>
              </w:rPr>
              <w:t>Total</w:t>
            </w:r>
          </w:p>
        </w:tc>
        <w:tc>
          <w:tcPr>
            <w:tcW w:w="1462" w:type="dxa"/>
            <w:shd w:val="clear" w:color="auto" w:fill="B8CCE4" w:themeFill="accent1" w:themeFillTint="66"/>
            <w:vAlign w:val="center"/>
          </w:tcPr>
          <w:p w14:paraId="116BF2CA" w14:textId="7906FA38" w:rsidR="00EA1C25" w:rsidRPr="00E55A11" w:rsidRDefault="00EA1C25" w:rsidP="00510F2F">
            <w:pPr>
              <w:rPr>
                <w:rFonts w:ascii="Bliss-Bold" w:hAnsi="Bliss-Bold"/>
                <w:sz w:val="24"/>
                <w:szCs w:val="24"/>
              </w:rPr>
            </w:pPr>
            <w:r w:rsidRPr="00E55A11">
              <w:rPr>
                <w:rFonts w:ascii="Bliss-Bold" w:hAnsi="Bliss-Bold"/>
                <w:sz w:val="24"/>
                <w:szCs w:val="24"/>
              </w:rPr>
              <w:t>2,</w:t>
            </w:r>
            <w:r w:rsidR="00510F2F">
              <w:rPr>
                <w:rFonts w:ascii="Bliss-Bold" w:hAnsi="Bliss-Bold"/>
                <w:sz w:val="24"/>
                <w:szCs w:val="24"/>
              </w:rPr>
              <w:t>762,053</w:t>
            </w:r>
          </w:p>
        </w:tc>
      </w:tr>
    </w:tbl>
    <w:p w14:paraId="66AC20A8" w14:textId="77777777" w:rsidR="002422A7" w:rsidRDefault="002422A7" w:rsidP="00F55AFC">
      <w:pPr>
        <w:pBdr>
          <w:bottom w:val="single" w:sz="6" w:space="1" w:color="auto"/>
        </w:pBdr>
        <w:rPr>
          <w:noProof/>
        </w:rPr>
      </w:pPr>
    </w:p>
    <w:p w14:paraId="746DADB0" w14:textId="77777777" w:rsidR="002422A7" w:rsidRDefault="002422A7" w:rsidP="00F55AFC">
      <w:pPr>
        <w:pBdr>
          <w:bottom w:val="single" w:sz="6" w:space="1" w:color="auto"/>
        </w:pBdr>
        <w:rPr>
          <w:noProof/>
        </w:rPr>
      </w:pPr>
    </w:p>
    <w:p w14:paraId="604659D3" w14:textId="77777777" w:rsidR="00EA1C25" w:rsidRDefault="00EA1C25" w:rsidP="00F55AFC">
      <w:pPr>
        <w:pBdr>
          <w:bottom w:val="single" w:sz="6" w:space="1" w:color="auto"/>
        </w:pBdr>
        <w:rPr>
          <w:noProof/>
        </w:rPr>
      </w:pPr>
    </w:p>
    <w:p w14:paraId="05F0CD6C" w14:textId="77777777" w:rsidR="00EA1C25" w:rsidRDefault="00EA1C25" w:rsidP="00F55AFC">
      <w:pPr>
        <w:pBdr>
          <w:bottom w:val="single" w:sz="6" w:space="1" w:color="auto"/>
        </w:pBdr>
        <w:rPr>
          <w:noProof/>
        </w:rPr>
      </w:pPr>
    </w:p>
    <w:p w14:paraId="02054C94" w14:textId="77777777" w:rsidR="00EA1C25" w:rsidRDefault="00EA1C25" w:rsidP="00F55AFC">
      <w:pPr>
        <w:pBdr>
          <w:bottom w:val="single" w:sz="6" w:space="1" w:color="auto"/>
        </w:pBdr>
        <w:rPr>
          <w:noProof/>
        </w:rPr>
      </w:pPr>
    </w:p>
    <w:p w14:paraId="205780EA" w14:textId="77777777" w:rsidR="00EA1C25" w:rsidRDefault="00EA1C25" w:rsidP="00F55AFC">
      <w:pPr>
        <w:pBdr>
          <w:bottom w:val="single" w:sz="6" w:space="1" w:color="auto"/>
        </w:pBdr>
        <w:rPr>
          <w:noProof/>
        </w:rPr>
      </w:pPr>
    </w:p>
    <w:p w14:paraId="57F95EDC" w14:textId="77777777" w:rsidR="00EA1C25" w:rsidRDefault="00EA1C25" w:rsidP="00F55AFC">
      <w:pPr>
        <w:pBdr>
          <w:bottom w:val="single" w:sz="6" w:space="1" w:color="auto"/>
        </w:pBdr>
        <w:rPr>
          <w:noProof/>
        </w:rPr>
      </w:pPr>
    </w:p>
    <w:p w14:paraId="14B90434" w14:textId="77777777" w:rsidR="00EA1C25" w:rsidRDefault="00EA1C25" w:rsidP="00F55AFC">
      <w:pPr>
        <w:pBdr>
          <w:bottom w:val="single" w:sz="6" w:space="1" w:color="auto"/>
        </w:pBdr>
        <w:rPr>
          <w:noProof/>
        </w:rPr>
      </w:pPr>
    </w:p>
    <w:p w14:paraId="18E2F00C" w14:textId="77777777" w:rsidR="00EA1C25" w:rsidRDefault="00EA1C25" w:rsidP="00F55AFC">
      <w:pPr>
        <w:pBdr>
          <w:bottom w:val="single" w:sz="6" w:space="1" w:color="auto"/>
        </w:pBdr>
        <w:rPr>
          <w:noProof/>
        </w:rPr>
      </w:pPr>
    </w:p>
    <w:p w14:paraId="551FB5D4" w14:textId="77777777" w:rsidR="00EA1C25" w:rsidRDefault="00EA1C25" w:rsidP="00F55AFC">
      <w:pPr>
        <w:pBdr>
          <w:bottom w:val="single" w:sz="6" w:space="1" w:color="auto"/>
        </w:pBdr>
        <w:rPr>
          <w:noProof/>
        </w:rPr>
      </w:pPr>
    </w:p>
    <w:p w14:paraId="3C8F6C12" w14:textId="77777777" w:rsidR="00EA1C25" w:rsidRDefault="00EA1C25" w:rsidP="00F55AFC">
      <w:pPr>
        <w:pBdr>
          <w:bottom w:val="single" w:sz="6" w:space="1" w:color="auto"/>
        </w:pBdr>
        <w:rPr>
          <w:noProof/>
        </w:rPr>
      </w:pPr>
    </w:p>
    <w:p w14:paraId="6531B126" w14:textId="77777777" w:rsidR="00EA1C25" w:rsidRDefault="00EA1C25" w:rsidP="00F55AFC">
      <w:pPr>
        <w:pBdr>
          <w:bottom w:val="single" w:sz="6" w:space="1" w:color="auto"/>
        </w:pBdr>
        <w:rPr>
          <w:noProof/>
        </w:rPr>
      </w:pPr>
    </w:p>
    <w:p w14:paraId="3E65EB00" w14:textId="77777777" w:rsidR="00EA1C25" w:rsidRDefault="00EA1C25" w:rsidP="00F55AFC">
      <w:pPr>
        <w:pBdr>
          <w:bottom w:val="single" w:sz="6" w:space="1" w:color="auto"/>
        </w:pBdr>
        <w:rPr>
          <w:noProof/>
        </w:rPr>
      </w:pPr>
    </w:p>
    <w:p w14:paraId="66F543ED" w14:textId="77777777" w:rsidR="00EA1C25" w:rsidRDefault="00EA1C25" w:rsidP="00F55AFC">
      <w:pPr>
        <w:pBdr>
          <w:bottom w:val="single" w:sz="6" w:space="1" w:color="auto"/>
        </w:pBdr>
        <w:rPr>
          <w:noProof/>
        </w:rPr>
      </w:pPr>
    </w:p>
    <w:p w14:paraId="6A3BCEA3" w14:textId="77777777" w:rsidR="00EA1C25" w:rsidRDefault="00EA1C25" w:rsidP="00F55AFC">
      <w:pPr>
        <w:pBdr>
          <w:bottom w:val="single" w:sz="6" w:space="1" w:color="auto"/>
        </w:pBdr>
        <w:rPr>
          <w:noProof/>
        </w:rPr>
      </w:pPr>
    </w:p>
    <w:p w14:paraId="13732081" w14:textId="77777777" w:rsidR="00EA1C25" w:rsidRDefault="00EA1C25" w:rsidP="00F55AFC">
      <w:pPr>
        <w:pBdr>
          <w:bottom w:val="single" w:sz="6" w:space="1" w:color="auto"/>
        </w:pBdr>
        <w:rPr>
          <w:noProof/>
        </w:rPr>
      </w:pPr>
    </w:p>
    <w:p w14:paraId="42B2ADCF" w14:textId="77777777" w:rsidR="00EA1C25" w:rsidRDefault="00EA1C25" w:rsidP="00F55AFC">
      <w:pPr>
        <w:pBdr>
          <w:bottom w:val="single" w:sz="6" w:space="1" w:color="auto"/>
        </w:pBdr>
        <w:rPr>
          <w:noProof/>
        </w:rPr>
      </w:pPr>
    </w:p>
    <w:p w14:paraId="5BC2B9D6" w14:textId="77777777" w:rsidR="00EA1C25" w:rsidRDefault="00EA1C25" w:rsidP="00F55AFC">
      <w:pPr>
        <w:pBdr>
          <w:bottom w:val="single" w:sz="6" w:space="1" w:color="auto"/>
        </w:pBdr>
        <w:rPr>
          <w:noProof/>
        </w:rPr>
      </w:pPr>
    </w:p>
    <w:p w14:paraId="58602633" w14:textId="77777777" w:rsidR="00EA1C25" w:rsidRDefault="00EA1C25" w:rsidP="00F55AFC">
      <w:pPr>
        <w:pBdr>
          <w:bottom w:val="single" w:sz="6" w:space="1" w:color="auto"/>
        </w:pBdr>
        <w:rPr>
          <w:noProof/>
        </w:rPr>
      </w:pPr>
    </w:p>
    <w:p w14:paraId="7BA65C19" w14:textId="77777777" w:rsidR="00EA1C25" w:rsidRDefault="00EA1C25" w:rsidP="00F55AFC">
      <w:pPr>
        <w:pBdr>
          <w:bottom w:val="single" w:sz="6" w:space="1" w:color="auto"/>
        </w:pBdr>
        <w:rPr>
          <w:noProof/>
        </w:rPr>
      </w:pPr>
    </w:p>
    <w:p w14:paraId="2EAD1EEB" w14:textId="77777777" w:rsidR="002422A7" w:rsidRPr="00F55AFC" w:rsidRDefault="002422A7" w:rsidP="00F55AFC">
      <w:pPr>
        <w:pBdr>
          <w:bottom w:val="single" w:sz="6" w:space="1" w:color="auto"/>
        </w:pBdr>
        <w:rPr>
          <w:noProof/>
        </w:rPr>
      </w:pPr>
    </w:p>
    <w:p w14:paraId="3875A0B5" w14:textId="364F0C76" w:rsidR="00B17396" w:rsidRDefault="00B17396" w:rsidP="003008FE">
      <w:pPr>
        <w:pBdr>
          <w:bottom w:val="single" w:sz="6" w:space="1" w:color="auto"/>
        </w:pBdr>
        <w:rPr>
          <w:noProof/>
        </w:rPr>
      </w:pPr>
    </w:p>
    <w:p w14:paraId="119DD353" w14:textId="77777777" w:rsidR="00CE61A5" w:rsidRDefault="00CE61A5" w:rsidP="003008FE">
      <w:pPr>
        <w:pBdr>
          <w:bottom w:val="single" w:sz="6" w:space="1" w:color="auto"/>
        </w:pBdr>
        <w:rPr>
          <w:noProof/>
        </w:rPr>
      </w:pPr>
    </w:p>
    <w:p w14:paraId="6EC0E36D" w14:textId="77777777" w:rsidR="00CE61A5" w:rsidRDefault="00CE61A5" w:rsidP="003008FE">
      <w:pPr>
        <w:pBdr>
          <w:bottom w:val="single" w:sz="6" w:space="1" w:color="auto"/>
        </w:pBdr>
        <w:rPr>
          <w:noProof/>
        </w:rPr>
      </w:pPr>
    </w:p>
    <w:p w14:paraId="78E1C95A" w14:textId="77777777" w:rsidR="00CE61A5" w:rsidRDefault="00CE61A5" w:rsidP="003008FE">
      <w:pPr>
        <w:pBdr>
          <w:bottom w:val="single" w:sz="6" w:space="1" w:color="auto"/>
        </w:pBdr>
        <w:rPr>
          <w:noProof/>
        </w:rPr>
      </w:pPr>
    </w:p>
    <w:p w14:paraId="08F66C2C" w14:textId="77777777" w:rsidR="00CE61A5" w:rsidRDefault="00CE61A5" w:rsidP="003008FE">
      <w:pPr>
        <w:pBdr>
          <w:bottom w:val="single" w:sz="6" w:space="1" w:color="auto"/>
        </w:pBdr>
        <w:rPr>
          <w:noProof/>
        </w:rPr>
      </w:pPr>
    </w:p>
    <w:p w14:paraId="70A08BCE" w14:textId="77777777" w:rsidR="00CE61A5" w:rsidRDefault="00CE61A5" w:rsidP="003008FE">
      <w:pPr>
        <w:pBdr>
          <w:bottom w:val="single" w:sz="6" w:space="1" w:color="auto"/>
        </w:pBdr>
        <w:rPr>
          <w:noProof/>
        </w:rPr>
      </w:pPr>
    </w:p>
    <w:p w14:paraId="5A204409" w14:textId="77777777" w:rsidR="00CE61A5" w:rsidRDefault="00CE61A5" w:rsidP="003008FE">
      <w:pPr>
        <w:pBdr>
          <w:bottom w:val="single" w:sz="6" w:space="1" w:color="auto"/>
        </w:pBdr>
        <w:rPr>
          <w:noProof/>
        </w:rPr>
      </w:pPr>
    </w:p>
    <w:p w14:paraId="22DF042F" w14:textId="77777777" w:rsidR="00CE61A5" w:rsidRDefault="00CE61A5" w:rsidP="003008FE">
      <w:pPr>
        <w:pBdr>
          <w:bottom w:val="single" w:sz="6" w:space="1" w:color="auto"/>
        </w:pBdr>
        <w:rPr>
          <w:noProof/>
        </w:rPr>
      </w:pPr>
    </w:p>
    <w:p w14:paraId="60B03CAA" w14:textId="77777777" w:rsidR="00CE61A5" w:rsidRDefault="00CE61A5" w:rsidP="003008FE">
      <w:pPr>
        <w:pBdr>
          <w:bottom w:val="single" w:sz="6" w:space="1" w:color="auto"/>
        </w:pBdr>
        <w:rPr>
          <w:noProof/>
        </w:rPr>
      </w:pPr>
    </w:p>
    <w:p w14:paraId="64142B6F" w14:textId="77777777" w:rsidR="00CE61A5" w:rsidRDefault="00CE61A5" w:rsidP="003008FE">
      <w:pPr>
        <w:pBdr>
          <w:bottom w:val="single" w:sz="6" w:space="1" w:color="auto"/>
        </w:pBdr>
        <w:rPr>
          <w:noProof/>
        </w:rPr>
      </w:pPr>
    </w:p>
    <w:tbl>
      <w:tblPr>
        <w:tblW w:w="8364" w:type="dxa"/>
        <w:tblInd w:w="64" w:type="dxa"/>
        <w:tblLayout w:type="fixed"/>
        <w:tblCellMar>
          <w:left w:w="0" w:type="dxa"/>
          <w:right w:w="0" w:type="dxa"/>
        </w:tblCellMar>
        <w:tblLook w:val="0000" w:firstRow="0" w:lastRow="0" w:firstColumn="0" w:lastColumn="0" w:noHBand="0" w:noVBand="0"/>
      </w:tblPr>
      <w:tblGrid>
        <w:gridCol w:w="6946"/>
        <w:gridCol w:w="1418"/>
      </w:tblGrid>
      <w:tr w:rsidR="00C05164" w:rsidRPr="00021549" w14:paraId="0CF2F9B3" w14:textId="77777777" w:rsidTr="003E40E9">
        <w:trPr>
          <w:trHeight w:val="656"/>
          <w:tblHeader/>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15A3877C" w14:textId="5B0594CE" w:rsidR="00C05164" w:rsidRPr="00DF2241" w:rsidRDefault="00C05164" w:rsidP="003E40E9">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Bold" w:hAnsi="Bliss-Bold" w:cs="Bliss-Bold"/>
                <w:b/>
                <w:bCs/>
                <w:caps/>
                <w:color w:val="FFFFFF"/>
                <w:sz w:val="26"/>
                <w:szCs w:val="26"/>
                <w:lang w:val="en-GB"/>
              </w:rPr>
              <w:t>REGION 4 MABS</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3D915EEA" w14:textId="77777777" w:rsidR="00C05164" w:rsidRPr="00021549" w:rsidRDefault="00C05164" w:rsidP="003E40E9">
            <w:pPr>
              <w:widowControl w:val="0"/>
              <w:suppressAutoHyphens/>
              <w:autoSpaceDE w:val="0"/>
              <w:autoSpaceDN w:val="0"/>
              <w:adjustRightInd w:val="0"/>
              <w:spacing w:line="300" w:lineRule="atLeast"/>
              <w:ind w:left="61"/>
              <w:textAlignment w:val="center"/>
              <w:rPr>
                <w:rFonts w:ascii="Times New Roman" w:hAnsi="Times New Roman" w:cs="Times New Roman"/>
                <w:caps/>
                <w:color w:val="7FFF00"/>
                <w:sz w:val="20"/>
                <w:szCs w:val="20"/>
                <w:lang w:val="en-GB"/>
              </w:rPr>
            </w:pPr>
            <w:r>
              <w:rPr>
                <w:rFonts w:ascii="Times New Roman" w:hAnsi="Times New Roman" w:cs="Times New Roman"/>
                <w:b/>
                <w:bCs/>
                <w:caps/>
                <w:color w:val="FFFFFF"/>
                <w:sz w:val="26"/>
                <w:szCs w:val="26"/>
                <w:lang w:val="en-GB"/>
              </w:rPr>
              <w:t>€</w:t>
            </w:r>
          </w:p>
        </w:tc>
      </w:tr>
      <w:tr w:rsidR="00C05164" w:rsidRPr="007952EB" w14:paraId="0FD44930" w14:textId="77777777" w:rsidTr="003E40E9">
        <w:trPr>
          <w:trHeight w:val="38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6061EE77" w14:textId="7D591856" w:rsidR="00C05164" w:rsidRPr="007952EB" w:rsidRDefault="00C05164"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olor w:val="4C4C4C"/>
                <w:lang w:val="en-GB"/>
              </w:rPr>
              <w:t>Charleville (AISTU 2013-2014)</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28062C0A" w14:textId="7078AC5B" w:rsidR="00C05164" w:rsidRPr="007952EB" w:rsidRDefault="00446228"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209,800</w:t>
            </w:r>
          </w:p>
        </w:tc>
      </w:tr>
      <w:tr w:rsidR="00C05164" w:rsidRPr="007952EB" w14:paraId="09F10DB7" w14:textId="77777777" w:rsidTr="003E40E9">
        <w:trPr>
          <w:trHeight w:val="418"/>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5E0869D6" w14:textId="486A3EFA" w:rsidR="00C05164" w:rsidRPr="007952EB" w:rsidRDefault="003E40E9"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olor w:val="4C4C4C"/>
                <w:lang w:val="en-GB"/>
              </w:rPr>
              <w:t>Clare</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03D127D0" w14:textId="1E5E455F" w:rsidR="00C05164" w:rsidRPr="007952EB" w:rsidRDefault="00446228"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281,200</w:t>
            </w:r>
          </w:p>
        </w:tc>
      </w:tr>
      <w:tr w:rsidR="00C05164" w:rsidRPr="007952EB" w14:paraId="379397E2" w14:textId="77777777" w:rsidTr="003E40E9">
        <w:trPr>
          <w:trHeight w:val="27"/>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7FA7CCF7" w14:textId="5303172C" w:rsidR="00C05164" w:rsidRPr="007952EB" w:rsidRDefault="00B4637B"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olor w:val="4C4C4C"/>
                <w:lang w:val="en-GB"/>
              </w:rPr>
              <w:t xml:space="preserve">Cork (RMA &amp; </w:t>
            </w:r>
            <w:r w:rsidR="003E40E9">
              <w:rPr>
                <w:rFonts w:ascii="Bliss-Light" w:hAnsi="Bliss-Light" w:cs="Bliss-Regular"/>
                <w:color w:val="4C4C4C"/>
                <w:lang w:val="en-GB"/>
              </w:rPr>
              <w:t>AISTU)</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636F155E" w14:textId="5F39DDC7" w:rsidR="00C05164" w:rsidRPr="007952EB" w:rsidRDefault="00446228"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522,725</w:t>
            </w:r>
          </w:p>
        </w:tc>
      </w:tr>
      <w:tr w:rsidR="00C05164" w:rsidRPr="007952EB" w14:paraId="41488B32" w14:textId="77777777" w:rsidTr="003E40E9">
        <w:trPr>
          <w:trHeight w:val="35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34367FAF" w14:textId="41385D70" w:rsidR="00C05164" w:rsidRPr="007952EB" w:rsidRDefault="003E40E9"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olor w:val="4C4C4C"/>
                <w:lang w:val="en-GB"/>
              </w:rPr>
              <w:t>Kerry</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29CD3A76" w14:textId="33609518" w:rsidR="00C05164" w:rsidRPr="007952EB" w:rsidRDefault="00446228"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531,740</w:t>
            </w:r>
          </w:p>
        </w:tc>
      </w:tr>
      <w:tr w:rsidR="00C05164" w:rsidRPr="007952EB" w14:paraId="29EFCF2A" w14:textId="77777777" w:rsidTr="003E40E9">
        <w:trPr>
          <w:trHeight w:val="21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1710DE33" w14:textId="1092E371" w:rsidR="00C05164" w:rsidRPr="007952EB" w:rsidRDefault="003E40E9"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olor w:val="4C4C4C"/>
                <w:lang w:val="en-GB"/>
              </w:rPr>
              <w:t>Limerick (RMA)</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7D29069E" w14:textId="31FA39D2" w:rsidR="00C05164" w:rsidRPr="007952EB" w:rsidRDefault="00446228"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386,200</w:t>
            </w:r>
          </w:p>
        </w:tc>
      </w:tr>
      <w:tr w:rsidR="00C05164" w:rsidRPr="007952EB" w14:paraId="0E253DD8" w14:textId="77777777" w:rsidTr="003E40E9">
        <w:trPr>
          <w:trHeight w:val="190"/>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6FEB4A28" w14:textId="2D82DA37" w:rsidR="00C05164" w:rsidRPr="007952EB" w:rsidRDefault="003E40E9"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olor w:val="4C4C4C"/>
                <w:lang w:val="en-GB"/>
              </w:rPr>
              <w:t>North Cork</w:t>
            </w:r>
            <w:r w:rsidR="00C05164" w:rsidRPr="007952EB">
              <w:rPr>
                <w:rFonts w:ascii="Bliss-Light" w:hAnsi="Bliss-Light" w:cs="Bliss-Regular"/>
                <w:color w:val="4C4C4C"/>
                <w:lang w:val="en-GB"/>
              </w:rPr>
              <w:t xml:space="preserve"> </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3088E0CF" w14:textId="2C4298FA" w:rsidR="00C05164" w:rsidRPr="007952EB" w:rsidRDefault="00446228" w:rsidP="003E40E9">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305,000</w:t>
            </w:r>
          </w:p>
        </w:tc>
      </w:tr>
      <w:tr w:rsidR="00C05164" w:rsidRPr="007952EB" w14:paraId="6EA0438C" w14:textId="77777777" w:rsidTr="003E40E9">
        <w:trPr>
          <w:trHeight w:val="168"/>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45C23660" w14:textId="0E8A5F00" w:rsidR="00C05164" w:rsidRPr="007952EB" w:rsidRDefault="003E40E9" w:rsidP="003E40E9">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Pr>
                <w:rFonts w:ascii="Bliss-Light" w:hAnsi="Bliss-Light" w:cs="Bliss-Regular"/>
                <w:color w:val="4C4C4C"/>
                <w:lang w:val="en-GB"/>
              </w:rPr>
              <w:t>North Tipperary (RMA)</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46ACCF7A" w14:textId="43BAF080" w:rsidR="00C05164" w:rsidRPr="007952EB" w:rsidRDefault="00446228" w:rsidP="003E40E9">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269,125</w:t>
            </w:r>
          </w:p>
        </w:tc>
      </w:tr>
      <w:tr w:rsidR="00C05164" w:rsidRPr="007952EB" w14:paraId="57972D9F" w14:textId="77777777" w:rsidTr="003E40E9">
        <w:trPr>
          <w:trHeight w:val="20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154C55F6" w14:textId="46DBE38F" w:rsidR="00C05164" w:rsidRPr="007952EB" w:rsidRDefault="003E40E9" w:rsidP="003E40E9">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Pr>
                <w:rFonts w:ascii="Bliss-Light" w:hAnsi="Bliss-Light" w:cs="Bliss-Regular"/>
                <w:color w:val="4C4C4C"/>
                <w:lang w:val="en-GB"/>
              </w:rPr>
              <w:t>South Tipperary</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2C8A7AD6" w14:textId="7A501757" w:rsidR="00C05164" w:rsidRPr="007952EB" w:rsidRDefault="00446228" w:rsidP="003E40E9">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368,984</w:t>
            </w:r>
          </w:p>
        </w:tc>
      </w:tr>
      <w:tr w:rsidR="00C05164" w:rsidRPr="007952EB" w14:paraId="338E1C52" w14:textId="77777777" w:rsidTr="003E40E9">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5DBE0A58" w14:textId="0AD0A5AC" w:rsidR="00C05164" w:rsidRPr="007952EB" w:rsidRDefault="00B4637B" w:rsidP="003E40E9">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Pr>
                <w:rFonts w:ascii="Bliss-Light" w:hAnsi="Bliss-Light" w:cs="Bliss-Regular"/>
                <w:color w:val="4C4C4C"/>
                <w:lang w:val="en-GB"/>
              </w:rPr>
              <w:t>Waterford (RMA &amp; AISTU)</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5E9FCD26" w14:textId="229DB8EA" w:rsidR="00C05164" w:rsidRPr="007952EB" w:rsidRDefault="00446228" w:rsidP="003E40E9">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537,930</w:t>
            </w:r>
          </w:p>
        </w:tc>
      </w:tr>
      <w:tr w:rsidR="00C05164" w:rsidRPr="007952EB" w14:paraId="6DC63AF8" w14:textId="77777777" w:rsidTr="003E40E9">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6DE156BE" w14:textId="248AADAA" w:rsidR="00C05164" w:rsidRPr="007952EB" w:rsidRDefault="00446228" w:rsidP="003E40E9">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Pr>
                <w:rFonts w:ascii="Bliss-Light" w:hAnsi="Bliss-Light" w:cs="Bliss-Regular"/>
                <w:color w:val="4C4C4C"/>
                <w:lang w:val="en-GB"/>
              </w:rPr>
              <w:t>West Waterford (AISTU)</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8C9B8DF" w14:textId="7DB15F81" w:rsidR="00C05164" w:rsidRPr="007952EB" w:rsidRDefault="00446228" w:rsidP="003E40E9">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163,268</w:t>
            </w:r>
          </w:p>
        </w:tc>
      </w:tr>
      <w:tr w:rsidR="00C05164" w:rsidRPr="007952EB" w14:paraId="5D635721" w14:textId="77777777" w:rsidTr="003E40E9">
        <w:trPr>
          <w:trHeight w:val="124"/>
        </w:trPr>
        <w:tc>
          <w:tcPr>
            <w:tcW w:w="6946" w:type="dxa"/>
            <w:tcBorders>
              <w:top w:val="single" w:sz="4" w:space="0" w:color="92CDDC" w:themeColor="accent5" w:themeTint="99"/>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68D134F3" w14:textId="3C0AE898" w:rsidR="00C05164" w:rsidRPr="007952EB" w:rsidRDefault="00446228" w:rsidP="003E40E9">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Pr>
                <w:rFonts w:ascii="Bliss-Light" w:hAnsi="Bliss-Light" w:cs="Bliss-Regular"/>
                <w:color w:val="4C4C4C"/>
                <w:lang w:val="en-GB"/>
              </w:rPr>
              <w:t>West Cork (RMA)</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3CE94E08" w14:textId="43A83A64" w:rsidR="00C05164" w:rsidRPr="007952EB" w:rsidRDefault="00446228" w:rsidP="003E40E9">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255,549</w:t>
            </w:r>
          </w:p>
        </w:tc>
      </w:tr>
      <w:tr w:rsidR="00C05164" w:rsidRPr="007952EB" w14:paraId="267BD1E7" w14:textId="77777777" w:rsidTr="003E40E9">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47127F1B" w14:textId="0C5C477D" w:rsidR="00C05164" w:rsidRPr="00446228" w:rsidRDefault="00446228" w:rsidP="003E40E9">
            <w:pPr>
              <w:widowControl w:val="0"/>
              <w:suppressAutoHyphens/>
              <w:autoSpaceDE w:val="0"/>
              <w:autoSpaceDN w:val="0"/>
              <w:adjustRightInd w:val="0"/>
              <w:spacing w:line="300" w:lineRule="atLeast"/>
              <w:ind w:left="61"/>
              <w:textAlignment w:val="center"/>
              <w:rPr>
                <w:rFonts w:ascii="Bliss-Bold" w:hAnsi="Bliss-Bold" w:cs="Bliss-Regular"/>
                <w:color w:val="4C4C4C"/>
                <w:lang w:val="en-GB"/>
              </w:rPr>
            </w:pPr>
            <w:r w:rsidRPr="00446228">
              <w:rPr>
                <w:rFonts w:ascii="Bliss-Bold" w:hAnsi="Bliss-Bold" w:cs="Bliss-Regular"/>
                <w:color w:val="4C4C4C"/>
                <w:lang w:val="en-GB"/>
              </w:rPr>
              <w:t xml:space="preserve">Total </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2BA2FACA" w14:textId="3084CCA5" w:rsidR="00C05164" w:rsidRPr="00446228" w:rsidRDefault="00446228" w:rsidP="003E40E9">
            <w:pPr>
              <w:widowControl w:val="0"/>
              <w:suppressAutoHyphens/>
              <w:autoSpaceDE w:val="0"/>
              <w:autoSpaceDN w:val="0"/>
              <w:adjustRightInd w:val="0"/>
              <w:spacing w:line="300" w:lineRule="atLeast"/>
              <w:ind w:left="61"/>
              <w:textAlignment w:val="center"/>
              <w:rPr>
                <w:rFonts w:ascii="Bliss-Bold" w:hAnsi="Bliss-Bold" w:cs="Bliss-Regular"/>
                <w:caps/>
                <w:color w:val="4C4C4C"/>
                <w:lang w:val="en-GB"/>
              </w:rPr>
            </w:pPr>
            <w:r>
              <w:rPr>
                <w:rFonts w:ascii="Bliss-Bold" w:hAnsi="Bliss-Bold" w:cs="Bliss-Regular"/>
                <w:caps/>
                <w:color w:val="4C4C4C"/>
                <w:lang w:val="en-GB"/>
              </w:rPr>
              <w:t>3,831,521</w:t>
            </w:r>
          </w:p>
        </w:tc>
      </w:tr>
    </w:tbl>
    <w:p w14:paraId="6491ABBA" w14:textId="77777777" w:rsidR="00CE61A5" w:rsidRDefault="00CE61A5" w:rsidP="003008FE">
      <w:pPr>
        <w:pBdr>
          <w:bottom w:val="single" w:sz="6" w:space="1" w:color="auto"/>
        </w:pBdr>
        <w:rPr>
          <w:noProof/>
        </w:rPr>
      </w:pPr>
    </w:p>
    <w:p w14:paraId="4375E1B3" w14:textId="77777777" w:rsidR="00CE61A5" w:rsidRDefault="00CE61A5" w:rsidP="003008FE">
      <w:pPr>
        <w:pBdr>
          <w:bottom w:val="single" w:sz="6" w:space="1" w:color="auto"/>
        </w:pBdr>
        <w:rPr>
          <w:noProof/>
        </w:rPr>
      </w:pPr>
    </w:p>
    <w:tbl>
      <w:tblPr>
        <w:tblStyle w:val="TableGrid"/>
        <w:tblW w:w="0" w:type="auto"/>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Table: Total MABS Companies "/>
      </w:tblPr>
      <w:tblGrid>
        <w:gridCol w:w="7054"/>
        <w:gridCol w:w="1462"/>
      </w:tblGrid>
      <w:tr w:rsidR="009C6C6A" w14:paraId="44826E41" w14:textId="77777777" w:rsidTr="00E80C48">
        <w:trPr>
          <w:trHeight w:val="456"/>
          <w:tblHeader/>
        </w:trPr>
        <w:tc>
          <w:tcPr>
            <w:tcW w:w="7054" w:type="dxa"/>
            <w:shd w:val="clear" w:color="auto" w:fill="B8CCE4" w:themeFill="accent1" w:themeFillTint="66"/>
            <w:vAlign w:val="center"/>
          </w:tcPr>
          <w:p w14:paraId="7D7A7A6D" w14:textId="783E0A3F" w:rsidR="009C6C6A" w:rsidRPr="009C6C6A" w:rsidRDefault="009C6C6A" w:rsidP="009C6C6A">
            <w:pPr>
              <w:rPr>
                <w:rFonts w:ascii="Bliss-Bold" w:hAnsi="Bliss-Bold"/>
                <w:noProof/>
                <w:sz w:val="24"/>
                <w:szCs w:val="24"/>
              </w:rPr>
            </w:pPr>
            <w:r w:rsidRPr="009C6C6A">
              <w:rPr>
                <w:rFonts w:ascii="Bliss-Bold" w:hAnsi="Bliss-Bold"/>
                <w:noProof/>
                <w:sz w:val="24"/>
                <w:szCs w:val="24"/>
              </w:rPr>
              <w:t xml:space="preserve">Total MABS Companies </w:t>
            </w:r>
          </w:p>
        </w:tc>
        <w:tc>
          <w:tcPr>
            <w:tcW w:w="1462" w:type="dxa"/>
            <w:shd w:val="clear" w:color="auto" w:fill="B8CCE4" w:themeFill="accent1" w:themeFillTint="66"/>
            <w:vAlign w:val="center"/>
          </w:tcPr>
          <w:p w14:paraId="5EB79956" w14:textId="7F1C1795" w:rsidR="009C6C6A" w:rsidRPr="009C6C6A" w:rsidRDefault="009C6C6A" w:rsidP="009C6C6A">
            <w:pPr>
              <w:rPr>
                <w:rFonts w:ascii="Bliss-Bold" w:hAnsi="Bliss-Bold"/>
                <w:noProof/>
                <w:sz w:val="24"/>
                <w:szCs w:val="24"/>
              </w:rPr>
            </w:pPr>
            <w:r w:rsidRPr="009C6C6A">
              <w:rPr>
                <w:rFonts w:ascii="Bliss-Bold" w:hAnsi="Bliss-Bold"/>
                <w:noProof/>
                <w:sz w:val="24"/>
                <w:szCs w:val="24"/>
              </w:rPr>
              <w:t>15,500,886</w:t>
            </w:r>
          </w:p>
        </w:tc>
      </w:tr>
    </w:tbl>
    <w:p w14:paraId="1C6075C8" w14:textId="77777777" w:rsidR="00CE61A5" w:rsidRPr="003F417F" w:rsidRDefault="00CE61A5" w:rsidP="003008FE">
      <w:pPr>
        <w:pBdr>
          <w:bottom w:val="single" w:sz="6" w:space="1" w:color="auto"/>
        </w:pBdr>
        <w:rPr>
          <w:rFonts w:ascii="Bliss-Bold" w:hAnsi="Bliss-Bold"/>
          <w:noProof/>
          <w:color w:val="FFFFFF" w:themeColor="background1"/>
        </w:rPr>
      </w:pPr>
    </w:p>
    <w:tbl>
      <w:tblPr>
        <w:tblStyle w:val="TableGrid"/>
        <w:tblW w:w="0" w:type="auto"/>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Table: MABS NATIONAL DEVELOPMENT LIMITED (NDL)"/>
      </w:tblPr>
      <w:tblGrid>
        <w:gridCol w:w="7054"/>
        <w:gridCol w:w="1462"/>
      </w:tblGrid>
      <w:tr w:rsidR="003F417F" w:rsidRPr="00250CB0" w14:paraId="7674F45D" w14:textId="77777777" w:rsidTr="00E80C48">
        <w:trPr>
          <w:trHeight w:val="552"/>
          <w:tblHeader/>
        </w:trPr>
        <w:tc>
          <w:tcPr>
            <w:tcW w:w="7054" w:type="dxa"/>
            <w:shd w:val="clear" w:color="auto" w:fill="548DD4" w:themeFill="text2" w:themeFillTint="99"/>
            <w:vAlign w:val="center"/>
          </w:tcPr>
          <w:p w14:paraId="2E2F91E2" w14:textId="0C552F03" w:rsidR="003F417F" w:rsidRPr="00250CB0" w:rsidRDefault="003F417F" w:rsidP="003F417F">
            <w:pPr>
              <w:rPr>
                <w:rFonts w:ascii="Bliss-Bold" w:hAnsi="Bliss-Bold"/>
                <w:noProof/>
                <w:color w:val="FFFFFF" w:themeColor="background1"/>
                <w:sz w:val="24"/>
                <w:szCs w:val="24"/>
              </w:rPr>
            </w:pPr>
            <w:r w:rsidRPr="00250CB0">
              <w:rPr>
                <w:rFonts w:ascii="Bliss-Bold" w:hAnsi="Bliss-Bold"/>
                <w:noProof/>
                <w:color w:val="FFFFFF" w:themeColor="background1"/>
                <w:sz w:val="24"/>
                <w:szCs w:val="24"/>
              </w:rPr>
              <w:t>MABS NATIONAL DEVELOPMENT LIMITED (NDL)</w:t>
            </w:r>
          </w:p>
        </w:tc>
        <w:tc>
          <w:tcPr>
            <w:tcW w:w="1462" w:type="dxa"/>
            <w:shd w:val="clear" w:color="auto" w:fill="548DD4" w:themeFill="text2" w:themeFillTint="99"/>
            <w:vAlign w:val="center"/>
          </w:tcPr>
          <w:p w14:paraId="71FC4877" w14:textId="3AF93DC3" w:rsidR="003F417F" w:rsidRPr="00250CB0" w:rsidRDefault="003F417F" w:rsidP="003F417F">
            <w:pPr>
              <w:rPr>
                <w:rFonts w:ascii="Bliss-Bold" w:hAnsi="Bliss-Bold"/>
                <w:noProof/>
                <w:color w:val="FFFFFF" w:themeColor="background1"/>
                <w:sz w:val="24"/>
                <w:szCs w:val="24"/>
              </w:rPr>
            </w:pPr>
            <w:r w:rsidRPr="00250CB0">
              <w:rPr>
                <w:noProof/>
                <w:color w:val="FFFFFF" w:themeColor="background1"/>
                <w:sz w:val="24"/>
                <w:szCs w:val="24"/>
              </w:rPr>
              <w:t>€</w:t>
            </w:r>
          </w:p>
        </w:tc>
      </w:tr>
      <w:tr w:rsidR="003F417F" w:rsidRPr="00250CB0" w14:paraId="706FB1F5" w14:textId="77777777" w:rsidTr="00D00FC3">
        <w:trPr>
          <w:trHeight w:val="528"/>
        </w:trPr>
        <w:tc>
          <w:tcPr>
            <w:tcW w:w="7054" w:type="dxa"/>
          </w:tcPr>
          <w:p w14:paraId="7FCF8CCA" w14:textId="77777777" w:rsidR="003F417F" w:rsidRPr="00250CB0" w:rsidRDefault="003F417F" w:rsidP="003008FE">
            <w:pPr>
              <w:rPr>
                <w:rFonts w:ascii="Bliss-Light" w:hAnsi="Bliss-Light"/>
                <w:noProof/>
                <w:sz w:val="24"/>
                <w:szCs w:val="24"/>
              </w:rPr>
            </w:pPr>
          </w:p>
        </w:tc>
        <w:tc>
          <w:tcPr>
            <w:tcW w:w="1462" w:type="dxa"/>
            <w:vAlign w:val="center"/>
          </w:tcPr>
          <w:p w14:paraId="58592F12" w14:textId="66442EF2" w:rsidR="003F417F" w:rsidRPr="00250CB0" w:rsidRDefault="003F417F" w:rsidP="00D00FC3">
            <w:pPr>
              <w:rPr>
                <w:rFonts w:ascii="Bliss-Light" w:hAnsi="Bliss-Light"/>
                <w:noProof/>
                <w:sz w:val="24"/>
                <w:szCs w:val="24"/>
              </w:rPr>
            </w:pPr>
            <w:r w:rsidRPr="00250CB0">
              <w:rPr>
                <w:rFonts w:ascii="Bliss-Light" w:hAnsi="Bliss-Light"/>
                <w:noProof/>
                <w:sz w:val="24"/>
                <w:szCs w:val="24"/>
              </w:rPr>
              <w:t>2,372,369</w:t>
            </w:r>
          </w:p>
        </w:tc>
      </w:tr>
    </w:tbl>
    <w:p w14:paraId="76739CEB" w14:textId="77777777" w:rsidR="003F417F" w:rsidRPr="00250CB0" w:rsidRDefault="003F417F" w:rsidP="003008FE">
      <w:pPr>
        <w:pBdr>
          <w:bottom w:val="single" w:sz="6" w:space="1" w:color="auto"/>
        </w:pBdr>
        <w:rPr>
          <w:rFonts w:ascii="Bliss-Light" w:hAnsi="Bliss-Light"/>
          <w:noProof/>
        </w:rPr>
      </w:pPr>
    </w:p>
    <w:tbl>
      <w:tblPr>
        <w:tblStyle w:val="TableGrid"/>
        <w:tblW w:w="0" w:type="auto"/>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Table: SIGN LANGUAGE INTERPRETINE SERVICE"/>
      </w:tblPr>
      <w:tblGrid>
        <w:gridCol w:w="7054"/>
        <w:gridCol w:w="1462"/>
      </w:tblGrid>
      <w:tr w:rsidR="00BB1883" w:rsidRPr="00250CB0" w14:paraId="63F399A9" w14:textId="77777777" w:rsidTr="00E80C48">
        <w:trPr>
          <w:trHeight w:val="552"/>
          <w:tblHeader/>
        </w:trPr>
        <w:tc>
          <w:tcPr>
            <w:tcW w:w="7054" w:type="dxa"/>
            <w:shd w:val="clear" w:color="auto" w:fill="548DD4" w:themeFill="text2" w:themeFillTint="99"/>
            <w:vAlign w:val="center"/>
          </w:tcPr>
          <w:p w14:paraId="298BF49F" w14:textId="40910750" w:rsidR="00BB1883" w:rsidRPr="00250CB0" w:rsidRDefault="00BB1883" w:rsidP="00E6145A">
            <w:pPr>
              <w:rPr>
                <w:rFonts w:ascii="Bliss-Bold" w:hAnsi="Bliss-Bold"/>
                <w:noProof/>
                <w:color w:val="FFFFFF" w:themeColor="background1"/>
                <w:sz w:val="24"/>
                <w:szCs w:val="24"/>
              </w:rPr>
            </w:pPr>
            <w:r w:rsidRPr="00250CB0">
              <w:rPr>
                <w:rFonts w:ascii="Bliss-Bold" w:hAnsi="Bliss-Bold"/>
                <w:noProof/>
                <w:color w:val="FFFFFF" w:themeColor="background1"/>
                <w:sz w:val="24"/>
                <w:szCs w:val="24"/>
              </w:rPr>
              <w:t>SIGN LANGUAGE INTERPRETINE SERVICE</w:t>
            </w:r>
          </w:p>
        </w:tc>
        <w:tc>
          <w:tcPr>
            <w:tcW w:w="1462" w:type="dxa"/>
            <w:shd w:val="clear" w:color="auto" w:fill="548DD4" w:themeFill="text2" w:themeFillTint="99"/>
            <w:vAlign w:val="center"/>
          </w:tcPr>
          <w:p w14:paraId="79343C20" w14:textId="77777777" w:rsidR="00BB1883" w:rsidRPr="00250CB0" w:rsidRDefault="00BB1883" w:rsidP="00E6145A">
            <w:pPr>
              <w:rPr>
                <w:rFonts w:ascii="Bliss-Bold" w:hAnsi="Bliss-Bold"/>
                <w:noProof/>
                <w:color w:val="FFFFFF" w:themeColor="background1"/>
                <w:sz w:val="24"/>
                <w:szCs w:val="24"/>
              </w:rPr>
            </w:pPr>
            <w:r w:rsidRPr="00250CB0">
              <w:rPr>
                <w:noProof/>
                <w:color w:val="FFFFFF" w:themeColor="background1"/>
                <w:sz w:val="24"/>
                <w:szCs w:val="24"/>
              </w:rPr>
              <w:t>€</w:t>
            </w:r>
          </w:p>
        </w:tc>
      </w:tr>
      <w:tr w:rsidR="00BB1883" w:rsidRPr="00250CB0" w14:paraId="7439B4A7" w14:textId="77777777" w:rsidTr="00D00FC3">
        <w:trPr>
          <w:trHeight w:val="528"/>
        </w:trPr>
        <w:tc>
          <w:tcPr>
            <w:tcW w:w="7054" w:type="dxa"/>
          </w:tcPr>
          <w:p w14:paraId="135ADE8F" w14:textId="77777777" w:rsidR="00BB1883" w:rsidRPr="00250CB0" w:rsidRDefault="00BB1883" w:rsidP="00E6145A">
            <w:pPr>
              <w:rPr>
                <w:rFonts w:ascii="Bliss-Light" w:hAnsi="Bliss-Light"/>
                <w:noProof/>
                <w:sz w:val="24"/>
                <w:szCs w:val="24"/>
              </w:rPr>
            </w:pPr>
          </w:p>
        </w:tc>
        <w:tc>
          <w:tcPr>
            <w:tcW w:w="1462" w:type="dxa"/>
            <w:vAlign w:val="center"/>
          </w:tcPr>
          <w:p w14:paraId="2018D896" w14:textId="1FDD4E46" w:rsidR="00BB1883" w:rsidRPr="00250CB0" w:rsidRDefault="00BB1883" w:rsidP="00D00FC3">
            <w:pPr>
              <w:rPr>
                <w:rFonts w:ascii="Bliss-Light" w:hAnsi="Bliss-Light"/>
                <w:noProof/>
                <w:sz w:val="24"/>
                <w:szCs w:val="24"/>
              </w:rPr>
            </w:pPr>
            <w:r w:rsidRPr="00250CB0">
              <w:rPr>
                <w:rFonts w:ascii="Bliss-Light" w:hAnsi="Bliss-Light"/>
                <w:noProof/>
                <w:sz w:val="24"/>
                <w:szCs w:val="24"/>
              </w:rPr>
              <w:t>3,135,748</w:t>
            </w:r>
          </w:p>
        </w:tc>
      </w:tr>
    </w:tbl>
    <w:p w14:paraId="0450C46B" w14:textId="77777777" w:rsidR="00BB1883" w:rsidRDefault="00BB1883" w:rsidP="003008FE">
      <w:pPr>
        <w:pBdr>
          <w:bottom w:val="single" w:sz="6" w:space="1" w:color="auto"/>
        </w:pBdr>
        <w:rPr>
          <w:noProof/>
        </w:rPr>
      </w:pPr>
    </w:p>
    <w:tbl>
      <w:tblPr>
        <w:tblStyle w:val="TableGrid"/>
        <w:tblW w:w="0" w:type="auto"/>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TAble: NATIONAL ASSOCIATION OF CITZENS INFORMATION SERVICES (NACIS)"/>
      </w:tblPr>
      <w:tblGrid>
        <w:gridCol w:w="7054"/>
        <w:gridCol w:w="1462"/>
      </w:tblGrid>
      <w:tr w:rsidR="00524A6A" w:rsidRPr="003F417F" w14:paraId="4034149C" w14:textId="77777777" w:rsidTr="00E80C48">
        <w:trPr>
          <w:trHeight w:val="847"/>
          <w:tblHeader/>
        </w:trPr>
        <w:tc>
          <w:tcPr>
            <w:tcW w:w="7054" w:type="dxa"/>
            <w:shd w:val="clear" w:color="auto" w:fill="548DD4" w:themeFill="text2" w:themeFillTint="99"/>
            <w:vAlign w:val="center"/>
          </w:tcPr>
          <w:p w14:paraId="328CDDFB" w14:textId="612CC604" w:rsidR="00524A6A" w:rsidRPr="00524A6A" w:rsidRDefault="00524A6A" w:rsidP="00E6145A">
            <w:pPr>
              <w:rPr>
                <w:rFonts w:ascii="Bliss-Bold" w:hAnsi="Bliss-Bold"/>
                <w:noProof/>
                <w:color w:val="FFFFFF" w:themeColor="background1"/>
                <w:sz w:val="24"/>
                <w:szCs w:val="24"/>
              </w:rPr>
            </w:pPr>
            <w:r w:rsidRPr="00524A6A">
              <w:rPr>
                <w:rFonts w:ascii="Bliss-Bold" w:hAnsi="Bliss-Bold"/>
                <w:noProof/>
                <w:color w:val="FFFFFF" w:themeColor="background1"/>
                <w:sz w:val="24"/>
                <w:szCs w:val="24"/>
              </w:rPr>
              <w:t>NATIONAL ASSOCIATION OF CITZENS</w:t>
            </w:r>
          </w:p>
          <w:p w14:paraId="6327D737" w14:textId="0DB56D82" w:rsidR="00524A6A" w:rsidRPr="00524A6A" w:rsidRDefault="00524A6A" w:rsidP="00E6145A">
            <w:pPr>
              <w:rPr>
                <w:rFonts w:ascii="Bliss-Bold" w:hAnsi="Bliss-Bold"/>
                <w:noProof/>
                <w:color w:val="FFFFFF" w:themeColor="background1"/>
                <w:sz w:val="24"/>
                <w:szCs w:val="24"/>
              </w:rPr>
            </w:pPr>
            <w:r w:rsidRPr="00524A6A">
              <w:rPr>
                <w:rFonts w:ascii="Bliss-Bold" w:hAnsi="Bliss-Bold"/>
                <w:noProof/>
                <w:color w:val="FFFFFF" w:themeColor="background1"/>
                <w:sz w:val="24"/>
                <w:szCs w:val="24"/>
              </w:rPr>
              <w:t>INFORMATION SERVICES (NACIS)</w:t>
            </w:r>
          </w:p>
        </w:tc>
        <w:tc>
          <w:tcPr>
            <w:tcW w:w="1462" w:type="dxa"/>
            <w:shd w:val="clear" w:color="auto" w:fill="548DD4" w:themeFill="text2" w:themeFillTint="99"/>
            <w:vAlign w:val="center"/>
          </w:tcPr>
          <w:p w14:paraId="0A783273" w14:textId="77777777" w:rsidR="00524A6A" w:rsidRPr="00524A6A" w:rsidRDefault="00524A6A" w:rsidP="00E6145A">
            <w:pPr>
              <w:rPr>
                <w:rFonts w:ascii="Bliss-Bold" w:hAnsi="Bliss-Bold"/>
                <w:noProof/>
                <w:color w:val="FFFFFF" w:themeColor="background1"/>
                <w:sz w:val="24"/>
                <w:szCs w:val="24"/>
              </w:rPr>
            </w:pPr>
            <w:r w:rsidRPr="00524A6A">
              <w:rPr>
                <w:noProof/>
                <w:color w:val="FFFFFF" w:themeColor="background1"/>
                <w:sz w:val="24"/>
                <w:szCs w:val="24"/>
              </w:rPr>
              <w:t>€</w:t>
            </w:r>
          </w:p>
        </w:tc>
      </w:tr>
      <w:tr w:rsidR="00524A6A" w14:paraId="5B04154C" w14:textId="77777777" w:rsidTr="00D00FC3">
        <w:trPr>
          <w:trHeight w:val="528"/>
        </w:trPr>
        <w:tc>
          <w:tcPr>
            <w:tcW w:w="7054" w:type="dxa"/>
          </w:tcPr>
          <w:p w14:paraId="29076C4E" w14:textId="77777777" w:rsidR="00524A6A" w:rsidRPr="00524A6A" w:rsidRDefault="00524A6A" w:rsidP="00E6145A">
            <w:pPr>
              <w:rPr>
                <w:rFonts w:ascii="Bliss-Bold" w:hAnsi="Bliss-Bold"/>
                <w:noProof/>
              </w:rPr>
            </w:pPr>
          </w:p>
        </w:tc>
        <w:tc>
          <w:tcPr>
            <w:tcW w:w="1462" w:type="dxa"/>
            <w:vAlign w:val="center"/>
          </w:tcPr>
          <w:p w14:paraId="1CD2B8B1" w14:textId="46DCBBF0" w:rsidR="00524A6A" w:rsidRPr="00D00FC3" w:rsidRDefault="00524A6A" w:rsidP="00D00FC3">
            <w:pPr>
              <w:rPr>
                <w:rFonts w:ascii="Bliss-Light" w:hAnsi="Bliss-Light"/>
                <w:noProof/>
                <w:sz w:val="24"/>
                <w:szCs w:val="24"/>
              </w:rPr>
            </w:pPr>
            <w:r w:rsidRPr="00D00FC3">
              <w:rPr>
                <w:rFonts w:ascii="Bliss-Light" w:hAnsi="Bliss-Light"/>
                <w:noProof/>
                <w:sz w:val="24"/>
                <w:szCs w:val="24"/>
              </w:rPr>
              <w:t>48,500</w:t>
            </w:r>
          </w:p>
        </w:tc>
      </w:tr>
    </w:tbl>
    <w:p w14:paraId="3B9346C2" w14:textId="77777777" w:rsidR="00CE61A5" w:rsidRDefault="00CE61A5" w:rsidP="003008FE">
      <w:pPr>
        <w:pBdr>
          <w:bottom w:val="single" w:sz="6" w:space="1" w:color="auto"/>
        </w:pBdr>
        <w:rPr>
          <w:noProof/>
        </w:rPr>
      </w:pPr>
    </w:p>
    <w:p w14:paraId="1C0E56CC" w14:textId="77777777" w:rsidR="00CE61A5" w:rsidRDefault="00CE61A5" w:rsidP="003008FE">
      <w:pPr>
        <w:pBdr>
          <w:bottom w:val="single" w:sz="6" w:space="1" w:color="auto"/>
        </w:pBdr>
        <w:rPr>
          <w:noProof/>
        </w:rPr>
      </w:pPr>
    </w:p>
    <w:p w14:paraId="6D248D2C" w14:textId="77777777" w:rsidR="00CE61A5" w:rsidRDefault="00CE61A5" w:rsidP="003008FE">
      <w:pPr>
        <w:pBdr>
          <w:bottom w:val="single" w:sz="6" w:space="1" w:color="auto"/>
        </w:pBdr>
        <w:rPr>
          <w:noProof/>
        </w:rPr>
      </w:pPr>
    </w:p>
    <w:p w14:paraId="2E48D29D" w14:textId="77777777" w:rsidR="00CE61A5" w:rsidRDefault="00CE61A5" w:rsidP="003008FE">
      <w:pPr>
        <w:pBdr>
          <w:bottom w:val="single" w:sz="6" w:space="1" w:color="auto"/>
        </w:pBdr>
        <w:rPr>
          <w:noProof/>
        </w:rPr>
      </w:pPr>
    </w:p>
    <w:p w14:paraId="3AC48DCD" w14:textId="77777777" w:rsidR="00CE61A5" w:rsidRDefault="00CE61A5" w:rsidP="003008FE">
      <w:pPr>
        <w:pBdr>
          <w:bottom w:val="single" w:sz="6" w:space="1" w:color="auto"/>
        </w:pBdr>
        <w:rPr>
          <w:noProof/>
        </w:rPr>
      </w:pPr>
    </w:p>
    <w:p w14:paraId="2180D73A" w14:textId="77777777" w:rsidR="00CE61A5" w:rsidRDefault="00CE61A5" w:rsidP="003008FE">
      <w:pPr>
        <w:pBdr>
          <w:bottom w:val="single" w:sz="6" w:space="1" w:color="auto"/>
        </w:pBdr>
      </w:pPr>
    </w:p>
    <w:p w14:paraId="47ECE6B5" w14:textId="692BC525" w:rsidR="00B17396" w:rsidRDefault="00B17396" w:rsidP="003008FE">
      <w:pPr>
        <w:pBdr>
          <w:bottom w:val="single" w:sz="6" w:space="1" w:color="auto"/>
        </w:pBdr>
      </w:pPr>
    </w:p>
    <w:tbl>
      <w:tblPr>
        <w:tblW w:w="8364" w:type="dxa"/>
        <w:tblInd w:w="64" w:type="dxa"/>
        <w:tblLayout w:type="fixed"/>
        <w:tblCellMar>
          <w:left w:w="0" w:type="dxa"/>
          <w:right w:w="0" w:type="dxa"/>
        </w:tblCellMar>
        <w:tblLook w:val="0000" w:firstRow="0" w:lastRow="0" w:firstColumn="0" w:lastColumn="0" w:noHBand="0" w:noVBand="0"/>
      </w:tblPr>
      <w:tblGrid>
        <w:gridCol w:w="6946"/>
        <w:gridCol w:w="1418"/>
      </w:tblGrid>
      <w:tr w:rsidR="00671FA5" w:rsidRPr="00021549" w14:paraId="578F8C7C" w14:textId="77777777" w:rsidTr="00E6145A">
        <w:trPr>
          <w:trHeight w:val="656"/>
          <w:tblHeader/>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025E2C67" w14:textId="32DBB3B5" w:rsidR="00671FA5" w:rsidRPr="00DF2241" w:rsidRDefault="00671FA5" w:rsidP="00E6145A">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Bold" w:hAnsi="Bliss-Bold" w:cs="Bliss-Bold"/>
                <w:b/>
                <w:bCs/>
                <w:caps/>
                <w:color w:val="FFFFFF"/>
                <w:sz w:val="26"/>
                <w:szCs w:val="26"/>
                <w:lang w:val="en-GB"/>
              </w:rPr>
              <w:t>SECOND TIRE SUPPORTS</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71DA1CCB" w14:textId="77777777" w:rsidR="00671FA5" w:rsidRPr="00021549" w:rsidRDefault="00671FA5" w:rsidP="00E6145A">
            <w:pPr>
              <w:widowControl w:val="0"/>
              <w:suppressAutoHyphens/>
              <w:autoSpaceDE w:val="0"/>
              <w:autoSpaceDN w:val="0"/>
              <w:adjustRightInd w:val="0"/>
              <w:spacing w:line="300" w:lineRule="atLeast"/>
              <w:ind w:left="61"/>
              <w:textAlignment w:val="center"/>
              <w:rPr>
                <w:rFonts w:ascii="Times New Roman" w:hAnsi="Times New Roman" w:cs="Times New Roman"/>
                <w:caps/>
                <w:color w:val="7FFF00"/>
                <w:sz w:val="20"/>
                <w:szCs w:val="20"/>
                <w:lang w:val="en-GB"/>
              </w:rPr>
            </w:pPr>
            <w:r>
              <w:rPr>
                <w:rFonts w:ascii="Times New Roman" w:hAnsi="Times New Roman" w:cs="Times New Roman"/>
                <w:b/>
                <w:bCs/>
                <w:caps/>
                <w:color w:val="FFFFFF"/>
                <w:sz w:val="26"/>
                <w:szCs w:val="26"/>
                <w:lang w:val="en-GB"/>
              </w:rPr>
              <w:t>€</w:t>
            </w:r>
          </w:p>
        </w:tc>
      </w:tr>
      <w:tr w:rsidR="00671FA5" w:rsidRPr="007952EB" w14:paraId="101582A7" w14:textId="77777777" w:rsidTr="00E6145A">
        <w:trPr>
          <w:trHeight w:val="38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390D61D1" w14:textId="13AAB6E6" w:rsidR="00671FA5" w:rsidRPr="007952EB" w:rsidRDefault="00671FA5" w:rsidP="00E6145A">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olor w:val="4C4C4C"/>
                <w:lang w:val="en-GB"/>
              </w:rPr>
              <w:t xml:space="preserve">Threshold </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516E5090" w14:textId="1F3FE678" w:rsidR="00671FA5" w:rsidRPr="007952EB" w:rsidRDefault="00A471A8" w:rsidP="00E6145A">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47,700</w:t>
            </w:r>
          </w:p>
        </w:tc>
      </w:tr>
      <w:tr w:rsidR="00671FA5" w:rsidRPr="007952EB" w14:paraId="052EF688" w14:textId="77777777" w:rsidTr="00E6145A">
        <w:trPr>
          <w:trHeight w:val="418"/>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2441E815" w14:textId="3578C52F" w:rsidR="00671FA5" w:rsidRPr="007952EB" w:rsidRDefault="00671FA5" w:rsidP="00E6145A">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olor w:val="4C4C4C"/>
                <w:lang w:val="en-GB"/>
              </w:rPr>
              <w:t>Free Legal Advice (FLAC)</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0F7135F0" w14:textId="56E30246" w:rsidR="00671FA5" w:rsidRPr="007952EB" w:rsidRDefault="00A471A8" w:rsidP="00E6145A">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88.000</w:t>
            </w:r>
          </w:p>
        </w:tc>
      </w:tr>
      <w:tr w:rsidR="00671FA5" w:rsidRPr="007952EB" w14:paraId="2B8C1379" w14:textId="77777777" w:rsidTr="00E6145A">
        <w:trPr>
          <w:trHeight w:val="27"/>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75B477AD" w14:textId="06F27342" w:rsidR="00671FA5" w:rsidRPr="007952EB" w:rsidRDefault="00671FA5" w:rsidP="00E6145A">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olor w:val="4C4C4C"/>
                <w:lang w:val="en-GB"/>
              </w:rPr>
              <w:t>Treoir</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27601180" w14:textId="3A154003" w:rsidR="00671FA5" w:rsidRPr="007952EB" w:rsidRDefault="00A471A8" w:rsidP="00E6145A">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34,400</w:t>
            </w:r>
          </w:p>
        </w:tc>
      </w:tr>
      <w:tr w:rsidR="00671FA5" w:rsidRPr="007952EB" w14:paraId="718DA2A5" w14:textId="77777777" w:rsidTr="00E6145A">
        <w:trPr>
          <w:trHeight w:val="35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37D3D6BC" w14:textId="0F0002CC" w:rsidR="00671FA5" w:rsidRPr="007952EB" w:rsidRDefault="00671FA5" w:rsidP="00E6145A">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olor w:val="4C4C4C"/>
                <w:lang w:val="en-GB"/>
              </w:rPr>
              <w:t>Immigrant Council of Ireland</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54E1B29A" w14:textId="074CD381" w:rsidR="00671FA5" w:rsidRPr="007952EB" w:rsidRDefault="00CD66DA" w:rsidP="00E6145A">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115,225</w:t>
            </w:r>
          </w:p>
        </w:tc>
      </w:tr>
      <w:tr w:rsidR="00671FA5" w:rsidRPr="007952EB" w14:paraId="116D87CD" w14:textId="77777777" w:rsidTr="00E6145A">
        <w:trPr>
          <w:trHeight w:val="21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61A598F0" w14:textId="54E3C3F9" w:rsidR="00671FA5" w:rsidRPr="007952EB" w:rsidRDefault="00F32E8E" w:rsidP="00F32E8E">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olor w:val="4C4C4C"/>
                <w:lang w:val="en-GB"/>
              </w:rPr>
              <w:t>Access &amp; Advocacy Support – Inclusion Ireland</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28E918EA" w14:textId="1A020BE1" w:rsidR="00671FA5" w:rsidRPr="007952EB" w:rsidRDefault="00CD66DA" w:rsidP="00E6145A">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29,100</w:t>
            </w:r>
          </w:p>
        </w:tc>
      </w:tr>
      <w:tr w:rsidR="00671FA5" w:rsidRPr="007952EB" w14:paraId="12C8D8A5" w14:textId="77777777" w:rsidTr="00E6145A">
        <w:trPr>
          <w:trHeight w:val="190"/>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31FF7F31" w14:textId="463C2904" w:rsidR="00671FA5" w:rsidRPr="00473491" w:rsidRDefault="00473491" w:rsidP="00E6145A">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473491">
              <w:rPr>
                <w:rFonts w:ascii="Bliss-Bold" w:hAnsi="Bliss-Bold" w:cs="Bliss-Regular"/>
                <w:color w:val="4C4C4C"/>
                <w:lang w:val="en-GB"/>
              </w:rPr>
              <w:t>Total</w:t>
            </w:r>
            <w:r w:rsidR="00671FA5" w:rsidRPr="00473491">
              <w:rPr>
                <w:rFonts w:ascii="Bliss-Bold" w:hAnsi="Bliss-Bold" w:cs="Bliss-Regular"/>
                <w:color w:val="4C4C4C"/>
                <w:lang w:val="en-GB"/>
              </w:rPr>
              <w:t xml:space="preserve"> </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31BF4BB9" w14:textId="03EEF63D" w:rsidR="00671FA5" w:rsidRPr="00473491" w:rsidRDefault="00CD66DA" w:rsidP="00E6145A">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Bold" w:hAnsi="Bliss-Bold" w:cs="Bliss-Regular"/>
                <w:caps/>
                <w:color w:val="4C4C4C"/>
                <w:lang w:val="en-GB"/>
              </w:rPr>
              <w:t>314,425</w:t>
            </w:r>
          </w:p>
        </w:tc>
      </w:tr>
    </w:tbl>
    <w:p w14:paraId="0A910F57" w14:textId="77777777" w:rsidR="00B17396" w:rsidRDefault="00B17396" w:rsidP="00B17396">
      <w:pPr>
        <w:pBdr>
          <w:bottom w:val="single" w:sz="6" w:space="1" w:color="auto"/>
        </w:pBdr>
      </w:pPr>
    </w:p>
    <w:tbl>
      <w:tblPr>
        <w:tblStyle w:val="TableGrid"/>
        <w:tblW w:w="0" w:type="auto"/>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Table: TOTAL OF GRANTS"/>
      </w:tblPr>
      <w:tblGrid>
        <w:gridCol w:w="7054"/>
        <w:gridCol w:w="1462"/>
      </w:tblGrid>
      <w:tr w:rsidR="00E75345" w:rsidRPr="00524A6A" w14:paraId="2EDA10FC" w14:textId="77777777" w:rsidTr="00E80C48">
        <w:trPr>
          <w:trHeight w:val="528"/>
          <w:tblHeader/>
        </w:trPr>
        <w:tc>
          <w:tcPr>
            <w:tcW w:w="7054" w:type="dxa"/>
            <w:shd w:val="clear" w:color="auto" w:fill="548DD4" w:themeFill="text2" w:themeFillTint="99"/>
            <w:vAlign w:val="center"/>
          </w:tcPr>
          <w:p w14:paraId="2068496D" w14:textId="445545AB" w:rsidR="00E75345" w:rsidRPr="00524A6A" w:rsidRDefault="00E75345" w:rsidP="00E75345">
            <w:pPr>
              <w:rPr>
                <w:rFonts w:ascii="Bliss-Bold" w:hAnsi="Bliss-Bold"/>
                <w:noProof/>
                <w:color w:val="FFFFFF" w:themeColor="background1"/>
                <w:sz w:val="24"/>
                <w:szCs w:val="24"/>
              </w:rPr>
            </w:pPr>
            <w:r>
              <w:rPr>
                <w:rFonts w:ascii="Bliss-Bold" w:hAnsi="Bliss-Bold"/>
                <w:noProof/>
                <w:color w:val="FFFFFF" w:themeColor="background1"/>
                <w:sz w:val="24"/>
                <w:szCs w:val="24"/>
              </w:rPr>
              <w:t>TOTAL OF GRANTS</w:t>
            </w:r>
          </w:p>
        </w:tc>
        <w:tc>
          <w:tcPr>
            <w:tcW w:w="1462" w:type="dxa"/>
            <w:shd w:val="clear" w:color="auto" w:fill="548DD4" w:themeFill="text2" w:themeFillTint="99"/>
            <w:vAlign w:val="center"/>
          </w:tcPr>
          <w:p w14:paraId="5BD5A9A5" w14:textId="77777777" w:rsidR="00E75345" w:rsidRPr="00524A6A" w:rsidRDefault="00E75345" w:rsidP="00E6145A">
            <w:pPr>
              <w:rPr>
                <w:rFonts w:ascii="Bliss-Bold" w:hAnsi="Bliss-Bold"/>
                <w:noProof/>
                <w:color w:val="FFFFFF" w:themeColor="background1"/>
                <w:sz w:val="24"/>
                <w:szCs w:val="24"/>
              </w:rPr>
            </w:pPr>
            <w:r w:rsidRPr="00524A6A">
              <w:rPr>
                <w:noProof/>
                <w:color w:val="FFFFFF" w:themeColor="background1"/>
                <w:sz w:val="24"/>
                <w:szCs w:val="24"/>
              </w:rPr>
              <w:t>€</w:t>
            </w:r>
          </w:p>
        </w:tc>
      </w:tr>
      <w:tr w:rsidR="00E75345" w:rsidRPr="00D00FC3" w14:paraId="20EC8901" w14:textId="77777777" w:rsidTr="00E6145A">
        <w:trPr>
          <w:trHeight w:val="528"/>
        </w:trPr>
        <w:tc>
          <w:tcPr>
            <w:tcW w:w="7054" w:type="dxa"/>
          </w:tcPr>
          <w:p w14:paraId="7ECA588D" w14:textId="77777777" w:rsidR="00E75345" w:rsidRPr="00524A6A" w:rsidRDefault="00E75345" w:rsidP="00E6145A">
            <w:pPr>
              <w:rPr>
                <w:rFonts w:ascii="Bliss-Bold" w:hAnsi="Bliss-Bold"/>
                <w:noProof/>
              </w:rPr>
            </w:pPr>
          </w:p>
        </w:tc>
        <w:tc>
          <w:tcPr>
            <w:tcW w:w="1462" w:type="dxa"/>
            <w:vAlign w:val="center"/>
          </w:tcPr>
          <w:p w14:paraId="33B42497" w14:textId="5A3EFD75" w:rsidR="00E75345" w:rsidRPr="00D00FC3" w:rsidRDefault="002E1FB9" w:rsidP="00E6145A">
            <w:pPr>
              <w:rPr>
                <w:rFonts w:ascii="Bliss-Light" w:hAnsi="Bliss-Light"/>
                <w:noProof/>
                <w:sz w:val="24"/>
                <w:szCs w:val="24"/>
              </w:rPr>
            </w:pPr>
            <w:r>
              <w:rPr>
                <w:rFonts w:ascii="Bliss-Light" w:hAnsi="Bliss-Light"/>
                <w:noProof/>
                <w:sz w:val="24"/>
                <w:szCs w:val="24"/>
              </w:rPr>
              <w:t>35,612,371</w:t>
            </w:r>
          </w:p>
        </w:tc>
      </w:tr>
    </w:tbl>
    <w:p w14:paraId="7A06407D" w14:textId="77777777" w:rsidR="00B17396" w:rsidRDefault="00B17396" w:rsidP="00B17396">
      <w:pPr>
        <w:pBdr>
          <w:bottom w:val="single" w:sz="6" w:space="1" w:color="auto"/>
        </w:pBdr>
      </w:pPr>
    </w:p>
    <w:p w14:paraId="0DBEA1BF" w14:textId="77777777" w:rsidR="00F95E4E" w:rsidRDefault="00F95E4E" w:rsidP="00B17396">
      <w:pPr>
        <w:pBdr>
          <w:bottom w:val="single" w:sz="6" w:space="1" w:color="auto"/>
        </w:pBdr>
      </w:pPr>
    </w:p>
    <w:p w14:paraId="654FCE70" w14:textId="77777777" w:rsidR="00F95E4E" w:rsidRDefault="00F95E4E" w:rsidP="00B17396">
      <w:pPr>
        <w:pBdr>
          <w:bottom w:val="single" w:sz="6" w:space="1" w:color="auto"/>
        </w:pBdr>
      </w:pPr>
    </w:p>
    <w:p w14:paraId="41AF856A" w14:textId="77777777" w:rsidR="00F95E4E" w:rsidRDefault="00F95E4E" w:rsidP="00B17396">
      <w:pPr>
        <w:pBdr>
          <w:bottom w:val="single" w:sz="6" w:space="1" w:color="auto"/>
        </w:pBdr>
      </w:pPr>
    </w:p>
    <w:p w14:paraId="059E0E7A" w14:textId="77777777" w:rsidR="00F95E4E" w:rsidRDefault="00F95E4E" w:rsidP="00B17396">
      <w:pPr>
        <w:pBdr>
          <w:bottom w:val="single" w:sz="6" w:space="1" w:color="auto"/>
        </w:pBdr>
      </w:pPr>
    </w:p>
    <w:p w14:paraId="1B9DFF11" w14:textId="77777777" w:rsidR="00F95E4E" w:rsidRDefault="00F95E4E" w:rsidP="00B17396">
      <w:pPr>
        <w:pBdr>
          <w:bottom w:val="single" w:sz="6" w:space="1" w:color="auto"/>
        </w:pBdr>
      </w:pPr>
    </w:p>
    <w:p w14:paraId="174EF11E" w14:textId="77777777" w:rsidR="00F95E4E" w:rsidRDefault="00F95E4E" w:rsidP="00B17396">
      <w:pPr>
        <w:pBdr>
          <w:bottom w:val="single" w:sz="6" w:space="1" w:color="auto"/>
        </w:pBdr>
      </w:pPr>
    </w:p>
    <w:p w14:paraId="4A84B961" w14:textId="77777777" w:rsidR="00F95E4E" w:rsidRDefault="00F95E4E" w:rsidP="00B17396">
      <w:pPr>
        <w:pBdr>
          <w:bottom w:val="single" w:sz="6" w:space="1" w:color="auto"/>
        </w:pBdr>
      </w:pPr>
    </w:p>
    <w:p w14:paraId="60C8A1E4" w14:textId="77777777" w:rsidR="00F95E4E" w:rsidRDefault="00F95E4E" w:rsidP="00B17396">
      <w:pPr>
        <w:pBdr>
          <w:bottom w:val="single" w:sz="6" w:space="1" w:color="auto"/>
        </w:pBdr>
      </w:pPr>
    </w:p>
    <w:p w14:paraId="4757E8C4" w14:textId="6ECCF7DF" w:rsidR="00BB139D" w:rsidRDefault="00BB139D" w:rsidP="00B17396">
      <w:pPr>
        <w:pBdr>
          <w:bottom w:val="single" w:sz="6" w:space="1" w:color="auto"/>
        </w:pBdr>
        <w:rPr>
          <w:noProof/>
        </w:rPr>
      </w:pPr>
    </w:p>
    <w:p w14:paraId="484E28B0" w14:textId="77777777" w:rsidR="00FF52F6" w:rsidRDefault="00FF52F6" w:rsidP="00B17396">
      <w:pPr>
        <w:pBdr>
          <w:bottom w:val="single" w:sz="6" w:space="1" w:color="auto"/>
        </w:pBdr>
        <w:rPr>
          <w:noProof/>
        </w:rPr>
      </w:pPr>
    </w:p>
    <w:p w14:paraId="797BB962" w14:textId="77777777" w:rsidR="00FF52F6" w:rsidRDefault="00FF52F6" w:rsidP="00B17396">
      <w:pPr>
        <w:pBdr>
          <w:bottom w:val="single" w:sz="6" w:space="1" w:color="auto"/>
        </w:pBdr>
        <w:rPr>
          <w:noProof/>
        </w:rPr>
      </w:pPr>
    </w:p>
    <w:p w14:paraId="1A83CF74" w14:textId="77777777" w:rsidR="00FF52F6" w:rsidRDefault="00FF52F6" w:rsidP="00B17396">
      <w:pPr>
        <w:pBdr>
          <w:bottom w:val="single" w:sz="6" w:space="1" w:color="auto"/>
        </w:pBdr>
        <w:rPr>
          <w:noProof/>
        </w:rPr>
      </w:pPr>
    </w:p>
    <w:p w14:paraId="4DBA4984" w14:textId="77777777" w:rsidR="00FF52F6" w:rsidRDefault="00FF52F6" w:rsidP="00B17396">
      <w:pPr>
        <w:pBdr>
          <w:bottom w:val="single" w:sz="6" w:space="1" w:color="auto"/>
        </w:pBdr>
        <w:rPr>
          <w:noProof/>
        </w:rPr>
      </w:pPr>
    </w:p>
    <w:p w14:paraId="7EA32584" w14:textId="77777777" w:rsidR="00FF52F6" w:rsidRDefault="00FF52F6" w:rsidP="00B17396">
      <w:pPr>
        <w:pBdr>
          <w:bottom w:val="single" w:sz="6" w:space="1" w:color="auto"/>
        </w:pBdr>
        <w:rPr>
          <w:noProof/>
        </w:rPr>
      </w:pPr>
    </w:p>
    <w:p w14:paraId="53E32D9E" w14:textId="77777777" w:rsidR="00FF52F6" w:rsidRDefault="00FF52F6" w:rsidP="00B17396">
      <w:pPr>
        <w:pBdr>
          <w:bottom w:val="single" w:sz="6" w:space="1" w:color="auto"/>
        </w:pBdr>
        <w:rPr>
          <w:noProof/>
        </w:rPr>
      </w:pPr>
    </w:p>
    <w:p w14:paraId="4D59D932" w14:textId="77777777" w:rsidR="00FF52F6" w:rsidRDefault="00FF52F6" w:rsidP="00B17396">
      <w:pPr>
        <w:pBdr>
          <w:bottom w:val="single" w:sz="6" w:space="1" w:color="auto"/>
        </w:pBdr>
        <w:rPr>
          <w:noProof/>
        </w:rPr>
      </w:pPr>
    </w:p>
    <w:p w14:paraId="0AEE21FE" w14:textId="77777777" w:rsidR="00FF52F6" w:rsidRDefault="00FF52F6" w:rsidP="00B17396">
      <w:pPr>
        <w:pBdr>
          <w:bottom w:val="single" w:sz="6" w:space="1" w:color="auto"/>
        </w:pBdr>
        <w:rPr>
          <w:noProof/>
        </w:rPr>
      </w:pPr>
    </w:p>
    <w:p w14:paraId="6C9AC40B" w14:textId="77777777" w:rsidR="00FF52F6" w:rsidRDefault="00FF52F6" w:rsidP="00B17396">
      <w:pPr>
        <w:pBdr>
          <w:bottom w:val="single" w:sz="6" w:space="1" w:color="auto"/>
        </w:pBdr>
        <w:rPr>
          <w:noProof/>
        </w:rPr>
      </w:pPr>
    </w:p>
    <w:p w14:paraId="085FD1BC" w14:textId="77777777" w:rsidR="00FF52F6" w:rsidRDefault="00FF52F6" w:rsidP="00B17396">
      <w:pPr>
        <w:pBdr>
          <w:bottom w:val="single" w:sz="6" w:space="1" w:color="auto"/>
        </w:pBdr>
        <w:rPr>
          <w:noProof/>
        </w:rPr>
      </w:pPr>
    </w:p>
    <w:p w14:paraId="5EFDD6F6" w14:textId="77777777" w:rsidR="00FF52F6" w:rsidRDefault="00FF52F6" w:rsidP="00B17396">
      <w:pPr>
        <w:pBdr>
          <w:bottom w:val="single" w:sz="6" w:space="1" w:color="auto"/>
        </w:pBdr>
        <w:rPr>
          <w:noProof/>
        </w:rPr>
      </w:pPr>
    </w:p>
    <w:p w14:paraId="4B2C8803" w14:textId="77777777" w:rsidR="00FF52F6" w:rsidRDefault="00FF52F6" w:rsidP="00B17396">
      <w:pPr>
        <w:pBdr>
          <w:bottom w:val="single" w:sz="6" w:space="1" w:color="auto"/>
        </w:pBdr>
        <w:rPr>
          <w:noProof/>
        </w:rPr>
      </w:pPr>
    </w:p>
    <w:p w14:paraId="066AC378" w14:textId="77777777" w:rsidR="00FF52F6" w:rsidRDefault="00FF52F6" w:rsidP="00B17396">
      <w:pPr>
        <w:pBdr>
          <w:bottom w:val="single" w:sz="6" w:space="1" w:color="auto"/>
        </w:pBdr>
        <w:rPr>
          <w:noProof/>
        </w:rPr>
      </w:pPr>
    </w:p>
    <w:p w14:paraId="48D9870B" w14:textId="77777777" w:rsidR="00FF52F6" w:rsidRDefault="00FF52F6" w:rsidP="00B17396">
      <w:pPr>
        <w:pBdr>
          <w:bottom w:val="single" w:sz="6" w:space="1" w:color="auto"/>
        </w:pBdr>
        <w:rPr>
          <w:noProof/>
        </w:rPr>
      </w:pPr>
    </w:p>
    <w:p w14:paraId="5C1E9087" w14:textId="77777777" w:rsidR="00FF52F6" w:rsidRDefault="00FF52F6" w:rsidP="00B17396">
      <w:pPr>
        <w:pBdr>
          <w:bottom w:val="single" w:sz="6" w:space="1" w:color="auto"/>
        </w:pBdr>
        <w:rPr>
          <w:noProof/>
        </w:rPr>
      </w:pPr>
    </w:p>
    <w:p w14:paraId="1B9B7B96" w14:textId="77777777" w:rsidR="00FF52F6" w:rsidRDefault="00FF52F6" w:rsidP="00B17396">
      <w:pPr>
        <w:pBdr>
          <w:bottom w:val="single" w:sz="6" w:space="1" w:color="auto"/>
        </w:pBdr>
        <w:rPr>
          <w:noProof/>
        </w:rPr>
      </w:pPr>
    </w:p>
    <w:p w14:paraId="36E0FC97" w14:textId="77777777" w:rsidR="00FF52F6" w:rsidRDefault="00FF52F6" w:rsidP="00B17396">
      <w:pPr>
        <w:pBdr>
          <w:bottom w:val="single" w:sz="6" w:space="1" w:color="auto"/>
        </w:pBdr>
        <w:rPr>
          <w:noProof/>
        </w:rPr>
      </w:pPr>
    </w:p>
    <w:p w14:paraId="7046F130" w14:textId="77777777" w:rsidR="00FF52F6" w:rsidRDefault="00FF52F6" w:rsidP="00B17396">
      <w:pPr>
        <w:pBdr>
          <w:bottom w:val="single" w:sz="6" w:space="1" w:color="auto"/>
        </w:pBdr>
        <w:rPr>
          <w:noProof/>
        </w:rPr>
      </w:pPr>
    </w:p>
    <w:p w14:paraId="6C9FB173" w14:textId="77777777" w:rsidR="00FF52F6" w:rsidRDefault="00FF52F6" w:rsidP="00B17396">
      <w:pPr>
        <w:pBdr>
          <w:bottom w:val="single" w:sz="6" w:space="1" w:color="auto"/>
        </w:pBdr>
        <w:rPr>
          <w:noProof/>
        </w:rPr>
      </w:pPr>
    </w:p>
    <w:p w14:paraId="45678216" w14:textId="77777777" w:rsidR="00FF52F6" w:rsidRDefault="00FF52F6" w:rsidP="00B17396">
      <w:pPr>
        <w:pBdr>
          <w:bottom w:val="single" w:sz="6" w:space="1" w:color="auto"/>
        </w:pBdr>
      </w:pPr>
    </w:p>
    <w:p w14:paraId="12897A27" w14:textId="77777777" w:rsidR="00BB139D" w:rsidRDefault="00BB139D" w:rsidP="00B17396">
      <w:pPr>
        <w:pBdr>
          <w:bottom w:val="single" w:sz="6" w:space="1" w:color="auto"/>
        </w:pBdr>
      </w:pPr>
    </w:p>
    <w:p w14:paraId="2A16B85E" w14:textId="77777777" w:rsidR="00F95E4E" w:rsidRDefault="00F95E4E" w:rsidP="00B17396">
      <w:pPr>
        <w:pBdr>
          <w:bottom w:val="single" w:sz="6" w:space="1" w:color="auto"/>
        </w:pBdr>
      </w:pPr>
    </w:p>
    <w:p w14:paraId="5B286E30" w14:textId="77777777" w:rsidR="00F55AFC" w:rsidRDefault="00F55AFC" w:rsidP="003008FE"/>
    <w:p w14:paraId="391804E0" w14:textId="77777777" w:rsidR="00F55AFC" w:rsidRDefault="00F55AFC" w:rsidP="003008FE"/>
    <w:p w14:paraId="697FCC41" w14:textId="77777777" w:rsidR="00F55AFC" w:rsidRDefault="00F55AFC" w:rsidP="003008FE"/>
    <w:p w14:paraId="66CBD35F" w14:textId="77777777" w:rsidR="00F55AFC" w:rsidRDefault="00F55AFC" w:rsidP="003008FE"/>
    <w:p w14:paraId="29761D61" w14:textId="15ABE340" w:rsidR="003008FE" w:rsidRPr="002D3A60" w:rsidRDefault="003008FE" w:rsidP="003008FE">
      <w:r w:rsidRPr="002D3A60">
        <w:t>The Citizens Information Board provides independent information, advice and advocacy on public and social services through citizensinformation.ie, the Citizens Information Phone Service and the network of Citizens Information Services. It is responsible for the Money Advice and Budgeting Service and provides advocacy services for people with disabilities.</w:t>
      </w:r>
    </w:p>
    <w:p w14:paraId="7E39C252" w14:textId="77777777" w:rsidR="003008FE" w:rsidRPr="002D3A60" w:rsidRDefault="003008FE" w:rsidP="003008FE"/>
    <w:p w14:paraId="0F8C5493" w14:textId="77777777" w:rsidR="003008FE" w:rsidRPr="002D3A60" w:rsidRDefault="003008FE" w:rsidP="003008FE">
      <w:r w:rsidRPr="002D3A60">
        <w:t>Head Office</w:t>
      </w:r>
    </w:p>
    <w:p w14:paraId="15953E95" w14:textId="77777777" w:rsidR="003008FE" w:rsidRPr="002D3A60" w:rsidRDefault="003008FE" w:rsidP="003008FE">
      <w:r w:rsidRPr="002D3A60">
        <w:t>Ground Floor</w:t>
      </w:r>
    </w:p>
    <w:p w14:paraId="198E8FEE" w14:textId="77777777" w:rsidR="003008FE" w:rsidRPr="002D3A60" w:rsidRDefault="003008FE" w:rsidP="003008FE">
      <w:r w:rsidRPr="002D3A60">
        <w:t>George’s Quay House</w:t>
      </w:r>
    </w:p>
    <w:p w14:paraId="0D3460FA" w14:textId="77777777" w:rsidR="003008FE" w:rsidRPr="002D3A60" w:rsidRDefault="003008FE" w:rsidP="003008FE">
      <w:r w:rsidRPr="002D3A60">
        <w:t>43 Townsend Street</w:t>
      </w:r>
    </w:p>
    <w:p w14:paraId="2D78FD2F" w14:textId="77777777" w:rsidR="003008FE" w:rsidRPr="002D3A60" w:rsidRDefault="003008FE" w:rsidP="003008FE">
      <w:r w:rsidRPr="002D3A60">
        <w:t>Dublin 2, D02 VK65</w:t>
      </w:r>
    </w:p>
    <w:p w14:paraId="1595CDEB" w14:textId="77777777" w:rsidR="003008FE" w:rsidRPr="002D3A60" w:rsidRDefault="003008FE" w:rsidP="003008FE"/>
    <w:p w14:paraId="2F095BAE" w14:textId="77777777" w:rsidR="003008FE" w:rsidRPr="002D3A60" w:rsidRDefault="003008FE" w:rsidP="003008FE"/>
    <w:p w14:paraId="150EFB9A" w14:textId="77777777" w:rsidR="003008FE" w:rsidRPr="002D3A60" w:rsidRDefault="003008FE" w:rsidP="003008FE">
      <w:r w:rsidRPr="002D3A60">
        <w:t>t +353 1 605 9000</w:t>
      </w:r>
    </w:p>
    <w:p w14:paraId="7AD7112B" w14:textId="77777777" w:rsidR="003008FE" w:rsidRPr="002D3A60" w:rsidRDefault="003008FE" w:rsidP="003008FE">
      <w:r w:rsidRPr="002D3A60">
        <w:t>f +353 1 605 9099</w:t>
      </w:r>
    </w:p>
    <w:p w14:paraId="27BA90BD" w14:textId="77777777" w:rsidR="003008FE" w:rsidRPr="002D3A60" w:rsidRDefault="003008FE" w:rsidP="003008FE">
      <w:r w:rsidRPr="002D3A60">
        <w:t>e info@ciboard.ie</w:t>
      </w:r>
    </w:p>
    <w:p w14:paraId="08E0CD36" w14:textId="3B4F6EB7" w:rsidR="003008FE" w:rsidRPr="002D3A60" w:rsidRDefault="003008FE" w:rsidP="003008FE">
      <w:r w:rsidRPr="002D3A60">
        <w:t>w citizensinformationboard.ie</w:t>
      </w:r>
    </w:p>
    <w:sectPr w:rsidR="003008FE" w:rsidRPr="002D3A60" w:rsidSect="00BF42F9">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47869" w14:textId="77777777" w:rsidR="00E75CA1" w:rsidRDefault="00E75CA1" w:rsidP="005732BC">
      <w:r>
        <w:separator/>
      </w:r>
    </w:p>
  </w:endnote>
  <w:endnote w:type="continuationSeparator" w:id="0">
    <w:p w14:paraId="31848AAC" w14:textId="77777777" w:rsidR="00E75CA1" w:rsidRDefault="00E75CA1" w:rsidP="0057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Arial"/>
    <w:panose1 w:val="00000000000000000000"/>
    <w:charset w:val="4D"/>
    <w:family w:val="auto"/>
    <w:notTrueType/>
    <w:pitch w:val="default"/>
    <w:sig w:usb0="00000003" w:usb1="00000000" w:usb2="00000000" w:usb3="00000000" w:csb0="00000001" w:csb1="00000000"/>
  </w:font>
  <w:font w:name="Bliss-Heavy">
    <w:charset w:val="00"/>
    <w:family w:val="auto"/>
    <w:pitch w:val="variable"/>
    <w:sig w:usb0="00000003" w:usb1="00000000" w:usb2="00000000" w:usb3="00000000" w:csb0="00000001" w:csb1="00000000"/>
  </w:font>
  <w:font w:name="Bliss-Light">
    <w:charset w:val="00"/>
    <w:family w:val="auto"/>
    <w:pitch w:val="variable"/>
    <w:sig w:usb0="00000003" w:usb1="00000000" w:usb2="00000000" w:usb3="00000000" w:csb0="00000001" w:csb1="00000000"/>
  </w:font>
  <w:font w:name="Bliss-MediumItal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liss-Bold">
    <w:charset w:val="00"/>
    <w:family w:val="auto"/>
    <w:pitch w:val="variable"/>
    <w:sig w:usb0="00000003" w:usb1="00000000" w:usb2="00000000" w:usb3="00000000" w:csb0="00000001" w:csb1="00000000"/>
  </w:font>
  <w:font w:name="Bliss2-ExtraBold">
    <w:altName w:val="Arial"/>
    <w:panose1 w:val="00000000000000000000"/>
    <w:charset w:val="4D"/>
    <w:family w:val="auto"/>
    <w:notTrueType/>
    <w:pitch w:val="default"/>
    <w:sig w:usb0="00000003" w:usb1="00000000" w:usb2="00000000" w:usb3="00000000" w:csb0="00000001" w:csb1="00000000"/>
  </w:font>
  <w:font w:name="Bliss-Regular">
    <w:charset w:val="00"/>
    <w:family w:val="auto"/>
    <w:pitch w:val="variable"/>
    <w:sig w:usb0="00000003" w:usb1="00000000" w:usb2="00000000" w:usb3="00000000" w:csb0="00000001" w:csb1="00000000"/>
  </w:font>
  <w:font w:name="EuroSansStd-Regular">
    <w:altName w:val="Euro Sans Std"/>
    <w:panose1 w:val="00000000000000000000"/>
    <w:charset w:val="02"/>
    <w:family w:val="auto"/>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D6240" w14:textId="77777777" w:rsidR="00DF2684" w:rsidRDefault="00DF26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409777"/>
      <w:docPartObj>
        <w:docPartGallery w:val="Page Numbers (Bottom of Page)"/>
        <w:docPartUnique/>
      </w:docPartObj>
    </w:sdtPr>
    <w:sdtEndPr>
      <w:rPr>
        <w:noProof/>
      </w:rPr>
    </w:sdtEndPr>
    <w:sdtContent>
      <w:p w14:paraId="29FDB9F3" w14:textId="76AACA6B" w:rsidR="00B43FC5" w:rsidRDefault="00B43FC5">
        <w:pPr>
          <w:pStyle w:val="Footer"/>
          <w:jc w:val="center"/>
        </w:pPr>
        <w:r>
          <w:rPr>
            <w:noProof/>
            <w:lang w:val="en-IE" w:eastAsia="en-IE"/>
          </w:rPr>
          <mc:AlternateContent>
            <mc:Choice Requires="wps">
              <w:drawing>
                <wp:inline distT="0" distB="0" distL="0" distR="0" wp14:anchorId="1850F9D2" wp14:editId="758CAF99">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D111F28"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" fillcolor="black" stroked="f">
                  <v:fill r:id="rId1" o:title="" type="pattern"/>
                  <w10:anchorlock/>
                </v:shape>
              </w:pict>
            </mc:Fallback>
          </mc:AlternateContent>
        </w:r>
      </w:p>
      <w:p w14:paraId="05D35AD9" w14:textId="31397745" w:rsidR="00B43FC5" w:rsidRDefault="00B43FC5">
        <w:pPr>
          <w:pStyle w:val="Footer"/>
          <w:jc w:val="center"/>
        </w:pPr>
        <w:r>
          <w:fldChar w:fldCharType="begin"/>
        </w:r>
        <w:r>
          <w:instrText xml:space="preserve"> PAGE    \* MERGEFORMAT </w:instrText>
        </w:r>
        <w:r>
          <w:fldChar w:fldCharType="separate"/>
        </w:r>
        <w:r w:rsidR="00DF2684">
          <w:rPr>
            <w:noProof/>
          </w:rPr>
          <w:t>1</w:t>
        </w:r>
        <w:r>
          <w:rPr>
            <w:noProof/>
          </w:rPr>
          <w:fldChar w:fldCharType="end"/>
        </w:r>
      </w:p>
    </w:sdtContent>
  </w:sdt>
  <w:p w14:paraId="448DBC0E" w14:textId="77777777" w:rsidR="00B43FC5" w:rsidRDefault="00B43F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E39EC" w14:textId="77777777" w:rsidR="00DF2684" w:rsidRDefault="00DF2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A5620" w14:textId="77777777" w:rsidR="00E75CA1" w:rsidRDefault="00E75CA1" w:rsidP="005732BC">
      <w:r>
        <w:separator/>
      </w:r>
    </w:p>
  </w:footnote>
  <w:footnote w:type="continuationSeparator" w:id="0">
    <w:p w14:paraId="51382745" w14:textId="77777777" w:rsidR="00E75CA1" w:rsidRDefault="00E75CA1" w:rsidP="005732BC">
      <w:r>
        <w:continuationSeparator/>
      </w:r>
    </w:p>
  </w:footnote>
  <w:footnote w:id="1">
    <w:p w14:paraId="0EE52083" w14:textId="0D2881D4" w:rsidR="00B43FC5" w:rsidRDefault="00B43FC5" w:rsidP="000C539B">
      <w:pPr>
        <w:pStyle w:val="FootnoteText"/>
      </w:pPr>
      <w:r>
        <w:rPr>
          <w:rStyle w:val="FootnoteReference"/>
          <w:rFonts w:hint="eastAsia"/>
        </w:rPr>
        <w:footnoteRef/>
      </w:r>
      <w:r>
        <w:t>A list of current Board members is at: http://www.citizensinformationboard.ie/en/about/board_members/</w:t>
      </w:r>
    </w:p>
  </w:footnote>
  <w:footnote w:id="2">
    <w:p w14:paraId="67E4D975" w14:textId="5753F943" w:rsidR="00B43FC5" w:rsidRDefault="00B43FC5">
      <w:pPr>
        <w:pStyle w:val="FootnoteText"/>
      </w:pPr>
      <w:r>
        <w:rPr>
          <w:rStyle w:val="FootnoteReference"/>
          <w:rFonts w:hint="eastAsia"/>
        </w:rPr>
        <w:footnoteRef/>
      </w:r>
      <w:r>
        <w:rPr>
          <w:rFonts w:hint="eastAsia"/>
        </w:rPr>
        <w:t xml:space="preserve"> </w:t>
      </w:r>
      <w:r>
        <w:t xml:space="preserve">When we use the term </w:t>
      </w:r>
      <w:r w:rsidRPr="0014576A">
        <w:rPr>
          <w:i/>
        </w:rPr>
        <w:t>citizen</w:t>
      </w:r>
      <w:r>
        <w:t>, we are talking about citizens of Ireland and all other people who live in Ireland and who may use our services at any time.</w:t>
      </w:r>
    </w:p>
  </w:footnote>
  <w:footnote w:id="3">
    <w:p w14:paraId="5368BEF2" w14:textId="0BAFCFA1" w:rsidR="00B43FC5" w:rsidRDefault="00B43FC5">
      <w:pPr>
        <w:pStyle w:val="FootnoteText"/>
      </w:pPr>
      <w:r>
        <w:rPr>
          <w:rStyle w:val="FootnoteReference"/>
          <w:rFonts w:hint="eastAsia"/>
        </w:rPr>
        <w:footnoteRef/>
      </w:r>
      <w:r>
        <w:rPr>
          <w:rFonts w:hint="eastAsia"/>
        </w:rPr>
        <w:t xml:space="preserve"> </w:t>
      </w:r>
      <w:r>
        <w:t>31 July 2016</w:t>
      </w:r>
    </w:p>
  </w:footnote>
  <w:footnote w:id="4">
    <w:p w14:paraId="7C0EB729" w14:textId="4B121B9D" w:rsidR="00B43FC5" w:rsidRDefault="00B43FC5">
      <w:pPr>
        <w:pStyle w:val="FootnoteText"/>
      </w:pPr>
      <w:r>
        <w:rPr>
          <w:rStyle w:val="FootnoteReference"/>
          <w:rFonts w:hint="eastAsia"/>
        </w:rPr>
        <w:footnoteRef/>
      </w:r>
      <w:r>
        <w:rPr>
          <w:rFonts w:hint="eastAsia"/>
        </w:rPr>
        <w:t xml:space="preserve"> </w:t>
      </w:r>
      <w:r>
        <w:t>These figures are provisional pending final audit and sign off by the Comptroller and Auditor General.</w:t>
      </w:r>
    </w:p>
  </w:footnote>
  <w:footnote w:id="5">
    <w:p w14:paraId="50B2FF54" w14:textId="7B433CA2" w:rsidR="00B43FC5" w:rsidRPr="00571F54" w:rsidRDefault="00B43FC5" w:rsidP="004E4693">
      <w:pPr>
        <w:pStyle w:val="Footnotemain"/>
        <w:rPr>
          <w:color w:val="8CC63E"/>
          <w:lang w:val="en-US"/>
        </w:rPr>
      </w:pPr>
      <w:r>
        <w:rPr>
          <w:rStyle w:val="FootnoteReference"/>
          <w:rFonts w:hint="eastAsia"/>
        </w:rPr>
        <w:footnoteRef/>
      </w:r>
      <w:r>
        <w:rPr>
          <w:rFonts w:hint="eastAsia"/>
        </w:rPr>
        <w:t xml:space="preserve"> </w:t>
      </w:r>
      <w:r>
        <w:rPr>
          <w:lang w:val="en-US"/>
        </w:rPr>
        <w:t>National Association of Citizens Information Services (NACIS) MABS National Managers Forum/National Executive Council (NEC)</w:t>
      </w:r>
    </w:p>
    <w:p w14:paraId="46BB7BBC" w14:textId="48DFA5E0" w:rsidR="00B43FC5" w:rsidRDefault="00B43FC5">
      <w:pPr>
        <w:pStyle w:val="FootnoteText"/>
      </w:pPr>
    </w:p>
  </w:footnote>
  <w:footnote w:id="6">
    <w:p w14:paraId="5EBB842F" w14:textId="4940B3C5" w:rsidR="00B43FC5" w:rsidRDefault="00B43FC5">
      <w:pPr>
        <w:pStyle w:val="FootnoteText"/>
      </w:pPr>
      <w:r>
        <w:rPr>
          <w:rStyle w:val="FootnoteReference"/>
          <w:rFonts w:hint="eastAsia"/>
        </w:rPr>
        <w:footnoteRef/>
      </w:r>
      <w:r>
        <w:rPr>
          <w:rFonts w:hint="eastAsia"/>
        </w:rPr>
        <w:t xml:space="preserve"> </w:t>
      </w:r>
      <w:r>
        <w:t xml:space="preserve"> Citizens Information Services and the Citizens Information Phone Service. 51 MABS companies, National Traveller MABS and MABSndl the National Advocacy Service and Sign Language Interpreting Service. </w:t>
      </w:r>
    </w:p>
  </w:footnote>
  <w:footnote w:id="7">
    <w:p w14:paraId="051A699E" w14:textId="01F0652A" w:rsidR="00B43FC5" w:rsidRDefault="00B43FC5">
      <w:pPr>
        <w:pStyle w:val="FootnoteText"/>
      </w:pPr>
      <w:r>
        <w:rPr>
          <w:rStyle w:val="FootnoteReference"/>
          <w:rFonts w:hint="eastAsia"/>
        </w:rPr>
        <w:footnoteRef/>
      </w:r>
      <w:r>
        <w:rPr>
          <w:rFonts w:hint="eastAsia"/>
        </w:rPr>
        <w:t xml:space="preserve"> </w:t>
      </w:r>
      <w:r>
        <w:t>During 2015, the content and delivery of the IAAP was reviewed based on input from CIS development managers, information officers and volunteers.  It was recongnised that the content was of a very high quality but that the method of delivery needed to be re-designed.  As a result, there was no new intake to Year 1 of the programme in September 2015.</w:t>
      </w:r>
    </w:p>
  </w:footnote>
  <w:footnote w:id="8">
    <w:p w14:paraId="6D534DA8" w14:textId="17759146" w:rsidR="00B43FC5" w:rsidRDefault="00B43FC5">
      <w:pPr>
        <w:pStyle w:val="FootnoteText"/>
      </w:pPr>
      <w:r>
        <w:rPr>
          <w:rStyle w:val="FootnoteReference"/>
          <w:rFonts w:hint="eastAsia"/>
        </w:rPr>
        <w:footnoteRef/>
      </w:r>
      <w:r>
        <w:rPr>
          <w:rFonts w:hint="eastAsia"/>
        </w:rPr>
        <w:t xml:space="preserve"> </w:t>
      </w:r>
      <w:r>
        <w:t>440,876 people were in receipt of a weekly social welfare payment at the end of 2014. Total numbers benefiting from social welfare payment were 2,219,600 (including increases for 194,190 adults, 473,013 children and Family Income Supplement payments made in respect of 111,583 children).</w:t>
      </w:r>
    </w:p>
  </w:footnote>
  <w:footnote w:id="9">
    <w:p w14:paraId="63EAA847" w14:textId="7FAA0C1B" w:rsidR="00B43FC5" w:rsidRDefault="00B43FC5">
      <w:pPr>
        <w:pStyle w:val="FootnoteText"/>
      </w:pPr>
      <w:r>
        <w:rPr>
          <w:rStyle w:val="FootnoteReference"/>
          <w:rFonts w:hint="eastAsia"/>
        </w:rPr>
        <w:footnoteRef/>
      </w:r>
      <w:r>
        <w:rPr>
          <w:rFonts w:hint="eastAsia"/>
        </w:rPr>
        <w:t xml:space="preserve"> </w:t>
      </w:r>
      <w:r>
        <w:t>The Citzen I</w:t>
      </w:r>
      <w:r>
        <w:rPr>
          <w:rFonts w:hint="eastAsia"/>
        </w:rPr>
        <w:t>n</w:t>
      </w:r>
      <w:r>
        <w:t xml:space="preserve">formation Board has operational </w:t>
      </w:r>
      <w:r>
        <w:rPr>
          <w:rFonts w:hint="eastAsia"/>
        </w:rPr>
        <w:t>responsibility</w:t>
      </w:r>
      <w:r>
        <w:t xml:space="preserve"> for policy, executive decision making and governance.</w:t>
      </w:r>
    </w:p>
  </w:footnote>
  <w:footnote w:id="10">
    <w:p w14:paraId="3C2D4EF6" w14:textId="77777777" w:rsidR="00B43FC5" w:rsidRPr="00C94B51" w:rsidRDefault="00B43FC5" w:rsidP="000778F4">
      <w:pPr>
        <w:pStyle w:val="Footnotemain"/>
        <w:rPr>
          <w:rFonts w:asciiTheme="majorHAnsi" w:hAnsiTheme="majorHAnsi"/>
        </w:rPr>
      </w:pPr>
      <w:r w:rsidRPr="00C94B51">
        <w:rPr>
          <w:rStyle w:val="FootnoteReference"/>
          <w:rFonts w:asciiTheme="majorHAnsi" w:hAnsiTheme="majorHAnsi"/>
        </w:rPr>
        <w:footnoteRef/>
      </w:r>
      <w:r w:rsidRPr="00C94B51">
        <w:rPr>
          <w:rFonts w:asciiTheme="majorHAnsi" w:hAnsiTheme="majorHAnsi"/>
        </w:rPr>
        <w:t xml:space="preserve"> Money advice co-ordinators provide money advice for 50% of their time.</w:t>
      </w:r>
    </w:p>
    <w:p w14:paraId="4C0A4FEE" w14:textId="729E40EA" w:rsidR="00B43FC5" w:rsidRPr="00C94B51" w:rsidRDefault="00B43FC5">
      <w:pPr>
        <w:pStyle w:val="FootnoteText"/>
        <w:rPr>
          <w:rFonts w:asciiTheme="majorHAnsi" w:hAnsiTheme="majorHAnsi"/>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C659F" w14:textId="77777777" w:rsidR="00DF2684" w:rsidRDefault="00DF26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C4688" w14:textId="77777777" w:rsidR="00DF2684" w:rsidRDefault="00DF26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3326B" w14:textId="77777777" w:rsidR="00DF2684" w:rsidRDefault="00DF2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6A0FA2"/>
    <w:multiLevelType w:val="hybridMultilevel"/>
    <w:tmpl w:val="EBA2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C5DCC"/>
    <w:multiLevelType w:val="hybridMultilevel"/>
    <w:tmpl w:val="3F60D63A"/>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start w:val="1"/>
      <w:numFmt w:val="bullet"/>
      <w:lvlText w:val=""/>
      <w:lvlJc w:val="left"/>
      <w:pPr>
        <w:ind w:left="2220" w:hanging="360"/>
      </w:pPr>
      <w:rPr>
        <w:rFonts w:ascii="Wingdings" w:hAnsi="Wingdings" w:hint="default"/>
      </w:rPr>
    </w:lvl>
    <w:lvl w:ilvl="3" w:tplc="18090001">
      <w:start w:val="1"/>
      <w:numFmt w:val="bullet"/>
      <w:lvlText w:val=""/>
      <w:lvlJc w:val="left"/>
      <w:pPr>
        <w:ind w:left="2940" w:hanging="360"/>
      </w:pPr>
      <w:rPr>
        <w:rFonts w:ascii="Symbol" w:hAnsi="Symbol" w:hint="default"/>
      </w:rPr>
    </w:lvl>
    <w:lvl w:ilvl="4" w:tplc="18090003">
      <w:start w:val="1"/>
      <w:numFmt w:val="bullet"/>
      <w:lvlText w:val="o"/>
      <w:lvlJc w:val="left"/>
      <w:pPr>
        <w:ind w:left="3660" w:hanging="360"/>
      </w:pPr>
      <w:rPr>
        <w:rFonts w:ascii="Courier New" w:hAnsi="Courier New" w:cs="Courier New" w:hint="default"/>
      </w:rPr>
    </w:lvl>
    <w:lvl w:ilvl="5" w:tplc="18090005">
      <w:start w:val="1"/>
      <w:numFmt w:val="bullet"/>
      <w:lvlText w:val=""/>
      <w:lvlJc w:val="left"/>
      <w:pPr>
        <w:ind w:left="4380" w:hanging="360"/>
      </w:pPr>
      <w:rPr>
        <w:rFonts w:ascii="Wingdings" w:hAnsi="Wingdings" w:hint="default"/>
      </w:rPr>
    </w:lvl>
    <w:lvl w:ilvl="6" w:tplc="18090001">
      <w:start w:val="1"/>
      <w:numFmt w:val="bullet"/>
      <w:lvlText w:val=""/>
      <w:lvlJc w:val="left"/>
      <w:pPr>
        <w:ind w:left="5100" w:hanging="360"/>
      </w:pPr>
      <w:rPr>
        <w:rFonts w:ascii="Symbol" w:hAnsi="Symbol" w:hint="default"/>
      </w:rPr>
    </w:lvl>
    <w:lvl w:ilvl="7" w:tplc="18090003">
      <w:start w:val="1"/>
      <w:numFmt w:val="bullet"/>
      <w:lvlText w:val="o"/>
      <w:lvlJc w:val="left"/>
      <w:pPr>
        <w:ind w:left="5820" w:hanging="360"/>
      </w:pPr>
      <w:rPr>
        <w:rFonts w:ascii="Courier New" w:hAnsi="Courier New" w:cs="Courier New" w:hint="default"/>
      </w:rPr>
    </w:lvl>
    <w:lvl w:ilvl="8" w:tplc="18090005">
      <w:start w:val="1"/>
      <w:numFmt w:val="bullet"/>
      <w:lvlText w:val=""/>
      <w:lvlJc w:val="left"/>
      <w:pPr>
        <w:ind w:left="6540" w:hanging="360"/>
      </w:pPr>
      <w:rPr>
        <w:rFonts w:ascii="Wingdings" w:hAnsi="Wingdings" w:hint="default"/>
      </w:rPr>
    </w:lvl>
  </w:abstractNum>
  <w:abstractNum w:abstractNumId="5" w15:restartNumberingAfterBreak="0">
    <w:nsid w:val="02B51373"/>
    <w:multiLevelType w:val="hybridMultilevel"/>
    <w:tmpl w:val="ACE078FA"/>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955F13"/>
    <w:multiLevelType w:val="hybridMultilevel"/>
    <w:tmpl w:val="535ED75E"/>
    <w:lvl w:ilvl="0" w:tplc="5F9C566A">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05A673FA"/>
    <w:multiLevelType w:val="hybridMultilevel"/>
    <w:tmpl w:val="0AFEF87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05E00F45"/>
    <w:multiLevelType w:val="hybridMultilevel"/>
    <w:tmpl w:val="ECBEFA30"/>
    <w:lvl w:ilvl="0" w:tplc="938AADF6">
      <w:start w:val="1"/>
      <w:numFmt w:val="bullet"/>
      <w:lvlText w:val="•"/>
      <w:lvlJc w:val="left"/>
      <w:pPr>
        <w:tabs>
          <w:tab w:val="num" w:pos="720"/>
        </w:tabs>
        <w:ind w:left="720" w:hanging="360"/>
      </w:pPr>
      <w:rPr>
        <w:rFonts w:ascii="Times" w:hAnsi="Times" w:hint="default"/>
      </w:rPr>
    </w:lvl>
    <w:lvl w:ilvl="1" w:tplc="46B29822" w:tentative="1">
      <w:start w:val="1"/>
      <w:numFmt w:val="bullet"/>
      <w:lvlText w:val="•"/>
      <w:lvlJc w:val="left"/>
      <w:pPr>
        <w:tabs>
          <w:tab w:val="num" w:pos="1440"/>
        </w:tabs>
        <w:ind w:left="1440" w:hanging="360"/>
      </w:pPr>
      <w:rPr>
        <w:rFonts w:ascii="Times" w:hAnsi="Times" w:hint="default"/>
      </w:rPr>
    </w:lvl>
    <w:lvl w:ilvl="2" w:tplc="C89CBDEA" w:tentative="1">
      <w:start w:val="1"/>
      <w:numFmt w:val="bullet"/>
      <w:lvlText w:val="•"/>
      <w:lvlJc w:val="left"/>
      <w:pPr>
        <w:tabs>
          <w:tab w:val="num" w:pos="2160"/>
        </w:tabs>
        <w:ind w:left="2160" w:hanging="360"/>
      </w:pPr>
      <w:rPr>
        <w:rFonts w:ascii="Times" w:hAnsi="Times" w:hint="default"/>
      </w:rPr>
    </w:lvl>
    <w:lvl w:ilvl="3" w:tplc="48487764" w:tentative="1">
      <w:start w:val="1"/>
      <w:numFmt w:val="bullet"/>
      <w:lvlText w:val="•"/>
      <w:lvlJc w:val="left"/>
      <w:pPr>
        <w:tabs>
          <w:tab w:val="num" w:pos="2880"/>
        </w:tabs>
        <w:ind w:left="2880" w:hanging="360"/>
      </w:pPr>
      <w:rPr>
        <w:rFonts w:ascii="Times" w:hAnsi="Times" w:hint="default"/>
      </w:rPr>
    </w:lvl>
    <w:lvl w:ilvl="4" w:tplc="C3B20B84" w:tentative="1">
      <w:start w:val="1"/>
      <w:numFmt w:val="bullet"/>
      <w:lvlText w:val="•"/>
      <w:lvlJc w:val="left"/>
      <w:pPr>
        <w:tabs>
          <w:tab w:val="num" w:pos="3600"/>
        </w:tabs>
        <w:ind w:left="3600" w:hanging="360"/>
      </w:pPr>
      <w:rPr>
        <w:rFonts w:ascii="Times" w:hAnsi="Times" w:hint="default"/>
      </w:rPr>
    </w:lvl>
    <w:lvl w:ilvl="5" w:tplc="46966326" w:tentative="1">
      <w:start w:val="1"/>
      <w:numFmt w:val="bullet"/>
      <w:lvlText w:val="•"/>
      <w:lvlJc w:val="left"/>
      <w:pPr>
        <w:tabs>
          <w:tab w:val="num" w:pos="4320"/>
        </w:tabs>
        <w:ind w:left="4320" w:hanging="360"/>
      </w:pPr>
      <w:rPr>
        <w:rFonts w:ascii="Times" w:hAnsi="Times" w:hint="default"/>
      </w:rPr>
    </w:lvl>
    <w:lvl w:ilvl="6" w:tplc="48987BBC" w:tentative="1">
      <w:start w:val="1"/>
      <w:numFmt w:val="bullet"/>
      <w:lvlText w:val="•"/>
      <w:lvlJc w:val="left"/>
      <w:pPr>
        <w:tabs>
          <w:tab w:val="num" w:pos="5040"/>
        </w:tabs>
        <w:ind w:left="5040" w:hanging="360"/>
      </w:pPr>
      <w:rPr>
        <w:rFonts w:ascii="Times" w:hAnsi="Times" w:hint="default"/>
      </w:rPr>
    </w:lvl>
    <w:lvl w:ilvl="7" w:tplc="3A007EF8" w:tentative="1">
      <w:start w:val="1"/>
      <w:numFmt w:val="bullet"/>
      <w:lvlText w:val="•"/>
      <w:lvlJc w:val="left"/>
      <w:pPr>
        <w:tabs>
          <w:tab w:val="num" w:pos="5760"/>
        </w:tabs>
        <w:ind w:left="5760" w:hanging="360"/>
      </w:pPr>
      <w:rPr>
        <w:rFonts w:ascii="Times" w:hAnsi="Times" w:hint="default"/>
      </w:rPr>
    </w:lvl>
    <w:lvl w:ilvl="8" w:tplc="868ACE1A" w:tentative="1">
      <w:start w:val="1"/>
      <w:numFmt w:val="bullet"/>
      <w:lvlText w:val="•"/>
      <w:lvlJc w:val="left"/>
      <w:pPr>
        <w:tabs>
          <w:tab w:val="num" w:pos="6480"/>
        </w:tabs>
        <w:ind w:left="6480" w:hanging="360"/>
      </w:pPr>
      <w:rPr>
        <w:rFonts w:ascii="Times" w:hAnsi="Times" w:hint="default"/>
      </w:rPr>
    </w:lvl>
  </w:abstractNum>
  <w:abstractNum w:abstractNumId="9" w15:restartNumberingAfterBreak="0">
    <w:nsid w:val="07143FD8"/>
    <w:multiLevelType w:val="multilevel"/>
    <w:tmpl w:val="D90EA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E320CF"/>
    <w:multiLevelType w:val="hybridMultilevel"/>
    <w:tmpl w:val="C866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211F6AE9"/>
    <w:multiLevelType w:val="hybridMultilevel"/>
    <w:tmpl w:val="65E2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B2DF4"/>
    <w:multiLevelType w:val="hybridMultilevel"/>
    <w:tmpl w:val="3758B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DE3260A"/>
    <w:multiLevelType w:val="hybridMultilevel"/>
    <w:tmpl w:val="3398B9EA"/>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2CD18E9"/>
    <w:multiLevelType w:val="hybridMultilevel"/>
    <w:tmpl w:val="5A84D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60D87"/>
    <w:multiLevelType w:val="hybridMultilevel"/>
    <w:tmpl w:val="29669C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389608C4"/>
    <w:multiLevelType w:val="hybridMultilevel"/>
    <w:tmpl w:val="03228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8A2394"/>
    <w:multiLevelType w:val="multilevel"/>
    <w:tmpl w:val="58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D91ADE"/>
    <w:multiLevelType w:val="hybridMultilevel"/>
    <w:tmpl w:val="C1903A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5E86957"/>
    <w:multiLevelType w:val="hybridMultilevel"/>
    <w:tmpl w:val="D90E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52327"/>
    <w:multiLevelType w:val="hybridMultilevel"/>
    <w:tmpl w:val="A940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742DA3"/>
    <w:multiLevelType w:val="hybridMultilevel"/>
    <w:tmpl w:val="E22A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49018A"/>
    <w:multiLevelType w:val="hybridMultilevel"/>
    <w:tmpl w:val="D856F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0B645A4"/>
    <w:multiLevelType w:val="hybridMultilevel"/>
    <w:tmpl w:val="DC16F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abstractNum w:abstractNumId="24" w15:restartNumberingAfterBreak="0">
    <w:nsid w:val="71B04ACA"/>
    <w:multiLevelType w:val="hybridMultilevel"/>
    <w:tmpl w:val="FB1E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B233D9"/>
    <w:multiLevelType w:val="hybridMultilevel"/>
    <w:tmpl w:val="9306E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B10494"/>
    <w:multiLevelType w:val="hybridMultilevel"/>
    <w:tmpl w:val="6080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4"/>
  </w:num>
  <w:num w:numId="4">
    <w:abstractNumId w:val="0"/>
  </w:num>
  <w:num w:numId="5">
    <w:abstractNumId w:val="1"/>
  </w:num>
  <w:num w:numId="6">
    <w:abstractNumId w:val="2"/>
  </w:num>
  <w:num w:numId="7">
    <w:abstractNumId w:val="8"/>
  </w:num>
  <w:num w:numId="8">
    <w:abstractNumId w:val="17"/>
  </w:num>
  <w:num w:numId="9">
    <w:abstractNumId w:val="13"/>
    <w:lvlOverride w:ilvl="0">
      <w:startOverride w:val="1"/>
    </w:lvlOverride>
    <w:lvlOverride w:ilvl="1"/>
    <w:lvlOverride w:ilvl="2"/>
    <w:lvlOverride w:ilvl="3"/>
    <w:lvlOverride w:ilvl="4"/>
    <w:lvlOverride w:ilvl="5"/>
    <w:lvlOverride w:ilvl="6"/>
    <w:lvlOverride w:ilvl="7"/>
    <w:lvlOverride w:ilvl="8"/>
  </w:num>
  <w:num w:numId="10">
    <w:abstractNumId w:val="18"/>
  </w:num>
  <w:num w:numId="11">
    <w:abstractNumId w:val="6"/>
  </w:num>
  <w:num w:numId="12">
    <w:abstractNumId w:val="12"/>
  </w:num>
  <w:num w:numId="13">
    <w:abstractNumId w:val="15"/>
  </w:num>
  <w:num w:numId="14">
    <w:abstractNumId w:val="7"/>
  </w:num>
  <w:num w:numId="15">
    <w:abstractNumId w:val="16"/>
  </w:num>
  <w:num w:numId="16">
    <w:abstractNumId w:val="26"/>
  </w:num>
  <w:num w:numId="17">
    <w:abstractNumId w:val="11"/>
  </w:num>
  <w:num w:numId="18">
    <w:abstractNumId w:val="3"/>
  </w:num>
  <w:num w:numId="19">
    <w:abstractNumId w:val="20"/>
  </w:num>
  <w:num w:numId="20">
    <w:abstractNumId w:val="10"/>
  </w:num>
  <w:num w:numId="21">
    <w:abstractNumId w:val="14"/>
  </w:num>
  <w:num w:numId="22">
    <w:abstractNumId w:val="19"/>
  </w:num>
  <w:num w:numId="23">
    <w:abstractNumId w:val="9"/>
  </w:num>
  <w:num w:numId="24">
    <w:abstractNumId w:val="25"/>
  </w:num>
  <w:num w:numId="25">
    <w:abstractNumId w:val="21"/>
  </w:num>
  <w:num w:numId="26">
    <w:abstractNumId w:val="24"/>
  </w:num>
  <w:num w:numId="2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DE8"/>
    <w:rsid w:val="000003A1"/>
    <w:rsid w:val="000012A3"/>
    <w:rsid w:val="00002F2B"/>
    <w:rsid w:val="000039D4"/>
    <w:rsid w:val="000045DE"/>
    <w:rsid w:val="00005A42"/>
    <w:rsid w:val="00007972"/>
    <w:rsid w:val="00010F43"/>
    <w:rsid w:val="00012CFC"/>
    <w:rsid w:val="00012DED"/>
    <w:rsid w:val="00012EE7"/>
    <w:rsid w:val="00014545"/>
    <w:rsid w:val="00014985"/>
    <w:rsid w:val="0002003B"/>
    <w:rsid w:val="00021549"/>
    <w:rsid w:val="00024CE8"/>
    <w:rsid w:val="00027626"/>
    <w:rsid w:val="000306FF"/>
    <w:rsid w:val="0003074F"/>
    <w:rsid w:val="00031559"/>
    <w:rsid w:val="0003494D"/>
    <w:rsid w:val="00035EAE"/>
    <w:rsid w:val="00036B43"/>
    <w:rsid w:val="00042A67"/>
    <w:rsid w:val="0005264F"/>
    <w:rsid w:val="00053890"/>
    <w:rsid w:val="000631AC"/>
    <w:rsid w:val="00063365"/>
    <w:rsid w:val="00064DD0"/>
    <w:rsid w:val="00065008"/>
    <w:rsid w:val="00067B23"/>
    <w:rsid w:val="00072223"/>
    <w:rsid w:val="0007485D"/>
    <w:rsid w:val="000778F4"/>
    <w:rsid w:val="000779ED"/>
    <w:rsid w:val="00082C7E"/>
    <w:rsid w:val="000833E0"/>
    <w:rsid w:val="00086141"/>
    <w:rsid w:val="00091F03"/>
    <w:rsid w:val="00095A82"/>
    <w:rsid w:val="000A4AF3"/>
    <w:rsid w:val="000A5C20"/>
    <w:rsid w:val="000A7939"/>
    <w:rsid w:val="000B340C"/>
    <w:rsid w:val="000B5F11"/>
    <w:rsid w:val="000B633A"/>
    <w:rsid w:val="000C3635"/>
    <w:rsid w:val="000C539B"/>
    <w:rsid w:val="000C6B20"/>
    <w:rsid w:val="000D4386"/>
    <w:rsid w:val="000D4E20"/>
    <w:rsid w:val="000D54BB"/>
    <w:rsid w:val="000D5736"/>
    <w:rsid w:val="000D6326"/>
    <w:rsid w:val="000D7BAE"/>
    <w:rsid w:val="000E0009"/>
    <w:rsid w:val="000E2BF5"/>
    <w:rsid w:val="000E3E72"/>
    <w:rsid w:val="000E62E1"/>
    <w:rsid w:val="000E7A0E"/>
    <w:rsid w:val="00100A58"/>
    <w:rsid w:val="00103515"/>
    <w:rsid w:val="00103B93"/>
    <w:rsid w:val="00103E7D"/>
    <w:rsid w:val="00103ED7"/>
    <w:rsid w:val="00103FA2"/>
    <w:rsid w:val="00104EFD"/>
    <w:rsid w:val="00105F21"/>
    <w:rsid w:val="00114B8B"/>
    <w:rsid w:val="001152CE"/>
    <w:rsid w:val="00117222"/>
    <w:rsid w:val="00120BC4"/>
    <w:rsid w:val="0012226B"/>
    <w:rsid w:val="00122565"/>
    <w:rsid w:val="00122713"/>
    <w:rsid w:val="00124B16"/>
    <w:rsid w:val="0012508C"/>
    <w:rsid w:val="0013073F"/>
    <w:rsid w:val="00132577"/>
    <w:rsid w:val="00132AA0"/>
    <w:rsid w:val="001356DA"/>
    <w:rsid w:val="001429FF"/>
    <w:rsid w:val="00144B6D"/>
    <w:rsid w:val="0014576A"/>
    <w:rsid w:val="0014666C"/>
    <w:rsid w:val="0014786A"/>
    <w:rsid w:val="001507AE"/>
    <w:rsid w:val="00153DEF"/>
    <w:rsid w:val="00153EA1"/>
    <w:rsid w:val="00154FAC"/>
    <w:rsid w:val="00162DCC"/>
    <w:rsid w:val="00170B59"/>
    <w:rsid w:val="00172165"/>
    <w:rsid w:val="0017559B"/>
    <w:rsid w:val="001762E2"/>
    <w:rsid w:val="00182A28"/>
    <w:rsid w:val="001853EE"/>
    <w:rsid w:val="0018670B"/>
    <w:rsid w:val="00187B0B"/>
    <w:rsid w:val="00196A53"/>
    <w:rsid w:val="001974A5"/>
    <w:rsid w:val="001A01C0"/>
    <w:rsid w:val="001A0B02"/>
    <w:rsid w:val="001A0E9E"/>
    <w:rsid w:val="001A39EE"/>
    <w:rsid w:val="001A4A2E"/>
    <w:rsid w:val="001A68DF"/>
    <w:rsid w:val="001B3A5A"/>
    <w:rsid w:val="001B6DED"/>
    <w:rsid w:val="001C137C"/>
    <w:rsid w:val="001C1CB0"/>
    <w:rsid w:val="001C420F"/>
    <w:rsid w:val="001C4F96"/>
    <w:rsid w:val="001C58EA"/>
    <w:rsid w:val="001D121E"/>
    <w:rsid w:val="001D2D2B"/>
    <w:rsid w:val="001D3779"/>
    <w:rsid w:val="001D3E17"/>
    <w:rsid w:val="001D54A6"/>
    <w:rsid w:val="001D726A"/>
    <w:rsid w:val="001D7471"/>
    <w:rsid w:val="001D7E5F"/>
    <w:rsid w:val="001E1CAC"/>
    <w:rsid w:val="001E1DA3"/>
    <w:rsid w:val="001E2626"/>
    <w:rsid w:val="001F07E4"/>
    <w:rsid w:val="001F2272"/>
    <w:rsid w:val="001F450E"/>
    <w:rsid w:val="001F7DC6"/>
    <w:rsid w:val="002041A0"/>
    <w:rsid w:val="002045D7"/>
    <w:rsid w:val="00211B60"/>
    <w:rsid w:val="0021223A"/>
    <w:rsid w:val="00213979"/>
    <w:rsid w:val="00216E06"/>
    <w:rsid w:val="0022032C"/>
    <w:rsid w:val="00225FD9"/>
    <w:rsid w:val="002274C1"/>
    <w:rsid w:val="00231353"/>
    <w:rsid w:val="00231D6D"/>
    <w:rsid w:val="00235417"/>
    <w:rsid w:val="00237199"/>
    <w:rsid w:val="00240974"/>
    <w:rsid w:val="002422A7"/>
    <w:rsid w:val="00243D6E"/>
    <w:rsid w:val="00245D49"/>
    <w:rsid w:val="00250CB0"/>
    <w:rsid w:val="00251673"/>
    <w:rsid w:val="002529A6"/>
    <w:rsid w:val="00260FAC"/>
    <w:rsid w:val="002614E9"/>
    <w:rsid w:val="00261AFC"/>
    <w:rsid w:val="0027022B"/>
    <w:rsid w:val="00271A38"/>
    <w:rsid w:val="00273563"/>
    <w:rsid w:val="00276395"/>
    <w:rsid w:val="002800D5"/>
    <w:rsid w:val="00295ECC"/>
    <w:rsid w:val="002A0F20"/>
    <w:rsid w:val="002B51B9"/>
    <w:rsid w:val="002C06D0"/>
    <w:rsid w:val="002C1B5A"/>
    <w:rsid w:val="002C23A5"/>
    <w:rsid w:val="002C3445"/>
    <w:rsid w:val="002C3779"/>
    <w:rsid w:val="002C3AC3"/>
    <w:rsid w:val="002C58EE"/>
    <w:rsid w:val="002C7157"/>
    <w:rsid w:val="002D3A60"/>
    <w:rsid w:val="002D695D"/>
    <w:rsid w:val="002E1238"/>
    <w:rsid w:val="002E1FB9"/>
    <w:rsid w:val="002E2CC2"/>
    <w:rsid w:val="002E419F"/>
    <w:rsid w:val="002E57D6"/>
    <w:rsid w:val="002E6199"/>
    <w:rsid w:val="002E6651"/>
    <w:rsid w:val="002E7500"/>
    <w:rsid w:val="002E7FE5"/>
    <w:rsid w:val="002F0E80"/>
    <w:rsid w:val="002F108F"/>
    <w:rsid w:val="002F1716"/>
    <w:rsid w:val="002F248C"/>
    <w:rsid w:val="002F349F"/>
    <w:rsid w:val="002F7FF2"/>
    <w:rsid w:val="003008FE"/>
    <w:rsid w:val="00300ABB"/>
    <w:rsid w:val="00305743"/>
    <w:rsid w:val="0030740E"/>
    <w:rsid w:val="003120C4"/>
    <w:rsid w:val="00317321"/>
    <w:rsid w:val="00321CCB"/>
    <w:rsid w:val="00325506"/>
    <w:rsid w:val="003318E7"/>
    <w:rsid w:val="003406FB"/>
    <w:rsid w:val="00341C06"/>
    <w:rsid w:val="00343364"/>
    <w:rsid w:val="0034347D"/>
    <w:rsid w:val="00343A9D"/>
    <w:rsid w:val="00344BDF"/>
    <w:rsid w:val="00350132"/>
    <w:rsid w:val="00350B64"/>
    <w:rsid w:val="003529F0"/>
    <w:rsid w:val="00362901"/>
    <w:rsid w:val="003649FA"/>
    <w:rsid w:val="00364B7E"/>
    <w:rsid w:val="00367771"/>
    <w:rsid w:val="0037014D"/>
    <w:rsid w:val="00371D9D"/>
    <w:rsid w:val="003738E8"/>
    <w:rsid w:val="003756A8"/>
    <w:rsid w:val="00376D8D"/>
    <w:rsid w:val="00377C6B"/>
    <w:rsid w:val="00381FD3"/>
    <w:rsid w:val="00384683"/>
    <w:rsid w:val="00384965"/>
    <w:rsid w:val="0039024E"/>
    <w:rsid w:val="00393706"/>
    <w:rsid w:val="003A1901"/>
    <w:rsid w:val="003A3F85"/>
    <w:rsid w:val="003B4CC4"/>
    <w:rsid w:val="003B5534"/>
    <w:rsid w:val="003B7558"/>
    <w:rsid w:val="003C3A3F"/>
    <w:rsid w:val="003C40BB"/>
    <w:rsid w:val="003C4ED7"/>
    <w:rsid w:val="003D2959"/>
    <w:rsid w:val="003D2B9D"/>
    <w:rsid w:val="003D42C8"/>
    <w:rsid w:val="003D4DB4"/>
    <w:rsid w:val="003E0424"/>
    <w:rsid w:val="003E1D72"/>
    <w:rsid w:val="003E40E9"/>
    <w:rsid w:val="003E500A"/>
    <w:rsid w:val="003E54C9"/>
    <w:rsid w:val="003E61A2"/>
    <w:rsid w:val="003E6F62"/>
    <w:rsid w:val="003F417F"/>
    <w:rsid w:val="00401E1A"/>
    <w:rsid w:val="004038FD"/>
    <w:rsid w:val="00403BF4"/>
    <w:rsid w:val="004116D8"/>
    <w:rsid w:val="004126F5"/>
    <w:rsid w:val="00412F05"/>
    <w:rsid w:val="00416920"/>
    <w:rsid w:val="004226A3"/>
    <w:rsid w:val="004233B3"/>
    <w:rsid w:val="00430703"/>
    <w:rsid w:val="00433944"/>
    <w:rsid w:val="00434C24"/>
    <w:rsid w:val="0043525F"/>
    <w:rsid w:val="00440E5C"/>
    <w:rsid w:val="00446228"/>
    <w:rsid w:val="004560DE"/>
    <w:rsid w:val="004566EB"/>
    <w:rsid w:val="004569BE"/>
    <w:rsid w:val="0045770A"/>
    <w:rsid w:val="00461D7E"/>
    <w:rsid w:val="00464CFE"/>
    <w:rsid w:val="004673F4"/>
    <w:rsid w:val="00467816"/>
    <w:rsid w:val="004719BC"/>
    <w:rsid w:val="00473491"/>
    <w:rsid w:val="00473567"/>
    <w:rsid w:val="00474D92"/>
    <w:rsid w:val="00475997"/>
    <w:rsid w:val="00477E74"/>
    <w:rsid w:val="00484354"/>
    <w:rsid w:val="00486F71"/>
    <w:rsid w:val="004918D5"/>
    <w:rsid w:val="00493DD5"/>
    <w:rsid w:val="00496205"/>
    <w:rsid w:val="004A2DC1"/>
    <w:rsid w:val="004A3DE8"/>
    <w:rsid w:val="004A77FF"/>
    <w:rsid w:val="004B3E72"/>
    <w:rsid w:val="004B5295"/>
    <w:rsid w:val="004B5E02"/>
    <w:rsid w:val="004C344B"/>
    <w:rsid w:val="004D1477"/>
    <w:rsid w:val="004D1C76"/>
    <w:rsid w:val="004D67BD"/>
    <w:rsid w:val="004E4693"/>
    <w:rsid w:val="004E514A"/>
    <w:rsid w:val="004F155E"/>
    <w:rsid w:val="004F5DBD"/>
    <w:rsid w:val="00500963"/>
    <w:rsid w:val="00502872"/>
    <w:rsid w:val="00504B4C"/>
    <w:rsid w:val="00510C63"/>
    <w:rsid w:val="00510F2F"/>
    <w:rsid w:val="0051137F"/>
    <w:rsid w:val="005113DA"/>
    <w:rsid w:val="00512899"/>
    <w:rsid w:val="00513E1C"/>
    <w:rsid w:val="00516D06"/>
    <w:rsid w:val="0051746C"/>
    <w:rsid w:val="00520A8B"/>
    <w:rsid w:val="0052107D"/>
    <w:rsid w:val="00521D90"/>
    <w:rsid w:val="00524A6A"/>
    <w:rsid w:val="00527BA4"/>
    <w:rsid w:val="00531C48"/>
    <w:rsid w:val="00540D65"/>
    <w:rsid w:val="005414FB"/>
    <w:rsid w:val="005429AC"/>
    <w:rsid w:val="00545CAD"/>
    <w:rsid w:val="00546A9D"/>
    <w:rsid w:val="00550779"/>
    <w:rsid w:val="00552B0E"/>
    <w:rsid w:val="00552B38"/>
    <w:rsid w:val="00553EC6"/>
    <w:rsid w:val="005574EF"/>
    <w:rsid w:val="00560B16"/>
    <w:rsid w:val="005614BB"/>
    <w:rsid w:val="005616D1"/>
    <w:rsid w:val="00563D19"/>
    <w:rsid w:val="00564738"/>
    <w:rsid w:val="005656DE"/>
    <w:rsid w:val="005659D0"/>
    <w:rsid w:val="005663CE"/>
    <w:rsid w:val="00566ACD"/>
    <w:rsid w:val="00567B75"/>
    <w:rsid w:val="00571F54"/>
    <w:rsid w:val="005732BC"/>
    <w:rsid w:val="005755A5"/>
    <w:rsid w:val="00576A54"/>
    <w:rsid w:val="00580797"/>
    <w:rsid w:val="005813F9"/>
    <w:rsid w:val="00581614"/>
    <w:rsid w:val="00582BC1"/>
    <w:rsid w:val="00583F8A"/>
    <w:rsid w:val="00584A60"/>
    <w:rsid w:val="00586880"/>
    <w:rsid w:val="00586D55"/>
    <w:rsid w:val="0059100C"/>
    <w:rsid w:val="005927C4"/>
    <w:rsid w:val="00596FC0"/>
    <w:rsid w:val="005A042E"/>
    <w:rsid w:val="005A4F6A"/>
    <w:rsid w:val="005A7759"/>
    <w:rsid w:val="005B3AEF"/>
    <w:rsid w:val="005B4808"/>
    <w:rsid w:val="005C3208"/>
    <w:rsid w:val="005C4388"/>
    <w:rsid w:val="005D3B4D"/>
    <w:rsid w:val="005D3D2D"/>
    <w:rsid w:val="005D52A1"/>
    <w:rsid w:val="005D5745"/>
    <w:rsid w:val="005E433C"/>
    <w:rsid w:val="005E49D6"/>
    <w:rsid w:val="005E4E79"/>
    <w:rsid w:val="005E61A3"/>
    <w:rsid w:val="005F0079"/>
    <w:rsid w:val="005F1E8C"/>
    <w:rsid w:val="005F26D7"/>
    <w:rsid w:val="005F42EE"/>
    <w:rsid w:val="005F71DF"/>
    <w:rsid w:val="00603BD4"/>
    <w:rsid w:val="0061033C"/>
    <w:rsid w:val="006122B7"/>
    <w:rsid w:val="00613681"/>
    <w:rsid w:val="006142FA"/>
    <w:rsid w:val="00616507"/>
    <w:rsid w:val="00622B18"/>
    <w:rsid w:val="0062350F"/>
    <w:rsid w:val="00623B61"/>
    <w:rsid w:val="006313ED"/>
    <w:rsid w:val="006378D3"/>
    <w:rsid w:val="00644175"/>
    <w:rsid w:val="00645967"/>
    <w:rsid w:val="00645F2F"/>
    <w:rsid w:val="00652354"/>
    <w:rsid w:val="006605A1"/>
    <w:rsid w:val="0066245A"/>
    <w:rsid w:val="00663046"/>
    <w:rsid w:val="006648F3"/>
    <w:rsid w:val="00665336"/>
    <w:rsid w:val="006654ED"/>
    <w:rsid w:val="00666283"/>
    <w:rsid w:val="00666D82"/>
    <w:rsid w:val="00670500"/>
    <w:rsid w:val="0067118C"/>
    <w:rsid w:val="00671FA5"/>
    <w:rsid w:val="00672687"/>
    <w:rsid w:val="00672B56"/>
    <w:rsid w:val="00672C8D"/>
    <w:rsid w:val="00673117"/>
    <w:rsid w:val="006748F9"/>
    <w:rsid w:val="00674DE1"/>
    <w:rsid w:val="00675B8B"/>
    <w:rsid w:val="006765F8"/>
    <w:rsid w:val="00681ABC"/>
    <w:rsid w:val="0068213F"/>
    <w:rsid w:val="006849E8"/>
    <w:rsid w:val="006874CE"/>
    <w:rsid w:val="00690AC5"/>
    <w:rsid w:val="00694B9E"/>
    <w:rsid w:val="006A60FB"/>
    <w:rsid w:val="006A6D52"/>
    <w:rsid w:val="006B0F98"/>
    <w:rsid w:val="006B1902"/>
    <w:rsid w:val="006B6262"/>
    <w:rsid w:val="006B75DF"/>
    <w:rsid w:val="006C05BF"/>
    <w:rsid w:val="006C2ED3"/>
    <w:rsid w:val="006C31BC"/>
    <w:rsid w:val="006C3F25"/>
    <w:rsid w:val="006C502A"/>
    <w:rsid w:val="006C5A5C"/>
    <w:rsid w:val="006D2585"/>
    <w:rsid w:val="006E4831"/>
    <w:rsid w:val="006F0EF4"/>
    <w:rsid w:val="006F202A"/>
    <w:rsid w:val="006F2D84"/>
    <w:rsid w:val="006F2FC6"/>
    <w:rsid w:val="006F3593"/>
    <w:rsid w:val="006F45F2"/>
    <w:rsid w:val="006F58DF"/>
    <w:rsid w:val="006F75FE"/>
    <w:rsid w:val="0070006C"/>
    <w:rsid w:val="0070217C"/>
    <w:rsid w:val="0070312D"/>
    <w:rsid w:val="00706619"/>
    <w:rsid w:val="007073B5"/>
    <w:rsid w:val="00707A70"/>
    <w:rsid w:val="00710594"/>
    <w:rsid w:val="00713384"/>
    <w:rsid w:val="007143FE"/>
    <w:rsid w:val="00714DAA"/>
    <w:rsid w:val="0071568D"/>
    <w:rsid w:val="0071640F"/>
    <w:rsid w:val="007214D4"/>
    <w:rsid w:val="007215E7"/>
    <w:rsid w:val="00723C27"/>
    <w:rsid w:val="00727E2F"/>
    <w:rsid w:val="00735233"/>
    <w:rsid w:val="00736CEB"/>
    <w:rsid w:val="007405C7"/>
    <w:rsid w:val="00742353"/>
    <w:rsid w:val="00750B96"/>
    <w:rsid w:val="007534FE"/>
    <w:rsid w:val="00754D85"/>
    <w:rsid w:val="007576EF"/>
    <w:rsid w:val="0076395D"/>
    <w:rsid w:val="00763D16"/>
    <w:rsid w:val="00763D30"/>
    <w:rsid w:val="00767610"/>
    <w:rsid w:val="00773CB0"/>
    <w:rsid w:val="00773DFB"/>
    <w:rsid w:val="00774548"/>
    <w:rsid w:val="00776F94"/>
    <w:rsid w:val="007810D4"/>
    <w:rsid w:val="00782C6A"/>
    <w:rsid w:val="007830E7"/>
    <w:rsid w:val="00783245"/>
    <w:rsid w:val="00783910"/>
    <w:rsid w:val="00784789"/>
    <w:rsid w:val="007952EB"/>
    <w:rsid w:val="00795370"/>
    <w:rsid w:val="00796F11"/>
    <w:rsid w:val="007A1665"/>
    <w:rsid w:val="007A3576"/>
    <w:rsid w:val="007A3718"/>
    <w:rsid w:val="007A3EBA"/>
    <w:rsid w:val="007B0A70"/>
    <w:rsid w:val="007B1043"/>
    <w:rsid w:val="007B1989"/>
    <w:rsid w:val="007B2D10"/>
    <w:rsid w:val="007B6A12"/>
    <w:rsid w:val="007B6B63"/>
    <w:rsid w:val="007C056C"/>
    <w:rsid w:val="007C1681"/>
    <w:rsid w:val="007C2323"/>
    <w:rsid w:val="007C2FBF"/>
    <w:rsid w:val="007C35D1"/>
    <w:rsid w:val="007D7B7F"/>
    <w:rsid w:val="007E23ED"/>
    <w:rsid w:val="007E286A"/>
    <w:rsid w:val="007E2E78"/>
    <w:rsid w:val="007E48F8"/>
    <w:rsid w:val="007E5149"/>
    <w:rsid w:val="007E57E6"/>
    <w:rsid w:val="007E6CB9"/>
    <w:rsid w:val="007E6D35"/>
    <w:rsid w:val="007E7886"/>
    <w:rsid w:val="007F27D3"/>
    <w:rsid w:val="00805B5C"/>
    <w:rsid w:val="0080662D"/>
    <w:rsid w:val="008068E9"/>
    <w:rsid w:val="008077F5"/>
    <w:rsid w:val="00807B44"/>
    <w:rsid w:val="008106CE"/>
    <w:rsid w:val="008116CF"/>
    <w:rsid w:val="00812AE7"/>
    <w:rsid w:val="008176A8"/>
    <w:rsid w:val="0081790D"/>
    <w:rsid w:val="00823071"/>
    <w:rsid w:val="008251D8"/>
    <w:rsid w:val="00826DC4"/>
    <w:rsid w:val="00827B29"/>
    <w:rsid w:val="00831142"/>
    <w:rsid w:val="00831B9E"/>
    <w:rsid w:val="008323F4"/>
    <w:rsid w:val="008332EC"/>
    <w:rsid w:val="00841AA9"/>
    <w:rsid w:val="00845C2E"/>
    <w:rsid w:val="008469F0"/>
    <w:rsid w:val="00847B30"/>
    <w:rsid w:val="00850973"/>
    <w:rsid w:val="00854327"/>
    <w:rsid w:val="0085642E"/>
    <w:rsid w:val="00857588"/>
    <w:rsid w:val="00857844"/>
    <w:rsid w:val="00863F28"/>
    <w:rsid w:val="00866B7C"/>
    <w:rsid w:val="00867A9C"/>
    <w:rsid w:val="00874509"/>
    <w:rsid w:val="00876EFC"/>
    <w:rsid w:val="00876F6E"/>
    <w:rsid w:val="008824E7"/>
    <w:rsid w:val="0088401B"/>
    <w:rsid w:val="0088401C"/>
    <w:rsid w:val="0088691F"/>
    <w:rsid w:val="008874BD"/>
    <w:rsid w:val="0089362B"/>
    <w:rsid w:val="008966B0"/>
    <w:rsid w:val="008A43C3"/>
    <w:rsid w:val="008A58E4"/>
    <w:rsid w:val="008B0946"/>
    <w:rsid w:val="008B25DE"/>
    <w:rsid w:val="008B3DA5"/>
    <w:rsid w:val="008B3F3F"/>
    <w:rsid w:val="008B64A7"/>
    <w:rsid w:val="008B72AF"/>
    <w:rsid w:val="008C1E9C"/>
    <w:rsid w:val="008C2AFF"/>
    <w:rsid w:val="008C30FE"/>
    <w:rsid w:val="008C3713"/>
    <w:rsid w:val="008C446E"/>
    <w:rsid w:val="008C6A3A"/>
    <w:rsid w:val="008C7DC0"/>
    <w:rsid w:val="008D4A42"/>
    <w:rsid w:val="008E0762"/>
    <w:rsid w:val="008E1504"/>
    <w:rsid w:val="008E3851"/>
    <w:rsid w:val="008E5D06"/>
    <w:rsid w:val="008F0EA2"/>
    <w:rsid w:val="008F72EF"/>
    <w:rsid w:val="00901A3A"/>
    <w:rsid w:val="00903491"/>
    <w:rsid w:val="00903C39"/>
    <w:rsid w:val="00904E90"/>
    <w:rsid w:val="00905905"/>
    <w:rsid w:val="00905983"/>
    <w:rsid w:val="0090763F"/>
    <w:rsid w:val="00914DA8"/>
    <w:rsid w:val="0091786B"/>
    <w:rsid w:val="00921AF2"/>
    <w:rsid w:val="00921F45"/>
    <w:rsid w:val="00923294"/>
    <w:rsid w:val="009232DF"/>
    <w:rsid w:val="00924660"/>
    <w:rsid w:val="00927DD6"/>
    <w:rsid w:val="0093012B"/>
    <w:rsid w:val="0094556D"/>
    <w:rsid w:val="00947868"/>
    <w:rsid w:val="00953433"/>
    <w:rsid w:val="00954AE8"/>
    <w:rsid w:val="00956576"/>
    <w:rsid w:val="00960E68"/>
    <w:rsid w:val="00960FD2"/>
    <w:rsid w:val="009619AB"/>
    <w:rsid w:val="009621C3"/>
    <w:rsid w:val="00962BA6"/>
    <w:rsid w:val="009704C0"/>
    <w:rsid w:val="00971FF4"/>
    <w:rsid w:val="00973390"/>
    <w:rsid w:val="00973A02"/>
    <w:rsid w:val="0097471C"/>
    <w:rsid w:val="00981DC6"/>
    <w:rsid w:val="00984F1F"/>
    <w:rsid w:val="00991E82"/>
    <w:rsid w:val="009921C9"/>
    <w:rsid w:val="0099234D"/>
    <w:rsid w:val="009A1157"/>
    <w:rsid w:val="009A203F"/>
    <w:rsid w:val="009A4901"/>
    <w:rsid w:val="009A5BA6"/>
    <w:rsid w:val="009A67A4"/>
    <w:rsid w:val="009B1481"/>
    <w:rsid w:val="009B2FFA"/>
    <w:rsid w:val="009B3481"/>
    <w:rsid w:val="009B3495"/>
    <w:rsid w:val="009B3732"/>
    <w:rsid w:val="009B3F33"/>
    <w:rsid w:val="009B74BA"/>
    <w:rsid w:val="009B7695"/>
    <w:rsid w:val="009C05E5"/>
    <w:rsid w:val="009C19A9"/>
    <w:rsid w:val="009C374C"/>
    <w:rsid w:val="009C3B9D"/>
    <w:rsid w:val="009C6C6A"/>
    <w:rsid w:val="009C78CC"/>
    <w:rsid w:val="009D079C"/>
    <w:rsid w:val="009D37CB"/>
    <w:rsid w:val="009D3F3D"/>
    <w:rsid w:val="009E20ED"/>
    <w:rsid w:val="009E29B6"/>
    <w:rsid w:val="009E4F38"/>
    <w:rsid w:val="009E67A5"/>
    <w:rsid w:val="009F123D"/>
    <w:rsid w:val="009F2EEF"/>
    <w:rsid w:val="009F63D0"/>
    <w:rsid w:val="009F66A2"/>
    <w:rsid w:val="00A00256"/>
    <w:rsid w:val="00A00896"/>
    <w:rsid w:val="00A02DE3"/>
    <w:rsid w:val="00A05EC9"/>
    <w:rsid w:val="00A06F57"/>
    <w:rsid w:val="00A0778E"/>
    <w:rsid w:val="00A119C0"/>
    <w:rsid w:val="00A146E3"/>
    <w:rsid w:val="00A16358"/>
    <w:rsid w:val="00A171FE"/>
    <w:rsid w:val="00A226F7"/>
    <w:rsid w:val="00A24C18"/>
    <w:rsid w:val="00A312B0"/>
    <w:rsid w:val="00A413B8"/>
    <w:rsid w:val="00A42999"/>
    <w:rsid w:val="00A45871"/>
    <w:rsid w:val="00A471A8"/>
    <w:rsid w:val="00A56F1F"/>
    <w:rsid w:val="00A70301"/>
    <w:rsid w:val="00A70CE8"/>
    <w:rsid w:val="00A729C3"/>
    <w:rsid w:val="00A75197"/>
    <w:rsid w:val="00A77DD6"/>
    <w:rsid w:val="00A8326A"/>
    <w:rsid w:val="00A85B94"/>
    <w:rsid w:val="00A86953"/>
    <w:rsid w:val="00A877D0"/>
    <w:rsid w:val="00A902D6"/>
    <w:rsid w:val="00A929C8"/>
    <w:rsid w:val="00A956AB"/>
    <w:rsid w:val="00A972D8"/>
    <w:rsid w:val="00AA06E7"/>
    <w:rsid w:val="00AA1388"/>
    <w:rsid w:val="00AB6614"/>
    <w:rsid w:val="00AB7ED8"/>
    <w:rsid w:val="00AC0157"/>
    <w:rsid w:val="00AC7084"/>
    <w:rsid w:val="00AC736C"/>
    <w:rsid w:val="00AD292E"/>
    <w:rsid w:val="00AE02D6"/>
    <w:rsid w:val="00AE264E"/>
    <w:rsid w:val="00AE68D0"/>
    <w:rsid w:val="00AE79EA"/>
    <w:rsid w:val="00AF20F7"/>
    <w:rsid w:val="00AF2287"/>
    <w:rsid w:val="00AF2D9E"/>
    <w:rsid w:val="00AF5330"/>
    <w:rsid w:val="00AF56CB"/>
    <w:rsid w:val="00AF6FEE"/>
    <w:rsid w:val="00B005E5"/>
    <w:rsid w:val="00B02B1C"/>
    <w:rsid w:val="00B05E2A"/>
    <w:rsid w:val="00B119FA"/>
    <w:rsid w:val="00B13024"/>
    <w:rsid w:val="00B1351F"/>
    <w:rsid w:val="00B14F19"/>
    <w:rsid w:val="00B17396"/>
    <w:rsid w:val="00B20E62"/>
    <w:rsid w:val="00B22948"/>
    <w:rsid w:val="00B26BB5"/>
    <w:rsid w:val="00B27C40"/>
    <w:rsid w:val="00B3079C"/>
    <w:rsid w:val="00B31C06"/>
    <w:rsid w:val="00B36E17"/>
    <w:rsid w:val="00B37A4D"/>
    <w:rsid w:val="00B417A3"/>
    <w:rsid w:val="00B42476"/>
    <w:rsid w:val="00B43FC5"/>
    <w:rsid w:val="00B445B2"/>
    <w:rsid w:val="00B4637B"/>
    <w:rsid w:val="00B46AB8"/>
    <w:rsid w:val="00B47107"/>
    <w:rsid w:val="00B500C9"/>
    <w:rsid w:val="00B51EC8"/>
    <w:rsid w:val="00B5616D"/>
    <w:rsid w:val="00B567A4"/>
    <w:rsid w:val="00B608EE"/>
    <w:rsid w:val="00B62E69"/>
    <w:rsid w:val="00B70D72"/>
    <w:rsid w:val="00B71ABF"/>
    <w:rsid w:val="00B8589E"/>
    <w:rsid w:val="00B86A3A"/>
    <w:rsid w:val="00B87091"/>
    <w:rsid w:val="00B92585"/>
    <w:rsid w:val="00B967D2"/>
    <w:rsid w:val="00BA3618"/>
    <w:rsid w:val="00BA5DEC"/>
    <w:rsid w:val="00BA74E0"/>
    <w:rsid w:val="00BB139D"/>
    <w:rsid w:val="00BB1883"/>
    <w:rsid w:val="00BB2747"/>
    <w:rsid w:val="00BB2C7C"/>
    <w:rsid w:val="00BB5ACB"/>
    <w:rsid w:val="00BB7C9C"/>
    <w:rsid w:val="00BC0ACA"/>
    <w:rsid w:val="00BC32A2"/>
    <w:rsid w:val="00BC42C5"/>
    <w:rsid w:val="00BC48C7"/>
    <w:rsid w:val="00BC793C"/>
    <w:rsid w:val="00BD29C1"/>
    <w:rsid w:val="00BD5ACA"/>
    <w:rsid w:val="00BD5DDD"/>
    <w:rsid w:val="00BD707C"/>
    <w:rsid w:val="00BD7D7A"/>
    <w:rsid w:val="00BF133C"/>
    <w:rsid w:val="00BF40F0"/>
    <w:rsid w:val="00BF42F9"/>
    <w:rsid w:val="00BF5982"/>
    <w:rsid w:val="00BF6C31"/>
    <w:rsid w:val="00C00CE4"/>
    <w:rsid w:val="00C0173B"/>
    <w:rsid w:val="00C01975"/>
    <w:rsid w:val="00C05032"/>
    <w:rsid w:val="00C05164"/>
    <w:rsid w:val="00C06603"/>
    <w:rsid w:val="00C0694B"/>
    <w:rsid w:val="00C105C7"/>
    <w:rsid w:val="00C11FFC"/>
    <w:rsid w:val="00C16E40"/>
    <w:rsid w:val="00C23AD4"/>
    <w:rsid w:val="00C23F06"/>
    <w:rsid w:val="00C24E44"/>
    <w:rsid w:val="00C25153"/>
    <w:rsid w:val="00C257B4"/>
    <w:rsid w:val="00C312A9"/>
    <w:rsid w:val="00C33B73"/>
    <w:rsid w:val="00C35AF3"/>
    <w:rsid w:val="00C40605"/>
    <w:rsid w:val="00C44139"/>
    <w:rsid w:val="00C44694"/>
    <w:rsid w:val="00C44795"/>
    <w:rsid w:val="00C44955"/>
    <w:rsid w:val="00C46973"/>
    <w:rsid w:val="00C46F7E"/>
    <w:rsid w:val="00C4767C"/>
    <w:rsid w:val="00C47DE2"/>
    <w:rsid w:val="00C50444"/>
    <w:rsid w:val="00C50480"/>
    <w:rsid w:val="00C5671C"/>
    <w:rsid w:val="00C63DF6"/>
    <w:rsid w:val="00C658C3"/>
    <w:rsid w:val="00C74D7E"/>
    <w:rsid w:val="00C76002"/>
    <w:rsid w:val="00C77EEF"/>
    <w:rsid w:val="00C8494E"/>
    <w:rsid w:val="00C853ED"/>
    <w:rsid w:val="00C871E4"/>
    <w:rsid w:val="00C91C75"/>
    <w:rsid w:val="00C94B51"/>
    <w:rsid w:val="00CA6FF0"/>
    <w:rsid w:val="00CA7686"/>
    <w:rsid w:val="00CB13A2"/>
    <w:rsid w:val="00CB5102"/>
    <w:rsid w:val="00CB7A07"/>
    <w:rsid w:val="00CC0947"/>
    <w:rsid w:val="00CC4256"/>
    <w:rsid w:val="00CC5524"/>
    <w:rsid w:val="00CC5F46"/>
    <w:rsid w:val="00CC720B"/>
    <w:rsid w:val="00CD66DA"/>
    <w:rsid w:val="00CE1066"/>
    <w:rsid w:val="00CE17E7"/>
    <w:rsid w:val="00CE61A5"/>
    <w:rsid w:val="00CE7DD0"/>
    <w:rsid w:val="00CF04B2"/>
    <w:rsid w:val="00CF1698"/>
    <w:rsid w:val="00CF18A3"/>
    <w:rsid w:val="00CF4001"/>
    <w:rsid w:val="00CF78A5"/>
    <w:rsid w:val="00CF7A24"/>
    <w:rsid w:val="00D002DD"/>
    <w:rsid w:val="00D00779"/>
    <w:rsid w:val="00D00FC3"/>
    <w:rsid w:val="00D01D5D"/>
    <w:rsid w:val="00D06AA4"/>
    <w:rsid w:val="00D108C3"/>
    <w:rsid w:val="00D1174D"/>
    <w:rsid w:val="00D12D41"/>
    <w:rsid w:val="00D1695F"/>
    <w:rsid w:val="00D16B3E"/>
    <w:rsid w:val="00D20066"/>
    <w:rsid w:val="00D25CDE"/>
    <w:rsid w:val="00D2688F"/>
    <w:rsid w:val="00D26EBE"/>
    <w:rsid w:val="00D2776A"/>
    <w:rsid w:val="00D316B4"/>
    <w:rsid w:val="00D32236"/>
    <w:rsid w:val="00D356D4"/>
    <w:rsid w:val="00D454FD"/>
    <w:rsid w:val="00D4612B"/>
    <w:rsid w:val="00D531B1"/>
    <w:rsid w:val="00D53984"/>
    <w:rsid w:val="00D5506A"/>
    <w:rsid w:val="00D6111B"/>
    <w:rsid w:val="00D6617A"/>
    <w:rsid w:val="00D673EE"/>
    <w:rsid w:val="00D7351D"/>
    <w:rsid w:val="00D815A0"/>
    <w:rsid w:val="00D8197D"/>
    <w:rsid w:val="00D834DE"/>
    <w:rsid w:val="00D85A9B"/>
    <w:rsid w:val="00D9005C"/>
    <w:rsid w:val="00D91D02"/>
    <w:rsid w:val="00D96118"/>
    <w:rsid w:val="00D9697A"/>
    <w:rsid w:val="00D97669"/>
    <w:rsid w:val="00DA0F6A"/>
    <w:rsid w:val="00DA15C5"/>
    <w:rsid w:val="00DA3F23"/>
    <w:rsid w:val="00DA5A52"/>
    <w:rsid w:val="00DB3598"/>
    <w:rsid w:val="00DB55EC"/>
    <w:rsid w:val="00DC3B57"/>
    <w:rsid w:val="00DC4CCA"/>
    <w:rsid w:val="00DC5181"/>
    <w:rsid w:val="00DC649C"/>
    <w:rsid w:val="00DC75C0"/>
    <w:rsid w:val="00DC76BA"/>
    <w:rsid w:val="00DD0E36"/>
    <w:rsid w:val="00DD4C60"/>
    <w:rsid w:val="00DD654D"/>
    <w:rsid w:val="00DE22DF"/>
    <w:rsid w:val="00DE2DD7"/>
    <w:rsid w:val="00DE497A"/>
    <w:rsid w:val="00DE6651"/>
    <w:rsid w:val="00DE6A09"/>
    <w:rsid w:val="00DF09D8"/>
    <w:rsid w:val="00DF138B"/>
    <w:rsid w:val="00DF1A98"/>
    <w:rsid w:val="00DF2241"/>
    <w:rsid w:val="00DF246E"/>
    <w:rsid w:val="00DF2684"/>
    <w:rsid w:val="00DF3063"/>
    <w:rsid w:val="00DF7A5B"/>
    <w:rsid w:val="00DF7E9B"/>
    <w:rsid w:val="00E06F82"/>
    <w:rsid w:val="00E106F4"/>
    <w:rsid w:val="00E10B6D"/>
    <w:rsid w:val="00E1325B"/>
    <w:rsid w:val="00E27D2C"/>
    <w:rsid w:val="00E3265F"/>
    <w:rsid w:val="00E35569"/>
    <w:rsid w:val="00E4189C"/>
    <w:rsid w:val="00E42F05"/>
    <w:rsid w:val="00E46612"/>
    <w:rsid w:val="00E55A11"/>
    <w:rsid w:val="00E55E2D"/>
    <w:rsid w:val="00E561B2"/>
    <w:rsid w:val="00E568D9"/>
    <w:rsid w:val="00E57BD0"/>
    <w:rsid w:val="00E608B5"/>
    <w:rsid w:val="00E6145A"/>
    <w:rsid w:val="00E6295E"/>
    <w:rsid w:val="00E63A3F"/>
    <w:rsid w:val="00E6560A"/>
    <w:rsid w:val="00E66FE0"/>
    <w:rsid w:val="00E673CE"/>
    <w:rsid w:val="00E6796E"/>
    <w:rsid w:val="00E728CD"/>
    <w:rsid w:val="00E75345"/>
    <w:rsid w:val="00E75CA1"/>
    <w:rsid w:val="00E809EB"/>
    <w:rsid w:val="00E80C48"/>
    <w:rsid w:val="00E8277D"/>
    <w:rsid w:val="00E845B3"/>
    <w:rsid w:val="00E929A4"/>
    <w:rsid w:val="00E93155"/>
    <w:rsid w:val="00EA1C25"/>
    <w:rsid w:val="00EA2320"/>
    <w:rsid w:val="00EA319F"/>
    <w:rsid w:val="00EA4E8A"/>
    <w:rsid w:val="00EA69E2"/>
    <w:rsid w:val="00EA7A57"/>
    <w:rsid w:val="00EB38B0"/>
    <w:rsid w:val="00EB38F8"/>
    <w:rsid w:val="00EB640D"/>
    <w:rsid w:val="00EC17C1"/>
    <w:rsid w:val="00EC270C"/>
    <w:rsid w:val="00EC594C"/>
    <w:rsid w:val="00EC7323"/>
    <w:rsid w:val="00ED08BB"/>
    <w:rsid w:val="00ED2D9E"/>
    <w:rsid w:val="00ED333E"/>
    <w:rsid w:val="00ED497C"/>
    <w:rsid w:val="00ED533F"/>
    <w:rsid w:val="00ED53E9"/>
    <w:rsid w:val="00ED6A24"/>
    <w:rsid w:val="00EE192B"/>
    <w:rsid w:val="00EE3715"/>
    <w:rsid w:val="00EE4CC7"/>
    <w:rsid w:val="00EE4DEA"/>
    <w:rsid w:val="00EE54C4"/>
    <w:rsid w:val="00EF07AF"/>
    <w:rsid w:val="00EF22D8"/>
    <w:rsid w:val="00EF3899"/>
    <w:rsid w:val="00EF58EA"/>
    <w:rsid w:val="00EF5ECC"/>
    <w:rsid w:val="00EF774B"/>
    <w:rsid w:val="00F03856"/>
    <w:rsid w:val="00F06C25"/>
    <w:rsid w:val="00F14A52"/>
    <w:rsid w:val="00F1504D"/>
    <w:rsid w:val="00F176AA"/>
    <w:rsid w:val="00F17FF1"/>
    <w:rsid w:val="00F20369"/>
    <w:rsid w:val="00F21566"/>
    <w:rsid w:val="00F24807"/>
    <w:rsid w:val="00F266A0"/>
    <w:rsid w:val="00F311C1"/>
    <w:rsid w:val="00F311FB"/>
    <w:rsid w:val="00F317E0"/>
    <w:rsid w:val="00F32E8E"/>
    <w:rsid w:val="00F3399A"/>
    <w:rsid w:val="00F40A0C"/>
    <w:rsid w:val="00F4405A"/>
    <w:rsid w:val="00F45E8D"/>
    <w:rsid w:val="00F474E1"/>
    <w:rsid w:val="00F47868"/>
    <w:rsid w:val="00F50DE3"/>
    <w:rsid w:val="00F51B81"/>
    <w:rsid w:val="00F55AFC"/>
    <w:rsid w:val="00F6160A"/>
    <w:rsid w:val="00F63879"/>
    <w:rsid w:val="00F671E2"/>
    <w:rsid w:val="00F67D9E"/>
    <w:rsid w:val="00F70617"/>
    <w:rsid w:val="00F711EE"/>
    <w:rsid w:val="00F82C06"/>
    <w:rsid w:val="00F95E4E"/>
    <w:rsid w:val="00FB086D"/>
    <w:rsid w:val="00FB4C36"/>
    <w:rsid w:val="00FB5CC0"/>
    <w:rsid w:val="00FC0BEF"/>
    <w:rsid w:val="00FC1086"/>
    <w:rsid w:val="00FC196A"/>
    <w:rsid w:val="00FC27F8"/>
    <w:rsid w:val="00FC3978"/>
    <w:rsid w:val="00FC45B5"/>
    <w:rsid w:val="00FC5F2C"/>
    <w:rsid w:val="00FD215B"/>
    <w:rsid w:val="00FD45A8"/>
    <w:rsid w:val="00FD5259"/>
    <w:rsid w:val="00FD584A"/>
    <w:rsid w:val="00FE27D5"/>
    <w:rsid w:val="00FE720F"/>
    <w:rsid w:val="00FF045A"/>
    <w:rsid w:val="00FF07B0"/>
    <w:rsid w:val="00FF21F5"/>
    <w:rsid w:val="00FF326B"/>
    <w:rsid w:val="00FF362F"/>
    <w:rsid w:val="00FF52F6"/>
    <w:rsid w:val="00FF5ABB"/>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FC4E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54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4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5B8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35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732B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ITIHeading1">
    <w:name w:val="CITI Heading 1"/>
    <w:basedOn w:val="Normal"/>
    <w:uiPriority w:val="99"/>
    <w:rsid w:val="005732BC"/>
    <w:pPr>
      <w:widowControl w:val="0"/>
      <w:suppressAutoHyphens/>
      <w:autoSpaceDE w:val="0"/>
      <w:autoSpaceDN w:val="0"/>
      <w:adjustRightInd w:val="0"/>
      <w:spacing w:after="227" w:line="720" w:lineRule="atLeast"/>
      <w:textAlignment w:val="center"/>
    </w:pPr>
    <w:rPr>
      <w:rFonts w:ascii="Bliss-Heavy" w:hAnsi="Bliss-Heavy" w:cs="Bliss-Heavy"/>
      <w:color w:val="0F16FF"/>
      <w:sz w:val="72"/>
      <w:szCs w:val="72"/>
      <w:lang w:val="en-GB"/>
    </w:rPr>
  </w:style>
  <w:style w:type="paragraph" w:customStyle="1" w:styleId="Footnotemain">
    <w:name w:val="Footnote main"/>
    <w:basedOn w:val="Normal"/>
    <w:uiPriority w:val="99"/>
    <w:rsid w:val="005732BC"/>
    <w:pPr>
      <w:widowControl w:val="0"/>
      <w:tabs>
        <w:tab w:val="left" w:pos="283"/>
      </w:tabs>
      <w:autoSpaceDE w:val="0"/>
      <w:autoSpaceDN w:val="0"/>
      <w:adjustRightInd w:val="0"/>
      <w:spacing w:line="200" w:lineRule="atLeast"/>
      <w:textAlignment w:val="center"/>
    </w:pPr>
    <w:rPr>
      <w:rFonts w:ascii="Bliss-Light" w:hAnsi="Bliss-Light" w:cs="Bliss-Light"/>
      <w:color w:val="000000"/>
      <w:sz w:val="16"/>
      <w:szCs w:val="16"/>
      <w:lang w:val="en-GB"/>
    </w:rPr>
  </w:style>
  <w:style w:type="paragraph" w:customStyle="1" w:styleId="CITIHeading2">
    <w:name w:val="CITI Heading 2"/>
    <w:basedOn w:val="Normal"/>
    <w:uiPriority w:val="99"/>
    <w:rsid w:val="005732BC"/>
    <w:pPr>
      <w:widowControl w:val="0"/>
      <w:suppressAutoHyphens/>
      <w:autoSpaceDE w:val="0"/>
      <w:autoSpaceDN w:val="0"/>
      <w:adjustRightInd w:val="0"/>
      <w:spacing w:before="170" w:line="480" w:lineRule="atLeast"/>
      <w:textAlignment w:val="center"/>
    </w:pPr>
    <w:rPr>
      <w:rFonts w:ascii="Bliss-Heavy" w:hAnsi="Bliss-Heavy" w:cs="Bliss-Heavy"/>
      <w:color w:val="6500BF"/>
      <w:sz w:val="48"/>
      <w:szCs w:val="48"/>
      <w:lang w:val="en-GB"/>
    </w:rPr>
  </w:style>
  <w:style w:type="paragraph" w:customStyle="1" w:styleId="CITIBodycopy">
    <w:name w:val="CITI Body copy"/>
    <w:basedOn w:val="Normal"/>
    <w:uiPriority w:val="99"/>
    <w:rsid w:val="003008FE"/>
    <w:pPr>
      <w:widowControl w:val="0"/>
      <w:tabs>
        <w:tab w:val="left" w:pos="580"/>
      </w:tabs>
      <w:suppressAutoHyphens/>
      <w:autoSpaceDE w:val="0"/>
      <w:autoSpaceDN w:val="0"/>
      <w:adjustRightInd w:val="0"/>
      <w:spacing w:line="320" w:lineRule="atLeast"/>
      <w:textAlignment w:val="center"/>
    </w:pPr>
    <w:rPr>
      <w:rFonts w:ascii="Bliss-Light" w:hAnsi="Bliss-Light" w:cs="Bliss-Light"/>
      <w:color w:val="000000"/>
      <w:lang w:val="en-GB"/>
    </w:rPr>
  </w:style>
  <w:style w:type="paragraph" w:customStyle="1" w:styleId="NoParagraphStyle">
    <w:name w:val="[No Paragraph Style]"/>
    <w:rsid w:val="003008FE"/>
    <w:pPr>
      <w:widowControl w:val="0"/>
      <w:autoSpaceDE w:val="0"/>
      <w:autoSpaceDN w:val="0"/>
      <w:adjustRightInd w:val="0"/>
      <w:spacing w:line="288" w:lineRule="auto"/>
      <w:textAlignment w:val="center"/>
    </w:pPr>
    <w:rPr>
      <w:rFonts w:ascii="Bliss-Heavy" w:hAnsi="Bliss-Heavy" w:cs="Times New Roman"/>
      <w:color w:val="000000"/>
      <w:lang w:val="en-GB"/>
    </w:rPr>
  </w:style>
  <w:style w:type="paragraph" w:customStyle="1" w:styleId="CITIStatisticalQuotes">
    <w:name w:val="CITI Statistical Quotes"/>
    <w:basedOn w:val="NoParagraphStyle"/>
    <w:uiPriority w:val="99"/>
    <w:rsid w:val="009F123D"/>
    <w:pPr>
      <w:suppressAutoHyphens/>
      <w:spacing w:line="520" w:lineRule="atLeast"/>
      <w:jc w:val="right"/>
    </w:pPr>
    <w:rPr>
      <w:rFonts w:ascii="Bliss-MediumItalic" w:hAnsi="Bliss-MediumItalic" w:cs="Bliss-MediumItalic"/>
      <w:i/>
      <w:iCs/>
      <w:color w:val="8B1B6D"/>
      <w:sz w:val="32"/>
      <w:szCs w:val="32"/>
    </w:rPr>
  </w:style>
  <w:style w:type="paragraph" w:styleId="ListParagraph">
    <w:name w:val="List Paragraph"/>
    <w:basedOn w:val="Normal"/>
    <w:uiPriority w:val="34"/>
    <w:qFormat/>
    <w:rsid w:val="00235417"/>
    <w:pPr>
      <w:ind w:left="720"/>
      <w:contextualSpacing/>
    </w:pPr>
  </w:style>
  <w:style w:type="character" w:customStyle="1" w:styleId="Heading1Char">
    <w:name w:val="Heading 1 Char"/>
    <w:basedOn w:val="DefaultParagraphFont"/>
    <w:link w:val="Heading1"/>
    <w:uiPriority w:val="9"/>
    <w:rsid w:val="0023541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354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5B8B"/>
    <w:rPr>
      <w:rFonts w:asciiTheme="majorHAnsi" w:eastAsiaTheme="majorEastAsia" w:hAnsiTheme="majorHAnsi" w:cstheme="majorBidi"/>
      <w:b/>
      <w:bCs/>
      <w:color w:val="4F81BD" w:themeColor="accent1"/>
    </w:rPr>
  </w:style>
  <w:style w:type="paragraph" w:styleId="FootnoteText">
    <w:name w:val="footnote text"/>
    <w:aliases w:val="Footnotes"/>
    <w:basedOn w:val="Normal"/>
    <w:link w:val="FootnoteTextChar"/>
    <w:unhideWhenUsed/>
    <w:rsid w:val="00CC4256"/>
    <w:rPr>
      <w:sz w:val="20"/>
      <w:szCs w:val="20"/>
    </w:rPr>
  </w:style>
  <w:style w:type="character" w:customStyle="1" w:styleId="FootnoteTextChar">
    <w:name w:val="Footnote Text Char"/>
    <w:aliases w:val="Footnotes Char"/>
    <w:basedOn w:val="DefaultParagraphFont"/>
    <w:link w:val="FootnoteText"/>
    <w:rsid w:val="00CC4256"/>
    <w:rPr>
      <w:sz w:val="20"/>
      <w:szCs w:val="20"/>
    </w:rPr>
  </w:style>
  <w:style w:type="character" w:styleId="FootnoteReference">
    <w:name w:val="footnote reference"/>
    <w:basedOn w:val="DefaultParagraphFont"/>
    <w:uiPriority w:val="99"/>
    <w:unhideWhenUsed/>
    <w:rsid w:val="00CC4256"/>
    <w:rPr>
      <w:vertAlign w:val="superscript"/>
    </w:rPr>
  </w:style>
  <w:style w:type="paragraph" w:styleId="BalloonText">
    <w:name w:val="Balloon Text"/>
    <w:basedOn w:val="Normal"/>
    <w:link w:val="BalloonTextChar"/>
    <w:uiPriority w:val="99"/>
    <w:semiHidden/>
    <w:unhideWhenUsed/>
    <w:rsid w:val="00CC4256"/>
    <w:rPr>
      <w:rFonts w:ascii="Tahoma" w:hAnsi="Tahoma" w:cs="Tahoma"/>
      <w:sz w:val="16"/>
      <w:szCs w:val="16"/>
    </w:rPr>
  </w:style>
  <w:style w:type="character" w:customStyle="1" w:styleId="BalloonTextChar">
    <w:name w:val="Balloon Text Char"/>
    <w:basedOn w:val="DefaultParagraphFont"/>
    <w:link w:val="BalloonText"/>
    <w:uiPriority w:val="99"/>
    <w:semiHidden/>
    <w:rsid w:val="00CC4256"/>
    <w:rPr>
      <w:rFonts w:ascii="Tahoma" w:hAnsi="Tahoma" w:cs="Tahoma"/>
      <w:sz w:val="16"/>
      <w:szCs w:val="16"/>
    </w:rPr>
  </w:style>
  <w:style w:type="paragraph" w:styleId="TOC1">
    <w:name w:val="toc 1"/>
    <w:basedOn w:val="Normal"/>
    <w:next w:val="Normal"/>
    <w:autoRedefine/>
    <w:uiPriority w:val="39"/>
    <w:unhideWhenUsed/>
    <w:rsid w:val="00CA7686"/>
    <w:pPr>
      <w:tabs>
        <w:tab w:val="right" w:leader="dot" w:pos="8290"/>
      </w:tabs>
      <w:spacing w:before="120"/>
    </w:pPr>
    <w:rPr>
      <w:b/>
      <w:noProof/>
    </w:rPr>
  </w:style>
  <w:style w:type="paragraph" w:styleId="TOC2">
    <w:name w:val="toc 2"/>
    <w:basedOn w:val="Normal"/>
    <w:next w:val="Normal"/>
    <w:autoRedefine/>
    <w:uiPriority w:val="39"/>
    <w:unhideWhenUsed/>
    <w:rsid w:val="009F2EEF"/>
    <w:pPr>
      <w:ind w:left="240"/>
    </w:pPr>
    <w:rPr>
      <w:b/>
      <w:sz w:val="22"/>
      <w:szCs w:val="22"/>
    </w:rPr>
  </w:style>
  <w:style w:type="paragraph" w:styleId="Header">
    <w:name w:val="header"/>
    <w:basedOn w:val="Normal"/>
    <w:link w:val="HeaderChar"/>
    <w:uiPriority w:val="99"/>
    <w:unhideWhenUsed/>
    <w:rsid w:val="001F450E"/>
    <w:pPr>
      <w:tabs>
        <w:tab w:val="center" w:pos="4513"/>
        <w:tab w:val="right" w:pos="9026"/>
      </w:tabs>
    </w:pPr>
  </w:style>
  <w:style w:type="character" w:customStyle="1" w:styleId="HeaderChar">
    <w:name w:val="Header Char"/>
    <w:basedOn w:val="DefaultParagraphFont"/>
    <w:link w:val="Header"/>
    <w:uiPriority w:val="99"/>
    <w:rsid w:val="001F450E"/>
  </w:style>
  <w:style w:type="paragraph" w:styleId="Footer">
    <w:name w:val="footer"/>
    <w:basedOn w:val="Normal"/>
    <w:link w:val="FooterChar"/>
    <w:uiPriority w:val="99"/>
    <w:unhideWhenUsed/>
    <w:rsid w:val="001F450E"/>
    <w:pPr>
      <w:tabs>
        <w:tab w:val="center" w:pos="4513"/>
        <w:tab w:val="right" w:pos="9026"/>
      </w:tabs>
    </w:pPr>
  </w:style>
  <w:style w:type="character" w:customStyle="1" w:styleId="FooterChar">
    <w:name w:val="Footer Char"/>
    <w:basedOn w:val="DefaultParagraphFont"/>
    <w:link w:val="Footer"/>
    <w:uiPriority w:val="99"/>
    <w:rsid w:val="001F450E"/>
  </w:style>
  <w:style w:type="table" w:styleId="TableGrid">
    <w:name w:val="Table Grid"/>
    <w:basedOn w:val="TableNormal"/>
    <w:uiPriority w:val="59"/>
    <w:rsid w:val="008C2AFF"/>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514A"/>
    <w:rPr>
      <w:color w:val="0000FF" w:themeColor="hyperlink"/>
      <w:u w:val="single"/>
    </w:rPr>
  </w:style>
  <w:style w:type="character" w:styleId="CommentReference">
    <w:name w:val="annotation reference"/>
    <w:basedOn w:val="DefaultParagraphFont"/>
    <w:uiPriority w:val="99"/>
    <w:semiHidden/>
    <w:unhideWhenUsed/>
    <w:rsid w:val="0051746C"/>
    <w:rPr>
      <w:sz w:val="16"/>
      <w:szCs w:val="16"/>
    </w:rPr>
  </w:style>
  <w:style w:type="paragraph" w:styleId="CommentText">
    <w:name w:val="annotation text"/>
    <w:basedOn w:val="Normal"/>
    <w:link w:val="CommentTextChar"/>
    <w:uiPriority w:val="99"/>
    <w:semiHidden/>
    <w:unhideWhenUsed/>
    <w:rsid w:val="0051746C"/>
    <w:rPr>
      <w:sz w:val="20"/>
      <w:szCs w:val="20"/>
    </w:rPr>
  </w:style>
  <w:style w:type="character" w:customStyle="1" w:styleId="CommentTextChar">
    <w:name w:val="Comment Text Char"/>
    <w:basedOn w:val="DefaultParagraphFont"/>
    <w:link w:val="CommentText"/>
    <w:uiPriority w:val="99"/>
    <w:semiHidden/>
    <w:rsid w:val="0051746C"/>
    <w:rPr>
      <w:sz w:val="20"/>
      <w:szCs w:val="20"/>
    </w:rPr>
  </w:style>
  <w:style w:type="paragraph" w:styleId="CommentSubject">
    <w:name w:val="annotation subject"/>
    <w:basedOn w:val="CommentText"/>
    <w:next w:val="CommentText"/>
    <w:link w:val="CommentSubjectChar"/>
    <w:uiPriority w:val="99"/>
    <w:semiHidden/>
    <w:unhideWhenUsed/>
    <w:rsid w:val="0051746C"/>
    <w:rPr>
      <w:b/>
      <w:bCs/>
    </w:rPr>
  </w:style>
  <w:style w:type="character" w:customStyle="1" w:styleId="CommentSubjectChar">
    <w:name w:val="Comment Subject Char"/>
    <w:basedOn w:val="CommentTextChar"/>
    <w:link w:val="CommentSubject"/>
    <w:uiPriority w:val="99"/>
    <w:semiHidden/>
    <w:rsid w:val="0051746C"/>
    <w:rPr>
      <w:b/>
      <w:bCs/>
      <w:sz w:val="20"/>
      <w:szCs w:val="20"/>
    </w:rPr>
  </w:style>
  <w:style w:type="paragraph" w:styleId="NoSpacing">
    <w:name w:val="No Spacing"/>
    <w:link w:val="NoSpacingChar"/>
    <w:uiPriority w:val="1"/>
    <w:qFormat/>
    <w:rsid w:val="00231D6D"/>
    <w:rPr>
      <w:rFonts w:eastAsiaTheme="minorHAnsi"/>
      <w:sz w:val="22"/>
      <w:szCs w:val="22"/>
      <w:lang w:val="en-IE"/>
    </w:rPr>
  </w:style>
  <w:style w:type="character" w:customStyle="1" w:styleId="NoSpacingChar">
    <w:name w:val="No Spacing Char"/>
    <w:basedOn w:val="DefaultParagraphFont"/>
    <w:link w:val="NoSpacing"/>
    <w:uiPriority w:val="1"/>
    <w:rsid w:val="00231D6D"/>
    <w:rPr>
      <w:rFonts w:eastAsiaTheme="minorHAnsi"/>
      <w:sz w:val="22"/>
      <w:szCs w:val="22"/>
      <w:lang w:val="en-IE"/>
    </w:rPr>
  </w:style>
  <w:style w:type="paragraph" w:styleId="NormalWeb">
    <w:name w:val="Normal (Web)"/>
    <w:basedOn w:val="Normal"/>
    <w:uiPriority w:val="99"/>
    <w:semiHidden/>
    <w:unhideWhenUsed/>
    <w:rsid w:val="00512899"/>
    <w:pPr>
      <w:spacing w:before="100" w:beforeAutospacing="1" w:after="100" w:afterAutospacing="1"/>
    </w:pPr>
    <w:rPr>
      <w:rFonts w:ascii="Times New Roman" w:eastAsia="Times New Roman" w:hAnsi="Times New Roman" w:cs="Times New Roman"/>
      <w:lang w:val="en-IE" w:eastAsia="en-IE"/>
    </w:rPr>
  </w:style>
  <w:style w:type="table" w:styleId="LightShading-Accent3">
    <w:name w:val="Light Shading Accent 3"/>
    <w:basedOn w:val="TableNormal"/>
    <w:uiPriority w:val="60"/>
    <w:rsid w:val="00C05032"/>
    <w:rPr>
      <w:rFonts w:eastAsiaTheme="minorHAnsi"/>
      <w:color w:val="76923C" w:themeColor="accent3" w:themeShade="BF"/>
      <w:sz w:val="22"/>
      <w:szCs w:val="22"/>
      <w:lang w:val="en-IE"/>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Default">
    <w:name w:val="Default"/>
    <w:rsid w:val="0099234D"/>
    <w:pPr>
      <w:autoSpaceDE w:val="0"/>
      <w:autoSpaceDN w:val="0"/>
      <w:adjustRightInd w:val="0"/>
    </w:pPr>
    <w:rPr>
      <w:rFonts w:ascii="Arial" w:hAnsi="Arial" w:cs="Arial"/>
      <w:color w:val="000000"/>
      <w:lang w:val="en-IE"/>
    </w:rPr>
  </w:style>
  <w:style w:type="paragraph" w:styleId="Revision">
    <w:name w:val="Revision"/>
    <w:hidden/>
    <w:uiPriority w:val="99"/>
    <w:semiHidden/>
    <w:rsid w:val="00564738"/>
  </w:style>
  <w:style w:type="table" w:styleId="LightShading-Accent5">
    <w:name w:val="Light Shading Accent 5"/>
    <w:basedOn w:val="TableNormal"/>
    <w:uiPriority w:val="60"/>
    <w:rsid w:val="007A3EB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4Char">
    <w:name w:val="Heading 4 Char"/>
    <w:basedOn w:val="DefaultParagraphFont"/>
    <w:link w:val="Heading4"/>
    <w:uiPriority w:val="9"/>
    <w:rsid w:val="007A3576"/>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rsid w:val="00CF7A24"/>
    <w:pPr>
      <w:ind w:left="480"/>
    </w:pPr>
    <w:rPr>
      <w:sz w:val="22"/>
      <w:szCs w:val="22"/>
    </w:rPr>
  </w:style>
  <w:style w:type="paragraph" w:styleId="EndnoteText">
    <w:name w:val="endnote text"/>
    <w:basedOn w:val="Normal"/>
    <w:link w:val="EndnoteTextChar"/>
    <w:uiPriority w:val="99"/>
    <w:unhideWhenUsed/>
    <w:rsid w:val="007E6D35"/>
  </w:style>
  <w:style w:type="character" w:customStyle="1" w:styleId="EndnoteTextChar">
    <w:name w:val="Endnote Text Char"/>
    <w:basedOn w:val="DefaultParagraphFont"/>
    <w:link w:val="EndnoteText"/>
    <w:uiPriority w:val="99"/>
    <w:rsid w:val="007E6D35"/>
  </w:style>
  <w:style w:type="character" w:styleId="EndnoteReference">
    <w:name w:val="endnote reference"/>
    <w:basedOn w:val="DefaultParagraphFont"/>
    <w:uiPriority w:val="99"/>
    <w:unhideWhenUsed/>
    <w:rsid w:val="007E6D35"/>
    <w:rPr>
      <w:vertAlign w:val="superscript"/>
    </w:rPr>
  </w:style>
  <w:style w:type="paragraph" w:customStyle="1" w:styleId="BODYHEAD">
    <w:name w:val="BODY HEAD"/>
    <w:basedOn w:val="NoParagraphStyle"/>
    <w:uiPriority w:val="99"/>
    <w:rsid w:val="00DF2241"/>
    <w:pPr>
      <w:suppressAutoHyphens/>
      <w:spacing w:line="300" w:lineRule="atLeast"/>
    </w:pPr>
    <w:rPr>
      <w:rFonts w:ascii="Bliss-Bold" w:hAnsi="Bliss-Bold"/>
      <w:caps/>
      <w:color w:val="7FFF00"/>
      <w:sz w:val="20"/>
      <w:szCs w:val="20"/>
    </w:rPr>
  </w:style>
  <w:style w:type="character" w:customStyle="1" w:styleId="MediumA4VStylesMedium">
    <w:name w:val="Medium (A4 V:Styles.:Medium.)"/>
    <w:uiPriority w:val="99"/>
    <w:rsid w:val="00EE54C4"/>
    <w:rPr>
      <w:color w:val="4C4C4C"/>
      <w:u w:val="none" w:color="7FFF00"/>
    </w:rPr>
  </w:style>
  <w:style w:type="paragraph" w:styleId="TOC4">
    <w:name w:val="toc 4"/>
    <w:basedOn w:val="Normal"/>
    <w:next w:val="Normal"/>
    <w:autoRedefine/>
    <w:uiPriority w:val="39"/>
    <w:unhideWhenUsed/>
    <w:rsid w:val="006313ED"/>
    <w:pPr>
      <w:ind w:left="720"/>
    </w:pPr>
    <w:rPr>
      <w:sz w:val="20"/>
      <w:szCs w:val="20"/>
    </w:rPr>
  </w:style>
  <w:style w:type="paragraph" w:styleId="TOC5">
    <w:name w:val="toc 5"/>
    <w:basedOn w:val="Normal"/>
    <w:next w:val="Normal"/>
    <w:autoRedefine/>
    <w:uiPriority w:val="39"/>
    <w:unhideWhenUsed/>
    <w:rsid w:val="006313ED"/>
    <w:pPr>
      <w:ind w:left="960"/>
    </w:pPr>
    <w:rPr>
      <w:sz w:val="20"/>
      <w:szCs w:val="20"/>
    </w:rPr>
  </w:style>
  <w:style w:type="paragraph" w:styleId="TOC6">
    <w:name w:val="toc 6"/>
    <w:basedOn w:val="Normal"/>
    <w:next w:val="Normal"/>
    <w:autoRedefine/>
    <w:uiPriority w:val="39"/>
    <w:unhideWhenUsed/>
    <w:rsid w:val="006313ED"/>
    <w:pPr>
      <w:ind w:left="1200"/>
    </w:pPr>
    <w:rPr>
      <w:sz w:val="20"/>
      <w:szCs w:val="20"/>
    </w:rPr>
  </w:style>
  <w:style w:type="paragraph" w:styleId="TOC7">
    <w:name w:val="toc 7"/>
    <w:basedOn w:val="Normal"/>
    <w:next w:val="Normal"/>
    <w:autoRedefine/>
    <w:uiPriority w:val="39"/>
    <w:unhideWhenUsed/>
    <w:rsid w:val="006313ED"/>
    <w:pPr>
      <w:ind w:left="1440"/>
    </w:pPr>
    <w:rPr>
      <w:sz w:val="20"/>
      <w:szCs w:val="20"/>
    </w:rPr>
  </w:style>
  <w:style w:type="paragraph" w:styleId="TOC8">
    <w:name w:val="toc 8"/>
    <w:basedOn w:val="Normal"/>
    <w:next w:val="Normal"/>
    <w:autoRedefine/>
    <w:uiPriority w:val="39"/>
    <w:unhideWhenUsed/>
    <w:rsid w:val="006313ED"/>
    <w:pPr>
      <w:ind w:left="1680"/>
    </w:pPr>
    <w:rPr>
      <w:sz w:val="20"/>
      <w:szCs w:val="20"/>
    </w:rPr>
  </w:style>
  <w:style w:type="paragraph" w:styleId="TOC9">
    <w:name w:val="toc 9"/>
    <w:basedOn w:val="Normal"/>
    <w:next w:val="Normal"/>
    <w:autoRedefine/>
    <w:uiPriority w:val="39"/>
    <w:unhideWhenUsed/>
    <w:rsid w:val="006313ED"/>
    <w:pPr>
      <w:ind w:left="1920"/>
    </w:pPr>
    <w:rPr>
      <w:sz w:val="20"/>
      <w:szCs w:val="20"/>
    </w:rPr>
  </w:style>
  <w:style w:type="table" w:styleId="LightList-Accent5">
    <w:name w:val="Light List Accent 5"/>
    <w:basedOn w:val="TableNormal"/>
    <w:uiPriority w:val="61"/>
    <w:rsid w:val="00540D6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540D6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896">
      <w:bodyDiv w:val="1"/>
      <w:marLeft w:val="0"/>
      <w:marRight w:val="0"/>
      <w:marTop w:val="0"/>
      <w:marBottom w:val="0"/>
      <w:divBdr>
        <w:top w:val="none" w:sz="0" w:space="0" w:color="auto"/>
        <w:left w:val="none" w:sz="0" w:space="0" w:color="auto"/>
        <w:bottom w:val="none" w:sz="0" w:space="0" w:color="auto"/>
        <w:right w:val="none" w:sz="0" w:space="0" w:color="auto"/>
      </w:divBdr>
    </w:div>
    <w:div w:id="250047909">
      <w:bodyDiv w:val="1"/>
      <w:marLeft w:val="0"/>
      <w:marRight w:val="0"/>
      <w:marTop w:val="0"/>
      <w:marBottom w:val="0"/>
      <w:divBdr>
        <w:top w:val="none" w:sz="0" w:space="0" w:color="auto"/>
        <w:left w:val="none" w:sz="0" w:space="0" w:color="auto"/>
        <w:bottom w:val="none" w:sz="0" w:space="0" w:color="auto"/>
        <w:right w:val="none" w:sz="0" w:space="0" w:color="auto"/>
      </w:divBdr>
    </w:div>
    <w:div w:id="271208391">
      <w:bodyDiv w:val="1"/>
      <w:marLeft w:val="0"/>
      <w:marRight w:val="0"/>
      <w:marTop w:val="0"/>
      <w:marBottom w:val="0"/>
      <w:divBdr>
        <w:top w:val="none" w:sz="0" w:space="0" w:color="auto"/>
        <w:left w:val="none" w:sz="0" w:space="0" w:color="auto"/>
        <w:bottom w:val="none" w:sz="0" w:space="0" w:color="auto"/>
        <w:right w:val="none" w:sz="0" w:space="0" w:color="auto"/>
      </w:divBdr>
    </w:div>
    <w:div w:id="481392755">
      <w:bodyDiv w:val="1"/>
      <w:marLeft w:val="0"/>
      <w:marRight w:val="0"/>
      <w:marTop w:val="0"/>
      <w:marBottom w:val="0"/>
      <w:divBdr>
        <w:top w:val="none" w:sz="0" w:space="0" w:color="auto"/>
        <w:left w:val="none" w:sz="0" w:space="0" w:color="auto"/>
        <w:bottom w:val="none" w:sz="0" w:space="0" w:color="auto"/>
        <w:right w:val="none" w:sz="0" w:space="0" w:color="auto"/>
      </w:divBdr>
    </w:div>
    <w:div w:id="483278221">
      <w:bodyDiv w:val="1"/>
      <w:marLeft w:val="0"/>
      <w:marRight w:val="0"/>
      <w:marTop w:val="0"/>
      <w:marBottom w:val="0"/>
      <w:divBdr>
        <w:top w:val="none" w:sz="0" w:space="0" w:color="auto"/>
        <w:left w:val="none" w:sz="0" w:space="0" w:color="auto"/>
        <w:bottom w:val="none" w:sz="0" w:space="0" w:color="auto"/>
        <w:right w:val="none" w:sz="0" w:space="0" w:color="auto"/>
      </w:divBdr>
    </w:div>
    <w:div w:id="486937665">
      <w:bodyDiv w:val="1"/>
      <w:marLeft w:val="0"/>
      <w:marRight w:val="0"/>
      <w:marTop w:val="0"/>
      <w:marBottom w:val="0"/>
      <w:divBdr>
        <w:top w:val="none" w:sz="0" w:space="0" w:color="auto"/>
        <w:left w:val="none" w:sz="0" w:space="0" w:color="auto"/>
        <w:bottom w:val="none" w:sz="0" w:space="0" w:color="auto"/>
        <w:right w:val="none" w:sz="0" w:space="0" w:color="auto"/>
      </w:divBdr>
    </w:div>
    <w:div w:id="487400770">
      <w:bodyDiv w:val="1"/>
      <w:marLeft w:val="0"/>
      <w:marRight w:val="0"/>
      <w:marTop w:val="0"/>
      <w:marBottom w:val="0"/>
      <w:divBdr>
        <w:top w:val="none" w:sz="0" w:space="0" w:color="auto"/>
        <w:left w:val="none" w:sz="0" w:space="0" w:color="auto"/>
        <w:bottom w:val="none" w:sz="0" w:space="0" w:color="auto"/>
        <w:right w:val="none" w:sz="0" w:space="0" w:color="auto"/>
      </w:divBdr>
    </w:div>
    <w:div w:id="523203407">
      <w:bodyDiv w:val="1"/>
      <w:marLeft w:val="0"/>
      <w:marRight w:val="0"/>
      <w:marTop w:val="0"/>
      <w:marBottom w:val="0"/>
      <w:divBdr>
        <w:top w:val="none" w:sz="0" w:space="0" w:color="auto"/>
        <w:left w:val="none" w:sz="0" w:space="0" w:color="auto"/>
        <w:bottom w:val="none" w:sz="0" w:space="0" w:color="auto"/>
        <w:right w:val="none" w:sz="0" w:space="0" w:color="auto"/>
      </w:divBdr>
    </w:div>
    <w:div w:id="538863994">
      <w:bodyDiv w:val="1"/>
      <w:marLeft w:val="0"/>
      <w:marRight w:val="0"/>
      <w:marTop w:val="0"/>
      <w:marBottom w:val="0"/>
      <w:divBdr>
        <w:top w:val="none" w:sz="0" w:space="0" w:color="auto"/>
        <w:left w:val="none" w:sz="0" w:space="0" w:color="auto"/>
        <w:bottom w:val="none" w:sz="0" w:space="0" w:color="auto"/>
        <w:right w:val="none" w:sz="0" w:space="0" w:color="auto"/>
      </w:divBdr>
    </w:div>
    <w:div w:id="623847483">
      <w:bodyDiv w:val="1"/>
      <w:marLeft w:val="0"/>
      <w:marRight w:val="0"/>
      <w:marTop w:val="0"/>
      <w:marBottom w:val="0"/>
      <w:divBdr>
        <w:top w:val="none" w:sz="0" w:space="0" w:color="auto"/>
        <w:left w:val="none" w:sz="0" w:space="0" w:color="auto"/>
        <w:bottom w:val="none" w:sz="0" w:space="0" w:color="auto"/>
        <w:right w:val="none" w:sz="0" w:space="0" w:color="auto"/>
      </w:divBdr>
    </w:div>
    <w:div w:id="643895614">
      <w:bodyDiv w:val="1"/>
      <w:marLeft w:val="0"/>
      <w:marRight w:val="0"/>
      <w:marTop w:val="0"/>
      <w:marBottom w:val="0"/>
      <w:divBdr>
        <w:top w:val="none" w:sz="0" w:space="0" w:color="auto"/>
        <w:left w:val="none" w:sz="0" w:space="0" w:color="auto"/>
        <w:bottom w:val="none" w:sz="0" w:space="0" w:color="auto"/>
        <w:right w:val="none" w:sz="0" w:space="0" w:color="auto"/>
      </w:divBdr>
    </w:div>
    <w:div w:id="669137698">
      <w:bodyDiv w:val="1"/>
      <w:marLeft w:val="0"/>
      <w:marRight w:val="0"/>
      <w:marTop w:val="0"/>
      <w:marBottom w:val="0"/>
      <w:divBdr>
        <w:top w:val="none" w:sz="0" w:space="0" w:color="auto"/>
        <w:left w:val="none" w:sz="0" w:space="0" w:color="auto"/>
        <w:bottom w:val="none" w:sz="0" w:space="0" w:color="auto"/>
        <w:right w:val="none" w:sz="0" w:space="0" w:color="auto"/>
      </w:divBdr>
    </w:div>
    <w:div w:id="684403889">
      <w:bodyDiv w:val="1"/>
      <w:marLeft w:val="0"/>
      <w:marRight w:val="0"/>
      <w:marTop w:val="0"/>
      <w:marBottom w:val="0"/>
      <w:divBdr>
        <w:top w:val="none" w:sz="0" w:space="0" w:color="auto"/>
        <w:left w:val="none" w:sz="0" w:space="0" w:color="auto"/>
        <w:bottom w:val="none" w:sz="0" w:space="0" w:color="auto"/>
        <w:right w:val="none" w:sz="0" w:space="0" w:color="auto"/>
      </w:divBdr>
    </w:div>
    <w:div w:id="715665661">
      <w:bodyDiv w:val="1"/>
      <w:marLeft w:val="0"/>
      <w:marRight w:val="0"/>
      <w:marTop w:val="0"/>
      <w:marBottom w:val="0"/>
      <w:divBdr>
        <w:top w:val="none" w:sz="0" w:space="0" w:color="auto"/>
        <w:left w:val="none" w:sz="0" w:space="0" w:color="auto"/>
        <w:bottom w:val="none" w:sz="0" w:space="0" w:color="auto"/>
        <w:right w:val="none" w:sz="0" w:space="0" w:color="auto"/>
      </w:divBdr>
    </w:div>
    <w:div w:id="743643048">
      <w:bodyDiv w:val="1"/>
      <w:marLeft w:val="0"/>
      <w:marRight w:val="0"/>
      <w:marTop w:val="0"/>
      <w:marBottom w:val="0"/>
      <w:divBdr>
        <w:top w:val="none" w:sz="0" w:space="0" w:color="auto"/>
        <w:left w:val="none" w:sz="0" w:space="0" w:color="auto"/>
        <w:bottom w:val="none" w:sz="0" w:space="0" w:color="auto"/>
        <w:right w:val="none" w:sz="0" w:space="0" w:color="auto"/>
      </w:divBdr>
    </w:div>
    <w:div w:id="758218260">
      <w:bodyDiv w:val="1"/>
      <w:marLeft w:val="0"/>
      <w:marRight w:val="0"/>
      <w:marTop w:val="0"/>
      <w:marBottom w:val="0"/>
      <w:divBdr>
        <w:top w:val="none" w:sz="0" w:space="0" w:color="auto"/>
        <w:left w:val="none" w:sz="0" w:space="0" w:color="auto"/>
        <w:bottom w:val="none" w:sz="0" w:space="0" w:color="auto"/>
        <w:right w:val="none" w:sz="0" w:space="0" w:color="auto"/>
      </w:divBdr>
    </w:div>
    <w:div w:id="822043185">
      <w:bodyDiv w:val="1"/>
      <w:marLeft w:val="0"/>
      <w:marRight w:val="0"/>
      <w:marTop w:val="0"/>
      <w:marBottom w:val="0"/>
      <w:divBdr>
        <w:top w:val="none" w:sz="0" w:space="0" w:color="auto"/>
        <w:left w:val="none" w:sz="0" w:space="0" w:color="auto"/>
        <w:bottom w:val="none" w:sz="0" w:space="0" w:color="auto"/>
        <w:right w:val="none" w:sz="0" w:space="0" w:color="auto"/>
      </w:divBdr>
    </w:div>
    <w:div w:id="823206961">
      <w:bodyDiv w:val="1"/>
      <w:marLeft w:val="0"/>
      <w:marRight w:val="0"/>
      <w:marTop w:val="0"/>
      <w:marBottom w:val="0"/>
      <w:divBdr>
        <w:top w:val="none" w:sz="0" w:space="0" w:color="auto"/>
        <w:left w:val="none" w:sz="0" w:space="0" w:color="auto"/>
        <w:bottom w:val="none" w:sz="0" w:space="0" w:color="auto"/>
        <w:right w:val="none" w:sz="0" w:space="0" w:color="auto"/>
      </w:divBdr>
    </w:div>
    <w:div w:id="842234565">
      <w:bodyDiv w:val="1"/>
      <w:marLeft w:val="0"/>
      <w:marRight w:val="0"/>
      <w:marTop w:val="0"/>
      <w:marBottom w:val="0"/>
      <w:divBdr>
        <w:top w:val="none" w:sz="0" w:space="0" w:color="auto"/>
        <w:left w:val="none" w:sz="0" w:space="0" w:color="auto"/>
        <w:bottom w:val="none" w:sz="0" w:space="0" w:color="auto"/>
        <w:right w:val="none" w:sz="0" w:space="0" w:color="auto"/>
      </w:divBdr>
    </w:div>
    <w:div w:id="917599590">
      <w:bodyDiv w:val="1"/>
      <w:marLeft w:val="0"/>
      <w:marRight w:val="0"/>
      <w:marTop w:val="0"/>
      <w:marBottom w:val="0"/>
      <w:divBdr>
        <w:top w:val="none" w:sz="0" w:space="0" w:color="auto"/>
        <w:left w:val="none" w:sz="0" w:space="0" w:color="auto"/>
        <w:bottom w:val="none" w:sz="0" w:space="0" w:color="auto"/>
        <w:right w:val="none" w:sz="0" w:space="0" w:color="auto"/>
      </w:divBdr>
    </w:div>
    <w:div w:id="928346741">
      <w:bodyDiv w:val="1"/>
      <w:marLeft w:val="0"/>
      <w:marRight w:val="0"/>
      <w:marTop w:val="0"/>
      <w:marBottom w:val="0"/>
      <w:divBdr>
        <w:top w:val="none" w:sz="0" w:space="0" w:color="auto"/>
        <w:left w:val="none" w:sz="0" w:space="0" w:color="auto"/>
        <w:bottom w:val="none" w:sz="0" w:space="0" w:color="auto"/>
        <w:right w:val="none" w:sz="0" w:space="0" w:color="auto"/>
      </w:divBdr>
    </w:div>
    <w:div w:id="955452285">
      <w:bodyDiv w:val="1"/>
      <w:marLeft w:val="0"/>
      <w:marRight w:val="0"/>
      <w:marTop w:val="0"/>
      <w:marBottom w:val="0"/>
      <w:divBdr>
        <w:top w:val="none" w:sz="0" w:space="0" w:color="auto"/>
        <w:left w:val="none" w:sz="0" w:space="0" w:color="auto"/>
        <w:bottom w:val="none" w:sz="0" w:space="0" w:color="auto"/>
        <w:right w:val="none" w:sz="0" w:space="0" w:color="auto"/>
      </w:divBdr>
    </w:div>
    <w:div w:id="977995666">
      <w:bodyDiv w:val="1"/>
      <w:marLeft w:val="0"/>
      <w:marRight w:val="0"/>
      <w:marTop w:val="0"/>
      <w:marBottom w:val="0"/>
      <w:divBdr>
        <w:top w:val="none" w:sz="0" w:space="0" w:color="auto"/>
        <w:left w:val="none" w:sz="0" w:space="0" w:color="auto"/>
        <w:bottom w:val="none" w:sz="0" w:space="0" w:color="auto"/>
        <w:right w:val="none" w:sz="0" w:space="0" w:color="auto"/>
      </w:divBdr>
    </w:div>
    <w:div w:id="979918873">
      <w:bodyDiv w:val="1"/>
      <w:marLeft w:val="0"/>
      <w:marRight w:val="0"/>
      <w:marTop w:val="0"/>
      <w:marBottom w:val="0"/>
      <w:divBdr>
        <w:top w:val="none" w:sz="0" w:space="0" w:color="auto"/>
        <w:left w:val="none" w:sz="0" w:space="0" w:color="auto"/>
        <w:bottom w:val="none" w:sz="0" w:space="0" w:color="auto"/>
        <w:right w:val="none" w:sz="0" w:space="0" w:color="auto"/>
      </w:divBdr>
    </w:div>
    <w:div w:id="1011949957">
      <w:bodyDiv w:val="1"/>
      <w:marLeft w:val="0"/>
      <w:marRight w:val="0"/>
      <w:marTop w:val="0"/>
      <w:marBottom w:val="0"/>
      <w:divBdr>
        <w:top w:val="none" w:sz="0" w:space="0" w:color="auto"/>
        <w:left w:val="none" w:sz="0" w:space="0" w:color="auto"/>
        <w:bottom w:val="none" w:sz="0" w:space="0" w:color="auto"/>
        <w:right w:val="none" w:sz="0" w:space="0" w:color="auto"/>
      </w:divBdr>
    </w:div>
    <w:div w:id="1024359592">
      <w:bodyDiv w:val="1"/>
      <w:marLeft w:val="0"/>
      <w:marRight w:val="0"/>
      <w:marTop w:val="0"/>
      <w:marBottom w:val="0"/>
      <w:divBdr>
        <w:top w:val="none" w:sz="0" w:space="0" w:color="auto"/>
        <w:left w:val="none" w:sz="0" w:space="0" w:color="auto"/>
        <w:bottom w:val="none" w:sz="0" w:space="0" w:color="auto"/>
        <w:right w:val="none" w:sz="0" w:space="0" w:color="auto"/>
      </w:divBdr>
    </w:div>
    <w:div w:id="1051613083">
      <w:bodyDiv w:val="1"/>
      <w:marLeft w:val="0"/>
      <w:marRight w:val="0"/>
      <w:marTop w:val="0"/>
      <w:marBottom w:val="0"/>
      <w:divBdr>
        <w:top w:val="none" w:sz="0" w:space="0" w:color="auto"/>
        <w:left w:val="none" w:sz="0" w:space="0" w:color="auto"/>
        <w:bottom w:val="none" w:sz="0" w:space="0" w:color="auto"/>
        <w:right w:val="none" w:sz="0" w:space="0" w:color="auto"/>
      </w:divBdr>
    </w:div>
    <w:div w:id="1060402844">
      <w:bodyDiv w:val="1"/>
      <w:marLeft w:val="0"/>
      <w:marRight w:val="0"/>
      <w:marTop w:val="0"/>
      <w:marBottom w:val="0"/>
      <w:divBdr>
        <w:top w:val="none" w:sz="0" w:space="0" w:color="auto"/>
        <w:left w:val="none" w:sz="0" w:space="0" w:color="auto"/>
        <w:bottom w:val="none" w:sz="0" w:space="0" w:color="auto"/>
        <w:right w:val="none" w:sz="0" w:space="0" w:color="auto"/>
      </w:divBdr>
    </w:div>
    <w:div w:id="1073352395">
      <w:bodyDiv w:val="1"/>
      <w:marLeft w:val="0"/>
      <w:marRight w:val="0"/>
      <w:marTop w:val="0"/>
      <w:marBottom w:val="0"/>
      <w:divBdr>
        <w:top w:val="none" w:sz="0" w:space="0" w:color="auto"/>
        <w:left w:val="none" w:sz="0" w:space="0" w:color="auto"/>
        <w:bottom w:val="none" w:sz="0" w:space="0" w:color="auto"/>
        <w:right w:val="none" w:sz="0" w:space="0" w:color="auto"/>
      </w:divBdr>
    </w:div>
    <w:div w:id="1092896406">
      <w:bodyDiv w:val="1"/>
      <w:marLeft w:val="0"/>
      <w:marRight w:val="0"/>
      <w:marTop w:val="0"/>
      <w:marBottom w:val="0"/>
      <w:divBdr>
        <w:top w:val="none" w:sz="0" w:space="0" w:color="auto"/>
        <w:left w:val="none" w:sz="0" w:space="0" w:color="auto"/>
        <w:bottom w:val="none" w:sz="0" w:space="0" w:color="auto"/>
        <w:right w:val="none" w:sz="0" w:space="0" w:color="auto"/>
      </w:divBdr>
    </w:div>
    <w:div w:id="1130241994">
      <w:bodyDiv w:val="1"/>
      <w:marLeft w:val="0"/>
      <w:marRight w:val="0"/>
      <w:marTop w:val="0"/>
      <w:marBottom w:val="0"/>
      <w:divBdr>
        <w:top w:val="none" w:sz="0" w:space="0" w:color="auto"/>
        <w:left w:val="none" w:sz="0" w:space="0" w:color="auto"/>
        <w:bottom w:val="none" w:sz="0" w:space="0" w:color="auto"/>
        <w:right w:val="none" w:sz="0" w:space="0" w:color="auto"/>
      </w:divBdr>
    </w:div>
    <w:div w:id="1183469237">
      <w:bodyDiv w:val="1"/>
      <w:marLeft w:val="0"/>
      <w:marRight w:val="0"/>
      <w:marTop w:val="0"/>
      <w:marBottom w:val="0"/>
      <w:divBdr>
        <w:top w:val="none" w:sz="0" w:space="0" w:color="auto"/>
        <w:left w:val="none" w:sz="0" w:space="0" w:color="auto"/>
        <w:bottom w:val="none" w:sz="0" w:space="0" w:color="auto"/>
        <w:right w:val="none" w:sz="0" w:space="0" w:color="auto"/>
      </w:divBdr>
    </w:div>
    <w:div w:id="1189951637">
      <w:bodyDiv w:val="1"/>
      <w:marLeft w:val="0"/>
      <w:marRight w:val="0"/>
      <w:marTop w:val="0"/>
      <w:marBottom w:val="0"/>
      <w:divBdr>
        <w:top w:val="none" w:sz="0" w:space="0" w:color="auto"/>
        <w:left w:val="none" w:sz="0" w:space="0" w:color="auto"/>
        <w:bottom w:val="none" w:sz="0" w:space="0" w:color="auto"/>
        <w:right w:val="none" w:sz="0" w:space="0" w:color="auto"/>
      </w:divBdr>
    </w:div>
    <w:div w:id="1210342475">
      <w:bodyDiv w:val="1"/>
      <w:marLeft w:val="0"/>
      <w:marRight w:val="0"/>
      <w:marTop w:val="0"/>
      <w:marBottom w:val="0"/>
      <w:divBdr>
        <w:top w:val="none" w:sz="0" w:space="0" w:color="auto"/>
        <w:left w:val="none" w:sz="0" w:space="0" w:color="auto"/>
        <w:bottom w:val="none" w:sz="0" w:space="0" w:color="auto"/>
        <w:right w:val="none" w:sz="0" w:space="0" w:color="auto"/>
      </w:divBdr>
    </w:div>
    <w:div w:id="1321732987">
      <w:bodyDiv w:val="1"/>
      <w:marLeft w:val="0"/>
      <w:marRight w:val="0"/>
      <w:marTop w:val="0"/>
      <w:marBottom w:val="0"/>
      <w:divBdr>
        <w:top w:val="none" w:sz="0" w:space="0" w:color="auto"/>
        <w:left w:val="none" w:sz="0" w:space="0" w:color="auto"/>
        <w:bottom w:val="none" w:sz="0" w:space="0" w:color="auto"/>
        <w:right w:val="none" w:sz="0" w:space="0" w:color="auto"/>
      </w:divBdr>
    </w:div>
    <w:div w:id="1369917203">
      <w:bodyDiv w:val="1"/>
      <w:marLeft w:val="0"/>
      <w:marRight w:val="0"/>
      <w:marTop w:val="0"/>
      <w:marBottom w:val="0"/>
      <w:divBdr>
        <w:top w:val="none" w:sz="0" w:space="0" w:color="auto"/>
        <w:left w:val="none" w:sz="0" w:space="0" w:color="auto"/>
        <w:bottom w:val="none" w:sz="0" w:space="0" w:color="auto"/>
        <w:right w:val="none" w:sz="0" w:space="0" w:color="auto"/>
      </w:divBdr>
    </w:div>
    <w:div w:id="1382094527">
      <w:bodyDiv w:val="1"/>
      <w:marLeft w:val="0"/>
      <w:marRight w:val="0"/>
      <w:marTop w:val="0"/>
      <w:marBottom w:val="0"/>
      <w:divBdr>
        <w:top w:val="none" w:sz="0" w:space="0" w:color="auto"/>
        <w:left w:val="none" w:sz="0" w:space="0" w:color="auto"/>
        <w:bottom w:val="none" w:sz="0" w:space="0" w:color="auto"/>
        <w:right w:val="none" w:sz="0" w:space="0" w:color="auto"/>
      </w:divBdr>
    </w:div>
    <w:div w:id="1406876802">
      <w:bodyDiv w:val="1"/>
      <w:marLeft w:val="0"/>
      <w:marRight w:val="0"/>
      <w:marTop w:val="0"/>
      <w:marBottom w:val="0"/>
      <w:divBdr>
        <w:top w:val="none" w:sz="0" w:space="0" w:color="auto"/>
        <w:left w:val="none" w:sz="0" w:space="0" w:color="auto"/>
        <w:bottom w:val="none" w:sz="0" w:space="0" w:color="auto"/>
        <w:right w:val="none" w:sz="0" w:space="0" w:color="auto"/>
      </w:divBdr>
    </w:div>
    <w:div w:id="1410421097">
      <w:bodyDiv w:val="1"/>
      <w:marLeft w:val="0"/>
      <w:marRight w:val="0"/>
      <w:marTop w:val="0"/>
      <w:marBottom w:val="0"/>
      <w:divBdr>
        <w:top w:val="none" w:sz="0" w:space="0" w:color="auto"/>
        <w:left w:val="none" w:sz="0" w:space="0" w:color="auto"/>
        <w:bottom w:val="none" w:sz="0" w:space="0" w:color="auto"/>
        <w:right w:val="none" w:sz="0" w:space="0" w:color="auto"/>
      </w:divBdr>
    </w:div>
    <w:div w:id="1417433826">
      <w:bodyDiv w:val="1"/>
      <w:marLeft w:val="0"/>
      <w:marRight w:val="0"/>
      <w:marTop w:val="0"/>
      <w:marBottom w:val="0"/>
      <w:divBdr>
        <w:top w:val="none" w:sz="0" w:space="0" w:color="auto"/>
        <w:left w:val="none" w:sz="0" w:space="0" w:color="auto"/>
        <w:bottom w:val="none" w:sz="0" w:space="0" w:color="auto"/>
        <w:right w:val="none" w:sz="0" w:space="0" w:color="auto"/>
      </w:divBdr>
    </w:div>
    <w:div w:id="1492671611">
      <w:bodyDiv w:val="1"/>
      <w:marLeft w:val="0"/>
      <w:marRight w:val="0"/>
      <w:marTop w:val="0"/>
      <w:marBottom w:val="0"/>
      <w:divBdr>
        <w:top w:val="none" w:sz="0" w:space="0" w:color="auto"/>
        <w:left w:val="none" w:sz="0" w:space="0" w:color="auto"/>
        <w:bottom w:val="none" w:sz="0" w:space="0" w:color="auto"/>
        <w:right w:val="none" w:sz="0" w:space="0" w:color="auto"/>
      </w:divBdr>
    </w:div>
    <w:div w:id="1520050687">
      <w:bodyDiv w:val="1"/>
      <w:marLeft w:val="0"/>
      <w:marRight w:val="0"/>
      <w:marTop w:val="0"/>
      <w:marBottom w:val="0"/>
      <w:divBdr>
        <w:top w:val="none" w:sz="0" w:space="0" w:color="auto"/>
        <w:left w:val="none" w:sz="0" w:space="0" w:color="auto"/>
        <w:bottom w:val="none" w:sz="0" w:space="0" w:color="auto"/>
        <w:right w:val="none" w:sz="0" w:space="0" w:color="auto"/>
      </w:divBdr>
    </w:div>
    <w:div w:id="1544173156">
      <w:bodyDiv w:val="1"/>
      <w:marLeft w:val="0"/>
      <w:marRight w:val="0"/>
      <w:marTop w:val="0"/>
      <w:marBottom w:val="0"/>
      <w:divBdr>
        <w:top w:val="none" w:sz="0" w:space="0" w:color="auto"/>
        <w:left w:val="none" w:sz="0" w:space="0" w:color="auto"/>
        <w:bottom w:val="none" w:sz="0" w:space="0" w:color="auto"/>
        <w:right w:val="none" w:sz="0" w:space="0" w:color="auto"/>
      </w:divBdr>
    </w:div>
    <w:div w:id="1608806492">
      <w:bodyDiv w:val="1"/>
      <w:marLeft w:val="0"/>
      <w:marRight w:val="0"/>
      <w:marTop w:val="0"/>
      <w:marBottom w:val="0"/>
      <w:divBdr>
        <w:top w:val="none" w:sz="0" w:space="0" w:color="auto"/>
        <w:left w:val="none" w:sz="0" w:space="0" w:color="auto"/>
        <w:bottom w:val="none" w:sz="0" w:space="0" w:color="auto"/>
        <w:right w:val="none" w:sz="0" w:space="0" w:color="auto"/>
      </w:divBdr>
      <w:divsChild>
        <w:div w:id="787048868">
          <w:marLeft w:val="0"/>
          <w:marRight w:val="0"/>
          <w:marTop w:val="0"/>
          <w:marBottom w:val="0"/>
          <w:divBdr>
            <w:top w:val="none" w:sz="0" w:space="0" w:color="auto"/>
            <w:left w:val="none" w:sz="0" w:space="0" w:color="auto"/>
            <w:bottom w:val="none" w:sz="0" w:space="0" w:color="auto"/>
            <w:right w:val="none" w:sz="0" w:space="0" w:color="auto"/>
          </w:divBdr>
          <w:divsChild>
            <w:div w:id="3448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19170">
      <w:bodyDiv w:val="1"/>
      <w:marLeft w:val="0"/>
      <w:marRight w:val="0"/>
      <w:marTop w:val="0"/>
      <w:marBottom w:val="0"/>
      <w:divBdr>
        <w:top w:val="none" w:sz="0" w:space="0" w:color="auto"/>
        <w:left w:val="none" w:sz="0" w:space="0" w:color="auto"/>
        <w:bottom w:val="none" w:sz="0" w:space="0" w:color="auto"/>
        <w:right w:val="none" w:sz="0" w:space="0" w:color="auto"/>
      </w:divBdr>
    </w:div>
    <w:div w:id="1619485716">
      <w:bodyDiv w:val="1"/>
      <w:marLeft w:val="0"/>
      <w:marRight w:val="0"/>
      <w:marTop w:val="0"/>
      <w:marBottom w:val="0"/>
      <w:divBdr>
        <w:top w:val="none" w:sz="0" w:space="0" w:color="auto"/>
        <w:left w:val="none" w:sz="0" w:space="0" w:color="auto"/>
        <w:bottom w:val="none" w:sz="0" w:space="0" w:color="auto"/>
        <w:right w:val="none" w:sz="0" w:space="0" w:color="auto"/>
      </w:divBdr>
    </w:div>
    <w:div w:id="1690984484">
      <w:bodyDiv w:val="1"/>
      <w:marLeft w:val="0"/>
      <w:marRight w:val="0"/>
      <w:marTop w:val="0"/>
      <w:marBottom w:val="0"/>
      <w:divBdr>
        <w:top w:val="none" w:sz="0" w:space="0" w:color="auto"/>
        <w:left w:val="none" w:sz="0" w:space="0" w:color="auto"/>
        <w:bottom w:val="none" w:sz="0" w:space="0" w:color="auto"/>
        <w:right w:val="none" w:sz="0" w:space="0" w:color="auto"/>
      </w:divBdr>
    </w:div>
    <w:div w:id="1733965352">
      <w:bodyDiv w:val="1"/>
      <w:marLeft w:val="0"/>
      <w:marRight w:val="0"/>
      <w:marTop w:val="0"/>
      <w:marBottom w:val="0"/>
      <w:divBdr>
        <w:top w:val="none" w:sz="0" w:space="0" w:color="auto"/>
        <w:left w:val="none" w:sz="0" w:space="0" w:color="auto"/>
        <w:bottom w:val="none" w:sz="0" w:space="0" w:color="auto"/>
        <w:right w:val="none" w:sz="0" w:space="0" w:color="auto"/>
      </w:divBdr>
    </w:div>
    <w:div w:id="1759935066">
      <w:bodyDiv w:val="1"/>
      <w:marLeft w:val="0"/>
      <w:marRight w:val="0"/>
      <w:marTop w:val="0"/>
      <w:marBottom w:val="0"/>
      <w:divBdr>
        <w:top w:val="none" w:sz="0" w:space="0" w:color="auto"/>
        <w:left w:val="none" w:sz="0" w:space="0" w:color="auto"/>
        <w:bottom w:val="none" w:sz="0" w:space="0" w:color="auto"/>
        <w:right w:val="none" w:sz="0" w:space="0" w:color="auto"/>
      </w:divBdr>
    </w:div>
    <w:div w:id="1788694607">
      <w:bodyDiv w:val="1"/>
      <w:marLeft w:val="0"/>
      <w:marRight w:val="0"/>
      <w:marTop w:val="0"/>
      <w:marBottom w:val="0"/>
      <w:divBdr>
        <w:top w:val="none" w:sz="0" w:space="0" w:color="auto"/>
        <w:left w:val="none" w:sz="0" w:space="0" w:color="auto"/>
        <w:bottom w:val="none" w:sz="0" w:space="0" w:color="auto"/>
        <w:right w:val="none" w:sz="0" w:space="0" w:color="auto"/>
      </w:divBdr>
    </w:div>
    <w:div w:id="1804420548">
      <w:bodyDiv w:val="1"/>
      <w:marLeft w:val="0"/>
      <w:marRight w:val="0"/>
      <w:marTop w:val="0"/>
      <w:marBottom w:val="0"/>
      <w:divBdr>
        <w:top w:val="none" w:sz="0" w:space="0" w:color="auto"/>
        <w:left w:val="none" w:sz="0" w:space="0" w:color="auto"/>
        <w:bottom w:val="none" w:sz="0" w:space="0" w:color="auto"/>
        <w:right w:val="none" w:sz="0" w:space="0" w:color="auto"/>
      </w:divBdr>
    </w:div>
    <w:div w:id="1844010115">
      <w:bodyDiv w:val="1"/>
      <w:marLeft w:val="0"/>
      <w:marRight w:val="0"/>
      <w:marTop w:val="0"/>
      <w:marBottom w:val="0"/>
      <w:divBdr>
        <w:top w:val="none" w:sz="0" w:space="0" w:color="auto"/>
        <w:left w:val="none" w:sz="0" w:space="0" w:color="auto"/>
        <w:bottom w:val="none" w:sz="0" w:space="0" w:color="auto"/>
        <w:right w:val="none" w:sz="0" w:space="0" w:color="auto"/>
      </w:divBdr>
    </w:div>
    <w:div w:id="1965915746">
      <w:bodyDiv w:val="1"/>
      <w:marLeft w:val="0"/>
      <w:marRight w:val="0"/>
      <w:marTop w:val="0"/>
      <w:marBottom w:val="0"/>
      <w:divBdr>
        <w:top w:val="none" w:sz="0" w:space="0" w:color="auto"/>
        <w:left w:val="none" w:sz="0" w:space="0" w:color="auto"/>
        <w:bottom w:val="none" w:sz="0" w:space="0" w:color="auto"/>
        <w:right w:val="none" w:sz="0" w:space="0" w:color="auto"/>
      </w:divBdr>
    </w:div>
    <w:div w:id="1983071476">
      <w:bodyDiv w:val="1"/>
      <w:marLeft w:val="0"/>
      <w:marRight w:val="0"/>
      <w:marTop w:val="0"/>
      <w:marBottom w:val="0"/>
      <w:divBdr>
        <w:top w:val="none" w:sz="0" w:space="0" w:color="auto"/>
        <w:left w:val="none" w:sz="0" w:space="0" w:color="auto"/>
        <w:bottom w:val="none" w:sz="0" w:space="0" w:color="auto"/>
        <w:right w:val="none" w:sz="0" w:space="0" w:color="auto"/>
      </w:divBdr>
    </w:div>
    <w:div w:id="2002081570">
      <w:bodyDiv w:val="1"/>
      <w:marLeft w:val="0"/>
      <w:marRight w:val="0"/>
      <w:marTop w:val="0"/>
      <w:marBottom w:val="0"/>
      <w:divBdr>
        <w:top w:val="none" w:sz="0" w:space="0" w:color="auto"/>
        <w:left w:val="none" w:sz="0" w:space="0" w:color="auto"/>
        <w:bottom w:val="none" w:sz="0" w:space="0" w:color="auto"/>
        <w:right w:val="none" w:sz="0" w:space="0" w:color="auto"/>
      </w:divBdr>
    </w:div>
    <w:div w:id="2021201224">
      <w:bodyDiv w:val="1"/>
      <w:marLeft w:val="0"/>
      <w:marRight w:val="0"/>
      <w:marTop w:val="0"/>
      <w:marBottom w:val="0"/>
      <w:divBdr>
        <w:top w:val="none" w:sz="0" w:space="0" w:color="auto"/>
        <w:left w:val="none" w:sz="0" w:space="0" w:color="auto"/>
        <w:bottom w:val="none" w:sz="0" w:space="0" w:color="auto"/>
        <w:right w:val="none" w:sz="0" w:space="0" w:color="auto"/>
      </w:divBdr>
    </w:div>
    <w:div w:id="2068406482">
      <w:bodyDiv w:val="1"/>
      <w:marLeft w:val="0"/>
      <w:marRight w:val="0"/>
      <w:marTop w:val="0"/>
      <w:marBottom w:val="0"/>
      <w:divBdr>
        <w:top w:val="none" w:sz="0" w:space="0" w:color="auto"/>
        <w:left w:val="none" w:sz="0" w:space="0" w:color="auto"/>
        <w:bottom w:val="none" w:sz="0" w:space="0" w:color="auto"/>
        <w:right w:val="none" w:sz="0" w:space="0" w:color="auto"/>
      </w:divBdr>
      <w:divsChild>
        <w:div w:id="327252323">
          <w:marLeft w:val="0"/>
          <w:marRight w:val="0"/>
          <w:marTop w:val="0"/>
          <w:marBottom w:val="0"/>
          <w:divBdr>
            <w:top w:val="single" w:sz="6" w:space="23" w:color="DEDEDE"/>
            <w:left w:val="none" w:sz="0" w:space="0" w:color="auto"/>
            <w:bottom w:val="none" w:sz="0" w:space="0" w:color="auto"/>
            <w:right w:val="none" w:sz="0" w:space="0" w:color="auto"/>
          </w:divBdr>
          <w:divsChild>
            <w:div w:id="499270724">
              <w:marLeft w:val="0"/>
              <w:marRight w:val="600"/>
              <w:marTop w:val="0"/>
              <w:marBottom w:val="600"/>
              <w:divBdr>
                <w:top w:val="none" w:sz="0" w:space="0" w:color="auto"/>
                <w:left w:val="none" w:sz="0" w:space="0" w:color="auto"/>
                <w:bottom w:val="none" w:sz="0" w:space="0" w:color="auto"/>
                <w:right w:val="none" w:sz="0" w:space="0" w:color="auto"/>
              </w:divBdr>
            </w:div>
          </w:divsChild>
        </w:div>
      </w:divsChild>
    </w:div>
    <w:div w:id="2137983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C0CFA-4A13-4073-B16F-7C9BE73E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14503</Words>
  <Characters>82668</Characters>
  <Application>Microsoft Office Word</Application>
  <DocSecurity>0</DocSecurity>
  <Lines>688</Lines>
  <Paragraphs>193</Paragraphs>
  <ScaleCrop>false</ScaleCrop>
  <Company/>
  <LinksUpToDate>false</LinksUpToDate>
  <CharactersWithSpaces>96978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2016-11-10T10:57:00Z</dcterms:created>
  <dcterms:modified xsi:type="dcterms:W3CDTF">2016-11-10T10:57:00Z</dcterms:modified>
</cp:coreProperties>
</file>